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SCHEDULE 13D</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Robert Atchinson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Adage Capital Partners GP, L.L.C.</w:t>
      </w:r>
    </w:p>
    <w:p>
      <w:pPr>
        <w:jc w:val="center"/>
        <w:ind w:right="-59"/>
        <w:spacing w:after="0" w:line="230" w:lineRule="auto"/>
        <w:rPr>
          <w:sz w:val="20"/>
          <w:szCs w:val="20"/>
          <w:color w:val="auto"/>
        </w:rPr>
      </w:pPr>
      <w:r>
        <w:rPr>
          <w:rFonts w:ascii="Times New Roman" w:cs="Times New Roman" w:eastAsia="Times New Roman" w:hAnsi="Times New Roman"/>
          <w:sz w:val="22"/>
          <w:szCs w:val="22"/>
          <w:color w:val="auto"/>
        </w:rPr>
        <w:t>200 Clarendon Street, 52nd Floor</w:t>
      </w:r>
    </w:p>
    <w:p>
      <w:pPr>
        <w:jc w:val="center"/>
        <w:ind w:right="-59"/>
        <w:spacing w:after="0" w:line="233" w:lineRule="auto"/>
        <w:rPr>
          <w:sz w:val="20"/>
          <w:szCs w:val="20"/>
          <w:color w:val="auto"/>
        </w:rPr>
      </w:pPr>
      <w:r>
        <w:rPr>
          <w:rFonts w:ascii="Times New Roman" w:cs="Times New Roman" w:eastAsia="Times New Roman" w:hAnsi="Times New Roman"/>
          <w:sz w:val="22"/>
          <w:szCs w:val="22"/>
          <w:color w:val="auto"/>
        </w:rPr>
        <w:t>Boston, MA 02116</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(617) 867-2800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September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1 of 13 Pages)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ind w:right="40" w:firstLine="8"/>
        <w:spacing w:after="0" w:line="235"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5"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463"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 2 of 13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4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3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Adage Capital Partners, L.P.</w:t>
            </w:r>
          </w:p>
        </w:tc>
        <w:tc>
          <w:tcPr>
            <w:tcW w:w="3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320" w:type="dxa"/>
            <w:vAlign w:val="bottom"/>
            <w:vMerge w:val="continue"/>
          </w:tcPr>
          <w:p>
            <w:pPr>
              <w:spacing w:after="0"/>
              <w:rPr>
                <w:sz w:val="6"/>
                <w:szCs w:val="6"/>
                <w:color w:val="auto"/>
              </w:rPr>
            </w:pPr>
          </w:p>
        </w:tc>
        <w:tc>
          <w:tcPr>
            <w:tcW w:w="34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3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2"/>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WC</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9"/>
              </w:rPr>
              <w:t>Delaware</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4"/>
              </w:rPr>
              <w:t>2,500,000</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5.78%</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PN</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 3 of 13 Pages</w:t>
            </w:r>
          </w:p>
        </w:tc>
        <w:tc>
          <w:tcPr>
            <w:tcW w:w="0" w:type="dxa"/>
            <w:vAlign w:val="bottom"/>
          </w:tcPr>
          <w:p>
            <w:pPr>
              <w:spacing w:after="0"/>
              <w:rPr>
                <w:sz w:val="1"/>
                <w:szCs w:val="1"/>
                <w:color w:val="auto"/>
              </w:rPr>
            </w:pPr>
          </w:p>
        </w:tc>
      </w:tr>
      <w:tr>
        <w:trPr>
          <w:trHeight w:val="311"/>
        </w:trPr>
        <w:tc>
          <w:tcPr>
            <w:tcW w:w="1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5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Adage Capital Partners GP, L.L.C.</w:t>
            </w:r>
          </w:p>
        </w:tc>
        <w:tc>
          <w:tcPr>
            <w:tcW w:w="32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3"/>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AF</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9"/>
              </w:rPr>
              <w:t>Delaware</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4"/>
              </w:rPr>
              <w:t>2,500,000</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5.78%</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OO</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 4 of 13 Pages</w:t>
            </w:r>
          </w:p>
        </w:tc>
        <w:tc>
          <w:tcPr>
            <w:tcW w:w="0" w:type="dxa"/>
            <w:vAlign w:val="bottom"/>
          </w:tcPr>
          <w:p>
            <w:pPr>
              <w:spacing w:after="0"/>
              <w:rPr>
                <w:sz w:val="1"/>
                <w:szCs w:val="1"/>
                <w:color w:val="auto"/>
              </w:rPr>
            </w:pPr>
          </w:p>
        </w:tc>
      </w:tr>
      <w:tr>
        <w:trPr>
          <w:trHeight w:val="311"/>
        </w:trPr>
        <w:tc>
          <w:tcPr>
            <w:tcW w:w="1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4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Adage Capital Advisors, L.L.C.</w:t>
            </w:r>
          </w:p>
        </w:tc>
        <w:tc>
          <w:tcPr>
            <w:tcW w:w="3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330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4"/>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AF</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9"/>
              </w:rPr>
              <w:t>Delaware</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4"/>
              </w:rPr>
              <w:t>2,500,000</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5.78%</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OO</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3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 5 of 13 Pages</w:t>
            </w:r>
          </w:p>
        </w:tc>
        <w:tc>
          <w:tcPr>
            <w:tcW w:w="0" w:type="dxa"/>
            <w:vAlign w:val="bottom"/>
          </w:tcPr>
          <w:p>
            <w:pPr>
              <w:spacing w:after="0"/>
              <w:rPr>
                <w:sz w:val="1"/>
                <w:szCs w:val="1"/>
                <w:color w:val="auto"/>
              </w:rPr>
            </w:pPr>
          </w:p>
        </w:tc>
      </w:tr>
      <w:tr>
        <w:trPr>
          <w:trHeight w:val="311"/>
        </w:trPr>
        <w:tc>
          <w:tcPr>
            <w:tcW w:w="1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2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3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5"/>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AF</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81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United States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4"/>
              </w:rPr>
              <w:t>2,500,000</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5.78%</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IN</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3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 6 of 13 Pages</w:t>
            </w:r>
          </w:p>
        </w:tc>
        <w:tc>
          <w:tcPr>
            <w:tcW w:w="0" w:type="dxa"/>
            <w:vAlign w:val="bottom"/>
          </w:tcPr>
          <w:p>
            <w:pPr>
              <w:spacing w:after="0"/>
              <w:rPr>
                <w:sz w:val="1"/>
                <w:szCs w:val="1"/>
                <w:color w:val="auto"/>
              </w:rPr>
            </w:pPr>
          </w:p>
        </w:tc>
      </w:tr>
      <w:tr>
        <w:trPr>
          <w:trHeight w:val="311"/>
        </w:trPr>
        <w:tc>
          <w:tcPr>
            <w:tcW w:w="1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2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3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6"/>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AF</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81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United States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9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2,500,000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4"/>
              </w:rPr>
              <w:t>2,500,000</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5.78%</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IN</w:t>
            </w:r>
          </w:p>
        </w:tc>
        <w:tc>
          <w:tcPr>
            <w:tcW w:w="6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494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7 of 13 Pages</w:t>
      </w:r>
    </w:p>
    <w:p>
      <w:pPr>
        <w:sectPr>
          <w:pgSz w:w="11900" w:h="16838" w:orient="portrait"/>
          <w:cols w:equalWidth="0" w:num="1">
            <w:col w:w="11240"/>
          </w:cols>
          <w:pgMar w:left="320" w:top="225" w:right="339" w:bottom="1440" w:gutter="0" w:footer="0" w:header="0"/>
        </w:sectPr>
      </w:pPr>
    </w:p>
    <w:p>
      <w:pPr>
        <w:spacing w:after="0" w:line="310"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SECURITY AND ISSUER</w:t>
      </w:r>
    </w:p>
    <w:p>
      <w:pPr>
        <w:spacing w:after="0" w:line="237" w:lineRule="exact"/>
        <w:rPr>
          <w:sz w:val="20"/>
          <w:szCs w:val="20"/>
          <w:color w:val="auto"/>
        </w:rPr>
      </w:pPr>
    </w:p>
    <w:p>
      <w:pPr>
        <w:ind w:left="1360" w:right="460"/>
        <w:spacing w:after="0" w:line="244" w:lineRule="auto"/>
        <w:rPr>
          <w:sz w:val="20"/>
          <w:szCs w:val="20"/>
          <w:color w:val="auto"/>
        </w:rPr>
      </w:pPr>
      <w:r>
        <w:rPr>
          <w:rFonts w:ascii="Times New Roman" w:cs="Times New Roman" w:eastAsia="Times New Roman" w:hAnsi="Times New Roman"/>
          <w:sz w:val="22"/>
          <w:szCs w:val="22"/>
          <w:color w:val="auto"/>
        </w:rPr>
        <w:t>This statement on Schedule 13D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relates to the Common Stock, $0.01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Gemini Therapeutics,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Issuer's principal executive offices are located at 7 Boston Post Road #248, Wayland, MA 01778.</w:t>
      </w:r>
    </w:p>
    <w:p>
      <w:pPr>
        <w:spacing w:after="0" w:line="196"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IDENTITY AND BACKGROUND</w:t>
      </w:r>
    </w:p>
    <w:p>
      <w:pPr>
        <w:spacing w:after="0" w:line="237" w:lineRule="exact"/>
        <w:rPr>
          <w:sz w:val="20"/>
          <w:szCs w:val="20"/>
          <w:color w:val="auto"/>
        </w:rPr>
      </w:pPr>
    </w:p>
    <w:p>
      <w:pPr>
        <w:ind w:left="1360" w:hanging="1249"/>
        <w:spacing w:after="0"/>
        <w:tabs>
          <w:tab w:leader="none" w:pos="13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w:t>
      </w:r>
    </w:p>
    <w:p>
      <w:pPr>
        <w:spacing w:after="0" w:line="233" w:lineRule="exact"/>
        <w:rPr>
          <w:rFonts w:ascii="Times New Roman" w:cs="Times New Roman" w:eastAsia="Times New Roman" w:hAnsi="Times New Roman"/>
          <w:sz w:val="22"/>
          <w:szCs w:val="22"/>
          <w:color w:val="auto"/>
        </w:rPr>
      </w:pPr>
    </w:p>
    <w:p>
      <w:pPr>
        <w:ind w:left="2140" w:right="620" w:hanging="787"/>
        <w:spacing w:after="0" w:line="258" w:lineRule="auto"/>
        <w:tabs>
          <w:tab w:leader="none" w:pos="2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Partners, L.P., a Delaware limited partnership ("</w:t>
      </w:r>
      <w:r>
        <w:rPr>
          <w:rFonts w:ascii="Times New Roman" w:cs="Times New Roman" w:eastAsia="Times New Roman" w:hAnsi="Times New Roman"/>
          <w:sz w:val="22"/>
          <w:szCs w:val="22"/>
          <w:u w:val="single" w:color="auto"/>
          <w:color w:val="auto"/>
        </w:rPr>
        <w:t>ACP</w:t>
      </w:r>
      <w:r>
        <w:rPr>
          <w:rFonts w:ascii="Times New Roman" w:cs="Times New Roman" w:eastAsia="Times New Roman" w:hAnsi="Times New Roman"/>
          <w:sz w:val="22"/>
          <w:szCs w:val="22"/>
          <w:color w:val="auto"/>
        </w:rPr>
        <w:t>") with respect to the shares of Common Stock directly owned by it</w:t>
      </w:r>
    </w:p>
    <w:p>
      <w:pPr>
        <w:spacing w:after="0" w:line="185" w:lineRule="exact"/>
        <w:rPr>
          <w:rFonts w:ascii="Times New Roman" w:cs="Times New Roman" w:eastAsia="Times New Roman" w:hAnsi="Times New Roman"/>
          <w:sz w:val="22"/>
          <w:szCs w:val="22"/>
          <w:color w:val="auto"/>
        </w:rPr>
      </w:pPr>
    </w:p>
    <w:p>
      <w:pPr>
        <w:jc w:val="both"/>
        <w:ind w:left="2140" w:right="380" w:hanging="787"/>
        <w:spacing w:after="0" w:line="244" w:lineRule="auto"/>
        <w:tabs>
          <w:tab w:leader="none" w:pos="2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Partners GP, L.L.C., a limited liability company organized under the laws of the State of Delaware ("</w:t>
      </w:r>
      <w:r>
        <w:rPr>
          <w:rFonts w:ascii="Times New Roman" w:cs="Times New Roman" w:eastAsia="Times New Roman" w:hAnsi="Times New Roman"/>
          <w:sz w:val="22"/>
          <w:szCs w:val="22"/>
          <w:u w:val="single" w:color="auto"/>
          <w:color w:val="auto"/>
        </w:rPr>
        <w:t>ACPGP</w:t>
      </w:r>
      <w:r>
        <w:rPr>
          <w:rFonts w:ascii="Times New Roman" w:cs="Times New Roman" w:eastAsia="Times New Roman" w:hAnsi="Times New Roman"/>
          <w:sz w:val="22"/>
          <w:szCs w:val="22"/>
          <w:color w:val="auto"/>
        </w:rPr>
        <w:t>"), as general partner of ACP with respect to the shares of Common Stock directly owned by ACP;</w:t>
      </w:r>
    </w:p>
    <w:p>
      <w:pPr>
        <w:spacing w:after="0" w:line="200" w:lineRule="exact"/>
        <w:rPr>
          <w:rFonts w:ascii="Times New Roman" w:cs="Times New Roman" w:eastAsia="Times New Roman" w:hAnsi="Times New Roman"/>
          <w:sz w:val="22"/>
          <w:szCs w:val="22"/>
          <w:color w:val="auto"/>
        </w:rPr>
      </w:pPr>
    </w:p>
    <w:p>
      <w:pPr>
        <w:ind w:left="2140" w:right="320" w:hanging="787"/>
        <w:spacing w:after="0" w:line="244" w:lineRule="auto"/>
        <w:tabs>
          <w:tab w:leader="none" w:pos="2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Advisors, L.L.C., a limited liability company organized under the laws of the State of Delaware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as managing member of ACPGP, general partner of ACP, with respect to the shares of Common Stock directly owned by ACP;</w:t>
      </w:r>
    </w:p>
    <w:p>
      <w:pPr>
        <w:spacing w:after="0" w:line="200" w:lineRule="exact"/>
        <w:rPr>
          <w:rFonts w:ascii="Times New Roman" w:cs="Times New Roman" w:eastAsia="Times New Roman" w:hAnsi="Times New Roman"/>
          <w:sz w:val="22"/>
          <w:szCs w:val="22"/>
          <w:color w:val="auto"/>
        </w:rPr>
      </w:pPr>
    </w:p>
    <w:p>
      <w:pPr>
        <w:ind w:left="2140" w:right="680" w:hanging="787"/>
        <w:spacing w:after="0" w:line="282" w:lineRule="auto"/>
        <w:tabs>
          <w:tab w:leader="none" w:pos="214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Robert Atchinson ("</w:t>
      </w:r>
      <w:r>
        <w:rPr>
          <w:rFonts w:ascii="Times New Roman" w:cs="Times New Roman" w:eastAsia="Times New Roman" w:hAnsi="Times New Roman"/>
          <w:sz w:val="21"/>
          <w:szCs w:val="21"/>
          <w:u w:val="single" w:color="auto"/>
          <w:color w:val="auto"/>
        </w:rPr>
        <w:t>Mr. Atchinson</w:t>
      </w:r>
      <w:r>
        <w:rPr>
          <w:rFonts w:ascii="Times New Roman" w:cs="Times New Roman" w:eastAsia="Times New Roman" w:hAnsi="Times New Roman"/>
          <w:sz w:val="21"/>
          <w:szCs w:val="21"/>
          <w:color w:val="auto"/>
        </w:rPr>
        <w:t>"), as managing member of ACA, managing member of ACPGP, general partner of ACP with respect to the shares of Common Stock directly owned by ACP; and</w:t>
      </w:r>
    </w:p>
    <w:p>
      <w:pPr>
        <w:spacing w:after="0" w:line="161" w:lineRule="exact"/>
        <w:rPr>
          <w:rFonts w:ascii="Times New Roman" w:cs="Times New Roman" w:eastAsia="Times New Roman" w:hAnsi="Times New Roman"/>
          <w:sz w:val="21"/>
          <w:szCs w:val="21"/>
          <w:color w:val="auto"/>
        </w:rPr>
      </w:pPr>
    </w:p>
    <w:p>
      <w:pPr>
        <w:ind w:left="2140" w:right="120" w:hanging="787"/>
        <w:spacing w:after="0" w:line="258" w:lineRule="auto"/>
        <w:tabs>
          <w:tab w:leader="none" w:pos="2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Phillip Gross ("</w:t>
      </w:r>
      <w:r>
        <w:rPr>
          <w:rFonts w:ascii="Times New Roman" w:cs="Times New Roman" w:eastAsia="Times New Roman" w:hAnsi="Times New Roman"/>
          <w:sz w:val="22"/>
          <w:szCs w:val="22"/>
          <w:u w:val="single" w:color="auto"/>
          <w:color w:val="auto"/>
        </w:rPr>
        <w:t>Mr. Gross</w:t>
      </w:r>
      <w:r>
        <w:rPr>
          <w:rFonts w:ascii="Times New Roman" w:cs="Times New Roman" w:eastAsia="Times New Roman" w:hAnsi="Times New Roman"/>
          <w:sz w:val="22"/>
          <w:szCs w:val="22"/>
          <w:color w:val="auto"/>
        </w:rPr>
        <w:t>"), as managing member of ACA, managing member of ACPGP, general partner of ACP with respect to the shares of Common Stock directly owned by ACP.</w:t>
      </w:r>
    </w:p>
    <w:p>
      <w:pPr>
        <w:spacing w:after="0" w:line="185" w:lineRule="exact"/>
        <w:rPr>
          <w:sz w:val="20"/>
          <w:szCs w:val="20"/>
          <w:color w:val="auto"/>
        </w:rPr>
      </w:pPr>
    </w:p>
    <w:p>
      <w:pPr>
        <w:ind w:left="1360" w:right="320"/>
        <w:spacing w:after="0" w:line="244" w:lineRule="auto"/>
        <w:rPr>
          <w:sz w:val="20"/>
          <w:szCs w:val="20"/>
          <w:color w:val="auto"/>
        </w:rPr>
      </w:pPr>
      <w:r>
        <w:rPr>
          <w:rFonts w:ascii="Times New Roman" w:cs="Times New Roman" w:eastAsia="Times New Roman" w:hAnsi="Times New Roman"/>
          <w:sz w:val="22"/>
          <w:szCs w:val="22"/>
          <w:color w:val="auto"/>
        </w:rPr>
        <w:t>The foregoing persons are hereinafter sometimes collectively referred to as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Any disclosures herein with respect to persons other than the Reporting Persons are made on information and belief after making inquiry to the appropriate party.</w:t>
      </w:r>
    </w:p>
    <w:p>
      <w:pPr>
        <w:spacing w:after="0" w:line="200" w:lineRule="exact"/>
        <w:rPr>
          <w:sz w:val="20"/>
          <w:szCs w:val="20"/>
          <w:color w:val="auto"/>
        </w:rPr>
      </w:pPr>
    </w:p>
    <w:p>
      <w:pPr>
        <w:ind w:left="1360" w:right="280"/>
        <w:spacing w:after="0" w:line="258" w:lineRule="auto"/>
        <w:rPr>
          <w:sz w:val="20"/>
          <w:szCs w:val="20"/>
          <w:color w:val="auto"/>
        </w:rPr>
      </w:pPr>
      <w:r>
        <w:rPr>
          <w:rFonts w:ascii="Times New Roman" w:cs="Times New Roman" w:eastAsia="Times New Roman" w:hAnsi="Times New Roman"/>
          <w:sz w:val="22"/>
          <w:szCs w:val="22"/>
          <w:color w:val="auto"/>
        </w:rPr>
        <w:t>The filing of this statement should not be construed in and of itself as an admission by any Reporting Person as to beneficial ownership of the securities reported herein.</w:t>
      </w:r>
    </w:p>
    <w:p>
      <w:pPr>
        <w:spacing w:after="0" w:line="185" w:lineRule="exact"/>
        <w:rPr>
          <w:sz w:val="20"/>
          <w:szCs w:val="20"/>
          <w:color w:val="auto"/>
        </w:rPr>
      </w:pPr>
    </w:p>
    <w:p>
      <w:pPr>
        <w:ind w:left="1360" w:right="160" w:hanging="1249"/>
        <w:spacing w:after="0" w:line="258" w:lineRule="auto"/>
        <w:tabs>
          <w:tab w:leader="none" w:pos="13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line="185" w:lineRule="exact"/>
        <w:rPr>
          <w:rFonts w:ascii="Times New Roman" w:cs="Times New Roman" w:eastAsia="Times New Roman" w:hAnsi="Times New Roman"/>
          <w:sz w:val="22"/>
          <w:szCs w:val="22"/>
          <w:color w:val="auto"/>
        </w:rPr>
      </w:pPr>
    </w:p>
    <w:p>
      <w:pPr>
        <w:ind w:left="1360" w:right="200" w:hanging="1249"/>
        <w:spacing w:after="0" w:line="244" w:lineRule="auto"/>
        <w:tabs>
          <w:tab w:leader="none" w:pos="13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ACP is to invest in securities. The principal business of ACPGP is the management of the affairs of ACP. The principal business of ACA, and each Managing Member is the management of investments in securities.</w:t>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494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8 of 13 Pages</w:t>
      </w:r>
    </w:p>
    <w:p>
      <w:pPr>
        <w:sectPr>
          <w:pgSz w:w="11900" w:h="16838" w:orient="portrait"/>
          <w:cols w:equalWidth="0" w:num="1">
            <w:col w:w="11240"/>
          </w:cols>
          <w:pgMar w:left="320" w:top="225" w:right="339" w:bottom="1440" w:gutter="0" w:footer="0" w:header="0"/>
        </w:sectPr>
      </w:pPr>
    </w:p>
    <w:p>
      <w:pPr>
        <w:spacing w:after="0" w:line="112" w:lineRule="exact"/>
        <w:rPr>
          <w:sz w:val="20"/>
          <w:szCs w:val="20"/>
          <w:color w:val="auto"/>
        </w:rPr>
      </w:pPr>
    </w:p>
    <w:p>
      <w:pPr>
        <w:ind w:left="1360" w:right="1060" w:hanging="1249"/>
        <w:spacing w:after="0" w:line="258" w:lineRule="auto"/>
        <w:tabs>
          <w:tab w:leader="none" w:pos="1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convicted in a criminal proceeding (excluding traffic violations or similar misdemeanors).</w:t>
      </w:r>
    </w:p>
    <w:p>
      <w:pPr>
        <w:spacing w:after="0" w:line="185" w:lineRule="exact"/>
        <w:rPr>
          <w:rFonts w:ascii="Times New Roman" w:cs="Times New Roman" w:eastAsia="Times New Roman" w:hAnsi="Times New Roman"/>
          <w:sz w:val="22"/>
          <w:szCs w:val="22"/>
          <w:color w:val="auto"/>
        </w:rPr>
      </w:pPr>
    </w:p>
    <w:p>
      <w:pPr>
        <w:ind w:left="1360" w:right="340" w:hanging="1249"/>
        <w:spacing w:after="0" w:line="239" w:lineRule="auto"/>
        <w:tabs>
          <w:tab w:leader="none" w:pos="1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7" w:lineRule="exact"/>
        <w:rPr>
          <w:rFonts w:ascii="Times New Roman" w:cs="Times New Roman" w:eastAsia="Times New Roman" w:hAnsi="Times New Roman"/>
          <w:sz w:val="22"/>
          <w:szCs w:val="22"/>
          <w:color w:val="auto"/>
        </w:rPr>
      </w:pPr>
    </w:p>
    <w:p>
      <w:pPr>
        <w:ind w:left="1360" w:right="140" w:hanging="1249"/>
        <w:spacing w:after="0" w:line="244" w:lineRule="auto"/>
        <w:tabs>
          <w:tab w:leader="none" w:pos="1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196"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SOURCE AND AMOUNT OF FUNDS OR OTHER CONSIDERATION</w:t>
      </w:r>
    </w:p>
    <w:p>
      <w:pPr>
        <w:spacing w:after="0" w:line="237" w:lineRule="exact"/>
        <w:rPr>
          <w:sz w:val="20"/>
          <w:szCs w:val="20"/>
          <w:color w:val="auto"/>
        </w:rPr>
      </w:pPr>
    </w:p>
    <w:p>
      <w:pPr>
        <w:ind w:left="1360" w:right="120"/>
        <w:spacing w:after="0" w:line="238" w:lineRule="auto"/>
        <w:rPr>
          <w:sz w:val="20"/>
          <w:szCs w:val="20"/>
          <w:color w:val="auto"/>
        </w:rPr>
      </w:pPr>
      <w:r>
        <w:rPr>
          <w:rFonts w:ascii="Times New Roman" w:cs="Times New Roman" w:eastAsia="Times New Roman" w:hAnsi="Times New Roman"/>
          <w:sz w:val="22"/>
          <w:szCs w:val="22"/>
          <w:color w:val="auto"/>
        </w:rPr>
        <w:t>Funds for the purchase of the 2,500,000 shares of Common Stock to which this Schedule 13D relates were derived from working capital of ACP made in the ordinary course of business. A total of $9,725,851.18 was paid to acquire the 2,500,000 shares of Common Stock reported herein. ACPGP, ACA and Messrs. Atchinson or Gross control the investing and trading in securities of ACP. None of ACPGP, ACA or Messrs. Atchinson or Gross directly hold any shares of Common Stock.</w:t>
      </w:r>
    </w:p>
    <w:p>
      <w:pPr>
        <w:spacing w:after="0" w:line="159"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PURPOSE OF TRANSACTION</w:t>
      </w:r>
    </w:p>
    <w:p>
      <w:pPr>
        <w:spacing w:after="0" w:line="237" w:lineRule="exact"/>
        <w:rPr>
          <w:sz w:val="20"/>
          <w:szCs w:val="20"/>
          <w:color w:val="auto"/>
        </w:rPr>
      </w:pPr>
    </w:p>
    <w:p>
      <w:pPr>
        <w:ind w:left="1360" w:right="120"/>
        <w:spacing w:after="0" w:line="246" w:lineRule="auto"/>
        <w:rPr>
          <w:sz w:val="20"/>
          <w:szCs w:val="20"/>
          <w:color w:val="auto"/>
        </w:rPr>
      </w:pPr>
      <w:r>
        <w:rPr>
          <w:rFonts w:ascii="Times New Roman" w:cs="Times New Roman" w:eastAsia="Times New Roman" w:hAnsi="Times New Roman"/>
          <w:sz w:val="21"/>
          <w:szCs w:val="21"/>
          <w:color w:val="auto"/>
        </w:rPr>
        <w:t>The Reporting Persons acquired the shares of Common Stock to which this Schedule 13D relates for investment purposes in the ordinary course of business, and not with the purpose nor with the effect of changing or influencing the control or management of the Issuer. The Reporting Persons acquired the shares of Common Stock pursuant to investment strategies, including merger arbitrage and event driven strategies, because they believed that the shares of Common Stock reported herein, when purchased, represented an attractive investment opportunity. Accordingly, the Reporting Persons may not be eligible to report this position on a Schedule 13G. See Colish, Faith (No-Act., Available March 24, 1980). On August 10, 2022, the Issuer filed a Current Report on Form 8-K disclosing it had entered into an Agreement and Plan of Merger and Reorganization dated as of August 9, 2022 (the "</w:t>
      </w:r>
      <w:r>
        <w:rPr>
          <w:rFonts w:ascii="Times New Roman" w:cs="Times New Roman" w:eastAsia="Times New Roman" w:hAnsi="Times New Roman"/>
          <w:sz w:val="21"/>
          <w:szCs w:val="21"/>
          <w:u w:val="single" w:color="auto"/>
          <w:color w:val="auto"/>
        </w:rPr>
        <w:t>Merger Agreement</w:t>
      </w:r>
      <w:r>
        <w:rPr>
          <w:rFonts w:ascii="Times New Roman" w:cs="Times New Roman" w:eastAsia="Times New Roman" w:hAnsi="Times New Roman"/>
          <w:sz w:val="21"/>
          <w:szCs w:val="21"/>
          <w:color w:val="auto"/>
        </w:rPr>
        <w:t>") with Disc Medicine, Inc. and certain of their affiliates. The transactions contemplated by the Merger Agreement are hereinafter referred to as the "</w:t>
      </w:r>
      <w:r>
        <w:rPr>
          <w:rFonts w:ascii="Times New Roman" w:cs="Times New Roman" w:eastAsia="Times New Roman" w:hAnsi="Times New Roman"/>
          <w:sz w:val="21"/>
          <w:szCs w:val="21"/>
          <w:u w:val="single" w:color="auto"/>
          <w:color w:val="auto"/>
        </w:rPr>
        <w:t>Proposed Transaction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494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9 of 13 Pages</w:t>
      </w:r>
    </w:p>
    <w:p>
      <w:pPr>
        <w:sectPr>
          <w:pgSz w:w="11900" w:h="16838" w:orient="portrait"/>
          <w:cols w:equalWidth="0" w:num="1">
            <w:col w:w="11240"/>
          </w:cols>
          <w:pgMar w:left="320" w:top="225" w:right="339" w:bottom="1440" w:gutter="0" w:footer="0" w:header="0"/>
        </w:sectPr>
      </w:pPr>
    </w:p>
    <w:p>
      <w:pPr>
        <w:spacing w:after="0" w:line="112" w:lineRule="exact"/>
        <w:rPr>
          <w:sz w:val="20"/>
          <w:szCs w:val="20"/>
          <w:color w:val="auto"/>
        </w:rPr>
      </w:pPr>
    </w:p>
    <w:p>
      <w:pPr>
        <w:ind w:left="1360" w:right="100"/>
        <w:spacing w:after="0" w:line="232" w:lineRule="auto"/>
        <w:rPr>
          <w:sz w:val="20"/>
          <w:szCs w:val="20"/>
          <w:color w:val="auto"/>
        </w:rPr>
      </w:pPr>
      <w:r>
        <w:rPr>
          <w:rFonts w:ascii="Times New Roman" w:cs="Times New Roman" w:eastAsia="Times New Roman" w:hAnsi="Times New Roman"/>
          <w:sz w:val="22"/>
          <w:szCs w:val="22"/>
          <w:color w:val="auto"/>
        </w:rPr>
        <w:t>Except as set forth herein, the Reporting Persons have no present plan or proposal that would relate to or result in any of the matters set forth in subparagraphs (a)-(j) of Item 4 of Schedule 13D. The Reporting Persons have not entered into any agreement with any third party to act together for the purpose of acquiring, holding, voting or disposing of the shares of Common Stock reported herein. The Reporting Persons intend to review their investment in the Issuer on a continuing basis and may from time to time engage in discussions with management, the Board of Directors, other shareholders of the Issuer and other relevant parties, including representatives of any of the foregoing, concerning matters with respect to the Reporting Persons' investment in the shares of Common Stock, including, without limitation, the business, operations, governance, management, strategy and future plans of the Issuer. Depending on various factors, including, without limitation, the terms of the Proposed Transaction and any other offers or developments related thereto, the outcome of any discussions referenced above, the Issuer's financial position and strategic direction, actions taken by the Board of Directors, price levels of the shares of Common Stock, other investment opportunities available to the Reporting Persons, conditions in the securities market and general economic and industry conditions, the Reporting Persons may in the future take such actions with respect to their investment in the Issuer as they deem appropriate, including, without limitation, purchasing additional shares of Common Stock or selling some or all of their shares of Common Stock, engaging in short selling of or any hedging or similar transactions with respect to the shares of Common Stock and/or otherwise changing their intention with respect to any and all matters referred to in Item 4 of Schedule 13D. The Reporting Persons may, at any time and from time to time, review or reconsider their position and/or change their purpose and/or formulate plans or proposals with respect to their investment in the shares of Common Stock.</w:t>
      </w:r>
    </w:p>
    <w:p>
      <w:pPr>
        <w:spacing w:after="0" w:line="168"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60" w:right="120" w:hanging="1249"/>
        <w:spacing w:after="0" w:line="238" w:lineRule="auto"/>
        <w:tabs>
          <w:tab w:leader="none" w:pos="13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pages to this Schedule 13D for the aggregate number of shares of Common Stock and percentages of the shares of Common Stock beneficially owned by each of the Reporting Persons. The percentages used in this Schedule 13D are calculated based upon 43,244,453 shares of Common Stock outstanding on August 5, 2022, as reported in Company's Quarterly Report on Form 10-Q for the quarterly period ended June 30, 2022 filed with the Securities and Exchange Commission on August 11, 2022.</w:t>
      </w:r>
    </w:p>
    <w:p>
      <w:pPr>
        <w:spacing w:after="0" w:line="203" w:lineRule="exact"/>
        <w:rPr>
          <w:rFonts w:ascii="Times New Roman" w:cs="Times New Roman" w:eastAsia="Times New Roman" w:hAnsi="Times New Roman"/>
          <w:sz w:val="22"/>
          <w:szCs w:val="22"/>
          <w:color w:val="auto"/>
        </w:rPr>
      </w:pPr>
    </w:p>
    <w:p>
      <w:pPr>
        <w:ind w:left="1360" w:right="120" w:hanging="1249"/>
        <w:spacing w:after="0" w:line="244" w:lineRule="auto"/>
        <w:tabs>
          <w:tab w:leader="none" w:pos="13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00" w:lineRule="exact"/>
        <w:rPr>
          <w:rFonts w:ascii="Times New Roman" w:cs="Times New Roman" w:eastAsia="Times New Roman" w:hAnsi="Times New Roman"/>
          <w:sz w:val="22"/>
          <w:szCs w:val="22"/>
          <w:color w:val="auto"/>
        </w:rPr>
      </w:pPr>
    </w:p>
    <w:p>
      <w:pPr>
        <w:jc w:val="both"/>
        <w:ind w:left="1360" w:right="320" w:hanging="1249"/>
        <w:spacing w:after="0" w:line="244" w:lineRule="auto"/>
        <w:tabs>
          <w:tab w:leader="none" w:pos="13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transactions in the shares of Common Stock within the past sixty days by ACP, which were all in the open market, are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and are incorporated herein by reference. The other Reporting Persons did not enter into any transactions in the shares of Common Stock within the past sixty days.</w:t>
      </w:r>
    </w:p>
    <w:p>
      <w:pPr>
        <w:spacing w:after="0" w:line="200" w:lineRule="exact"/>
        <w:rPr>
          <w:rFonts w:ascii="Times New Roman" w:cs="Times New Roman" w:eastAsia="Times New Roman" w:hAnsi="Times New Roman"/>
          <w:sz w:val="22"/>
          <w:szCs w:val="22"/>
          <w:color w:val="auto"/>
        </w:rPr>
      </w:pPr>
    </w:p>
    <w:p>
      <w:pPr>
        <w:ind w:left="1360" w:right="620" w:hanging="1249"/>
        <w:spacing w:after="0" w:line="258" w:lineRule="auto"/>
        <w:tabs>
          <w:tab w:leader="none" w:pos="13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other than the Reporting Persons is known to have the right to receive, or the power to direct the receipt of dividends from, or proceeds from the sale of, such shares of Common Stock.</w:t>
      </w:r>
    </w:p>
    <w:p>
      <w:pPr>
        <w:spacing w:after="0" w:line="185" w:lineRule="exact"/>
        <w:rPr>
          <w:rFonts w:ascii="Times New Roman" w:cs="Times New Roman" w:eastAsia="Times New Roman" w:hAnsi="Times New Roman"/>
          <w:sz w:val="22"/>
          <w:szCs w:val="22"/>
          <w:color w:val="auto"/>
        </w:rPr>
      </w:pPr>
    </w:p>
    <w:p>
      <w:pPr>
        <w:ind w:left="1360" w:hanging="1249"/>
        <w:spacing w:after="0"/>
        <w:tabs>
          <w:tab w:leader="none" w:pos="13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494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10 of 13 Pages</w:t>
      </w:r>
    </w:p>
    <w:p>
      <w:pPr>
        <w:sectPr>
          <w:pgSz w:w="11900" w:h="16838" w:orient="portrait"/>
          <w:cols w:equalWidth="0" w:num="1">
            <w:col w:w="11240"/>
          </w:cols>
          <w:pgMar w:left="320" w:top="225" w:right="339" w:bottom="1440" w:gutter="0" w:footer="0" w:header="0"/>
        </w:sectPr>
      </w:pPr>
    </w:p>
    <w:p>
      <w:pPr>
        <w:spacing w:after="0" w:line="351" w:lineRule="exact"/>
        <w:rPr>
          <w:sz w:val="20"/>
          <w:szCs w:val="20"/>
          <w:color w:val="auto"/>
        </w:rPr>
      </w:pPr>
    </w:p>
    <w:p>
      <w:pPr>
        <w:ind w:left="1360" w:right="180" w:hanging="1241"/>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2"/>
          <w:szCs w:val="22"/>
          <w:b w:val="1"/>
          <w:bCs w:val="1"/>
          <w:color w:val="auto"/>
        </w:rPr>
        <w:t>CONTRACTS, ARRANGEMENTS, UNDERSTANDINGS OR RELATIONSHIPS WITH RESPECT TO SECURITIES OF THE ISSUER</w:t>
      </w:r>
    </w:p>
    <w:p>
      <w:pPr>
        <w:spacing w:after="0" w:line="181" w:lineRule="exact"/>
        <w:rPr>
          <w:sz w:val="20"/>
          <w:szCs w:val="20"/>
          <w:color w:val="auto"/>
        </w:rPr>
      </w:pPr>
    </w:p>
    <w:p>
      <w:pPr>
        <w:ind w:left="1360" w:right="100"/>
        <w:spacing w:after="0" w:line="244" w:lineRule="auto"/>
        <w:rPr>
          <w:sz w:val="20"/>
          <w:szCs w:val="20"/>
          <w:color w:val="auto"/>
        </w:rPr>
      </w:pPr>
      <w:r>
        <w:rPr>
          <w:rFonts w:ascii="Times New Roman" w:cs="Times New Roman" w:eastAsia="Times New Roman" w:hAnsi="Times New Roman"/>
          <w:sz w:val="22"/>
          <w:szCs w:val="22"/>
          <w:color w:val="auto"/>
        </w:rPr>
        <w:t xml:space="preserve">Other than the Joint Filing Agreement attached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hereto, there are no contracts, arrangements, understandings or relationships (legal or otherwise) among the persons named in Item 2 hereof and between such persons and any person with respect to any securities of the Issuer.</w:t>
      </w:r>
    </w:p>
    <w:p>
      <w:pPr>
        <w:spacing w:after="0" w:line="156"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MATERIAL TO BE FILED AS EXHIBITS</w:t>
      </w:r>
    </w:p>
    <w:p>
      <w:pPr>
        <w:spacing w:after="0" w:line="237"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color w:val="auto"/>
        </w:rPr>
        <w:t>Exhibit 1:</w:t>
      </w:r>
      <w:r>
        <w:rPr>
          <w:sz w:val="20"/>
          <w:szCs w:val="20"/>
          <w:color w:val="auto"/>
        </w:rPr>
        <w:tab/>
      </w:r>
      <w:r>
        <w:rPr>
          <w:rFonts w:ascii="Times New Roman" w:cs="Times New Roman" w:eastAsia="Times New Roman" w:hAnsi="Times New Roman"/>
          <w:sz w:val="21"/>
          <w:szCs w:val="21"/>
          <w:color w:val="auto"/>
        </w:rPr>
        <w:t>Joint Filing Agreement Statement as required by Rule 13d-1(k)(1) under the Act.</w:t>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tabs>
          <w:tab w:leader="none" w:pos="494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11 of 13 Pages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each of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11,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Partners GP, L.L.C.,</w:t>
      </w: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GP,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ATCHINSON, individually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Phillip Gross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PHILLIP GROSS, individually</w:t>
      </w:r>
    </w:p>
    <w:p>
      <w:pPr>
        <w:sectPr>
          <w:pgSz w:w="11900" w:h="16838" w:orient="portrait"/>
          <w:cols w:equalWidth="0" w:num="1">
            <w:col w:w="11240"/>
          </w:cols>
          <w:pgMar w:left="320" w:top="225" w:right="339" w:bottom="1440" w:gutter="0" w:footer="0" w:header="0"/>
        </w:sectPr>
      </w:pPr>
    </w:p>
    <w:bookmarkStart w:id="11" w:name="page12"/>
    <w:bookmarkEnd w:id="11"/>
    <w:p>
      <w:pPr>
        <w:spacing w:after="0"/>
        <w:tabs>
          <w:tab w:leader="none" w:pos="494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12 of 13 Pages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Schedule sets forth information with respect to each purchase and sale of shares of Common Stock which were effectuated by ACP within the past sixty days and. All transactions were effectuated in the open market through a broker. The price reported in the column Price Per Share ($) is a weighted average price if a price range is indicated in the column Price Range ($). These shares of Common Stock were purchased/sold in multiple transactions at prices between the price ranges below. The Reporting Persons will undertake to provide to the staff of the SEC, upon request, full information regarding the number of shares of Common Stock sold at each separate price.</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Trade Date</w:t>
            </w:r>
          </w:p>
        </w:tc>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Shares Purchased (Sold)</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 xml:space="preserve">Price Per Share </w:t>
            </w:r>
            <w:r>
              <w:rPr>
                <w:rFonts w:ascii="Times New Roman" w:cs="Times New Roman" w:eastAsia="Times New Roman" w:hAnsi="Times New Roman"/>
                <w:sz w:val="22"/>
                <w:szCs w:val="22"/>
                <w:u w:val="single" w:color="auto"/>
                <w:color w:val="auto"/>
                <w:w w:val="97"/>
              </w:rPr>
              <w:t>($</w:t>
            </w:r>
            <w:r>
              <w:rPr>
                <w:rFonts w:ascii="Times New Roman" w:cs="Times New Roman" w:eastAsia="Times New Roman" w:hAnsi="Times New Roman"/>
                <w:sz w:val="22"/>
                <w:szCs w:val="22"/>
                <w:color w:val="auto"/>
                <w:w w:val="97"/>
              </w:rPr>
              <w:t>)*</w:t>
            </w:r>
          </w:p>
        </w:tc>
        <w:tc>
          <w:tcPr>
            <w:tcW w:w="1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w w:val="97"/>
              </w:rPr>
              <w:t xml:space="preserve">Price Range </w:t>
            </w:r>
            <w:r>
              <w:rPr>
                <w:rFonts w:ascii="Times New Roman" w:cs="Times New Roman" w:eastAsia="Times New Roman" w:hAnsi="Times New Roman"/>
                <w:sz w:val="22"/>
                <w:szCs w:val="22"/>
                <w:u w:val="single" w:color="auto"/>
                <w:color w:val="auto"/>
                <w:w w:val="97"/>
              </w:rPr>
              <w:t>($</w:t>
            </w:r>
            <w:r>
              <w:rPr>
                <w:rFonts w:ascii="Times New Roman" w:cs="Times New Roman" w:eastAsia="Times New Roman" w:hAnsi="Times New Roman"/>
                <w:sz w:val="22"/>
                <w:szCs w:val="22"/>
                <w:color w:val="auto"/>
                <w:w w:val="97"/>
              </w:rPr>
              <w:t>)*</w:t>
            </w:r>
          </w:p>
        </w:tc>
      </w:tr>
      <w:tr>
        <w:trPr>
          <w:trHeight w:val="236"/>
        </w:trPr>
        <w:tc>
          <w:tcPr>
            <w:tcW w:w="20" w:type="dxa"/>
            <w:vAlign w:val="bottom"/>
          </w:tcPr>
          <w:p>
            <w:pPr>
              <w:spacing w:after="0"/>
              <w:rPr>
                <w:sz w:val="20"/>
                <w:szCs w:val="20"/>
                <w:color w:val="auto"/>
              </w:rPr>
            </w:pPr>
          </w:p>
        </w:tc>
        <w:tc>
          <w:tcPr>
            <w:tcW w:w="960" w:type="dxa"/>
            <w:vAlign w:val="bottom"/>
            <w:tcBorders>
              <w:top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5"/>
              </w:rPr>
              <w:t>09/09/2022</w:t>
            </w:r>
          </w:p>
        </w:tc>
        <w:tc>
          <w:tcPr>
            <w:tcW w:w="1500" w:type="dxa"/>
            <w:vAlign w:val="bottom"/>
          </w:tcPr>
          <w:p>
            <w:pPr>
              <w:spacing w:after="0"/>
              <w:rPr>
                <w:sz w:val="20"/>
                <w:szCs w:val="20"/>
                <w:color w:val="auto"/>
              </w:rPr>
            </w:pPr>
          </w:p>
        </w:tc>
        <w:tc>
          <w:tcPr>
            <w:tcW w:w="2120" w:type="dxa"/>
            <w:vAlign w:val="bottom"/>
            <w:tcBorders>
              <w:top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6"/>
              </w:rPr>
              <w:t>2,773</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Borders>
              <w:top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5"/>
              </w:rPr>
              <w:t>1.3760</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top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7"/>
              </w:rPr>
              <w:t>1.36-1.38</w:t>
            </w:r>
          </w:p>
        </w:tc>
        <w:tc>
          <w:tcPr>
            <w:tcW w:w="20" w:type="dxa"/>
            <w:vAlign w:val="bottom"/>
          </w:tcPr>
          <w:p>
            <w:pPr>
              <w:spacing w:after="0"/>
              <w:rPr>
                <w:sz w:val="20"/>
                <w:szCs w:val="20"/>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09/12/2022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6,186</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1.3908</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1.375-1.4</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09/13/2022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57,372</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1.4412</w:t>
            </w:r>
          </w:p>
        </w:tc>
        <w:tc>
          <w:tcPr>
            <w:tcW w:w="500" w:type="dxa"/>
            <w:vAlign w:val="bottom"/>
          </w:tcPr>
          <w:p>
            <w:pPr>
              <w:spacing w:after="0"/>
              <w:rPr>
                <w:sz w:val="21"/>
                <w:szCs w:val="21"/>
                <w:color w:val="auto"/>
              </w:rPr>
            </w:pPr>
          </w:p>
        </w:tc>
        <w:tc>
          <w:tcPr>
            <w:tcW w:w="19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8"/>
              </w:rPr>
              <w:t>1.4-1.45</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09/13/2022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47,500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1.4500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09/15/2022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42,500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1.4351</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8"/>
              </w:rPr>
              <w:t>1.405-1.45</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09/16/2022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51,690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1.3986</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1.355-1.4</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09/19/2022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104,490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1.3888</w:t>
            </w:r>
          </w:p>
        </w:tc>
        <w:tc>
          <w:tcPr>
            <w:tcW w:w="500" w:type="dxa"/>
            <w:vAlign w:val="bottom"/>
          </w:tcPr>
          <w:p>
            <w:pPr>
              <w:spacing w:after="0"/>
              <w:rPr>
                <w:sz w:val="21"/>
                <w:szCs w:val="21"/>
                <w:color w:val="auto"/>
              </w:rPr>
            </w:pPr>
          </w:p>
        </w:tc>
        <w:tc>
          <w:tcPr>
            <w:tcW w:w="19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8"/>
              </w:rPr>
              <w:t>1.37-1.4</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09/20/2022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2,129</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1.4000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09/21/2022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2,346</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1.4500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09/22/2022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11,000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1.5050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09/22/2022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161,318</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1.4700</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8"/>
              </w:rPr>
              <w:t>1.445-1.51</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09/23/2022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268,073</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1.3812</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1.26-1.45</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09/26/2022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160,011</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1.3836</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8"/>
              </w:rPr>
              <w:t>1.355-1.39</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09/27/2022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65,300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1.4138</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9"/>
              </w:rPr>
              <w:t>1.4050-1.42</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09/27/2022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283,060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1.3915</w:t>
            </w:r>
          </w:p>
        </w:tc>
        <w:tc>
          <w:tcPr>
            <w:tcW w:w="500" w:type="dxa"/>
            <w:vAlign w:val="bottom"/>
          </w:tcPr>
          <w:p>
            <w:pPr>
              <w:spacing w:after="0"/>
              <w:rPr>
                <w:sz w:val="21"/>
                <w:szCs w:val="21"/>
                <w:color w:val="auto"/>
              </w:rPr>
            </w:pPr>
          </w:p>
        </w:tc>
        <w:tc>
          <w:tcPr>
            <w:tcW w:w="19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8"/>
              </w:rPr>
              <w:t>1.38-1.4</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09/28/2022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61,496</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1.4800</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1.39-1.48</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09/29/2022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229,644</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1.4848</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1.47-1.50</w:t>
            </w:r>
          </w:p>
        </w:tc>
        <w:tc>
          <w:tcPr>
            <w:tcW w:w="20" w:type="dxa"/>
            <w:vAlign w:val="bottom"/>
          </w:tcPr>
          <w:p>
            <w:pPr>
              <w:spacing w:after="0"/>
              <w:rPr>
                <w:sz w:val="21"/>
                <w:szCs w:val="21"/>
                <w:color w:val="auto"/>
              </w:rPr>
            </w:pPr>
          </w:p>
        </w:tc>
      </w:tr>
      <w:tr>
        <w:trPr>
          <w:trHeight w:val="243"/>
        </w:trPr>
        <w:tc>
          <w:tcPr>
            <w:tcW w:w="2480" w:type="dxa"/>
            <w:vAlign w:val="bottom"/>
            <w:gridSpan w:val="3"/>
          </w:tcPr>
          <w:p>
            <w:pPr>
              <w:jc w:val="center"/>
              <w:ind w:right="1480"/>
              <w:spacing w:after="0" w:line="243" w:lineRule="exact"/>
              <w:rPr>
                <w:sz w:val="20"/>
                <w:szCs w:val="20"/>
                <w:color w:val="auto"/>
              </w:rPr>
            </w:pPr>
            <w:r>
              <w:rPr>
                <w:rFonts w:ascii="Times New Roman" w:cs="Times New Roman" w:eastAsia="Times New Roman" w:hAnsi="Times New Roman"/>
                <w:sz w:val="22"/>
                <w:szCs w:val="22"/>
                <w:color w:val="auto"/>
                <w:w w:val="99"/>
              </w:rPr>
              <w:t>09/30/2022</w:t>
            </w:r>
          </w:p>
        </w:tc>
        <w:tc>
          <w:tcPr>
            <w:tcW w:w="2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7,977</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Times New Roman" w:cs="Times New Roman" w:eastAsia="Times New Roman" w:hAnsi="Times New Roman"/>
                <w:sz w:val="22"/>
                <w:szCs w:val="22"/>
                <w:color w:val="auto"/>
                <w:w w:val="95"/>
              </w:rPr>
              <w:t>1.6269</w:t>
            </w:r>
          </w:p>
        </w:tc>
        <w:tc>
          <w:tcPr>
            <w:tcW w:w="500" w:type="dxa"/>
            <w:vAlign w:val="bottom"/>
          </w:tcPr>
          <w:p>
            <w:pPr>
              <w:spacing w:after="0"/>
              <w:rPr>
                <w:sz w:val="21"/>
                <w:szCs w:val="21"/>
                <w:color w:val="auto"/>
              </w:rPr>
            </w:pPr>
          </w:p>
        </w:tc>
        <w:tc>
          <w:tcPr>
            <w:tcW w:w="1940" w:type="dxa"/>
            <w:vAlign w:val="bottom"/>
            <w:gridSpan w:val="2"/>
          </w:tcPr>
          <w:p>
            <w:pPr>
              <w:jc w:val="center"/>
              <w:ind w:left="372"/>
              <w:spacing w:after="0" w:line="243" w:lineRule="exact"/>
              <w:rPr>
                <w:sz w:val="20"/>
                <w:szCs w:val="20"/>
                <w:color w:val="auto"/>
              </w:rPr>
            </w:pPr>
            <w:r>
              <w:rPr>
                <w:rFonts w:ascii="Times New Roman" w:cs="Times New Roman" w:eastAsia="Times New Roman" w:hAnsi="Times New Roman"/>
                <w:sz w:val="22"/>
                <w:szCs w:val="22"/>
                <w:color w:val="auto"/>
                <w:w w:val="97"/>
              </w:rPr>
              <w:t>1.49-1.65</w:t>
            </w:r>
          </w:p>
        </w:tc>
        <w:tc>
          <w:tcPr>
            <w:tcW w:w="20" w:type="dxa"/>
            <w:vAlign w:val="bottom"/>
          </w:tcPr>
          <w:p>
            <w:pPr>
              <w:spacing w:after="0"/>
              <w:rPr>
                <w:sz w:val="21"/>
                <w:szCs w:val="21"/>
                <w:color w:val="auto"/>
              </w:rPr>
            </w:pPr>
          </w:p>
        </w:tc>
      </w:tr>
      <w:tr>
        <w:trPr>
          <w:trHeight w:val="282"/>
        </w:trPr>
        <w:tc>
          <w:tcPr>
            <w:tcW w:w="2480" w:type="dxa"/>
            <w:vAlign w:val="bottom"/>
            <w:gridSpan w:val="3"/>
          </w:tcPr>
          <w:p>
            <w:pPr>
              <w:jc w:val="center"/>
              <w:ind w:right="1480"/>
              <w:spacing w:after="0"/>
              <w:rPr>
                <w:sz w:val="20"/>
                <w:szCs w:val="20"/>
                <w:color w:val="auto"/>
              </w:rPr>
            </w:pPr>
            <w:r>
              <w:rPr>
                <w:rFonts w:ascii="Times New Roman" w:cs="Times New Roman" w:eastAsia="Times New Roman" w:hAnsi="Times New Roman"/>
                <w:sz w:val="22"/>
                <w:szCs w:val="22"/>
                <w:color w:val="auto"/>
                <w:w w:val="99"/>
              </w:rPr>
              <w:t>10/03/2022</w:t>
            </w: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52,523</w:t>
            </w:r>
          </w:p>
        </w:tc>
        <w:tc>
          <w:tcPr>
            <w:tcW w:w="480" w:type="dxa"/>
            <w:vAlign w:val="bottom"/>
          </w:tcPr>
          <w:p>
            <w:pPr>
              <w:spacing w:after="0"/>
              <w:rPr>
                <w:sz w:val="24"/>
                <w:szCs w:val="24"/>
                <w:color w:val="auto"/>
              </w:rPr>
            </w:pPr>
          </w:p>
        </w:tc>
        <w:tc>
          <w:tcPr>
            <w:tcW w:w="2240" w:type="dxa"/>
            <w:vAlign w:val="bottom"/>
            <w:gridSpan w:val="2"/>
          </w:tcPr>
          <w:p>
            <w:pPr>
              <w:jc w:val="center"/>
              <w:ind w:left="392"/>
              <w:spacing w:after="0"/>
              <w:rPr>
                <w:sz w:val="20"/>
                <w:szCs w:val="20"/>
                <w:color w:val="auto"/>
              </w:rPr>
            </w:pPr>
            <w:r>
              <w:rPr>
                <w:rFonts w:ascii="Times New Roman" w:cs="Times New Roman" w:eastAsia="Times New Roman" w:hAnsi="Times New Roman"/>
                <w:sz w:val="22"/>
                <w:szCs w:val="22"/>
                <w:color w:val="auto"/>
                <w:w w:val="95"/>
              </w:rPr>
              <w:t>1.6743</w:t>
            </w:r>
          </w:p>
        </w:tc>
        <w:tc>
          <w:tcPr>
            <w:tcW w:w="500" w:type="dxa"/>
            <w:vAlign w:val="bottom"/>
          </w:tcPr>
          <w:p>
            <w:pPr>
              <w:spacing w:after="0"/>
              <w:rPr>
                <w:sz w:val="24"/>
                <w:szCs w:val="24"/>
                <w:color w:val="auto"/>
              </w:rPr>
            </w:pPr>
          </w:p>
        </w:tc>
        <w:tc>
          <w:tcPr>
            <w:tcW w:w="194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7"/>
              </w:rPr>
              <w:t>1.65-1.71</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commissions.</w:t>
      </w:r>
    </w:p>
    <w:p>
      <w:pPr>
        <w:sectPr>
          <w:pgSz w:w="11900" w:h="16838" w:orient="portrait"/>
          <w:cols w:equalWidth="0" w:num="1">
            <w:col w:w="11240"/>
          </w:cols>
          <w:pgMar w:left="320" w:top="225" w:right="339" w:bottom="1440" w:gutter="0" w:footer="0" w:header="0"/>
        </w:sectPr>
      </w:pPr>
    </w:p>
    <w:bookmarkStart w:id="12" w:name="page13"/>
    <w:bookmarkEnd w:id="12"/>
    <w:p>
      <w:pPr>
        <w:spacing w:after="0"/>
        <w:tabs>
          <w:tab w:leader="none" w:pos="494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36870G105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13 of 13 Pages</w:t>
      </w:r>
    </w:p>
    <w:p>
      <w:pPr>
        <w:spacing w:after="0" w:line="1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11,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Partners GP, L.L.C.,</w:t>
      </w: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GP,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ATCHINSON, individually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PHILLIP GROSS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Phillip Gross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lowerLetter"/>
      <w:start w:val="1"/>
    </w:lvl>
    <w:lvl w:ilvl="1">
      <w:lvlJc w:val="left"/>
      <w:lvlText w:val="(%2)"/>
      <w:numFmt w:val="lowerRoman"/>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2022-10-11T15:39:44Z</dcterms:created>
  <dcterms:modified xsi:type="dcterms:W3CDTF">2022-10-11T15:39:44Z</dcterms:modified>
</cp:coreProperties>
</file>