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t>As filed with the Securities and Exchange Commission on January 17, 2023</w:t>
      </w:r>
    </w:p>
    <w:p>
      <w:pPr>
        <w:spacing w:after="0" w:line="27" w:lineRule="exact"/>
        <w:rPr>
          <w:sz w:val="24"/>
          <w:szCs w:val="24"/>
          <w:color w:val="auto"/>
        </w:rPr>
      </w:pPr>
    </w:p>
    <w:p>
      <w:pPr>
        <w:ind w:left="8840"/>
        <w:spacing w:after="0"/>
        <w:rPr>
          <w:sz w:val="20"/>
          <w:szCs w:val="20"/>
          <w:color w:val="auto"/>
        </w:rPr>
      </w:pPr>
      <w:r>
        <w:rPr>
          <w:rFonts w:ascii="Arial" w:cs="Arial" w:eastAsia="Arial" w:hAnsi="Arial"/>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80645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123190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2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REGISTRATION STATEMENT</w:t>
      </w:r>
    </w:p>
    <w:p>
      <w:pPr>
        <w:jc w:val="center"/>
        <w:ind w:right="-5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DISC MEDICINE,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960"/>
          </w:cols>
          <w:pgMar w:left="440" w:top="229" w:right="499" w:bottom="765"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24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85-1612845</w:t>
      </w:r>
    </w:p>
    <w:p>
      <w:pPr>
        <w:spacing w:after="0" w:line="31" w:lineRule="exact"/>
        <w:rPr>
          <w:sz w:val="24"/>
          <w:szCs w:val="24"/>
          <w:color w:val="auto"/>
        </w:rPr>
      </w:pPr>
    </w:p>
    <w:p>
      <w:pPr>
        <w:sectPr>
          <w:pgSz w:w="11900" w:h="16838" w:orient="portrait"/>
          <w:cols w:equalWidth="0" w:num="2">
            <w:col w:w="7180" w:space="720"/>
            <w:col w:w="3060"/>
          </w:cols>
          <w:pgMar w:left="440" w:top="229" w:right="499" w:bottom="765" w:gutter="0" w:footer="0" w:header="0"/>
          <w:type w:val="continuous"/>
        </w:sectPr>
      </w:pPr>
    </w:p>
    <w:p>
      <w:pPr>
        <w:spacing w:after="0" w:line="12" w:lineRule="exact"/>
        <w:rPr>
          <w:sz w:val="24"/>
          <w:szCs w:val="24"/>
          <w:color w:val="auto"/>
        </w:rPr>
      </w:pPr>
    </w:p>
    <w:p>
      <w:pPr>
        <w:ind w:left="1880"/>
        <w:spacing w:after="0"/>
        <w:rPr>
          <w:sz w:val="20"/>
          <w:szCs w:val="20"/>
          <w:color w:val="auto"/>
        </w:rPr>
      </w:pPr>
      <w:r>
        <w:rPr>
          <w:rFonts w:ascii="Arial" w:cs="Arial" w:eastAsia="Arial" w:hAnsi="Arial"/>
          <w:sz w:val="13"/>
          <w:szCs w:val="13"/>
          <w:b w:val="1"/>
          <w:bCs w:val="1"/>
          <w:color w:val="auto"/>
        </w:rPr>
        <w:t>(State or other jurisdiction of</w:t>
      </w:r>
    </w:p>
    <w:p>
      <w:pPr>
        <w:ind w:left="184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1900"/>
        <w:spacing w:after="0"/>
        <w:rPr>
          <w:sz w:val="20"/>
          <w:szCs w:val="20"/>
          <w:color w:val="auto"/>
        </w:rPr>
      </w:pPr>
      <w:r>
        <w:rPr>
          <w:rFonts w:ascii="Arial" w:cs="Arial" w:eastAsia="Arial" w:hAnsi="Arial"/>
          <w:sz w:val="14"/>
          <w:szCs w:val="14"/>
          <w:b w:val="1"/>
          <w:bCs w:val="1"/>
          <w:color w:val="auto"/>
        </w:rPr>
        <w:t>(I.R.S. Employer</w:t>
      </w:r>
    </w:p>
    <w:p>
      <w:pPr>
        <w:jc w:val="center"/>
        <w:ind w:right="1900"/>
        <w:spacing w:after="0"/>
        <w:rPr>
          <w:sz w:val="20"/>
          <w:szCs w:val="20"/>
          <w:color w:val="auto"/>
        </w:rPr>
      </w:pPr>
      <w:r>
        <w:rPr>
          <w:rFonts w:ascii="Arial" w:cs="Arial" w:eastAsia="Arial" w:hAnsi="Arial"/>
          <w:sz w:val="13"/>
          <w:szCs w:val="13"/>
          <w:b w:val="1"/>
          <w:bCs w:val="1"/>
          <w:color w:val="auto"/>
        </w:rPr>
        <w:t>Identification Number)</w:t>
      </w:r>
    </w:p>
    <w:p>
      <w:pPr>
        <w:spacing w:after="0" w:line="200" w:lineRule="exact"/>
        <w:rPr>
          <w:sz w:val="24"/>
          <w:szCs w:val="24"/>
          <w:color w:val="auto"/>
        </w:rPr>
      </w:pPr>
    </w:p>
    <w:p>
      <w:pPr>
        <w:sectPr>
          <w:pgSz w:w="11900" w:h="16838" w:orient="portrait"/>
          <w:cols w:equalWidth="0" w:num="2">
            <w:col w:w="6900" w:space="720"/>
            <w:col w:w="3340"/>
          </w:cols>
          <w:pgMar w:left="440" w:top="229" w:right="499" w:bottom="765" w:gutter="0" w:footer="0" w:header="0"/>
          <w:type w:val="continuous"/>
        </w:sectPr>
      </w:pPr>
    </w:p>
    <w:p>
      <w:pPr>
        <w:spacing w:after="0" w:line="17" w:lineRule="exact"/>
        <w:rPr>
          <w:sz w:val="24"/>
          <w:szCs w:val="24"/>
          <w:color w:val="auto"/>
        </w:rPr>
      </w:pPr>
    </w:p>
    <w:p>
      <w:pPr>
        <w:jc w:val="center"/>
        <w:ind w:right="-59"/>
        <w:spacing w:after="0"/>
        <w:rPr>
          <w:sz w:val="20"/>
          <w:szCs w:val="20"/>
          <w:color w:val="auto"/>
        </w:rPr>
      </w:pPr>
      <w:r>
        <w:rPr>
          <w:rFonts w:ascii="Arial" w:cs="Arial" w:eastAsia="Arial" w:hAnsi="Arial"/>
          <w:sz w:val="17"/>
          <w:szCs w:val="17"/>
          <w:b w:val="1"/>
          <w:bCs w:val="1"/>
          <w:color w:val="auto"/>
        </w:rPr>
        <w:t>321 Arsenal Street, Suite 101</w:t>
      </w:r>
    </w:p>
    <w:p>
      <w:pPr>
        <w:spacing w:after="0" w:line="3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Watertown, MA 02472</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(617) 674-9274</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2"/>
          <w:szCs w:val="12"/>
          <w:b w:val="1"/>
          <w:bCs w:val="1"/>
          <w:color w:val="auto"/>
        </w:rPr>
        <w:t>(Address of Principal Executive Offices)</w:t>
      </w:r>
    </w:p>
    <w:p>
      <w:pPr>
        <w:sectPr>
          <w:pgSz w:w="11900" w:h="16838" w:orient="portrait"/>
          <w:cols w:equalWidth="0" w:num="1">
            <w:col w:w="10960"/>
          </w:cols>
          <w:pgMar w:left="440" w:top="229" w:right="499" w:bottom="765" w:gutter="0" w:footer="0" w:header="0"/>
          <w:type w:val="continuous"/>
        </w:sectPr>
      </w:pPr>
    </w:p>
    <w:p>
      <w:pPr>
        <w:spacing w:after="0" w:line="215" w:lineRule="exact"/>
        <w:rPr>
          <w:sz w:val="24"/>
          <w:szCs w:val="24"/>
          <w:color w:val="auto"/>
        </w:rPr>
      </w:pPr>
    </w:p>
    <w:p>
      <w:pPr>
        <w:ind w:left="1680"/>
        <w:spacing w:after="0"/>
        <w:rPr>
          <w:sz w:val="20"/>
          <w:szCs w:val="20"/>
          <w:color w:val="auto"/>
        </w:rPr>
      </w:pPr>
      <w:r>
        <w:rPr>
          <w:rFonts w:ascii="Arial" w:cs="Arial" w:eastAsia="Arial" w:hAnsi="Arial"/>
          <w:sz w:val="18"/>
          <w:szCs w:val="18"/>
          <w:b w:val="1"/>
          <w:bCs w:val="1"/>
          <w:color w:val="auto"/>
        </w:rPr>
        <w:t>Disc Medicine, Inc. Amended and Restated 2021 Stock Option and Incentive Plan (the “2021 Plan”)</w:t>
      </w:r>
    </w:p>
    <w:p>
      <w:pPr>
        <w:spacing w:after="0" w:line="27" w:lineRule="exact"/>
        <w:rPr>
          <w:sz w:val="24"/>
          <w:szCs w:val="24"/>
          <w:color w:val="auto"/>
        </w:rPr>
      </w:pPr>
    </w:p>
    <w:p>
      <w:pPr>
        <w:ind w:left="1700"/>
        <w:spacing w:after="0"/>
        <w:rPr>
          <w:sz w:val="20"/>
          <w:szCs w:val="20"/>
          <w:color w:val="auto"/>
        </w:rPr>
      </w:pPr>
      <w:r>
        <w:rPr>
          <w:rFonts w:ascii="Arial" w:cs="Arial" w:eastAsia="Arial" w:hAnsi="Arial"/>
          <w:sz w:val="18"/>
          <w:szCs w:val="18"/>
          <w:b w:val="1"/>
          <w:bCs w:val="1"/>
          <w:color w:val="auto"/>
        </w:rPr>
        <w:t>Disc Medicine, Inc. Amended and Restated 2021 Employee Stock Purchase Plan (the “2021 ESPP”)</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Disc Medicine, Inc. 2017 Stock Option and Grant Plan (the “Disc 2017 Plan”)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(Full Title of the Plans)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237490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6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John Quisel, J.D., Ph.D.</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Disc Medicine, Inc.</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321 Arsenal Street, Suite 101</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Watertown, MA 02472</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(617) 674-9274</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19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Copies to:</w:t>
      </w:r>
    </w:p>
    <w:p>
      <w:pPr>
        <w:spacing w:after="0" w:line="248" w:lineRule="exact"/>
        <w:rPr>
          <w:sz w:val="24"/>
          <w:szCs w:val="24"/>
          <w:color w:val="auto"/>
        </w:rPr>
      </w:pPr>
    </w:p>
    <w:tbl>
      <w:tblPr>
        <w:tblLayout w:type="fixed"/>
        <w:tblInd w:w="1780" w:type="dxa"/>
        <w:tblCellMar>
          <w:top w:w="0" w:type="dxa"/>
          <w:left w:w="0" w:type="dxa"/>
          <w:bottom w:w="0" w:type="dxa"/>
          <w:right w:w="0" w:type="dxa"/>
        </w:tblCellMar>
      </w:tblPr>
      <w:tr>
        <w:trPr>
          <w:trHeight w:val="216"/>
        </w:trPr>
        <w:tc>
          <w:tcPr>
            <w:tcW w:w="3720" w:type="dxa"/>
            <w:vAlign w:val="bottom"/>
          </w:tcPr>
          <w:p>
            <w:pPr>
              <w:jc w:val="center"/>
              <w:ind w:right="1630"/>
              <w:spacing w:after="0"/>
              <w:rPr>
                <w:sz w:val="20"/>
                <w:szCs w:val="20"/>
                <w:color w:val="auto"/>
              </w:rPr>
            </w:pPr>
            <w:r>
              <w:rPr>
                <w:rFonts w:ascii="Arial" w:cs="Arial" w:eastAsia="Arial" w:hAnsi="Arial"/>
                <w:sz w:val="18"/>
                <w:szCs w:val="18"/>
                <w:b w:val="1"/>
                <w:bCs w:val="1"/>
                <w:color w:val="auto"/>
                <w:w w:val="92"/>
              </w:rPr>
              <w:t>William D. Collins, Esq.</w:t>
            </w:r>
          </w:p>
        </w:tc>
        <w:tc>
          <w:tcPr>
            <w:tcW w:w="3940" w:type="dxa"/>
            <w:vAlign w:val="bottom"/>
          </w:tcPr>
          <w:p>
            <w:pPr>
              <w:jc w:val="center"/>
              <w:ind w:left="1650"/>
              <w:spacing w:after="0"/>
              <w:rPr>
                <w:sz w:val="20"/>
                <w:szCs w:val="20"/>
                <w:color w:val="auto"/>
              </w:rPr>
            </w:pPr>
            <w:r>
              <w:rPr>
                <w:rFonts w:ascii="Arial" w:cs="Arial" w:eastAsia="Arial" w:hAnsi="Arial"/>
                <w:sz w:val="18"/>
                <w:szCs w:val="18"/>
                <w:b w:val="1"/>
                <w:bCs w:val="1"/>
                <w:color w:val="auto"/>
                <w:w w:val="94"/>
              </w:rPr>
              <w:t>Rahul Khara</w:t>
            </w:r>
          </w:p>
        </w:tc>
      </w:tr>
      <w:tr>
        <w:trPr>
          <w:trHeight w:val="216"/>
        </w:trPr>
        <w:tc>
          <w:tcPr>
            <w:tcW w:w="3720" w:type="dxa"/>
            <w:vAlign w:val="bottom"/>
          </w:tcPr>
          <w:p>
            <w:pPr>
              <w:jc w:val="center"/>
              <w:ind w:right="1630"/>
              <w:spacing w:after="0"/>
              <w:rPr>
                <w:sz w:val="20"/>
                <w:szCs w:val="20"/>
                <w:color w:val="auto"/>
              </w:rPr>
            </w:pPr>
            <w:r>
              <w:rPr>
                <w:rFonts w:ascii="Arial" w:cs="Arial" w:eastAsia="Arial" w:hAnsi="Arial"/>
                <w:sz w:val="18"/>
                <w:szCs w:val="18"/>
                <w:b w:val="1"/>
                <w:bCs w:val="1"/>
                <w:color w:val="auto"/>
                <w:w w:val="88"/>
              </w:rPr>
              <w:t>Stephanie Richards, Esq.</w:t>
            </w:r>
          </w:p>
        </w:tc>
        <w:tc>
          <w:tcPr>
            <w:tcW w:w="3940" w:type="dxa"/>
            <w:vAlign w:val="bottom"/>
          </w:tcPr>
          <w:p>
            <w:pPr>
              <w:jc w:val="center"/>
              <w:ind w:left="1650"/>
              <w:spacing w:after="0"/>
              <w:rPr>
                <w:sz w:val="20"/>
                <w:szCs w:val="20"/>
                <w:color w:val="auto"/>
              </w:rPr>
            </w:pPr>
            <w:r>
              <w:rPr>
                <w:rFonts w:ascii="Arial" w:cs="Arial" w:eastAsia="Arial" w:hAnsi="Arial"/>
                <w:sz w:val="18"/>
                <w:szCs w:val="18"/>
                <w:b w:val="1"/>
                <w:bCs w:val="1"/>
                <w:color w:val="auto"/>
                <w:w w:val="89"/>
              </w:rPr>
              <w:t>General Counsel</w:t>
            </w:r>
          </w:p>
        </w:tc>
      </w:tr>
      <w:tr>
        <w:trPr>
          <w:trHeight w:val="216"/>
        </w:trPr>
        <w:tc>
          <w:tcPr>
            <w:tcW w:w="3720" w:type="dxa"/>
            <w:vAlign w:val="bottom"/>
          </w:tcPr>
          <w:p>
            <w:pPr>
              <w:jc w:val="center"/>
              <w:ind w:right="1630"/>
              <w:spacing w:after="0"/>
              <w:rPr>
                <w:sz w:val="20"/>
                <w:szCs w:val="20"/>
                <w:color w:val="auto"/>
              </w:rPr>
            </w:pPr>
            <w:r>
              <w:rPr>
                <w:rFonts w:ascii="Arial" w:cs="Arial" w:eastAsia="Arial" w:hAnsi="Arial"/>
                <w:sz w:val="18"/>
                <w:szCs w:val="18"/>
                <w:b w:val="1"/>
                <w:bCs w:val="1"/>
                <w:color w:val="auto"/>
                <w:w w:val="93"/>
              </w:rPr>
              <w:t>Alicia M. Tschirhart, Esq.</w:t>
            </w:r>
          </w:p>
        </w:tc>
        <w:tc>
          <w:tcPr>
            <w:tcW w:w="3940" w:type="dxa"/>
            <w:vAlign w:val="bottom"/>
          </w:tcPr>
          <w:p>
            <w:pPr>
              <w:jc w:val="center"/>
              <w:ind w:left="1650"/>
              <w:spacing w:after="0"/>
              <w:rPr>
                <w:sz w:val="20"/>
                <w:szCs w:val="20"/>
                <w:color w:val="auto"/>
              </w:rPr>
            </w:pPr>
            <w:r>
              <w:rPr>
                <w:rFonts w:ascii="Arial" w:cs="Arial" w:eastAsia="Arial" w:hAnsi="Arial"/>
                <w:sz w:val="18"/>
                <w:szCs w:val="18"/>
                <w:b w:val="1"/>
                <w:bCs w:val="1"/>
                <w:color w:val="auto"/>
                <w:w w:val="91"/>
              </w:rPr>
              <w:t>Disc Medicine, Inc.</w:t>
            </w:r>
          </w:p>
        </w:tc>
      </w:tr>
      <w:tr>
        <w:trPr>
          <w:trHeight w:val="216"/>
        </w:trPr>
        <w:tc>
          <w:tcPr>
            <w:tcW w:w="3720" w:type="dxa"/>
            <w:vAlign w:val="bottom"/>
          </w:tcPr>
          <w:p>
            <w:pPr>
              <w:jc w:val="center"/>
              <w:ind w:right="1630"/>
              <w:spacing w:after="0"/>
              <w:rPr>
                <w:sz w:val="20"/>
                <w:szCs w:val="20"/>
                <w:color w:val="auto"/>
              </w:rPr>
            </w:pPr>
            <w:r>
              <w:rPr>
                <w:rFonts w:ascii="Arial" w:cs="Arial" w:eastAsia="Arial" w:hAnsi="Arial"/>
                <w:sz w:val="18"/>
                <w:szCs w:val="18"/>
                <w:b w:val="1"/>
                <w:bCs w:val="1"/>
                <w:color w:val="auto"/>
                <w:w w:val="93"/>
              </w:rPr>
              <w:t>Goodwin Procter LLP</w:t>
            </w:r>
          </w:p>
        </w:tc>
        <w:tc>
          <w:tcPr>
            <w:tcW w:w="3940" w:type="dxa"/>
            <w:vAlign w:val="bottom"/>
          </w:tcPr>
          <w:p>
            <w:pPr>
              <w:jc w:val="center"/>
              <w:ind w:left="1650"/>
              <w:spacing w:after="0"/>
              <w:rPr>
                <w:sz w:val="20"/>
                <w:szCs w:val="20"/>
                <w:color w:val="auto"/>
              </w:rPr>
            </w:pPr>
            <w:r>
              <w:rPr>
                <w:rFonts w:ascii="Arial" w:cs="Arial" w:eastAsia="Arial" w:hAnsi="Arial"/>
                <w:sz w:val="18"/>
                <w:szCs w:val="18"/>
                <w:b w:val="1"/>
                <w:bCs w:val="1"/>
                <w:color w:val="auto"/>
                <w:w w:val="89"/>
              </w:rPr>
              <w:t>321 Arsenal Street, Suite 101</w:t>
            </w:r>
          </w:p>
        </w:tc>
      </w:tr>
      <w:tr>
        <w:trPr>
          <w:trHeight w:val="216"/>
        </w:trPr>
        <w:tc>
          <w:tcPr>
            <w:tcW w:w="3720" w:type="dxa"/>
            <w:vAlign w:val="bottom"/>
          </w:tcPr>
          <w:p>
            <w:pPr>
              <w:jc w:val="center"/>
              <w:ind w:right="1630"/>
              <w:spacing w:after="0"/>
              <w:rPr>
                <w:sz w:val="20"/>
                <w:szCs w:val="20"/>
                <w:color w:val="auto"/>
              </w:rPr>
            </w:pPr>
            <w:r>
              <w:rPr>
                <w:rFonts w:ascii="Arial" w:cs="Arial" w:eastAsia="Arial" w:hAnsi="Arial"/>
                <w:sz w:val="18"/>
                <w:szCs w:val="18"/>
                <w:b w:val="1"/>
                <w:bCs w:val="1"/>
                <w:color w:val="auto"/>
                <w:w w:val="90"/>
              </w:rPr>
              <w:t>100 Northern Avenue</w:t>
            </w:r>
          </w:p>
        </w:tc>
        <w:tc>
          <w:tcPr>
            <w:tcW w:w="3940" w:type="dxa"/>
            <w:vAlign w:val="bottom"/>
          </w:tcPr>
          <w:p>
            <w:pPr>
              <w:jc w:val="center"/>
              <w:ind w:left="1650"/>
              <w:spacing w:after="0"/>
              <w:rPr>
                <w:sz w:val="20"/>
                <w:szCs w:val="20"/>
                <w:color w:val="auto"/>
              </w:rPr>
            </w:pPr>
            <w:r>
              <w:rPr>
                <w:rFonts w:ascii="Arial" w:cs="Arial" w:eastAsia="Arial" w:hAnsi="Arial"/>
                <w:sz w:val="18"/>
                <w:szCs w:val="18"/>
                <w:b w:val="1"/>
                <w:bCs w:val="1"/>
                <w:color w:val="auto"/>
                <w:w w:val="95"/>
              </w:rPr>
              <w:t>Watertown, MA 02472</w:t>
            </w:r>
          </w:p>
        </w:tc>
      </w:tr>
      <w:tr>
        <w:trPr>
          <w:trHeight w:val="216"/>
        </w:trPr>
        <w:tc>
          <w:tcPr>
            <w:tcW w:w="3720" w:type="dxa"/>
            <w:vAlign w:val="bottom"/>
          </w:tcPr>
          <w:p>
            <w:pPr>
              <w:jc w:val="center"/>
              <w:ind w:right="1650"/>
              <w:spacing w:after="0"/>
              <w:rPr>
                <w:sz w:val="20"/>
                <w:szCs w:val="20"/>
                <w:color w:val="auto"/>
              </w:rPr>
            </w:pPr>
            <w:r>
              <w:rPr>
                <w:rFonts w:ascii="Arial" w:cs="Arial" w:eastAsia="Arial" w:hAnsi="Arial"/>
                <w:sz w:val="18"/>
                <w:szCs w:val="18"/>
                <w:b w:val="1"/>
                <w:bCs w:val="1"/>
                <w:color w:val="auto"/>
                <w:w w:val="91"/>
              </w:rPr>
              <w:t>Boston, MA 02210</w:t>
            </w:r>
          </w:p>
        </w:tc>
        <w:tc>
          <w:tcPr>
            <w:tcW w:w="3940" w:type="dxa"/>
            <w:vAlign w:val="bottom"/>
          </w:tcPr>
          <w:p>
            <w:pPr>
              <w:jc w:val="center"/>
              <w:ind w:left="1650"/>
              <w:spacing w:after="0"/>
              <w:rPr>
                <w:sz w:val="20"/>
                <w:szCs w:val="20"/>
                <w:color w:val="auto"/>
              </w:rPr>
            </w:pPr>
            <w:r>
              <w:rPr>
                <w:rFonts w:ascii="Arial" w:cs="Arial" w:eastAsia="Arial" w:hAnsi="Arial"/>
                <w:sz w:val="18"/>
                <w:szCs w:val="18"/>
                <w:b w:val="1"/>
                <w:bCs w:val="1"/>
                <w:color w:val="auto"/>
                <w:w w:val="90"/>
              </w:rPr>
              <w:t>(617) 674-9274</w:t>
            </w:r>
          </w:p>
        </w:tc>
      </w:tr>
      <w:tr>
        <w:trPr>
          <w:trHeight w:val="234"/>
        </w:trPr>
        <w:tc>
          <w:tcPr>
            <w:tcW w:w="3720" w:type="dxa"/>
            <w:vAlign w:val="bottom"/>
          </w:tcPr>
          <w:p>
            <w:pPr>
              <w:jc w:val="center"/>
              <w:ind w:right="1630"/>
              <w:spacing w:after="0"/>
              <w:rPr>
                <w:sz w:val="20"/>
                <w:szCs w:val="20"/>
                <w:color w:val="auto"/>
              </w:rPr>
            </w:pPr>
            <w:r>
              <w:rPr>
                <w:rFonts w:ascii="Arial" w:cs="Arial" w:eastAsia="Arial" w:hAnsi="Arial"/>
                <w:sz w:val="18"/>
                <w:szCs w:val="18"/>
                <w:b w:val="1"/>
                <w:bCs w:val="1"/>
                <w:color w:val="auto"/>
                <w:w w:val="90"/>
              </w:rPr>
              <w:t>(617) 570-1000</w:t>
            </w:r>
          </w:p>
        </w:tc>
        <w:tc>
          <w:tcPr>
            <w:tcW w:w="394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231775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ind w:right="8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2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229" w:right="499" w:bottom="765"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29"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On August 9, 2022, Disc Medicine, Inc. (formerly known as Gemini Therapeutics, Inc.) (the “</w:t>
      </w:r>
      <w:r>
        <w:rPr>
          <w:rFonts w:ascii="Arial" w:cs="Arial" w:eastAsia="Arial" w:hAnsi="Arial"/>
          <w:sz w:val="16"/>
          <w:szCs w:val="16"/>
          <w:b w:val="1"/>
          <w:bCs w:val="1"/>
          <w:i w:val="1"/>
          <w:iCs w:val="1"/>
          <w:color w:val="auto"/>
        </w:rPr>
        <w:t>Registrant</w:t>
      </w:r>
      <w:r>
        <w:rPr>
          <w:rFonts w:ascii="Arial" w:cs="Arial" w:eastAsia="Arial" w:hAnsi="Arial"/>
          <w:sz w:val="16"/>
          <w:szCs w:val="16"/>
          <w:color w:val="auto"/>
        </w:rPr>
        <w:t>”) entered into an Agreement and Plan of Merger (the “</w:t>
      </w:r>
      <w:r>
        <w:rPr>
          <w:rFonts w:ascii="Arial" w:cs="Arial" w:eastAsia="Arial" w:hAnsi="Arial"/>
          <w:sz w:val="16"/>
          <w:szCs w:val="16"/>
          <w:b w:val="1"/>
          <w:bCs w:val="1"/>
          <w:i w:val="1"/>
          <w:iCs w:val="1"/>
          <w:color w:val="auto"/>
        </w:rPr>
        <w:t>Merger Agreement</w:t>
      </w:r>
      <w:r>
        <w:rPr>
          <w:rFonts w:ascii="Arial" w:cs="Arial" w:eastAsia="Arial" w:hAnsi="Arial"/>
          <w:sz w:val="16"/>
          <w:szCs w:val="16"/>
          <w:color w:val="auto"/>
        </w:rPr>
        <w:t>”) with Disc Medicine Opco, Inc. (formerly known as Disc Medicine, Inc.) (“</w:t>
      </w:r>
      <w:r>
        <w:rPr>
          <w:rFonts w:ascii="Arial" w:cs="Arial" w:eastAsia="Arial" w:hAnsi="Arial"/>
          <w:sz w:val="16"/>
          <w:szCs w:val="16"/>
          <w:b w:val="1"/>
          <w:bCs w:val="1"/>
          <w:i w:val="1"/>
          <w:iCs w:val="1"/>
          <w:color w:val="auto"/>
        </w:rPr>
        <w:t>Disc</w:t>
      </w:r>
      <w:r>
        <w:rPr>
          <w:rFonts w:ascii="Arial" w:cs="Arial" w:eastAsia="Arial" w:hAnsi="Arial"/>
          <w:sz w:val="16"/>
          <w:szCs w:val="16"/>
          <w:color w:val="auto"/>
        </w:rPr>
        <w:t>”) and Gemstone Merger Sub, Inc., a wholly-owned subsidiary of the Registrant (“</w:t>
      </w:r>
      <w:r>
        <w:rPr>
          <w:rFonts w:ascii="Arial" w:cs="Arial" w:eastAsia="Arial" w:hAnsi="Arial"/>
          <w:sz w:val="16"/>
          <w:szCs w:val="16"/>
          <w:b w:val="1"/>
          <w:bCs w:val="1"/>
          <w:i w:val="1"/>
          <w:iCs w:val="1"/>
          <w:color w:val="auto"/>
        </w:rPr>
        <w:t>Merger Sub</w:t>
      </w:r>
      <w:r>
        <w:rPr>
          <w:rFonts w:ascii="Arial" w:cs="Arial" w:eastAsia="Arial" w:hAnsi="Arial"/>
          <w:sz w:val="16"/>
          <w:szCs w:val="16"/>
          <w:color w:val="auto"/>
        </w:rPr>
        <w:t>”), whereby Merger Sub merged with and into Disc, with Disc surviving such merger as a wholly-owned subsidiary of the Registrant (the “</w:t>
      </w:r>
      <w:r>
        <w:rPr>
          <w:rFonts w:ascii="Arial" w:cs="Arial" w:eastAsia="Arial" w:hAnsi="Arial"/>
          <w:sz w:val="16"/>
          <w:szCs w:val="16"/>
          <w:b w:val="1"/>
          <w:bCs w:val="1"/>
          <w:i w:val="1"/>
          <w:iCs w:val="1"/>
          <w:color w:val="auto"/>
        </w:rPr>
        <w:t>Merger</w:t>
      </w:r>
      <w:r>
        <w:rPr>
          <w:rFonts w:ascii="Arial" w:cs="Arial" w:eastAsia="Arial" w:hAnsi="Arial"/>
          <w:sz w:val="16"/>
          <w:szCs w:val="16"/>
          <w:color w:val="auto"/>
        </w:rPr>
        <w:t>”). Upon the closing of the Merger, Gemini Therapeutics, Inc. was renamed Disc Medicine, Inc.</w:t>
      </w:r>
    </w:p>
    <w:p>
      <w:pPr>
        <w:spacing w:after="0" w:line="15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On December 28, 2022, at a special meeting of the stockholders, the stockholders of the Registrant approved a 1-for-10 reverse stock split of the Registrant’s Common Stock (as defined below) (the “</w:t>
      </w:r>
      <w:r>
        <w:rPr>
          <w:rFonts w:ascii="Arial" w:cs="Arial" w:eastAsia="Arial" w:hAnsi="Arial"/>
          <w:sz w:val="18"/>
          <w:szCs w:val="18"/>
          <w:b w:val="1"/>
          <w:bCs w:val="1"/>
          <w:i w:val="1"/>
          <w:iCs w:val="1"/>
          <w:color w:val="auto"/>
        </w:rPr>
        <w:t>Reverse Stock Split</w:t>
      </w:r>
      <w:r>
        <w:rPr>
          <w:rFonts w:ascii="Arial" w:cs="Arial" w:eastAsia="Arial" w:hAnsi="Arial"/>
          <w:sz w:val="18"/>
          <w:szCs w:val="18"/>
          <w:color w:val="auto"/>
        </w:rPr>
        <w:t>”) an increase to the number of shares reserved for issuance under the 2021 Plan of 1,338,879 shares of Common Stock, and an increase to the number of shares reserved for issuance under the 2021 ESPP of 137,839 shares of Common Stock.</w:t>
      </w:r>
    </w:p>
    <w:p>
      <w:pPr>
        <w:spacing w:after="0" w:line="187"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Pursuant to the terms of the Merger Agreement, at the effective time of the Merger (the “</w:t>
      </w:r>
      <w:r>
        <w:rPr>
          <w:rFonts w:ascii="Arial" w:cs="Arial" w:eastAsia="Arial" w:hAnsi="Arial"/>
          <w:sz w:val="16"/>
          <w:szCs w:val="16"/>
          <w:b w:val="1"/>
          <w:bCs w:val="1"/>
          <w:i w:val="1"/>
          <w:iCs w:val="1"/>
          <w:color w:val="auto"/>
        </w:rPr>
        <w:t>Effective Time</w:t>
      </w:r>
      <w:r>
        <w:rPr>
          <w:rFonts w:ascii="Arial" w:cs="Arial" w:eastAsia="Arial" w:hAnsi="Arial"/>
          <w:sz w:val="16"/>
          <w:szCs w:val="16"/>
          <w:color w:val="auto"/>
        </w:rPr>
        <w:t>”), each option to purchase Disc common stock that was outstanding and unexercised immediately prior to the Effective Time under the Disc 2017 Plan, whether or not vested, automatically converted into and became an option to purchase Common Stock of the Registrant, and the Registrant assumed the Disc 2017 Plan and each such Disc option in accordance with the terms of the Disc 2017 Plan and the terms of each stock option agreement by which such Disc option is evidenced.</w:t>
      </w:r>
    </w:p>
    <w:p>
      <w:pPr>
        <w:spacing w:after="0" w:line="157"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The number of shares of Common Stock reserved and available for issuance under the 2021 Plan is subject to an automatic annual increase on each January 1, beginning in 2022, by an amount equal to the lesser of: (i) four percent (4%) of the number of shares of Common Stock issued and outstanding on the immediately preceding December 31 or (ii) such lesser number of shares of Common Stock as determined by the Registrant’s board of directors or the compensation committee of the Registrant’s board of directors. Accordingly, on January 1, 2023, the number of shares of Common Stock reserved and available for issuance under the 2021 Plan increased by 696,224 shares.</w:t>
      </w:r>
    </w:p>
    <w:p>
      <w:pPr>
        <w:spacing w:after="0" w:line="17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number of shares of Common Stock reserved and available for issuance under the 2021 ESPP is subject to an automatic increase on January 1, 2023 and each January 1 thereafter through January 1, 2031, by the least of (i) 1% of the outstanding number of shares of Common Stock on the immediately preceding December 31, (ii) 43,055 shares of Common Stock, or (iii) such number of shares of Common Stock as determined by the administrator of the 2021 ESPP. Accordingly, on January 1, 2023, the number of shares of Common Stock reserved and available for issuance under the 2021 ESPP increased by 43,055 shares.</w:t>
      </w:r>
    </w:p>
    <w:p>
      <w:pPr>
        <w:spacing w:after="0" w:line="188"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This Registration Statement registers (i) 1,672,599 shares of common stock of the Registrant, par value $0.0001 per share (the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issuable with respect to Disc options assumed by the Registrant pursuant to the Merger Agreement, (ii) 2,035,103 additional shares of Common Stock reserved and available for future issuance under the 2021 Plan and (iii) 180,894 additional shares of Common Stock reserved and available for future issuance under the 2021 ESPP. All applicable share amounts reflect the Reverse Stock Split.</w:t>
      </w:r>
    </w:p>
    <w:p>
      <w:pPr>
        <w:spacing w:after="0" w:line="171" w:lineRule="exact"/>
        <w:rPr>
          <w:sz w:val="20"/>
          <w:szCs w:val="20"/>
          <w:color w:val="auto"/>
        </w:rPr>
      </w:pPr>
    </w:p>
    <w:p>
      <w:pPr>
        <w:ind w:right="40"/>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The additional shares reserved and available for future issuance under the 2021 Plan and 2021 ESPP are of the same class as other securities relating to the 2021 Plan and 2021 ESPP for which the Registrant’s Registration Statements filed on Form S-8 filed with the Securities and Exchange Commission on </w:t>
      </w:r>
      <w:hyperlink r:id="rId18">
        <w:r>
          <w:rPr>
            <w:rFonts w:ascii="Arial" w:cs="Arial" w:eastAsia="Arial" w:hAnsi="Arial"/>
            <w:sz w:val="18"/>
            <w:szCs w:val="18"/>
            <w:u w:val="single" w:color="auto"/>
            <w:color w:val="0000EE"/>
          </w:rPr>
          <w:t>April 13,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(File No. 333-255194), </w:t>
      </w:r>
      <w:hyperlink r:id="rId19">
        <w:r>
          <w:rPr>
            <w:rFonts w:ascii="Arial" w:cs="Arial" w:eastAsia="Arial" w:hAnsi="Arial"/>
            <w:sz w:val="18"/>
            <w:szCs w:val="18"/>
            <w:u w:val="single" w:color="auto"/>
            <w:color w:val="0000EE"/>
          </w:rPr>
          <w:t>October 14,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(File No. 333-260243) and </w:t>
      </w:r>
      <w:hyperlink r:id="rId20">
        <w:r>
          <w:rPr>
            <w:rFonts w:ascii="Arial" w:cs="Arial" w:eastAsia="Arial" w:hAnsi="Arial"/>
            <w:sz w:val="18"/>
            <w:szCs w:val="18"/>
            <w:u w:val="single" w:color="auto"/>
            <w:color w:val="0000EE"/>
          </w:rPr>
          <w:t>March 10, 2022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333-263410), are effective. The information contained in the Registrant’s Registration Statements on Form S-8 (Registration No. 333-255194, 333-260243 and 333-263410) is hereby incorporated by reference pursuant to General Instruction E.</w:t>
      </w:r>
    </w:p>
    <w:p>
      <w:pPr>
        <w:sectPr>
          <w:pgSz w:w="11900" w:h="16838" w:orient="portrait"/>
          <w:cols w:equalWidth="0" w:num="1">
            <w:col w:w="11000"/>
          </w:cols>
          <w:pgMar w:left="440" w:top="270" w:right="459" w:bottom="1440" w:gutter="0" w:footer="0" w:header="0"/>
        </w:sectPr>
      </w:pPr>
    </w:p>
    <w:bookmarkStart w:id="2" w:name="page3"/>
    <w:bookmarkEnd w:id="2"/>
    <w:p>
      <w:pPr>
        <w:jc w:val="center"/>
        <w:ind w:right="-3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 I</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Plan Information.</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documents containing the information specified in this Item 1 will be sent or given to participants as specified by Rule 428(b)(1) under the Securities Act. In accordance with the rules and regulations of the Commission and the instructions to Form S-8, such documents are not being filed with the Commission either as part of this Registration Statement or as prospectuses or prospectus supplements pursuant to Rule 424 under the Securities Act.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Registrant Information and Employee Plan Annual Information.</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documents containing the information specified in this Item 2 will be sent or given to participants as specified by Rule 428(b)(1) under the Securities Act. In accordance with the rules and regulations of the Commission and the instructions to Form S-8, such documents are not being filed with the Commission either as part of this Registration Statement or as prospectuses or prospectus supplements pursuant to Rule 424 under the Securities Act.</w:t>
      </w:r>
    </w:p>
    <w:p>
      <w:pPr>
        <w:sectPr>
          <w:pgSz w:w="11900" w:h="16838" w:orient="portrait"/>
          <w:cols w:equalWidth="0" w:num="1">
            <w:col w:w="10660"/>
          </w:cols>
          <w:pgMar w:left="440" w:top="270" w:right="79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 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Registrant hereby incorporates by reference into this Registration Statement the following documents filed with the Commission:</w:t>
      </w:r>
    </w:p>
    <w:p>
      <w:pPr>
        <w:spacing w:after="0" w:line="131" w:lineRule="exact"/>
        <w:rPr>
          <w:sz w:val="20"/>
          <w:szCs w:val="20"/>
          <w:color w:val="auto"/>
        </w:rPr>
      </w:pPr>
    </w:p>
    <w:p>
      <w:pPr>
        <w:ind w:left="960" w:hanging="532"/>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Annual Report on </w:t>
      </w:r>
      <w:hyperlink r:id="rId23">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December 31, 2021, filed with the SEC on March 10, 2022;</w:t>
      </w:r>
    </w:p>
    <w:p>
      <w:pPr>
        <w:spacing w:after="0" w:line="130" w:lineRule="exact"/>
        <w:rPr>
          <w:rFonts w:ascii="Arial" w:cs="Arial" w:eastAsia="Arial" w:hAnsi="Arial"/>
          <w:sz w:val="18"/>
          <w:szCs w:val="18"/>
          <w:color w:val="auto"/>
        </w:rPr>
      </w:pPr>
    </w:p>
    <w:p>
      <w:pPr>
        <w:ind w:left="960" w:right="300" w:hanging="532"/>
        <w:spacing w:after="0" w:line="277" w:lineRule="auto"/>
        <w:tabs>
          <w:tab w:leader="none" w:pos="960" w:val="left"/>
        </w:tabs>
        <w:numPr>
          <w:ilvl w:val="0"/>
          <w:numId w:val="1"/>
        </w:numPr>
        <w:rPr>
          <w:rFonts w:ascii="Arial" w:cs="Arial" w:eastAsia="Arial" w:hAnsi="Arial"/>
          <w:sz w:val="18"/>
          <w:szCs w:val="18"/>
          <w:color w:val="0000EE"/>
        </w:rPr>
      </w:pPr>
      <w:r>
        <w:rPr>
          <w:rFonts w:ascii="Arial" w:cs="Arial" w:eastAsia="Arial" w:hAnsi="Arial"/>
          <w:sz w:val="18"/>
          <w:szCs w:val="18"/>
          <w:color w:val="auto"/>
        </w:rPr>
        <w:t xml:space="preserve">Quarterly Reports on Form 10-Q for the quarters ended March 31, 2022, June 30, 2022 and September 30, 2022, filed with the SEC on </w:t>
      </w:r>
      <w:hyperlink r:id="rId24">
        <w:r>
          <w:rPr>
            <w:rFonts w:ascii="Arial" w:cs="Arial" w:eastAsia="Arial" w:hAnsi="Arial"/>
            <w:sz w:val="18"/>
            <w:szCs w:val="18"/>
            <w:u w:val="single" w:color="auto"/>
            <w:color w:val="0000EE"/>
          </w:rPr>
          <w:t>May 6, 2022</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25">
        <w:r>
          <w:rPr>
            <w:rFonts w:ascii="Arial" w:cs="Arial" w:eastAsia="Arial" w:hAnsi="Arial"/>
            <w:sz w:val="18"/>
            <w:szCs w:val="18"/>
            <w:u w:val="single" w:color="auto"/>
            <w:color w:val="0000EE"/>
          </w:rPr>
          <w:t>August 11, 2022</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and</w:t>
      </w:r>
      <w:r>
        <w:rPr>
          <w:rFonts w:ascii="Arial" w:cs="Arial" w:eastAsia="Arial" w:hAnsi="Arial"/>
          <w:sz w:val="18"/>
          <w:szCs w:val="18"/>
          <w:color w:val="0000EE"/>
        </w:rPr>
        <w:t xml:space="preserve"> </w:t>
      </w:r>
      <w:hyperlink r:id="rId26">
        <w:r>
          <w:rPr>
            <w:rFonts w:ascii="Arial" w:cs="Arial" w:eastAsia="Arial" w:hAnsi="Arial"/>
            <w:sz w:val="18"/>
            <w:szCs w:val="18"/>
            <w:u w:val="single" w:color="auto"/>
            <w:color w:val="0000EE"/>
          </w:rPr>
          <w:t xml:space="preserve">November 11, 2022 </w:t>
        </w:r>
      </w:hyperlink>
      <w:r>
        <w:rPr>
          <w:rFonts w:ascii="Arial" w:cs="Arial" w:eastAsia="Arial" w:hAnsi="Arial"/>
          <w:sz w:val="18"/>
          <w:szCs w:val="18"/>
          <w:color w:val="000000"/>
        </w:rPr>
        <w:t>respectively;</w:t>
      </w:r>
    </w:p>
    <w:p>
      <w:pPr>
        <w:spacing w:after="0" w:line="75" w:lineRule="exact"/>
        <w:rPr>
          <w:rFonts w:ascii="Arial" w:cs="Arial" w:eastAsia="Arial" w:hAnsi="Arial"/>
          <w:sz w:val="18"/>
          <w:szCs w:val="18"/>
          <w:color w:val="0000EE"/>
        </w:rPr>
      </w:pPr>
    </w:p>
    <w:p>
      <w:pPr>
        <w:ind w:left="960" w:right="140" w:hanging="532"/>
        <w:spacing w:after="0" w:line="263" w:lineRule="auto"/>
        <w:tabs>
          <w:tab w:leader="none" w:pos="960" w:val="left"/>
        </w:tabs>
        <w:numPr>
          <w:ilvl w:val="0"/>
          <w:numId w:val="1"/>
        </w:numPr>
        <w:rPr>
          <w:rFonts w:ascii="Arial" w:cs="Arial" w:eastAsia="Arial" w:hAnsi="Arial"/>
          <w:sz w:val="18"/>
          <w:szCs w:val="18"/>
          <w:color w:val="0000EE"/>
        </w:rPr>
      </w:pPr>
      <w:hyperlink r:id="rId27">
        <w:r>
          <w:rPr>
            <w:rFonts w:ascii="Arial" w:cs="Arial" w:eastAsia="Arial" w:hAnsi="Arial"/>
            <w:sz w:val="18"/>
            <w:szCs w:val="18"/>
            <w:color w:val="auto"/>
          </w:rPr>
          <w:t xml:space="preserve">Current Reports on Form 8-K filed with the SEC on </w:t>
        </w:r>
        <w:r>
          <w:rPr>
            <w:rFonts w:ascii="Arial" w:cs="Arial" w:eastAsia="Arial" w:hAnsi="Arial"/>
            <w:sz w:val="18"/>
            <w:szCs w:val="18"/>
            <w:u w:val="single" w:color="auto"/>
            <w:color w:val="0000EE"/>
          </w:rPr>
          <w:t>January 10, 2022</w:t>
        </w:r>
        <w:r>
          <w:rPr>
            <w:rFonts w:ascii="Arial" w:cs="Arial" w:eastAsia="Arial" w:hAnsi="Arial"/>
            <w:sz w:val="18"/>
            <w:szCs w:val="18"/>
            <w:color w:val="auto"/>
          </w:rPr>
          <w:t xml:space="preserve">, </w:t>
        </w:r>
        <w:r>
          <w:rPr>
            <w:rFonts w:ascii="Arial" w:cs="Arial" w:eastAsia="Arial" w:hAnsi="Arial"/>
            <w:sz w:val="18"/>
            <w:szCs w:val="18"/>
            <w:u w:val="single" w:color="auto"/>
            <w:color w:val="0000EE"/>
          </w:rPr>
          <w:t>January 14, 2022</w:t>
        </w:r>
        <w:r>
          <w:rPr>
            <w:rFonts w:ascii="Arial" w:cs="Arial" w:eastAsia="Arial" w:hAnsi="Arial"/>
            <w:sz w:val="18"/>
            <w:szCs w:val="18"/>
            <w:color w:val="auto"/>
          </w:rPr>
          <w:t xml:space="preserve">, </w:t>
        </w:r>
        <w:r>
          <w:rPr>
            <w:rFonts w:ascii="Arial" w:cs="Arial" w:eastAsia="Arial" w:hAnsi="Arial"/>
            <w:sz w:val="18"/>
            <w:szCs w:val="18"/>
            <w:u w:val="single" w:color="auto"/>
            <w:color w:val="0000EE"/>
          </w:rPr>
          <w:t>February 28, 2022</w:t>
        </w:r>
        <w:r>
          <w:rPr>
            <w:rFonts w:ascii="Arial" w:cs="Arial" w:eastAsia="Arial" w:hAnsi="Arial"/>
            <w:sz w:val="18"/>
            <w:szCs w:val="18"/>
            <w:color w:val="auto"/>
          </w:rPr>
          <w:t xml:space="preserve">, </w:t>
        </w:r>
        <w:r>
          <w:rPr>
            <w:rFonts w:ascii="Arial" w:cs="Arial" w:eastAsia="Arial" w:hAnsi="Arial"/>
            <w:sz w:val="18"/>
            <w:szCs w:val="18"/>
            <w:u w:val="single" w:color="auto"/>
            <w:color w:val="0000EE"/>
          </w:rPr>
          <w:t>April 5, 2022</w:t>
        </w:r>
        <w:r>
          <w:rPr>
            <w:rFonts w:ascii="Arial" w:cs="Arial" w:eastAsia="Arial" w:hAnsi="Arial"/>
            <w:sz w:val="18"/>
            <w:szCs w:val="18"/>
            <w:color w:val="auto"/>
          </w:rPr>
          <w:t xml:space="preserve">, </w:t>
        </w:r>
        <w:r>
          <w:rPr>
            <w:rFonts w:ascii="Arial" w:cs="Arial" w:eastAsia="Arial" w:hAnsi="Arial"/>
            <w:sz w:val="18"/>
            <w:szCs w:val="18"/>
            <w:u w:val="single" w:color="auto"/>
            <w:color w:val="0000EE"/>
          </w:rPr>
          <w:t>August 10,</w:t>
        </w:r>
      </w:hyperlink>
      <w:r>
        <w:rPr>
          <w:rFonts w:ascii="Arial" w:cs="Arial" w:eastAsia="Arial" w:hAnsi="Arial"/>
          <w:sz w:val="18"/>
          <w:szCs w:val="18"/>
          <w:color w:val="auto"/>
        </w:rPr>
        <w:t xml:space="preserve"> </w:t>
      </w:r>
      <w:hyperlink r:id="rId27">
        <w:r>
          <w:rPr>
            <w:rFonts w:ascii="Arial" w:cs="Arial" w:eastAsia="Arial" w:hAnsi="Arial"/>
            <w:sz w:val="18"/>
            <w:szCs w:val="18"/>
            <w:u w:val="single" w:color="auto"/>
            <w:color w:val="0000EE"/>
          </w:rPr>
          <w:t>2022</w:t>
        </w:r>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28">
        <w:r>
          <w:rPr>
            <w:rFonts w:ascii="Arial" w:cs="Arial" w:eastAsia="Arial" w:hAnsi="Arial"/>
            <w:sz w:val="18"/>
            <w:szCs w:val="18"/>
            <w:u w:val="single" w:color="auto"/>
            <w:color w:val="0000EE"/>
          </w:rPr>
          <w:t>December 8, 2022</w:t>
        </w:r>
      </w:hyperlink>
      <w:hyperlink r:id="rId27">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29">
        <w:r>
          <w:rPr>
            <w:rFonts w:ascii="Arial" w:cs="Arial" w:eastAsia="Arial" w:hAnsi="Arial"/>
            <w:sz w:val="18"/>
            <w:szCs w:val="18"/>
            <w:u w:val="single" w:color="auto"/>
            <w:color w:val="0000EE"/>
          </w:rPr>
          <w:t>December 28, 2022</w:t>
        </w:r>
      </w:hyperlink>
      <w:hyperlink r:id="rId27">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30">
        <w:r>
          <w:rPr>
            <w:rFonts w:ascii="Arial" w:cs="Arial" w:eastAsia="Arial" w:hAnsi="Arial"/>
            <w:sz w:val="18"/>
            <w:szCs w:val="18"/>
            <w:u w:val="single" w:color="auto"/>
            <w:color w:val="0000EE"/>
          </w:rPr>
          <w:t xml:space="preserve">and December 29, 2022 </w:t>
        </w:r>
      </w:hyperlink>
      <w:hyperlink r:id="rId27">
        <w:r>
          <w:rPr>
            <w:rFonts w:ascii="Arial" w:cs="Arial" w:eastAsia="Arial" w:hAnsi="Arial"/>
            <w:sz w:val="18"/>
            <w:szCs w:val="18"/>
            <w:color w:val="000000"/>
          </w:rPr>
          <w:t>(excluding information furnished pursuant to Items 2.02 or 7.01,</w:t>
        </w:r>
      </w:hyperlink>
      <w:r>
        <w:rPr>
          <w:rFonts w:ascii="Arial" w:cs="Arial" w:eastAsia="Arial" w:hAnsi="Arial"/>
          <w:sz w:val="18"/>
          <w:szCs w:val="18"/>
          <w:color w:val="0000EE"/>
        </w:rPr>
        <w:t xml:space="preserve"> </w:t>
      </w:r>
      <w:r>
        <w:rPr>
          <w:rFonts w:ascii="Arial" w:cs="Arial" w:eastAsia="Arial" w:hAnsi="Arial"/>
          <w:sz w:val="18"/>
          <w:szCs w:val="18"/>
          <w:color w:val="000000"/>
        </w:rPr>
        <w:t>or corresponding information furnished under Item 9.01 or included as an exhibit); and</w:t>
      </w:r>
    </w:p>
    <w:p>
      <w:pPr>
        <w:spacing w:after="0" w:line="89" w:lineRule="exact"/>
        <w:rPr>
          <w:rFonts w:ascii="Arial" w:cs="Arial" w:eastAsia="Arial" w:hAnsi="Arial"/>
          <w:sz w:val="18"/>
          <w:szCs w:val="18"/>
          <w:color w:val="0000EE"/>
        </w:rPr>
      </w:pPr>
    </w:p>
    <w:p>
      <w:pPr>
        <w:ind w:left="960" w:hanging="532"/>
        <w:spacing w:after="0" w:line="275" w:lineRule="auto"/>
        <w:tabs>
          <w:tab w:leader="none" w:pos="960" w:val="left"/>
        </w:tabs>
        <w:numPr>
          <w:ilvl w:val="0"/>
          <w:numId w:val="1"/>
        </w:numPr>
        <w:rPr>
          <w:rFonts w:ascii="Arial" w:cs="Arial" w:eastAsia="Arial" w:hAnsi="Arial"/>
          <w:sz w:val="17"/>
          <w:szCs w:val="17"/>
          <w:color w:val="auto"/>
        </w:rPr>
      </w:pPr>
      <w:r>
        <w:rPr>
          <w:rFonts w:ascii="Arial" w:cs="Arial" w:eastAsia="Arial" w:hAnsi="Arial"/>
          <w:sz w:val="17"/>
          <w:szCs w:val="17"/>
          <w:color w:val="auto"/>
        </w:rPr>
        <w:t xml:space="preserve">The description of the Registrant’s Common Stock contained in the Registration Statement on </w:t>
      </w:r>
      <w:hyperlink r:id="rId31">
        <w:r>
          <w:rPr>
            <w:rFonts w:ascii="Arial" w:cs="Arial" w:eastAsia="Arial" w:hAnsi="Arial"/>
            <w:sz w:val="17"/>
            <w:szCs w:val="17"/>
            <w:u w:val="single" w:color="auto"/>
            <w:color w:val="0000EE"/>
          </w:rPr>
          <w:t>Form 8-A</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filed with the SEC on August 10, 2020, and as set forth by the description of the Registrant’s Common Stock set forth in </w:t>
      </w:r>
      <w:hyperlink r:id="rId32">
        <w:r>
          <w:rPr>
            <w:rFonts w:ascii="Arial" w:cs="Arial" w:eastAsia="Arial" w:hAnsi="Arial"/>
            <w:sz w:val="17"/>
            <w:szCs w:val="17"/>
            <w:u w:val="single" w:color="auto"/>
            <w:color w:val="0000EE"/>
          </w:rPr>
          <w:t>Exhibit 4.4</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to the Registrant’s Annual Report on Form 10-K for the year ended December 31, 2021, filed with the SEC on March 10, 2022, and as further supplemented by the description of the Registrant’s common stock set forth in the Registrant’s Registration Statement on </w:t>
      </w:r>
      <w:hyperlink r:id="rId33">
        <w:r>
          <w:rPr>
            <w:rFonts w:ascii="Arial" w:cs="Arial" w:eastAsia="Arial" w:hAnsi="Arial"/>
            <w:sz w:val="17"/>
            <w:szCs w:val="17"/>
            <w:u w:val="single" w:color="auto"/>
            <w:color w:val="0000EE"/>
          </w:rPr>
          <w:t>Form S-4/A</w:t>
        </w:r>
      </w:hyperlink>
      <w:r>
        <w:rPr>
          <w:rFonts w:ascii="Arial" w:cs="Arial" w:eastAsia="Arial" w:hAnsi="Arial"/>
          <w:sz w:val="17"/>
          <w:szCs w:val="17"/>
          <w:color w:val="auto"/>
        </w:rPr>
        <w:t>, filed with the SEC on December 1, 2022, including any amendments or reports filed for the purpose of updating such description.</w:t>
      </w:r>
    </w:p>
    <w:p>
      <w:pPr>
        <w:spacing w:after="0" w:line="176" w:lineRule="exact"/>
        <w:rPr>
          <w:rFonts w:ascii="Arial" w:cs="Arial" w:eastAsia="Arial" w:hAnsi="Arial"/>
          <w:sz w:val="17"/>
          <w:szCs w:val="17"/>
          <w:color w:val="auto"/>
        </w:rPr>
      </w:pPr>
    </w:p>
    <w:p>
      <w:pPr>
        <w:ind w:right="100"/>
        <w:spacing w:after="0" w:line="277" w:lineRule="auto"/>
        <w:rPr>
          <w:sz w:val="20"/>
          <w:szCs w:val="20"/>
          <w:color w:val="auto"/>
        </w:rPr>
      </w:pPr>
      <w:r>
        <w:rPr>
          <w:rFonts w:ascii="Arial" w:cs="Arial" w:eastAsia="Arial" w:hAnsi="Arial"/>
          <w:sz w:val="18"/>
          <w:szCs w:val="18"/>
          <w:color w:val="auto"/>
        </w:rPr>
        <w:t>The Company is also filing certain selected financial information herewith, which information is included in Exhibit 99.5 hereto and is incorporated by reference herein.</w:t>
      </w:r>
    </w:p>
    <w:p>
      <w:pPr>
        <w:spacing w:after="0" w:line="170" w:lineRule="exact"/>
        <w:rPr>
          <w:rFonts w:ascii="Arial" w:cs="Arial" w:eastAsia="Arial" w:hAnsi="Arial"/>
          <w:sz w:val="17"/>
          <w:szCs w:val="17"/>
          <w:color w:val="auto"/>
        </w:rPr>
      </w:pPr>
    </w:p>
    <w:p>
      <w:pPr>
        <w:ind w:right="40"/>
        <w:spacing w:after="0" w:line="259" w:lineRule="auto"/>
        <w:rPr>
          <w:sz w:val="20"/>
          <w:szCs w:val="20"/>
          <w:color w:val="auto"/>
        </w:rPr>
      </w:pPr>
      <w:r>
        <w:rPr>
          <w:rFonts w:ascii="Arial" w:cs="Arial" w:eastAsia="Arial" w:hAnsi="Arial"/>
          <w:sz w:val="18"/>
          <w:szCs w:val="18"/>
          <w:color w:val="auto"/>
        </w:rPr>
        <w:t>All documents that the Registrant subsequently files pursuant to Sections 13(a), 13(c), 14 and 15(d) of the Exchange Act prior to the filing of a post-effective amendment to this Registration Statement which indicates that all of the shares of Common Stock offered have been sold or which deregisters all of such shares then remaining unsold, shall be deemed to be incorporated by reference in this Registration Statement and to be a part hereof from the date of the filing of such documents.</w:t>
      </w:r>
    </w:p>
    <w:p>
      <w:pPr>
        <w:spacing w:after="0" w:line="187" w:lineRule="exact"/>
        <w:rPr>
          <w:rFonts w:ascii="Arial" w:cs="Arial" w:eastAsia="Arial" w:hAnsi="Arial"/>
          <w:sz w:val="17"/>
          <w:szCs w:val="17"/>
          <w:color w:val="auto"/>
        </w:rPr>
      </w:pPr>
    </w:p>
    <w:p>
      <w:pPr>
        <w:ind w:right="60"/>
        <w:spacing w:after="0" w:line="259" w:lineRule="auto"/>
        <w:rPr>
          <w:sz w:val="20"/>
          <w:szCs w:val="20"/>
          <w:color w:val="auto"/>
        </w:rPr>
      </w:pPr>
      <w:r>
        <w:rPr>
          <w:rFonts w:ascii="Arial" w:cs="Arial" w:eastAsia="Arial" w:hAnsi="Arial"/>
          <w:sz w:val="18"/>
          <w:szCs w:val="18"/>
          <w:color w:val="auto"/>
        </w:rPr>
        <w:t>Any statement contained in a document incorporated or deemed to be incorporated by reference herein shall be deemed to be modified or superseded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87" w:lineRule="exact"/>
        <w:rPr>
          <w:rFonts w:ascii="Arial" w:cs="Arial" w:eastAsia="Arial" w:hAnsi="Arial"/>
          <w:sz w:val="17"/>
          <w:szCs w:val="17"/>
          <w:color w:val="auto"/>
        </w:rPr>
      </w:pPr>
    </w:p>
    <w:p>
      <w:pPr>
        <w:ind w:right="340"/>
        <w:spacing w:after="0" w:line="277" w:lineRule="auto"/>
        <w:rPr>
          <w:sz w:val="20"/>
          <w:szCs w:val="20"/>
          <w:color w:val="auto"/>
        </w:rPr>
      </w:pPr>
      <w:r>
        <w:rPr>
          <w:rFonts w:ascii="Arial" w:cs="Arial" w:eastAsia="Arial" w:hAnsi="Arial"/>
          <w:sz w:val="18"/>
          <w:szCs w:val="18"/>
          <w:color w:val="auto"/>
        </w:rPr>
        <w:t>Under no circumstances will any information filed under current items 2.02 or 7.01 of Form 8-K be deemed incorporated herein by reference unless such Form 8-K expressly provides to the contrary.</w:t>
      </w:r>
    </w:p>
    <w:p>
      <w:pPr>
        <w:spacing w:after="0" w:line="274"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121"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121"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121" w:lineRule="exact"/>
        <w:rPr>
          <w:rFonts w:ascii="Arial" w:cs="Arial" w:eastAsia="Arial" w:hAnsi="Arial"/>
          <w:sz w:val="17"/>
          <w:szCs w:val="17"/>
          <w:color w:val="auto"/>
        </w:rPr>
      </w:pPr>
    </w:p>
    <w:p>
      <w:pPr>
        <w:ind w:right="40"/>
        <w:spacing w:after="0" w:line="290" w:lineRule="auto"/>
        <w:rPr>
          <w:sz w:val="20"/>
          <w:szCs w:val="20"/>
          <w:color w:val="auto"/>
        </w:rPr>
      </w:pPr>
      <w:r>
        <w:rPr>
          <w:rFonts w:ascii="Arial" w:cs="Arial" w:eastAsia="Arial" w:hAnsi="Arial"/>
          <w:sz w:val="16"/>
          <w:szCs w:val="16"/>
          <w:color w:val="auto"/>
        </w:rPr>
        <w:t>Section 145 of the Delaware General Corporation Law (the “</w:t>
      </w:r>
      <w:r>
        <w:rPr>
          <w:rFonts w:ascii="Arial" w:cs="Arial" w:eastAsia="Arial" w:hAnsi="Arial"/>
          <w:sz w:val="16"/>
          <w:szCs w:val="16"/>
          <w:b w:val="1"/>
          <w:bCs w:val="1"/>
          <w:i w:val="1"/>
          <w:iCs w:val="1"/>
          <w:color w:val="auto"/>
        </w:rPr>
        <w:t>DGCL</w:t>
      </w:r>
      <w:r>
        <w:rPr>
          <w:rFonts w:ascii="Arial" w:cs="Arial" w:eastAsia="Arial" w:hAnsi="Arial"/>
          <w:sz w:val="16"/>
          <w:szCs w:val="16"/>
          <w:color w:val="auto"/>
        </w:rPr>
        <w:t>”) authorizes a corporation to indemnify its directors and officers against liabilities arising out of actions, suits and proceedings to which they are made or threatened to be made a party by reason of the fact that they have served or are currently serving as a director or officer to a corporation. The indemnity may cover expenses (including attorneys’ fees) judgments, fines and amounts paid in settlement actually and reasonably incurred by the director or officer in connection with any such action, suit or proceeding. Section 145 permits corporations to pay expenses (including attorneys’ fees) incurred by directors and officers in advance of the final disposition of such action, suit or proceeding. In addition, Section 145 provides that a corporation has the power to purchase and maintain insurance on behalf of its directors and officers against any liability asserted against them and incurred by them in their capacity as a director or officer, or arising out of their status as such, whether or not the corporation would have the power to indemnify the director or officer against such liability under Section 145.</w:t>
      </w:r>
    </w:p>
    <w:p>
      <w:pPr>
        <w:spacing w:after="0" w:line="165" w:lineRule="exact"/>
        <w:rPr>
          <w:rFonts w:ascii="Arial" w:cs="Arial" w:eastAsia="Arial" w:hAnsi="Arial"/>
          <w:sz w:val="17"/>
          <w:szCs w:val="17"/>
          <w:color w:val="auto"/>
        </w:rPr>
      </w:pPr>
    </w:p>
    <w:p>
      <w:pPr>
        <w:ind w:right="20"/>
        <w:spacing w:after="0" w:line="286" w:lineRule="auto"/>
        <w:rPr>
          <w:sz w:val="20"/>
          <w:szCs w:val="20"/>
          <w:color w:val="auto"/>
        </w:rPr>
      </w:pPr>
      <w:r>
        <w:rPr>
          <w:rFonts w:ascii="Arial" w:cs="Arial" w:eastAsia="Arial" w:hAnsi="Arial"/>
          <w:sz w:val="17"/>
          <w:szCs w:val="17"/>
          <w:color w:val="auto"/>
        </w:rPr>
        <w:t>The Registrant has adopted provisions in the Registrant’s certificate of incorporation and bylaws that limit or eliminate the personal liability of the Registrant’s directors to the fullest extent permitted by the DGCL, as it now exists or may in the future be amended. Consequently, a director will not be personally liable to the Registrant or its stockholders for monetary damages or breach of fiduciary duty as a director, except for liability for:</w:t>
      </w:r>
    </w:p>
    <w:p>
      <w:pPr>
        <w:spacing w:after="0" w:line="71" w:lineRule="exact"/>
        <w:rPr>
          <w:rFonts w:ascii="Arial" w:cs="Arial" w:eastAsia="Arial" w:hAnsi="Arial"/>
          <w:sz w:val="17"/>
          <w:szCs w:val="17"/>
          <w:color w:val="auto"/>
        </w:rPr>
      </w:pPr>
    </w:p>
    <w:p>
      <w:pPr>
        <w:ind w:left="960" w:hanging="532"/>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breach of the director’s duty of loyalty to the Registrant or its stockholders;</w:t>
      </w:r>
    </w:p>
    <w:p>
      <w:pPr>
        <w:sectPr>
          <w:pgSz w:w="11900" w:h="16838" w:orient="portrait"/>
          <w:cols w:equalWidth="0" w:num="1">
            <w:col w:w="10980"/>
          </w:cols>
          <w:pgMar w:left="440" w:top="270" w:right="479" w:bottom="1440" w:gutter="0" w:footer="0" w:header="0"/>
        </w:sectPr>
      </w:pPr>
    </w:p>
    <w:bookmarkStart w:id="4" w:name="page5"/>
    <w:bookmarkEnd w:id="4"/>
    <w:p>
      <w:pPr>
        <w:ind w:left="960" w:hanging="532"/>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act or omission not in good faith or that involves intentional misconduct or a knowing violation of law;</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unlawful payments related to dividends or unlawful stock purchases, redemptions or other distributions; or</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These limitations of liability do not alter director liability under the federal securities laws and do not affect the availability of equitable remedies such as an injunction or rescission.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Registrant’s bylaws provide that:</w:t>
      </w:r>
    </w:p>
    <w:p>
      <w:pPr>
        <w:spacing w:after="0" w:line="131" w:lineRule="exact"/>
        <w:rPr>
          <w:sz w:val="20"/>
          <w:szCs w:val="20"/>
          <w:color w:val="auto"/>
        </w:rPr>
      </w:pPr>
    </w:p>
    <w:p>
      <w:pPr>
        <w:ind w:left="960" w:right="280" w:hanging="532"/>
        <w:spacing w:after="0" w:line="27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 will indemnify its directors, officers and, in the discretion of its board of directors, certain employees to the fullest extent permitted by the DGCL, as it now exists or may in the future be amended; and</w:t>
      </w:r>
    </w:p>
    <w:p>
      <w:pPr>
        <w:spacing w:after="0" w:line="75" w:lineRule="exact"/>
        <w:rPr>
          <w:rFonts w:ascii="Arial" w:cs="Arial" w:eastAsia="Arial" w:hAnsi="Arial"/>
          <w:sz w:val="18"/>
          <w:szCs w:val="18"/>
          <w:color w:val="auto"/>
        </w:rPr>
      </w:pPr>
    </w:p>
    <w:p>
      <w:pPr>
        <w:ind w:left="960" w:right="60" w:hanging="532"/>
        <w:spacing w:after="0" w:line="263"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 will advance expenses, including attorneys’ fees, to its directors and, in the discretion of its board of directors, to its officers and certain employees, in connection with legal proceedings relating to their service for or on behalf of the registrant, subject to limited exceptions.</w:t>
      </w:r>
    </w:p>
    <w:p>
      <w:pPr>
        <w:spacing w:after="0" w:line="184" w:lineRule="exact"/>
        <w:rPr>
          <w:sz w:val="20"/>
          <w:szCs w:val="20"/>
          <w:color w:val="auto"/>
        </w:rPr>
      </w:pPr>
    </w:p>
    <w:p>
      <w:pPr>
        <w:ind w:right="240"/>
        <w:spacing w:after="0" w:line="269" w:lineRule="auto"/>
        <w:rPr>
          <w:sz w:val="20"/>
          <w:szCs w:val="20"/>
          <w:color w:val="auto"/>
        </w:rPr>
      </w:pPr>
      <w:r>
        <w:rPr>
          <w:rFonts w:ascii="Arial" w:cs="Arial" w:eastAsia="Arial" w:hAnsi="Arial"/>
          <w:sz w:val="17"/>
          <w:szCs w:val="17"/>
          <w:color w:val="auto"/>
        </w:rPr>
        <w:t>The Registrant has entered into indemnification agreements with several of its directors and executive officers. These agreements provide that the Registrant will indemnify each of its directors and executive officers to the fullest extent permitted by Delaware law. The Registrant will advance expenses, including attorneys’ fees (but excluding judgments, fines and settlement amounts), to each indemnified director or executive officer in connection with any proceeding in which indemnification is available and the Registrant will indemnify its directors and officers for any action or proceeding arising out of that person’s services as a director or officer brought on behalf of the Registrant or in furtherance of the Registrant’s rights. Additionally, certain of the Registrant’s directors may have certain rights to indemnification, advancement of expenses or insurance provided by their affiliates or other third parties, which indemnification relates to and might apply to the same proceedings arising out of such director’s services as a director referenced herein. Nonetheless, the Registrant has agreed in the indemnification agreements that the Registrant’s obligations to those same directors are primary and any obligation of such affiliates or other third parties to advance expenses or to provide indemnification for the expenses or liabilities incurred by those directors are secondary.</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Registrant also maintains general liability insurance which covers certain liabilities of its directors and officers arising out of claims based on acts or omissions in their capacities as directors or officers, including liabilities under the Securities Act.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000"/>
          </w:cols>
          <w:pgMar w:left="440" w:top="274" w:right="459" w:bottom="1440" w:gutter="0" w:footer="0" w:header="0"/>
        </w:sectPr>
      </w:pPr>
    </w:p>
    <w:bookmarkStart w:id="5" w:name="page6"/>
    <w:bookmarkEnd w:id="5"/>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8. Exhibits.</w:t>
      </w:r>
    </w:p>
    <w:p>
      <w:pPr>
        <w:spacing w:after="0" w:line="225"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120" w:type="dxa"/>
            <w:vAlign w:val="bottom"/>
          </w:tcPr>
          <w:p>
            <w:pPr>
              <w:ind w:left="39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0120" w:type="dxa"/>
            <w:vAlign w:val="bottom"/>
            <w:vMerge w:val="restart"/>
          </w:tcPr>
          <w:p>
            <w:pPr>
              <w:ind w:left="47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w:t>
            </w:r>
          </w:p>
        </w:tc>
        <w:tc>
          <w:tcPr>
            <w:tcW w:w="320" w:type="dxa"/>
            <w:vAlign w:val="bottom"/>
          </w:tcPr>
          <w:p>
            <w:pPr>
              <w:spacing w:after="0"/>
              <w:rPr>
                <w:sz w:val="14"/>
                <w:szCs w:val="14"/>
                <w:color w:val="auto"/>
              </w:rPr>
            </w:pPr>
          </w:p>
        </w:tc>
        <w:tc>
          <w:tcPr>
            <w:tcW w:w="101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224"/>
        <w:spacing w:after="0"/>
        <w:tabs>
          <w:tab w:leader="none" w:pos="884" w:val="left"/>
        </w:tabs>
        <w:rPr>
          <w:rFonts w:ascii="Arial" w:cs="Arial" w:eastAsia="Arial" w:hAnsi="Arial"/>
          <w:sz w:val="16"/>
          <w:szCs w:val="16"/>
          <w:u w:val="single" w:color="auto"/>
          <w:color w:val="0000EE"/>
        </w:rPr>
      </w:pPr>
      <w:r>
        <w:rPr>
          <w:rFonts w:ascii="Arial" w:cs="Arial" w:eastAsia="Arial" w:hAnsi="Arial"/>
          <w:sz w:val="18"/>
          <w:szCs w:val="18"/>
          <w:color w:val="auto"/>
        </w:rPr>
        <w:t>4.1</w:t>
      </w:r>
      <w:r>
        <w:rPr>
          <w:sz w:val="20"/>
          <w:szCs w:val="20"/>
          <w:color w:val="auto"/>
        </w:rPr>
        <w:tab/>
      </w:r>
      <w:hyperlink r:id="rId36">
        <w:r>
          <w:rPr>
            <w:rFonts w:ascii="Arial" w:cs="Arial" w:eastAsia="Arial" w:hAnsi="Arial"/>
            <w:sz w:val="16"/>
            <w:szCs w:val="16"/>
            <w:u w:val="single" w:color="auto"/>
            <w:color w:val="0000EE"/>
          </w:rPr>
          <w:t>Form of Specimen Common Stock Certificate (incorporated by reference to Exhibit 4.1 to Form S-4/A filed on January 19, 2021).</w:t>
        </w:r>
      </w:hyperlink>
    </w:p>
    <w:p>
      <w:pPr>
        <w:spacing w:after="0" w:line="117" w:lineRule="exact"/>
        <w:rPr>
          <w:sz w:val="20"/>
          <w:szCs w:val="20"/>
          <w:color w:val="auto"/>
        </w:rPr>
      </w:pPr>
    </w:p>
    <w:p>
      <w:pPr>
        <w:ind w:left="904" w:right="160" w:hanging="678"/>
        <w:spacing w:after="0" w:line="277" w:lineRule="auto"/>
        <w:tabs>
          <w:tab w:leader="none" w:pos="884" w:val="left"/>
        </w:tabs>
        <w:rPr>
          <w:rFonts w:ascii="Arial" w:cs="Arial" w:eastAsia="Arial" w:hAnsi="Arial"/>
          <w:sz w:val="18"/>
          <w:szCs w:val="18"/>
          <w:u w:val="single" w:color="auto"/>
          <w:color w:val="0000EE"/>
        </w:rPr>
      </w:pPr>
      <w:r>
        <w:rPr>
          <w:rFonts w:ascii="Arial" w:cs="Arial" w:eastAsia="Arial" w:hAnsi="Arial"/>
          <w:sz w:val="18"/>
          <w:szCs w:val="18"/>
          <w:color w:val="auto"/>
        </w:rPr>
        <w:t>4.2</w:t>
      </w:r>
      <w:r>
        <w:rPr>
          <w:sz w:val="20"/>
          <w:szCs w:val="20"/>
          <w:color w:val="auto"/>
        </w:rPr>
        <w:tab/>
      </w:r>
      <w:hyperlink r:id="rId37">
        <w:r>
          <w:rPr>
            <w:rFonts w:ascii="Arial" w:cs="Arial" w:eastAsia="Arial" w:hAnsi="Arial"/>
            <w:sz w:val="18"/>
            <w:szCs w:val="18"/>
            <w:u w:val="single" w:color="auto"/>
            <w:color w:val="0000EE"/>
          </w:rPr>
          <w:t>Second Amended and Restated Articles of Incorporation of Gemini Therapeutics, Inc. (incorporated by reference to Exhibit 3.1 to Current</w:t>
        </w:r>
      </w:hyperlink>
      <w:r>
        <w:rPr>
          <w:rFonts w:ascii="Arial" w:cs="Arial" w:eastAsia="Arial" w:hAnsi="Arial"/>
          <w:sz w:val="18"/>
          <w:szCs w:val="18"/>
          <w:u w:val="single" w:color="auto"/>
          <w:color w:val="0000EE"/>
        </w:rPr>
        <w:t xml:space="preserve"> </w:t>
      </w:r>
      <w:hyperlink r:id="rId37">
        <w:r>
          <w:rPr>
            <w:rFonts w:ascii="Arial" w:cs="Arial" w:eastAsia="Arial" w:hAnsi="Arial"/>
            <w:sz w:val="18"/>
            <w:szCs w:val="18"/>
            <w:u w:val="single" w:color="auto"/>
            <w:color w:val="0000EE"/>
          </w:rPr>
          <w:t>Report on Form 8-K filed on February 11, 2021).</w:t>
        </w:r>
      </w:hyperlink>
    </w:p>
    <w:p>
      <w:pPr>
        <w:spacing w:after="0" w:line="62" w:lineRule="exact"/>
        <w:rPr>
          <w:sz w:val="20"/>
          <w:szCs w:val="20"/>
          <w:color w:val="auto"/>
        </w:rPr>
      </w:pPr>
    </w:p>
    <w:p>
      <w:pPr>
        <w:ind w:left="904" w:right="820" w:hanging="678"/>
        <w:spacing w:after="0" w:line="308" w:lineRule="auto"/>
        <w:tabs>
          <w:tab w:leader="none" w:pos="884" w:val="left"/>
        </w:tabs>
        <w:rPr>
          <w:rFonts w:ascii="Arial" w:cs="Arial" w:eastAsia="Arial" w:hAnsi="Arial"/>
          <w:sz w:val="17"/>
          <w:szCs w:val="17"/>
          <w:u w:val="single" w:color="auto"/>
          <w:color w:val="0000EE"/>
        </w:rPr>
      </w:pPr>
      <w:r>
        <w:rPr>
          <w:rFonts w:ascii="Arial" w:cs="Arial" w:eastAsia="Arial" w:hAnsi="Arial"/>
          <w:sz w:val="18"/>
          <w:szCs w:val="18"/>
          <w:color w:val="auto"/>
        </w:rPr>
        <w:t>4.3</w:t>
      </w:r>
      <w:r>
        <w:rPr>
          <w:sz w:val="20"/>
          <w:szCs w:val="20"/>
          <w:color w:val="auto"/>
        </w:rPr>
        <w:tab/>
      </w:r>
      <w:hyperlink r:id="rId38">
        <w:r>
          <w:rPr>
            <w:rFonts w:ascii="Arial" w:cs="Arial" w:eastAsia="Arial" w:hAnsi="Arial"/>
            <w:sz w:val="17"/>
            <w:szCs w:val="17"/>
            <w:u w:val="single" w:color="auto"/>
            <w:color w:val="0000EE"/>
          </w:rPr>
          <w:t>Certificate of Amendment to the Amended and Restated Certificate of Incorporation of the Registrant, dated December 28, 2022</w:t>
        </w:r>
      </w:hyperlink>
      <w:r>
        <w:rPr>
          <w:rFonts w:ascii="Arial" w:cs="Arial" w:eastAsia="Arial" w:hAnsi="Arial"/>
          <w:sz w:val="17"/>
          <w:szCs w:val="17"/>
          <w:u w:val="single" w:color="auto"/>
          <w:color w:val="0000EE"/>
        </w:rPr>
        <w:t xml:space="preserve"> </w:t>
      </w:r>
      <w:hyperlink r:id="rId38">
        <w:r>
          <w:rPr>
            <w:rFonts w:ascii="Arial" w:cs="Arial" w:eastAsia="Arial" w:hAnsi="Arial"/>
            <w:sz w:val="17"/>
            <w:szCs w:val="17"/>
            <w:u w:val="single" w:color="auto"/>
            <w:color w:val="0000EE"/>
          </w:rPr>
          <w:t>(incorporated by reference to Exhibit 3.1 to Current Report on Form 8-K filed on December 29, 2022).</w:t>
        </w:r>
      </w:hyperlink>
    </w:p>
    <w:p>
      <w:pPr>
        <w:spacing w:after="0" w:line="38" w:lineRule="exact"/>
        <w:rPr>
          <w:sz w:val="20"/>
          <w:szCs w:val="20"/>
          <w:color w:val="auto"/>
        </w:rPr>
      </w:pPr>
    </w:p>
    <w:p>
      <w:pPr>
        <w:ind w:left="904" w:right="820" w:hanging="678"/>
        <w:spacing w:after="0" w:line="308" w:lineRule="auto"/>
        <w:tabs>
          <w:tab w:leader="none" w:pos="884" w:val="left"/>
        </w:tabs>
        <w:rPr>
          <w:rFonts w:ascii="Arial" w:cs="Arial" w:eastAsia="Arial" w:hAnsi="Arial"/>
          <w:sz w:val="17"/>
          <w:szCs w:val="17"/>
          <w:u w:val="single" w:color="auto"/>
          <w:color w:val="0000EE"/>
        </w:rPr>
      </w:pPr>
      <w:r>
        <w:rPr>
          <w:rFonts w:ascii="Arial" w:cs="Arial" w:eastAsia="Arial" w:hAnsi="Arial"/>
          <w:sz w:val="18"/>
          <w:szCs w:val="18"/>
          <w:color w:val="auto"/>
        </w:rPr>
        <w:t>4.4</w:t>
      </w:r>
      <w:r>
        <w:rPr>
          <w:sz w:val="20"/>
          <w:szCs w:val="20"/>
          <w:color w:val="auto"/>
        </w:rPr>
        <w:tab/>
      </w:r>
      <w:hyperlink r:id="rId39">
        <w:r>
          <w:rPr>
            <w:rFonts w:ascii="Arial" w:cs="Arial" w:eastAsia="Arial" w:hAnsi="Arial"/>
            <w:sz w:val="17"/>
            <w:szCs w:val="17"/>
            <w:u w:val="single" w:color="auto"/>
            <w:color w:val="0000EE"/>
          </w:rPr>
          <w:t>Certificate of Amendment to the Amended and Restated Certificate of Incorporation of the Registrant, dated December 29, 2022</w:t>
        </w:r>
      </w:hyperlink>
      <w:r>
        <w:rPr>
          <w:rFonts w:ascii="Arial" w:cs="Arial" w:eastAsia="Arial" w:hAnsi="Arial"/>
          <w:sz w:val="17"/>
          <w:szCs w:val="17"/>
          <w:u w:val="single" w:color="auto"/>
          <w:color w:val="0000EE"/>
        </w:rPr>
        <w:t xml:space="preserve"> </w:t>
      </w:r>
      <w:hyperlink r:id="rId39">
        <w:r>
          <w:rPr>
            <w:rFonts w:ascii="Arial" w:cs="Arial" w:eastAsia="Arial" w:hAnsi="Arial"/>
            <w:sz w:val="17"/>
            <w:szCs w:val="17"/>
            <w:u w:val="single" w:color="auto"/>
            <w:color w:val="0000EE"/>
          </w:rPr>
          <w:t>(incorporated by reference to Exhibit 3.2 to Current Report on Form 8-K filed on December 29, 2022).</w:t>
        </w:r>
      </w:hyperlink>
    </w:p>
    <w:p>
      <w:pPr>
        <w:spacing w:after="0" w:line="38" w:lineRule="exact"/>
        <w:rPr>
          <w:sz w:val="20"/>
          <w:szCs w:val="20"/>
          <w:color w:val="auto"/>
        </w:rPr>
      </w:pPr>
    </w:p>
    <w:p>
      <w:pPr>
        <w:ind w:left="904" w:right="380" w:hanging="678"/>
        <w:spacing w:after="0" w:line="277" w:lineRule="auto"/>
        <w:tabs>
          <w:tab w:leader="none" w:pos="884" w:val="left"/>
        </w:tabs>
        <w:rPr>
          <w:rFonts w:ascii="Arial" w:cs="Arial" w:eastAsia="Arial" w:hAnsi="Arial"/>
          <w:sz w:val="18"/>
          <w:szCs w:val="18"/>
          <w:u w:val="single" w:color="auto"/>
          <w:color w:val="0000EE"/>
        </w:rPr>
      </w:pPr>
      <w:r>
        <w:rPr>
          <w:rFonts w:ascii="Arial" w:cs="Arial" w:eastAsia="Arial" w:hAnsi="Arial"/>
          <w:sz w:val="18"/>
          <w:szCs w:val="18"/>
          <w:color w:val="auto"/>
        </w:rPr>
        <w:t>4.5</w:t>
      </w:r>
      <w:r>
        <w:rPr>
          <w:sz w:val="20"/>
          <w:szCs w:val="20"/>
          <w:color w:val="auto"/>
        </w:rPr>
        <w:tab/>
      </w:r>
      <w:hyperlink r:id="rId40">
        <w:r>
          <w:rPr>
            <w:rFonts w:ascii="Arial" w:cs="Arial" w:eastAsia="Arial" w:hAnsi="Arial"/>
            <w:sz w:val="18"/>
            <w:szCs w:val="18"/>
            <w:u w:val="single" w:color="auto"/>
            <w:color w:val="0000EE"/>
          </w:rPr>
          <w:t>Amended and Restated By-laws of Gemini Therapeutics, Inc. (incorporated by reference to Annex C to the Gemini Therapeutics, Inc.’s</w:t>
        </w:r>
      </w:hyperlink>
      <w:r>
        <w:rPr>
          <w:rFonts w:ascii="Arial" w:cs="Arial" w:eastAsia="Arial" w:hAnsi="Arial"/>
          <w:sz w:val="18"/>
          <w:szCs w:val="18"/>
          <w:u w:val="single" w:color="auto"/>
          <w:color w:val="0000EE"/>
        </w:rPr>
        <w:t xml:space="preserve"> </w:t>
      </w:r>
      <w:hyperlink r:id="rId40">
        <w:r>
          <w:rPr>
            <w:rFonts w:ascii="Arial" w:cs="Arial" w:eastAsia="Arial" w:hAnsi="Arial"/>
            <w:sz w:val="18"/>
            <w:szCs w:val="18"/>
            <w:u w:val="single" w:color="auto"/>
            <w:color w:val="0000EE"/>
          </w:rPr>
          <w:t>Proxy Statement/Prospectus on Form S-4/A (Registration No. 333-249785)).</w:t>
        </w:r>
      </w:hyperlink>
    </w:p>
    <w:p>
      <w:pPr>
        <w:spacing w:after="0" w:line="62" w:lineRule="exact"/>
        <w:rPr>
          <w:sz w:val="20"/>
          <w:szCs w:val="20"/>
          <w:color w:val="auto"/>
        </w:rPr>
      </w:pPr>
    </w:p>
    <w:p>
      <w:pPr>
        <w:ind w:left="224"/>
        <w:spacing w:after="0"/>
        <w:tabs>
          <w:tab w:leader="none" w:pos="884"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0000EE"/>
        </w:rPr>
        <w:t>Opinion of Goodwin Procter LLP.</w:t>
      </w:r>
    </w:p>
    <w:p>
      <w:pPr>
        <w:spacing w:after="0" w:line="117" w:lineRule="exact"/>
        <w:rPr>
          <w:sz w:val="20"/>
          <w:szCs w:val="20"/>
          <w:color w:val="auto"/>
        </w:rPr>
      </w:pPr>
    </w:p>
    <w:p>
      <w:pPr>
        <w:ind w:left="144"/>
        <w:spacing w:after="0"/>
        <w:tabs>
          <w:tab w:leader="none" w:pos="884"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u w:val="single" w:color="auto"/>
          <w:color w:val="0000EE"/>
        </w:rPr>
        <w:t>Consent of Ernst &amp; Young LLP, independent registered accounting firm.</w:t>
      </w:r>
    </w:p>
    <w:p>
      <w:pPr>
        <w:spacing w:after="0" w:line="117" w:lineRule="exact"/>
        <w:rPr>
          <w:sz w:val="20"/>
          <w:szCs w:val="20"/>
          <w:color w:val="auto"/>
        </w:rPr>
      </w:pPr>
    </w:p>
    <w:p>
      <w:pPr>
        <w:ind w:left="144"/>
        <w:spacing w:after="0"/>
        <w:tabs>
          <w:tab w:leader="none" w:pos="884"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u w:val="single" w:color="auto"/>
          <w:color w:val="0000EE"/>
        </w:rPr>
        <w:t>Consent of Ernst &amp; Young LLP, independent registered accounting firm.</w:t>
      </w:r>
    </w:p>
    <w:p>
      <w:pPr>
        <w:spacing w:after="0" w:line="117" w:lineRule="exact"/>
        <w:rPr>
          <w:sz w:val="20"/>
          <w:szCs w:val="20"/>
          <w:color w:val="auto"/>
        </w:rPr>
      </w:pPr>
    </w:p>
    <w:p>
      <w:pPr>
        <w:ind w:left="144"/>
        <w:spacing w:after="0"/>
        <w:tabs>
          <w:tab w:leader="none" w:pos="884"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6"/>
          <w:szCs w:val="16"/>
          <w:u w:val="single" w:color="auto"/>
          <w:color w:val="0000EE"/>
        </w:rPr>
        <w:t>Consent of Goodwin Procter LLP (included as part of Exhibit 5.1).</w:t>
      </w:r>
    </w:p>
    <w:p>
      <w:pPr>
        <w:spacing w:after="0" w:line="117" w:lineRule="exact"/>
        <w:rPr>
          <w:sz w:val="20"/>
          <w:szCs w:val="20"/>
          <w:color w:val="auto"/>
        </w:rPr>
      </w:pPr>
    </w:p>
    <w:p>
      <w:pPr>
        <w:ind w:left="144"/>
        <w:spacing w:after="0"/>
        <w:tabs>
          <w:tab w:leader="none" w:pos="884"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u w:val="single" w:color="auto"/>
          <w:color w:val="0000EE"/>
        </w:rPr>
        <w:t>Power of Attorney (included on signature page).</w:t>
      </w:r>
    </w:p>
    <w:p>
      <w:pPr>
        <w:spacing w:after="0" w:line="117" w:lineRule="exact"/>
        <w:rPr>
          <w:sz w:val="20"/>
          <w:szCs w:val="20"/>
          <w:color w:val="auto"/>
        </w:rPr>
      </w:pPr>
    </w:p>
    <w:p>
      <w:pPr>
        <w:ind w:left="144"/>
        <w:spacing w:after="0"/>
        <w:tabs>
          <w:tab w:leader="none" w:pos="884"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u w:val="single" w:color="auto"/>
          <w:color w:val="0000EE"/>
        </w:rPr>
        <w:t>Disc Medicine, Inc. Amended and Restated 2021 Stock Option and Incentive Plan</w:t>
      </w:r>
      <w:r>
        <w:rPr>
          <w:rFonts w:ascii="Arial" w:cs="Arial" w:eastAsia="Arial" w:hAnsi="Arial"/>
          <w:sz w:val="16"/>
          <w:szCs w:val="16"/>
          <w:color w:val="000000"/>
        </w:rPr>
        <w:t>.</w:t>
      </w:r>
    </w:p>
    <w:p>
      <w:pPr>
        <w:spacing w:after="0" w:line="117" w:lineRule="exact"/>
        <w:rPr>
          <w:sz w:val="20"/>
          <w:szCs w:val="20"/>
          <w:color w:val="auto"/>
        </w:rPr>
      </w:pPr>
    </w:p>
    <w:p>
      <w:pPr>
        <w:ind w:left="144"/>
        <w:spacing w:after="0"/>
        <w:tabs>
          <w:tab w:leader="none" w:pos="884"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u w:val="single" w:color="auto"/>
          <w:color w:val="0000EE"/>
        </w:rPr>
        <w:t>Forms of Award Agreements under the Disc Medicine, Inc. Amended and Restated 2021 Stock Option and Incentive Plan.</w:t>
      </w:r>
    </w:p>
    <w:p>
      <w:pPr>
        <w:spacing w:after="0" w:line="117" w:lineRule="exact"/>
        <w:rPr>
          <w:sz w:val="20"/>
          <w:szCs w:val="20"/>
          <w:color w:val="auto"/>
        </w:rPr>
      </w:pPr>
    </w:p>
    <w:p>
      <w:pPr>
        <w:ind w:left="144"/>
        <w:spacing w:after="0"/>
        <w:tabs>
          <w:tab w:leader="none" w:pos="884" w:val="left"/>
        </w:tabs>
        <w:rPr>
          <w:sz w:val="20"/>
          <w:szCs w:val="20"/>
          <w:color w:val="auto"/>
        </w:rPr>
      </w:pPr>
      <w:r>
        <w:rPr>
          <w:rFonts w:ascii="Arial" w:cs="Arial" w:eastAsia="Arial" w:hAnsi="Arial"/>
          <w:sz w:val="18"/>
          <w:szCs w:val="18"/>
          <w:color w:val="auto"/>
        </w:rPr>
        <w:t>99.3*</w:t>
      </w:r>
      <w:r>
        <w:rPr>
          <w:sz w:val="20"/>
          <w:szCs w:val="20"/>
          <w:color w:val="auto"/>
        </w:rPr>
        <w:tab/>
      </w:r>
      <w:r>
        <w:rPr>
          <w:rFonts w:ascii="Arial" w:cs="Arial" w:eastAsia="Arial" w:hAnsi="Arial"/>
          <w:sz w:val="16"/>
          <w:szCs w:val="16"/>
          <w:u w:val="single" w:color="auto"/>
          <w:color w:val="0000EE"/>
        </w:rPr>
        <w:t>Disc Medicine, Inc. Amended and Restated 2021 Employee Stock Purchase Plan.</w:t>
      </w:r>
    </w:p>
    <w:p>
      <w:pPr>
        <w:spacing w:after="0" w:line="117" w:lineRule="exact"/>
        <w:rPr>
          <w:sz w:val="20"/>
          <w:szCs w:val="20"/>
          <w:color w:val="auto"/>
        </w:rPr>
      </w:pPr>
    </w:p>
    <w:p>
      <w:pPr>
        <w:ind w:left="904" w:right="740" w:hanging="768"/>
        <w:spacing w:after="0" w:line="277" w:lineRule="auto"/>
        <w:tabs>
          <w:tab w:leader="none" w:pos="884" w:val="left"/>
        </w:tabs>
        <w:rPr>
          <w:rFonts w:ascii="Arial" w:cs="Arial" w:eastAsia="Arial" w:hAnsi="Arial"/>
          <w:sz w:val="18"/>
          <w:szCs w:val="18"/>
          <w:u w:val="single" w:color="auto"/>
          <w:color w:val="0000EE"/>
        </w:rPr>
      </w:pPr>
      <w:r>
        <w:rPr>
          <w:rFonts w:ascii="Arial" w:cs="Arial" w:eastAsia="Arial" w:hAnsi="Arial"/>
          <w:sz w:val="18"/>
          <w:szCs w:val="18"/>
          <w:color w:val="auto"/>
        </w:rPr>
        <w:t>99.4</w:t>
      </w:r>
      <w:r>
        <w:rPr>
          <w:sz w:val="20"/>
          <w:szCs w:val="20"/>
          <w:color w:val="auto"/>
        </w:rPr>
        <w:tab/>
      </w:r>
      <w:hyperlink r:id="rId41">
        <w:r>
          <w:rPr>
            <w:rFonts w:ascii="Arial" w:cs="Arial" w:eastAsia="Arial" w:hAnsi="Arial"/>
            <w:sz w:val="18"/>
            <w:szCs w:val="18"/>
            <w:u w:val="single" w:color="auto"/>
            <w:color w:val="0000EE"/>
          </w:rPr>
          <w:t>2017 Stock Option and Grant Plan of Disc Medicine, Inc., and form of award agreements thereunder (incorporated by reference to</w:t>
        </w:r>
      </w:hyperlink>
      <w:r>
        <w:rPr>
          <w:rFonts w:ascii="Arial" w:cs="Arial" w:eastAsia="Arial" w:hAnsi="Arial"/>
          <w:sz w:val="18"/>
          <w:szCs w:val="18"/>
          <w:u w:val="single" w:color="auto"/>
          <w:color w:val="0000EE"/>
        </w:rPr>
        <w:t xml:space="preserve"> </w:t>
      </w:r>
      <w:hyperlink r:id="rId41">
        <w:r>
          <w:rPr>
            <w:rFonts w:ascii="Arial" w:cs="Arial" w:eastAsia="Arial" w:hAnsi="Arial"/>
            <w:sz w:val="18"/>
            <w:szCs w:val="18"/>
            <w:u w:val="single" w:color="auto"/>
            <w:color w:val="0000EE"/>
          </w:rPr>
          <w:t>Exhibit 10.9 to Current Report on Form 8-K filed on December 29, 2022).</w:t>
        </w:r>
      </w:hyperlink>
    </w:p>
    <w:p>
      <w:pPr>
        <w:spacing w:after="0" w:line="62" w:lineRule="exact"/>
        <w:rPr>
          <w:sz w:val="20"/>
          <w:szCs w:val="20"/>
          <w:color w:val="auto"/>
        </w:rPr>
      </w:pPr>
    </w:p>
    <w:p>
      <w:pPr>
        <w:ind w:left="84"/>
        <w:spacing w:after="0"/>
        <w:tabs>
          <w:tab w:leader="none" w:pos="884" w:val="left"/>
        </w:tabs>
        <w:rPr>
          <w:sz w:val="20"/>
          <w:szCs w:val="20"/>
          <w:color w:val="auto"/>
        </w:rPr>
      </w:pPr>
      <w:r>
        <w:rPr>
          <w:rFonts w:ascii="Arial" w:cs="Arial" w:eastAsia="Arial" w:hAnsi="Arial"/>
          <w:sz w:val="18"/>
          <w:szCs w:val="18"/>
          <w:color w:val="auto"/>
        </w:rPr>
        <w:t>99.5*</w:t>
      </w:r>
      <w:r>
        <w:rPr>
          <w:sz w:val="20"/>
          <w:szCs w:val="20"/>
          <w:color w:val="auto"/>
        </w:rPr>
        <w:tab/>
      </w:r>
      <w:r>
        <w:rPr>
          <w:rFonts w:ascii="Arial" w:cs="Arial" w:eastAsia="Arial" w:hAnsi="Arial"/>
          <w:sz w:val="16"/>
          <w:szCs w:val="16"/>
          <w:u w:val="single" w:color="auto"/>
          <w:color w:val="0000EE"/>
        </w:rPr>
        <w:t>Selected Financial Data</w:t>
      </w:r>
    </w:p>
    <w:p>
      <w:pPr>
        <w:spacing w:after="0" w:line="117" w:lineRule="exact"/>
        <w:rPr>
          <w:sz w:val="20"/>
          <w:szCs w:val="20"/>
          <w:color w:val="auto"/>
        </w:rPr>
      </w:pPr>
    </w:p>
    <w:p>
      <w:pPr>
        <w:ind w:left="84"/>
        <w:spacing w:after="0"/>
        <w:tabs>
          <w:tab w:leader="none" w:pos="884" w:val="left"/>
        </w:tabs>
        <w:rPr>
          <w:sz w:val="20"/>
          <w:szCs w:val="20"/>
          <w:color w:val="auto"/>
        </w:rPr>
      </w:pPr>
      <w:r>
        <w:rPr>
          <w:rFonts w:ascii="Arial" w:cs="Arial" w:eastAsia="Arial" w:hAnsi="Arial"/>
          <w:sz w:val="18"/>
          <w:szCs w:val="18"/>
          <w:color w:val="auto"/>
        </w:rPr>
        <w:t>107.1*</w:t>
      </w:r>
      <w:r>
        <w:rPr>
          <w:sz w:val="20"/>
          <w:szCs w:val="20"/>
          <w:color w:val="auto"/>
        </w:rPr>
        <w:tab/>
      </w:r>
      <w:r>
        <w:rPr>
          <w:rFonts w:ascii="Arial" w:cs="Arial" w:eastAsia="Arial" w:hAnsi="Arial"/>
          <w:sz w:val="16"/>
          <w:szCs w:val="16"/>
          <w:u w:val="single" w:color="auto"/>
          <w:color w:val="0000EE"/>
        </w:rPr>
        <w:t>Filing Fee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109220</wp:posOffset>
            </wp:positionV>
            <wp:extent cx="7715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424" w:hanging="424"/>
        <w:spacing w:after="0"/>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9. Undertakings.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(a) The Registrant hereby undertakes:</w:t>
      </w:r>
    </w:p>
    <w:p>
      <w:pPr>
        <w:spacing w:after="0" w:line="117" w:lineRule="exact"/>
        <w:rPr>
          <w:sz w:val="20"/>
          <w:szCs w:val="20"/>
          <w:color w:val="auto"/>
        </w:rPr>
      </w:pPr>
    </w:p>
    <w:p>
      <w:pPr>
        <w:ind w:left="244" w:hanging="244"/>
        <w:spacing w:after="0"/>
        <w:tabs>
          <w:tab w:leader="none" w:pos="244"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color w:val="auto"/>
        </w:rPr>
      </w:pPr>
    </w:p>
    <w:p>
      <w:pPr>
        <w:ind w:left="4"/>
        <w:spacing w:after="0"/>
        <w:rPr>
          <w:rFonts w:ascii="Arial" w:cs="Arial" w:eastAsia="Arial" w:hAnsi="Arial"/>
          <w:sz w:val="18"/>
          <w:szCs w:val="18"/>
          <w:color w:val="auto"/>
        </w:rPr>
      </w:pPr>
      <w:r>
        <w:rPr>
          <w:rFonts w:ascii="Arial" w:cs="Arial" w:eastAsia="Arial" w:hAnsi="Arial"/>
          <w:sz w:val="18"/>
          <w:szCs w:val="18"/>
          <w:color w:val="auto"/>
        </w:rPr>
        <w:t>(i) To include any prospectus required by Section 10(a)(3) of the Securities Act.</w:t>
      </w:r>
    </w:p>
    <w:p>
      <w:pPr>
        <w:spacing w:after="0" w:line="117" w:lineRule="exact"/>
        <w:rPr>
          <w:sz w:val="20"/>
          <w:szCs w:val="20"/>
          <w:color w:val="auto"/>
        </w:rPr>
      </w:pPr>
    </w:p>
    <w:p>
      <w:pPr>
        <w:ind w:left="4" w:right="180" w:hanging="4"/>
        <w:spacing w:after="0" w:line="293" w:lineRule="auto"/>
        <w:tabs>
          <w:tab w:leader="none" w:pos="266"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ectPr>
          <w:pgSz w:w="11900" w:h="16838" w:orient="portrait"/>
          <w:cols w:equalWidth="0" w:num="1">
            <w:col w:w="11024"/>
          </w:cols>
          <w:pgMar w:left="436" w:top="270" w:right="439" w:bottom="1440" w:gutter="0" w:footer="0" w:header="0"/>
        </w:sectPr>
      </w:pPr>
    </w:p>
    <w:bookmarkStart w:id="6" w:name="page7"/>
    <w:bookmarkEnd w:id="6"/>
    <w:p>
      <w:pPr>
        <w:ind w:left="4" w:right="240" w:hanging="4"/>
        <w:spacing w:after="0" w:line="277" w:lineRule="auto"/>
        <w:tabs>
          <w:tab w:leader="none" w:pos="316"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jc w:val="both"/>
        <w:ind w:left="4" w:right="160"/>
        <w:spacing w:after="0" w:line="286" w:lineRule="auto"/>
        <w:rPr>
          <w:sz w:val="20"/>
          <w:szCs w:val="20"/>
          <w:color w:val="auto"/>
        </w:rPr>
      </w:pPr>
      <w:r>
        <w:rPr>
          <w:rFonts w:ascii="Arial" w:cs="Arial" w:eastAsia="Arial" w:hAnsi="Arial"/>
          <w:sz w:val="17"/>
          <w:szCs w:val="17"/>
          <w:i w:val="1"/>
          <w:iCs w:val="1"/>
          <w:color w:val="auto"/>
        </w:rPr>
        <w:t>Provided, however</w:t>
      </w:r>
      <w:r>
        <w:rPr>
          <w:rFonts w:ascii="Arial" w:cs="Arial" w:eastAsia="Arial" w:hAnsi="Arial"/>
          <w:sz w:val="17"/>
          <w:szCs w:val="17"/>
          <w:color w:val="auto"/>
        </w:rPr>
        <w:t>, that paragraphs (a)(1)(i) and (a)(1)(ii) herein do not apply if the information required to be included in a post-effective amendment</w:t>
      </w:r>
      <w:r>
        <w:rPr>
          <w:rFonts w:ascii="Arial" w:cs="Arial" w:eastAsia="Arial" w:hAnsi="Arial"/>
          <w:sz w:val="17"/>
          <w:szCs w:val="17"/>
          <w:i w:val="1"/>
          <w:iCs w:val="1"/>
          <w:color w:val="auto"/>
        </w:rPr>
        <w:t xml:space="preserve"> </w:t>
      </w:r>
      <w:r>
        <w:rPr>
          <w:rFonts w:ascii="Arial" w:cs="Arial" w:eastAsia="Arial" w:hAnsi="Arial"/>
          <w:sz w:val="17"/>
          <w:szCs w:val="17"/>
          <w:color w:val="auto"/>
        </w:rPr>
        <w:t>by those paragraphs is contained in reports filed with or furnished to the Commission by the Registrant pursuant to Section 13 or Section 15(d) of the Exchange Act (15 U.S.C. 78m or 78o(d)) that are incorporated by reference in the Registration Statement.</w:t>
      </w:r>
    </w:p>
    <w:p>
      <w:pPr>
        <w:spacing w:after="0" w:line="165" w:lineRule="exact"/>
        <w:rPr>
          <w:sz w:val="20"/>
          <w:szCs w:val="20"/>
          <w:color w:val="auto"/>
        </w:rPr>
      </w:pPr>
    </w:p>
    <w:p>
      <w:pPr>
        <w:ind w:left="4" w:right="40" w:hanging="4"/>
        <w:spacing w:after="0" w:line="263" w:lineRule="auto"/>
        <w:tabs>
          <w:tab w:leader="none" w:pos="256" w:val="left"/>
        </w:tabs>
        <w:numPr>
          <w:ilvl w:val="0"/>
          <w:numId w:val="9"/>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Arial" w:cs="Arial" w:eastAsia="Arial" w:hAnsi="Arial"/>
          <w:sz w:val="18"/>
          <w:szCs w:val="18"/>
          <w:color w:val="auto"/>
        </w:rPr>
      </w:pPr>
    </w:p>
    <w:p>
      <w:pPr>
        <w:ind w:left="4" w:hanging="4"/>
        <w:spacing w:after="0" w:line="277" w:lineRule="auto"/>
        <w:tabs>
          <w:tab w:leader="none" w:pos="256"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sz w:val="20"/>
          <w:szCs w:val="20"/>
          <w:color w:val="auto"/>
        </w:rPr>
      </w:pPr>
    </w:p>
    <w:p>
      <w:pPr>
        <w:ind w:left="4" w:right="40" w:hanging="4"/>
        <w:spacing w:after="0" w:line="257" w:lineRule="auto"/>
        <w:tabs>
          <w:tab w:leader="none" w:pos="256"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7" w:lineRule="exact"/>
        <w:rPr>
          <w:rFonts w:ascii="Arial" w:cs="Arial" w:eastAsia="Arial" w:hAnsi="Arial"/>
          <w:sz w:val="18"/>
          <w:szCs w:val="18"/>
          <w:color w:val="auto"/>
        </w:rPr>
      </w:pPr>
    </w:p>
    <w:p>
      <w:pPr>
        <w:ind w:left="4" w:right="220" w:hanging="4"/>
        <w:spacing w:after="0" w:line="271" w:lineRule="auto"/>
        <w:tabs>
          <w:tab w:leader="none" w:pos="249"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1004"/>
          </w:cols>
          <w:pgMar w:left="436" w:top="274" w:right="4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Watertown, State of Massachusetts, on January 17, 2023.</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DISC MEDICINE,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Quisel</w:t>
      </w:r>
    </w:p>
    <w:p>
      <w:pPr>
        <w:spacing w:after="0" w:line="3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John Quisel, J.D.,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-130175</wp:posOffset>
            </wp:positionV>
            <wp:extent cx="24599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5">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Chief Executive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 AND SIGNATURES</w:t>
      </w:r>
    </w:p>
    <w:p>
      <w:pPr>
        <w:spacing w:after="0" w:line="22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Each person whose signature appears below constitutes and appoints each of John Quisel, J.D., Ph.D., Joanne Bryce, CPA and Rahul Khara, Pharm.D., J.D., acting alone or together with another attorney-in-fact, as his or her true and lawful attorney-in-fact and agent, with full power of substitution and resubstitution, for such person and in his or her name, place and stead, in any and all capacities, to sign any or all further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attorney-in-fact and agent, or his or her substitute or substitutes, may lawfully do or cause to be done by virtue hereof.</w:t>
      </w:r>
    </w:p>
    <w:p>
      <w:pPr>
        <w:spacing w:after="0" w:line="19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dated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20" w:type="dxa"/>
            <w:vAlign w:val="bottom"/>
          </w:tcPr>
          <w:p>
            <w:pPr>
              <w:spacing w:after="0"/>
              <w:rPr>
                <w:sz w:val="16"/>
                <w:szCs w:val="16"/>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100" w:type="dxa"/>
            <w:vAlign w:val="bottom"/>
          </w:tcPr>
          <w:p>
            <w:pPr>
              <w:spacing w:after="0"/>
              <w:rPr>
                <w:sz w:val="16"/>
                <w:szCs w:val="16"/>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412"/>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John Quisel</w:t>
            </w: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w w:val="98"/>
              </w:rPr>
              <w:t>Chief Executive Officer and Director (Principal</w:t>
            </w:r>
          </w:p>
        </w:tc>
        <w:tc>
          <w:tcPr>
            <w:tcW w:w="3420" w:type="dxa"/>
            <w:vAlign w:val="bottom"/>
          </w:tcPr>
          <w:p>
            <w:pPr>
              <w:jc w:val="center"/>
              <w:spacing w:after="0"/>
              <w:rPr>
                <w:sz w:val="20"/>
                <w:szCs w:val="20"/>
                <w:color w:val="auto"/>
              </w:rPr>
            </w:pPr>
            <w:r>
              <w:rPr>
                <w:rFonts w:ascii="Arial" w:cs="Arial" w:eastAsia="Arial" w:hAnsi="Arial"/>
                <w:sz w:val="18"/>
                <w:szCs w:val="18"/>
                <w:color w:val="auto"/>
                <w:w w:val="87"/>
              </w:rPr>
              <w:t>January 17, 2023</w:t>
            </w:r>
          </w:p>
        </w:tc>
      </w:tr>
      <w:tr>
        <w:trPr>
          <w:trHeight w:val="224"/>
        </w:trPr>
        <w:tc>
          <w:tcPr>
            <w:tcW w:w="3860" w:type="dxa"/>
            <w:vAlign w:val="bottom"/>
          </w:tcPr>
          <w:p>
            <w:pPr>
              <w:jc w:val="center"/>
              <w:spacing w:after="0"/>
              <w:rPr>
                <w:sz w:val="20"/>
                <w:szCs w:val="20"/>
                <w:color w:val="auto"/>
              </w:rPr>
            </w:pPr>
            <w:r>
              <w:rPr>
                <w:rFonts w:ascii="Arial" w:cs="Arial" w:eastAsia="Arial" w:hAnsi="Arial"/>
                <w:sz w:val="18"/>
                <w:szCs w:val="18"/>
                <w:color w:val="auto"/>
                <w:w w:val="90"/>
              </w:rPr>
              <w:t>John Quisel, J.D., Ph.D.</w:t>
            </w:r>
          </w:p>
        </w:tc>
        <w:tc>
          <w:tcPr>
            <w:tcW w:w="120" w:type="dxa"/>
            <w:vAlign w:val="bottom"/>
          </w:tcPr>
          <w:p>
            <w:pPr>
              <w:spacing w:after="0"/>
              <w:rPr>
                <w:sz w:val="19"/>
                <w:szCs w:val="19"/>
                <w:color w:val="auto"/>
              </w:rPr>
            </w:pPr>
          </w:p>
        </w:tc>
        <w:tc>
          <w:tcPr>
            <w:tcW w:w="3620" w:type="dxa"/>
            <w:vAlign w:val="bottom"/>
            <w:gridSpan w:val="2"/>
          </w:tcPr>
          <w:p>
            <w:pPr>
              <w:ind w:left="180"/>
              <w:spacing w:after="0"/>
              <w:rPr>
                <w:sz w:val="20"/>
                <w:szCs w:val="20"/>
                <w:color w:val="auto"/>
              </w:rPr>
            </w:pPr>
            <w:r>
              <w:rPr>
                <w:rFonts w:ascii="Arial" w:cs="Arial" w:eastAsia="Arial" w:hAnsi="Arial"/>
                <w:sz w:val="18"/>
                <w:szCs w:val="18"/>
                <w:color w:val="auto"/>
              </w:rPr>
              <w:t>Executive Officer)</w:t>
            </w:r>
          </w:p>
        </w:tc>
        <w:tc>
          <w:tcPr>
            <w:tcW w:w="3420" w:type="dxa"/>
            <w:vAlign w:val="bottom"/>
          </w:tcPr>
          <w:p>
            <w:pPr>
              <w:spacing w:after="0"/>
              <w:rPr>
                <w:sz w:val="19"/>
                <w:szCs w:val="19"/>
                <w:color w:val="auto"/>
              </w:rPr>
            </w:pPr>
          </w:p>
        </w:tc>
      </w:tr>
      <w:tr>
        <w:trPr>
          <w:trHeight w:val="431"/>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Joanne Bryce</w:t>
            </w:r>
          </w:p>
        </w:tc>
        <w:tc>
          <w:tcPr>
            <w:tcW w:w="120" w:type="dxa"/>
            <w:vAlign w:val="bottom"/>
          </w:tcPr>
          <w:p>
            <w:pPr>
              <w:spacing w:after="0"/>
              <w:rPr>
                <w:sz w:val="24"/>
                <w:szCs w:val="24"/>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Chief Financial Officer</w:t>
            </w:r>
          </w:p>
        </w:tc>
        <w:tc>
          <w:tcPr>
            <w:tcW w:w="3420" w:type="dxa"/>
            <w:vAlign w:val="bottom"/>
          </w:tcPr>
          <w:p>
            <w:pPr>
              <w:jc w:val="center"/>
              <w:spacing w:after="0"/>
              <w:rPr>
                <w:sz w:val="20"/>
                <w:szCs w:val="20"/>
                <w:color w:val="auto"/>
              </w:rPr>
            </w:pPr>
            <w:r>
              <w:rPr>
                <w:rFonts w:ascii="Arial" w:cs="Arial" w:eastAsia="Arial" w:hAnsi="Arial"/>
                <w:sz w:val="18"/>
                <w:szCs w:val="18"/>
                <w:color w:val="auto"/>
                <w:w w:val="87"/>
              </w:rPr>
              <w:t>January 17, 2023</w:t>
            </w:r>
          </w:p>
        </w:tc>
      </w:tr>
      <w:tr>
        <w:trPr>
          <w:trHeight w:val="182"/>
        </w:trPr>
        <w:tc>
          <w:tcPr>
            <w:tcW w:w="3860" w:type="dxa"/>
            <w:vAlign w:val="bottom"/>
          </w:tcPr>
          <w:p>
            <w:pPr>
              <w:jc w:val="center"/>
              <w:spacing w:after="0" w:line="182" w:lineRule="exact"/>
              <w:rPr>
                <w:sz w:val="20"/>
                <w:szCs w:val="20"/>
                <w:color w:val="auto"/>
              </w:rPr>
            </w:pPr>
            <w:r>
              <w:rPr>
                <w:rFonts w:ascii="Arial" w:cs="Arial" w:eastAsia="Arial" w:hAnsi="Arial"/>
                <w:sz w:val="18"/>
                <w:szCs w:val="18"/>
                <w:color w:val="auto"/>
                <w:w w:val="89"/>
              </w:rPr>
              <w:t>Joanne Bryce, CPA</w:t>
            </w:r>
          </w:p>
        </w:tc>
        <w:tc>
          <w:tcPr>
            <w:tcW w:w="120" w:type="dxa"/>
            <w:vAlign w:val="bottom"/>
          </w:tcPr>
          <w:p>
            <w:pPr>
              <w:spacing w:after="0"/>
              <w:rPr>
                <w:sz w:val="15"/>
                <w:szCs w:val="15"/>
                <w:color w:val="auto"/>
              </w:rPr>
            </w:pPr>
          </w:p>
        </w:tc>
        <w:tc>
          <w:tcPr>
            <w:tcW w:w="3620" w:type="dxa"/>
            <w:vAlign w:val="bottom"/>
            <w:gridSpan w:val="2"/>
          </w:tcPr>
          <w:p>
            <w:pPr>
              <w:jc w:val="center"/>
              <w:ind w:right="100"/>
              <w:spacing w:after="0" w:line="182" w:lineRule="exact"/>
              <w:rPr>
                <w:sz w:val="20"/>
                <w:szCs w:val="20"/>
                <w:color w:val="auto"/>
              </w:rPr>
            </w:pPr>
            <w:r>
              <w:rPr>
                <w:rFonts w:ascii="Arial" w:cs="Arial" w:eastAsia="Arial" w:hAnsi="Arial"/>
                <w:sz w:val="18"/>
                <w:szCs w:val="18"/>
                <w:color w:val="auto"/>
                <w:w w:val="94"/>
              </w:rPr>
              <w:t>(Principal Financial Officer and Principal</w:t>
            </w:r>
          </w:p>
        </w:tc>
        <w:tc>
          <w:tcPr>
            <w:tcW w:w="3420" w:type="dxa"/>
            <w:vAlign w:val="bottom"/>
          </w:tcPr>
          <w:p>
            <w:pPr>
              <w:spacing w:after="0"/>
              <w:rPr>
                <w:sz w:val="15"/>
                <w:szCs w:val="15"/>
                <w:color w:val="auto"/>
              </w:rPr>
            </w:pPr>
          </w:p>
        </w:tc>
      </w:tr>
      <w:tr>
        <w:trPr>
          <w:trHeight w:val="230"/>
        </w:trPr>
        <w:tc>
          <w:tcPr>
            <w:tcW w:w="3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2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Accounting Officer)</w:t>
            </w:r>
          </w:p>
        </w:tc>
        <w:tc>
          <w:tcPr>
            <w:tcW w:w="3420" w:type="dxa"/>
            <w:vAlign w:val="bottom"/>
          </w:tcPr>
          <w:p>
            <w:pPr>
              <w:spacing w:after="0"/>
              <w:rPr>
                <w:sz w:val="20"/>
                <w:szCs w:val="20"/>
                <w:color w:val="auto"/>
              </w:rPr>
            </w:pPr>
          </w:p>
        </w:tc>
      </w:tr>
      <w:tr>
        <w:trPr>
          <w:trHeight w:val="445"/>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Mona Ashiya</w:t>
            </w:r>
          </w:p>
        </w:tc>
        <w:tc>
          <w:tcPr>
            <w:tcW w:w="120" w:type="dxa"/>
            <w:vAlign w:val="bottom"/>
          </w:tcPr>
          <w:p>
            <w:pPr>
              <w:spacing w:after="0"/>
              <w:rPr>
                <w:sz w:val="24"/>
                <w:szCs w:val="24"/>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3420" w:type="dxa"/>
            <w:vAlign w:val="bottom"/>
          </w:tcPr>
          <w:p>
            <w:pPr>
              <w:jc w:val="center"/>
              <w:spacing w:after="0"/>
              <w:rPr>
                <w:sz w:val="20"/>
                <w:szCs w:val="20"/>
                <w:color w:val="auto"/>
              </w:rPr>
            </w:pPr>
            <w:r>
              <w:rPr>
                <w:rFonts w:ascii="Arial" w:cs="Arial" w:eastAsia="Arial" w:hAnsi="Arial"/>
                <w:sz w:val="18"/>
                <w:szCs w:val="18"/>
                <w:color w:val="auto"/>
                <w:w w:val="87"/>
              </w:rPr>
              <w:t>January 17, 2023</w:t>
            </w:r>
          </w:p>
        </w:tc>
      </w:tr>
      <w:tr>
        <w:trPr>
          <w:trHeight w:val="224"/>
        </w:trPr>
        <w:tc>
          <w:tcPr>
            <w:tcW w:w="3860" w:type="dxa"/>
            <w:vAlign w:val="bottom"/>
          </w:tcPr>
          <w:p>
            <w:pPr>
              <w:jc w:val="center"/>
              <w:spacing w:after="0"/>
              <w:rPr>
                <w:sz w:val="20"/>
                <w:szCs w:val="20"/>
                <w:color w:val="auto"/>
              </w:rPr>
            </w:pPr>
            <w:r>
              <w:rPr>
                <w:rFonts w:ascii="Arial" w:cs="Arial" w:eastAsia="Arial" w:hAnsi="Arial"/>
                <w:sz w:val="18"/>
                <w:szCs w:val="18"/>
                <w:color w:val="auto"/>
                <w:w w:val="93"/>
              </w:rPr>
              <w:t>Mona Ashiya, Ph.D.</w:t>
            </w:r>
          </w:p>
        </w:tc>
        <w:tc>
          <w:tcPr>
            <w:tcW w:w="1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31"/>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Jay Backstrom</w:t>
            </w:r>
          </w:p>
        </w:tc>
        <w:tc>
          <w:tcPr>
            <w:tcW w:w="120" w:type="dxa"/>
            <w:vAlign w:val="bottom"/>
          </w:tcPr>
          <w:p>
            <w:pPr>
              <w:spacing w:after="0"/>
              <w:rPr>
                <w:sz w:val="24"/>
                <w:szCs w:val="24"/>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3420" w:type="dxa"/>
            <w:vAlign w:val="bottom"/>
          </w:tcPr>
          <w:p>
            <w:pPr>
              <w:jc w:val="center"/>
              <w:spacing w:after="0"/>
              <w:rPr>
                <w:sz w:val="20"/>
                <w:szCs w:val="20"/>
                <w:color w:val="auto"/>
              </w:rPr>
            </w:pPr>
            <w:r>
              <w:rPr>
                <w:rFonts w:ascii="Arial" w:cs="Arial" w:eastAsia="Arial" w:hAnsi="Arial"/>
                <w:sz w:val="18"/>
                <w:szCs w:val="18"/>
                <w:color w:val="auto"/>
                <w:w w:val="87"/>
              </w:rPr>
              <w:t>January 17, 2023</w:t>
            </w:r>
          </w:p>
        </w:tc>
      </w:tr>
      <w:tr>
        <w:trPr>
          <w:trHeight w:val="224"/>
        </w:trPr>
        <w:tc>
          <w:tcPr>
            <w:tcW w:w="3860" w:type="dxa"/>
            <w:vAlign w:val="bottom"/>
          </w:tcPr>
          <w:p>
            <w:pPr>
              <w:jc w:val="center"/>
              <w:spacing w:after="0"/>
              <w:rPr>
                <w:sz w:val="20"/>
                <w:szCs w:val="20"/>
                <w:color w:val="auto"/>
              </w:rPr>
            </w:pPr>
            <w:r>
              <w:rPr>
                <w:rFonts w:ascii="Arial" w:cs="Arial" w:eastAsia="Arial" w:hAnsi="Arial"/>
                <w:sz w:val="18"/>
                <w:szCs w:val="18"/>
                <w:color w:val="auto"/>
                <w:w w:val="92"/>
              </w:rPr>
              <w:t>Jay Backstrom, M.D., M.P.H.</w:t>
            </w:r>
          </w:p>
        </w:tc>
        <w:tc>
          <w:tcPr>
            <w:tcW w:w="1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31"/>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Kevin Bitterman</w:t>
            </w:r>
          </w:p>
        </w:tc>
        <w:tc>
          <w:tcPr>
            <w:tcW w:w="120" w:type="dxa"/>
            <w:vAlign w:val="bottom"/>
          </w:tcPr>
          <w:p>
            <w:pPr>
              <w:spacing w:after="0"/>
              <w:rPr>
                <w:sz w:val="24"/>
                <w:szCs w:val="24"/>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3420" w:type="dxa"/>
            <w:vAlign w:val="bottom"/>
          </w:tcPr>
          <w:p>
            <w:pPr>
              <w:jc w:val="center"/>
              <w:spacing w:after="0"/>
              <w:rPr>
                <w:sz w:val="20"/>
                <w:szCs w:val="20"/>
                <w:color w:val="auto"/>
              </w:rPr>
            </w:pPr>
            <w:r>
              <w:rPr>
                <w:rFonts w:ascii="Arial" w:cs="Arial" w:eastAsia="Arial" w:hAnsi="Arial"/>
                <w:sz w:val="18"/>
                <w:szCs w:val="18"/>
                <w:color w:val="auto"/>
                <w:w w:val="87"/>
              </w:rPr>
              <w:t>January 17, 2023</w:t>
            </w:r>
          </w:p>
        </w:tc>
      </w:tr>
      <w:tr>
        <w:trPr>
          <w:trHeight w:val="224"/>
        </w:trPr>
        <w:tc>
          <w:tcPr>
            <w:tcW w:w="3860" w:type="dxa"/>
            <w:vAlign w:val="bottom"/>
          </w:tcPr>
          <w:p>
            <w:pPr>
              <w:jc w:val="center"/>
              <w:spacing w:after="0"/>
              <w:rPr>
                <w:sz w:val="20"/>
                <w:szCs w:val="20"/>
                <w:color w:val="auto"/>
              </w:rPr>
            </w:pPr>
            <w:r>
              <w:rPr>
                <w:rFonts w:ascii="Arial" w:cs="Arial" w:eastAsia="Arial" w:hAnsi="Arial"/>
                <w:sz w:val="18"/>
                <w:szCs w:val="18"/>
                <w:color w:val="auto"/>
                <w:w w:val="93"/>
              </w:rPr>
              <w:t>Kevin Bitterman, Ph.D.</w:t>
            </w:r>
          </w:p>
        </w:tc>
        <w:tc>
          <w:tcPr>
            <w:tcW w:w="1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31"/>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Mark Chin</w:t>
            </w:r>
          </w:p>
        </w:tc>
        <w:tc>
          <w:tcPr>
            <w:tcW w:w="120" w:type="dxa"/>
            <w:vAlign w:val="bottom"/>
          </w:tcPr>
          <w:p>
            <w:pPr>
              <w:spacing w:after="0"/>
              <w:rPr>
                <w:sz w:val="24"/>
                <w:szCs w:val="24"/>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3420" w:type="dxa"/>
            <w:vAlign w:val="bottom"/>
          </w:tcPr>
          <w:p>
            <w:pPr>
              <w:jc w:val="center"/>
              <w:spacing w:after="0"/>
              <w:rPr>
                <w:sz w:val="20"/>
                <w:szCs w:val="20"/>
                <w:color w:val="auto"/>
              </w:rPr>
            </w:pPr>
            <w:r>
              <w:rPr>
                <w:rFonts w:ascii="Arial" w:cs="Arial" w:eastAsia="Arial" w:hAnsi="Arial"/>
                <w:sz w:val="18"/>
                <w:szCs w:val="18"/>
                <w:color w:val="auto"/>
                <w:w w:val="87"/>
              </w:rPr>
              <w:t>January 17, 2023</w:t>
            </w:r>
          </w:p>
        </w:tc>
      </w:tr>
      <w:tr>
        <w:trPr>
          <w:trHeight w:val="224"/>
        </w:trPr>
        <w:tc>
          <w:tcPr>
            <w:tcW w:w="3860" w:type="dxa"/>
            <w:vAlign w:val="bottom"/>
          </w:tcPr>
          <w:p>
            <w:pPr>
              <w:jc w:val="center"/>
              <w:spacing w:after="0"/>
              <w:rPr>
                <w:sz w:val="20"/>
                <w:szCs w:val="20"/>
                <w:color w:val="auto"/>
              </w:rPr>
            </w:pPr>
            <w:r>
              <w:rPr>
                <w:rFonts w:ascii="Arial" w:cs="Arial" w:eastAsia="Arial" w:hAnsi="Arial"/>
                <w:sz w:val="18"/>
                <w:szCs w:val="18"/>
                <w:color w:val="auto"/>
                <w:w w:val="97"/>
              </w:rPr>
              <w:t>Mark Chin, MS, MBA</w:t>
            </w:r>
          </w:p>
        </w:tc>
        <w:tc>
          <w:tcPr>
            <w:tcW w:w="1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31"/>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Georges Gemayel</w:t>
            </w:r>
          </w:p>
        </w:tc>
        <w:tc>
          <w:tcPr>
            <w:tcW w:w="120" w:type="dxa"/>
            <w:vAlign w:val="bottom"/>
          </w:tcPr>
          <w:p>
            <w:pPr>
              <w:spacing w:after="0"/>
              <w:rPr>
                <w:sz w:val="24"/>
                <w:szCs w:val="24"/>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3420" w:type="dxa"/>
            <w:vAlign w:val="bottom"/>
          </w:tcPr>
          <w:p>
            <w:pPr>
              <w:jc w:val="center"/>
              <w:spacing w:after="0"/>
              <w:rPr>
                <w:sz w:val="20"/>
                <w:szCs w:val="20"/>
                <w:color w:val="auto"/>
              </w:rPr>
            </w:pPr>
            <w:r>
              <w:rPr>
                <w:rFonts w:ascii="Arial" w:cs="Arial" w:eastAsia="Arial" w:hAnsi="Arial"/>
                <w:sz w:val="18"/>
                <w:szCs w:val="18"/>
                <w:color w:val="auto"/>
                <w:w w:val="87"/>
              </w:rPr>
              <w:t>January 17, 2023</w:t>
            </w:r>
          </w:p>
        </w:tc>
      </w:tr>
      <w:tr>
        <w:trPr>
          <w:trHeight w:val="224"/>
        </w:trPr>
        <w:tc>
          <w:tcPr>
            <w:tcW w:w="3860" w:type="dxa"/>
            <w:vAlign w:val="bottom"/>
          </w:tcPr>
          <w:p>
            <w:pPr>
              <w:jc w:val="center"/>
              <w:spacing w:after="0"/>
              <w:rPr>
                <w:sz w:val="20"/>
                <w:szCs w:val="20"/>
                <w:color w:val="auto"/>
              </w:rPr>
            </w:pPr>
            <w:r>
              <w:rPr>
                <w:rFonts w:ascii="Arial" w:cs="Arial" w:eastAsia="Arial" w:hAnsi="Arial"/>
                <w:sz w:val="18"/>
                <w:szCs w:val="18"/>
                <w:color w:val="auto"/>
                <w:w w:val="88"/>
              </w:rPr>
              <w:t>Georges Gemayel</w:t>
            </w:r>
          </w:p>
        </w:tc>
        <w:tc>
          <w:tcPr>
            <w:tcW w:w="1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20" w:type="dxa"/>
            <w:vAlign w:val="bottom"/>
          </w:tcPr>
          <w:p>
            <w:pPr>
              <w:spacing w:after="0"/>
              <w:rPr>
                <w:sz w:val="19"/>
                <w:szCs w:val="19"/>
                <w:color w:val="auto"/>
              </w:rPr>
            </w:pPr>
          </w:p>
        </w:tc>
      </w:tr>
    </w:tbl>
    <w:p>
      <w:pPr>
        <w:sectPr>
          <w:pgSz w:w="11900" w:h="16838" w:orient="portrait"/>
          <w:cols w:equalWidth="0" w:num="1">
            <w:col w:w="11020"/>
          </w:cols>
          <w:pgMar w:left="440" w:top="270" w:right="439" w:bottom="1440" w:gutter="0" w:footer="0" w:header="0"/>
        </w:sectPr>
      </w:pPr>
    </w:p>
    <w:bookmarkStart w:id="8" w:name="page9"/>
    <w:bookmarkEnd w:id="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Donald Nicholson</w:t>
            </w:r>
          </w:p>
        </w:tc>
        <w:tc>
          <w:tcPr>
            <w:tcW w:w="3500" w:type="dxa"/>
            <w:vAlign w:val="bottom"/>
          </w:tcPr>
          <w:p>
            <w:pPr>
              <w:spacing w:after="0"/>
              <w:rPr>
                <w:sz w:val="20"/>
                <w:szCs w:val="20"/>
                <w:color w:val="auto"/>
              </w:rPr>
            </w:pPr>
          </w:p>
        </w:tc>
        <w:tc>
          <w:tcPr>
            <w:tcW w:w="2560" w:type="dxa"/>
            <w:vAlign w:val="bottom"/>
          </w:tcPr>
          <w:p>
            <w:pPr>
              <w:spacing w:after="0"/>
              <w:rPr>
                <w:sz w:val="20"/>
                <w:szCs w:val="20"/>
                <w:color w:val="auto"/>
              </w:rPr>
            </w:pPr>
          </w:p>
        </w:tc>
      </w:tr>
      <w:tr>
        <w:trPr>
          <w:trHeight w:val="224"/>
        </w:trPr>
        <w:tc>
          <w:tcPr>
            <w:tcW w:w="3860" w:type="dxa"/>
            <w:vAlign w:val="bottom"/>
          </w:tcPr>
          <w:p>
            <w:pPr>
              <w:jc w:val="center"/>
              <w:spacing w:after="0"/>
              <w:rPr>
                <w:sz w:val="20"/>
                <w:szCs w:val="20"/>
                <w:color w:val="auto"/>
              </w:rPr>
            </w:pPr>
            <w:r>
              <w:rPr>
                <w:rFonts w:ascii="Arial" w:cs="Arial" w:eastAsia="Arial" w:hAnsi="Arial"/>
                <w:sz w:val="18"/>
                <w:szCs w:val="18"/>
                <w:color w:val="auto"/>
                <w:w w:val="92"/>
              </w:rPr>
              <w:t>Donald Nicholson, Ph.D.</w:t>
            </w:r>
          </w:p>
        </w:tc>
        <w:tc>
          <w:tcPr>
            <w:tcW w:w="3500" w:type="dxa"/>
            <w:vAlign w:val="bottom"/>
          </w:tcPr>
          <w:p>
            <w:pPr>
              <w:ind w:left="1580"/>
              <w:spacing w:after="0"/>
              <w:rPr>
                <w:sz w:val="20"/>
                <w:szCs w:val="20"/>
                <w:color w:val="auto"/>
              </w:rPr>
            </w:pPr>
            <w:r>
              <w:rPr>
                <w:rFonts w:ascii="Arial" w:cs="Arial" w:eastAsia="Arial" w:hAnsi="Arial"/>
                <w:sz w:val="18"/>
                <w:szCs w:val="18"/>
                <w:color w:val="auto"/>
              </w:rPr>
              <w:t>Director</w:t>
            </w:r>
          </w:p>
        </w:tc>
        <w:tc>
          <w:tcPr>
            <w:tcW w:w="2560" w:type="dxa"/>
            <w:vAlign w:val="bottom"/>
          </w:tcPr>
          <w:p>
            <w:pPr>
              <w:ind w:left="1340"/>
              <w:spacing w:after="0"/>
              <w:rPr>
                <w:sz w:val="20"/>
                <w:szCs w:val="20"/>
                <w:color w:val="auto"/>
              </w:rPr>
            </w:pPr>
            <w:r>
              <w:rPr>
                <w:rFonts w:ascii="Arial" w:cs="Arial" w:eastAsia="Arial" w:hAnsi="Arial"/>
                <w:sz w:val="18"/>
                <w:szCs w:val="18"/>
                <w:color w:val="auto"/>
                <w:w w:val="86"/>
              </w:rPr>
              <w:t>January 17, 2023</w:t>
            </w:r>
          </w:p>
        </w:tc>
      </w:tr>
      <w:tr>
        <w:trPr>
          <w:trHeight w:val="431"/>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Liam Ratcliffe</w:t>
            </w:r>
          </w:p>
        </w:tc>
        <w:tc>
          <w:tcPr>
            <w:tcW w:w="350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224"/>
        </w:trPr>
        <w:tc>
          <w:tcPr>
            <w:tcW w:w="3860" w:type="dxa"/>
            <w:vAlign w:val="bottom"/>
          </w:tcPr>
          <w:p>
            <w:pPr>
              <w:jc w:val="center"/>
              <w:spacing w:after="0"/>
              <w:rPr>
                <w:sz w:val="20"/>
                <w:szCs w:val="20"/>
                <w:color w:val="auto"/>
              </w:rPr>
            </w:pPr>
            <w:r>
              <w:rPr>
                <w:rFonts w:ascii="Arial" w:cs="Arial" w:eastAsia="Arial" w:hAnsi="Arial"/>
                <w:sz w:val="18"/>
                <w:szCs w:val="18"/>
                <w:color w:val="auto"/>
                <w:w w:val="95"/>
              </w:rPr>
              <w:t>Liam Ratcliffe, M.D., Ph.D.</w:t>
            </w:r>
          </w:p>
        </w:tc>
        <w:tc>
          <w:tcPr>
            <w:tcW w:w="3500" w:type="dxa"/>
            <w:vAlign w:val="bottom"/>
          </w:tcPr>
          <w:p>
            <w:pPr>
              <w:ind w:left="1580"/>
              <w:spacing w:after="0"/>
              <w:rPr>
                <w:sz w:val="20"/>
                <w:szCs w:val="20"/>
                <w:color w:val="auto"/>
              </w:rPr>
            </w:pPr>
            <w:r>
              <w:rPr>
                <w:rFonts w:ascii="Arial" w:cs="Arial" w:eastAsia="Arial" w:hAnsi="Arial"/>
                <w:sz w:val="18"/>
                <w:szCs w:val="18"/>
                <w:color w:val="auto"/>
              </w:rPr>
              <w:t>Director</w:t>
            </w:r>
          </w:p>
        </w:tc>
        <w:tc>
          <w:tcPr>
            <w:tcW w:w="2560" w:type="dxa"/>
            <w:vAlign w:val="bottom"/>
          </w:tcPr>
          <w:p>
            <w:pPr>
              <w:ind w:left="1340"/>
              <w:spacing w:after="0"/>
              <w:rPr>
                <w:sz w:val="20"/>
                <w:szCs w:val="20"/>
                <w:color w:val="auto"/>
              </w:rPr>
            </w:pPr>
            <w:r>
              <w:rPr>
                <w:rFonts w:ascii="Arial" w:cs="Arial" w:eastAsia="Arial" w:hAnsi="Arial"/>
                <w:sz w:val="18"/>
                <w:szCs w:val="18"/>
                <w:color w:val="auto"/>
                <w:w w:val="86"/>
              </w:rPr>
              <w:t>January 17, 2023</w:t>
            </w:r>
          </w:p>
        </w:tc>
      </w:tr>
      <w:tr>
        <w:trPr>
          <w:trHeight w:val="431"/>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William White</w:t>
            </w:r>
          </w:p>
        </w:tc>
        <w:tc>
          <w:tcPr>
            <w:tcW w:w="350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224"/>
        </w:trPr>
        <w:tc>
          <w:tcPr>
            <w:tcW w:w="3860" w:type="dxa"/>
            <w:vAlign w:val="bottom"/>
          </w:tcPr>
          <w:p>
            <w:pPr>
              <w:jc w:val="center"/>
              <w:spacing w:after="0"/>
              <w:rPr>
                <w:sz w:val="20"/>
                <w:szCs w:val="20"/>
                <w:color w:val="auto"/>
              </w:rPr>
            </w:pPr>
            <w:r>
              <w:rPr>
                <w:rFonts w:ascii="Arial" w:cs="Arial" w:eastAsia="Arial" w:hAnsi="Arial"/>
                <w:sz w:val="18"/>
                <w:szCs w:val="18"/>
                <w:color w:val="auto"/>
                <w:w w:val="93"/>
              </w:rPr>
              <w:t>William White, MPP, J.D.</w:t>
            </w:r>
          </w:p>
        </w:tc>
        <w:tc>
          <w:tcPr>
            <w:tcW w:w="3500" w:type="dxa"/>
            <w:vAlign w:val="bottom"/>
          </w:tcPr>
          <w:p>
            <w:pPr>
              <w:ind w:left="1580"/>
              <w:spacing w:after="0"/>
              <w:rPr>
                <w:sz w:val="20"/>
                <w:szCs w:val="20"/>
                <w:color w:val="auto"/>
              </w:rPr>
            </w:pPr>
            <w:r>
              <w:rPr>
                <w:rFonts w:ascii="Arial" w:cs="Arial" w:eastAsia="Arial" w:hAnsi="Arial"/>
                <w:sz w:val="18"/>
                <w:szCs w:val="18"/>
                <w:color w:val="auto"/>
              </w:rPr>
              <w:t>Director</w:t>
            </w:r>
          </w:p>
        </w:tc>
        <w:tc>
          <w:tcPr>
            <w:tcW w:w="2560" w:type="dxa"/>
            <w:vAlign w:val="bottom"/>
          </w:tcPr>
          <w:p>
            <w:pPr>
              <w:ind w:left="1340"/>
              <w:spacing w:after="0"/>
              <w:rPr>
                <w:sz w:val="20"/>
                <w:szCs w:val="20"/>
                <w:color w:val="auto"/>
              </w:rPr>
            </w:pPr>
            <w:r>
              <w:rPr>
                <w:rFonts w:ascii="Arial" w:cs="Arial" w:eastAsia="Arial" w:hAnsi="Arial"/>
                <w:sz w:val="18"/>
                <w:szCs w:val="18"/>
                <w:color w:val="auto"/>
                <w:w w:val="86"/>
              </w:rPr>
              <w:t>January 17, 2023</w:t>
            </w:r>
          </w:p>
        </w:tc>
      </w:tr>
    </w:tbl>
    <w:p>
      <w:pPr>
        <w:sectPr>
          <w:pgSz w:w="11900" w:h="16838" w:orient="portrait"/>
          <w:cols w:equalWidth="0" w:num="1">
            <w:col w:w="10019"/>
          </w:cols>
          <w:pgMar w:left="440" w:top="490" w:right="1440"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January 17,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Disc Medicine,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321 Arsenal Street, Suite 101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Watertown, MA 02472</w:t>
      </w:r>
    </w:p>
    <w:p>
      <w:pPr>
        <w:spacing w:after="0" w:line="23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u w:val="single" w:color="auto"/>
          <w:color w:val="auto"/>
        </w:rPr>
        <w:t>Securities Being Registered under Registration Statement on Form S-8</w:t>
      </w:r>
    </w:p>
    <w:p>
      <w:pPr>
        <w:spacing w:after="0" w:line="225"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We have acted as counsel to you in connection with your filing of a Registration Statement on Form S-8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pursuant to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on or about the date hereof relating to an aggregate of 3,888,596 shares (the “</w:t>
      </w:r>
      <w:r>
        <w:rPr>
          <w:rFonts w:ascii="Arial" w:cs="Arial" w:eastAsia="Arial" w:hAnsi="Arial"/>
          <w:sz w:val="16"/>
          <w:szCs w:val="16"/>
          <w:u w:val="single" w:color="auto"/>
          <w:color w:val="auto"/>
        </w:rPr>
        <w:t>Shares</w:t>
      </w:r>
      <w:r>
        <w:rPr>
          <w:rFonts w:ascii="Arial" w:cs="Arial" w:eastAsia="Arial" w:hAnsi="Arial"/>
          <w:sz w:val="16"/>
          <w:szCs w:val="16"/>
          <w:color w:val="auto"/>
        </w:rPr>
        <w:t>”) of Common Stock, $0.0001 par value per share (“</w:t>
      </w:r>
      <w:r>
        <w:rPr>
          <w:rFonts w:ascii="Arial" w:cs="Arial" w:eastAsia="Arial" w:hAnsi="Arial"/>
          <w:sz w:val="16"/>
          <w:szCs w:val="16"/>
          <w:u w:val="single" w:color="auto"/>
          <w:color w:val="auto"/>
        </w:rPr>
        <w:t>Common Stock</w:t>
      </w:r>
      <w:r>
        <w:rPr>
          <w:rFonts w:ascii="Arial" w:cs="Arial" w:eastAsia="Arial" w:hAnsi="Arial"/>
          <w:sz w:val="16"/>
          <w:szCs w:val="16"/>
          <w:color w:val="auto"/>
        </w:rPr>
        <w:t>”), of Disc Medicine,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that may be issued pursuant to the Disc Medicine, Inc. Amended and Restated 2021 Stock Option and Incentive Plan, the Disc Medicine, Inc. Amended and Restated 2021 Employee Stock Purchase Plan and the Disc Medicine, Inc. 2017 Stock Option and Grant Plan (collectively, the “</w:t>
      </w:r>
      <w:r>
        <w:rPr>
          <w:rFonts w:ascii="Arial" w:cs="Arial" w:eastAsia="Arial" w:hAnsi="Arial"/>
          <w:sz w:val="16"/>
          <w:szCs w:val="16"/>
          <w:u w:val="single" w:color="auto"/>
          <w:color w:val="auto"/>
        </w:rPr>
        <w:t>Plans</w:t>
      </w:r>
      <w:r>
        <w:rPr>
          <w:rFonts w:ascii="Arial" w:cs="Arial" w:eastAsia="Arial" w:hAnsi="Arial"/>
          <w:sz w:val="16"/>
          <w:szCs w:val="16"/>
          <w:color w:val="auto"/>
        </w:rPr>
        <w:t>”).</w:t>
      </w:r>
    </w:p>
    <w:p>
      <w:pPr>
        <w:spacing w:after="0" w:line="16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have reviewed such documents and made such examination of law as we have deemed appropriate to give the opinions set forth below. We have relied, without independent verification, on certificates of public officials and, as to matters of fact material to the opinion set forth below, on certificates of officers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opinion set forth below is limited to the Delaware General Corporation Law.</w:t>
      </w:r>
    </w:p>
    <w:p>
      <w:pPr>
        <w:spacing w:after="0" w:line="22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For purposes of the opinion set forth below, we have assumed that no event occurs that causes the number of authorized shares of Common Stock available for issuance by the Company to be less than the number of then unissued Shares.</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Based on the foregoing, we are of the opinion that the Shares have been duly authorized and, upon issuance and delivery against payment therefor in accordance with the terms of the Plans, will be validly issued, fully paid and nonassessable.</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 xml:space="preserve">This opinion letter and the opinion it contains shall be interpreted in accordance with the Core Opinion Principles as published in 74 </w:t>
      </w:r>
      <w:r>
        <w:rPr>
          <w:rFonts w:ascii="Arial" w:cs="Arial" w:eastAsia="Arial" w:hAnsi="Arial"/>
          <w:sz w:val="18"/>
          <w:szCs w:val="18"/>
          <w:i w:val="1"/>
          <w:iCs w:val="1"/>
          <w:color w:val="auto"/>
        </w:rPr>
        <w:t>Business Lawyer</w:t>
      </w:r>
      <w:r>
        <w:rPr>
          <w:rFonts w:ascii="Arial" w:cs="Arial" w:eastAsia="Arial" w:hAnsi="Arial"/>
          <w:sz w:val="18"/>
          <w:szCs w:val="18"/>
          <w:color w:val="auto"/>
        </w:rPr>
        <w:t xml:space="preserve"> 815 (Summer 2019).</w:t>
      </w:r>
    </w:p>
    <w:p>
      <w:pPr>
        <w:spacing w:after="0" w:line="170"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We hereby consent to the inclusion of this opinion as Exhibit 5.1 to the Registration Statement. In giving our consent, we do not admit that we are in the category of persons whose consent is required under Section 7 of the Securities Act or the rules and regulations thereunder.</w:t>
      </w:r>
    </w:p>
    <w:p>
      <w:pPr>
        <w:spacing w:after="0" w:line="14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Goodwin Procter LLP</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 xml:space="preserve">GOODWIN PROCTER </w:t>
      </w:r>
      <w:r>
        <w:rPr>
          <w:rFonts w:ascii="Arial" w:cs="Arial" w:eastAsia="Arial" w:hAnsi="Arial"/>
          <w:sz w:val="14"/>
          <w:szCs w:val="14"/>
          <w:color w:val="auto"/>
        </w:rPr>
        <w:t>LLP</w:t>
      </w:r>
    </w:p>
    <w:p>
      <w:pPr>
        <w:sectPr>
          <w:pgSz w:w="11900" w:h="16838" w:orient="portrait"/>
          <w:cols w:equalWidth="0" w:num="1">
            <w:col w:w="11020"/>
          </w:cols>
          <w:pgMar w:left="440" w:top="121" w:right="4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23.1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We consent to the incorporation by reference in the Registration Statement (Form S-8) pertaining to the Amended and Restated 2021 Stock Option and Incentive Plan of Disc Medicine, Inc., Amended and Restated 2021 Employee Stock Purchase Plan of Disc Medicine, Inc. and 2017 Stock Option and Grant Plan of Disc Medicine, Inc. of our report dated March 10, 2022, with respect to the consolidated financial statements of Gemini Therapeutics, Inc. included in its Annual Report (Form 10-K) for the year ended December 31, 2021, filed with the Securities and Exchange Commission.</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17, 2023</w:t>
      </w:r>
    </w:p>
    <w:p>
      <w:pPr>
        <w:sectPr>
          <w:pgSz w:w="11900" w:h="16838" w:orient="portrait"/>
          <w:cols w:equalWidth="0" w:num="1">
            <w:col w:w="11020"/>
          </w:cols>
          <w:pgMar w:left="440" w:top="121" w:right="4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23.2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We consent to the incorporation by reference in the Registration Statement (Form S-8) pertaining to the Amended and Restated 2021 Stock Option and Incentive Plan of Disc Medicine, Inc., Amended and Restated 2021 Employee Stock Purchase Plan of Disc Medicine, Inc. and 2017 Stock Option and Grant Plan of Disc Medicine, Inc. of our report dated March 25, 2022, with respect to the consolidated financial statements of Disc Medicine Inc. included in Disc Medicine, Inc.’s Current Report on Form 8-K dated December 29, 2022, filed with the Securities and Exchange Commission.</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17, 2023</w:t>
      </w:r>
    </w:p>
    <w:p>
      <w:pPr>
        <w:sectPr>
          <w:pgSz w:w="11900" w:h="16838" w:orient="portrait"/>
          <w:cols w:equalWidth="0" w:num="1">
            <w:col w:w="11020"/>
          </w:cols>
          <w:pgMar w:left="440" w:top="121" w:right="4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DISC MEDICINE,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2021 STOCK</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 AND INCENTIVE PLAN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GENERAL PURPOSE OF THE PLAN; DEFINITIONS</w:t>
      </w:r>
    </w:p>
    <w:p>
      <w:pPr>
        <w:spacing w:after="0" w:line="117" w:lineRule="exact"/>
        <w:rPr>
          <w:sz w:val="20"/>
          <w:szCs w:val="20"/>
          <w:color w:val="auto"/>
        </w:rPr>
      </w:pPr>
    </w:p>
    <w:p>
      <w:pPr>
        <w:ind w:right="180" w:firstLine="440"/>
        <w:spacing w:after="0" w:line="255" w:lineRule="auto"/>
        <w:rPr>
          <w:sz w:val="20"/>
          <w:szCs w:val="20"/>
          <w:color w:val="auto"/>
        </w:rPr>
      </w:pPr>
      <w:r>
        <w:rPr>
          <w:rFonts w:ascii="Arial" w:cs="Arial" w:eastAsia="Arial" w:hAnsi="Arial"/>
          <w:sz w:val="18"/>
          <w:szCs w:val="18"/>
          <w:color w:val="auto"/>
        </w:rPr>
        <w:t>The name of the plan is the Disc Medicine, Inc. Amended and Restated 2021 Stock Option and Incentive Plan (the “Plan”). The purpose of the Plan is to encourage and enable the officers, employees, Non-Employee Directors and Consultants of Disc Medicine, Inc. (the “Company”) and its Affiliates upon whose judgment, initiative and efforts the Company largely depends for the successful conduct of its business to acquire a proprietary interest in the Company. It is anticipated that providing such persons with a direct stake in the Company’s welfare will assure a closer identification of their interests with those of the Company and its stockholders, thereby stimulating their efforts on the Company’s behalf and strengthening their desire to remain with the Company.</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terms shall be defined as set forth below:</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“Act” </w:t>
      </w:r>
      <w:r>
        <w:rPr>
          <w:rFonts w:ascii="Arial" w:cs="Arial" w:eastAsia="Arial" w:hAnsi="Arial"/>
          <w:sz w:val="18"/>
          <w:szCs w:val="18"/>
          <w:color w:val="auto"/>
        </w:rPr>
        <w:t>means the Securities Act of 1933, as amended, and the rules and regulations thereunder.</w:t>
      </w:r>
    </w:p>
    <w:p>
      <w:pPr>
        <w:spacing w:after="0" w:line="225"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i w:val="1"/>
          <w:iCs w:val="1"/>
          <w:color w:val="auto"/>
        </w:rPr>
        <w:t xml:space="preserve">“Administrator” </w:t>
      </w:r>
      <w:r>
        <w:rPr>
          <w:rFonts w:ascii="Arial" w:cs="Arial" w:eastAsia="Arial" w:hAnsi="Arial"/>
          <w:sz w:val="18"/>
          <w:szCs w:val="18"/>
          <w:color w:val="auto"/>
        </w:rPr>
        <w:t>means either the Board or the compensation committee of the Board or a similar committee performing the functions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committee and which is comprised of not less than two Non Employee Directors who are independent.</w:t>
      </w:r>
    </w:p>
    <w:p>
      <w:pPr>
        <w:spacing w:after="0" w:line="170" w:lineRule="exact"/>
        <w:rPr>
          <w:sz w:val="20"/>
          <w:szCs w:val="20"/>
          <w:color w:val="auto"/>
        </w:rPr>
      </w:pPr>
    </w:p>
    <w:p>
      <w:pPr>
        <w:ind w:right="2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Affiliate</w:t>
      </w:r>
      <w:r>
        <w:rPr>
          <w:rFonts w:ascii="Arial" w:cs="Arial" w:eastAsia="Arial" w:hAnsi="Arial"/>
          <w:sz w:val="16"/>
          <w:szCs w:val="16"/>
          <w:color w:val="auto"/>
        </w:rPr>
        <w:t>” means, at the time of determination, any “parent” or “subsidiary” of the Company as such terms are defined in Rule 405 of the Act. The Board will have the authority to determine the time or times at which “parent” or “subsidiary” status is determined within the foregoing definition.</w:t>
      </w:r>
    </w:p>
    <w:p>
      <w:pPr>
        <w:spacing w:after="0" w:line="124" w:lineRule="exact"/>
        <w:rPr>
          <w:sz w:val="20"/>
          <w:szCs w:val="20"/>
          <w:color w:val="auto"/>
        </w:rPr>
      </w:pPr>
    </w:p>
    <w:p>
      <w:pPr>
        <w:ind w:right="360" w:firstLine="440"/>
        <w:spacing w:after="0" w:line="263" w:lineRule="auto"/>
        <w:rPr>
          <w:sz w:val="20"/>
          <w:szCs w:val="20"/>
          <w:color w:val="auto"/>
        </w:rPr>
      </w:pPr>
      <w:r>
        <w:rPr>
          <w:rFonts w:ascii="Arial" w:cs="Arial" w:eastAsia="Arial" w:hAnsi="Arial"/>
          <w:sz w:val="18"/>
          <w:szCs w:val="18"/>
          <w:i w:val="1"/>
          <w:iCs w:val="1"/>
          <w:color w:val="auto"/>
        </w:rPr>
        <w:t xml:space="preserve">“Award” </w:t>
      </w:r>
      <w:r>
        <w:rPr>
          <w:rFonts w:ascii="Arial" w:cs="Arial" w:eastAsia="Arial" w:hAnsi="Arial"/>
          <w:sz w:val="18"/>
          <w:szCs w:val="18"/>
          <w:color w:val="auto"/>
        </w:rPr>
        <w:t>or</w:t>
      </w:r>
      <w:r>
        <w:rPr>
          <w:rFonts w:ascii="Arial" w:cs="Arial" w:eastAsia="Arial" w:hAnsi="Arial"/>
          <w:sz w:val="18"/>
          <w:szCs w:val="18"/>
          <w:i w:val="1"/>
          <w:iCs w:val="1"/>
          <w:color w:val="auto"/>
        </w:rPr>
        <w:t xml:space="preserve"> “Awards,” </w:t>
      </w:r>
      <w:r>
        <w:rPr>
          <w:rFonts w:ascii="Arial" w:cs="Arial" w:eastAsia="Arial" w:hAnsi="Arial"/>
          <w:sz w:val="18"/>
          <w:szCs w:val="18"/>
          <w:color w:val="auto"/>
        </w:rPr>
        <w:t>except where referring to a particular category of grant under the Plan, shall include Incentive Stock Options,</w:t>
      </w:r>
      <w:r>
        <w:rPr>
          <w:rFonts w:ascii="Arial" w:cs="Arial" w:eastAsia="Arial" w:hAnsi="Arial"/>
          <w:sz w:val="18"/>
          <w:szCs w:val="18"/>
          <w:i w:val="1"/>
          <w:iCs w:val="1"/>
          <w:color w:val="auto"/>
        </w:rPr>
        <w:t xml:space="preserve"> </w:t>
      </w:r>
      <w:r>
        <w:rPr>
          <w:rFonts w:ascii="Arial" w:cs="Arial" w:eastAsia="Arial" w:hAnsi="Arial"/>
          <w:sz w:val="18"/>
          <w:szCs w:val="18"/>
          <w:color w:val="auto"/>
        </w:rPr>
        <w:t>Non-Qualified Stock Options, Stock Appreciation Rights, Restricted Stock Units, Restricted Stock Awards, Unrestricted Stock Awards, Cash-Based Awards, and Dividend Equivalent Rights.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 xml:space="preserve">“Award Certificate” </w:t>
      </w:r>
      <w:r>
        <w:rPr>
          <w:rFonts w:ascii="Arial" w:cs="Arial" w:eastAsia="Arial" w:hAnsi="Arial"/>
          <w:sz w:val="16"/>
          <w:szCs w:val="16"/>
          <w:color w:val="auto"/>
        </w:rPr>
        <w:t>means a written or electronic document setting forth the terms and provisions applicable to an Award granted under the Plan.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Each Award Certificate is subject to the terms and conditions of the Plan.</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“Board” </w:t>
      </w:r>
      <w:r>
        <w:rPr>
          <w:rFonts w:ascii="Arial" w:cs="Arial" w:eastAsia="Arial" w:hAnsi="Arial"/>
          <w:sz w:val="18"/>
          <w:szCs w:val="18"/>
          <w:color w:val="auto"/>
        </w:rPr>
        <w:t>means the Board of Directors of the Company.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“Cash-Based Award” </w:t>
      </w:r>
      <w:r>
        <w:rPr>
          <w:rFonts w:ascii="Arial" w:cs="Arial" w:eastAsia="Arial" w:hAnsi="Arial"/>
          <w:sz w:val="18"/>
          <w:szCs w:val="18"/>
          <w:color w:val="auto"/>
        </w:rPr>
        <w:t>means an Award entitling the recipient to receive a cash-denominated payment.</w:t>
      </w:r>
    </w:p>
    <w:p>
      <w:pPr>
        <w:spacing w:after="0" w:line="225"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 Date</w:t>
      </w:r>
      <w:r>
        <w:rPr>
          <w:rFonts w:ascii="Arial" w:cs="Arial" w:eastAsia="Arial" w:hAnsi="Arial"/>
          <w:sz w:val="18"/>
          <w:szCs w:val="18"/>
          <w:color w:val="auto"/>
        </w:rPr>
        <w:t>” means the date of the closing of the transactions contemplated by that certain Merger Agreement, dated as of October 15, 2020, by and among the Company and the other parties thereto.</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 xml:space="preserve">“Code” </w:t>
      </w:r>
      <w:r>
        <w:rPr>
          <w:rFonts w:ascii="Arial" w:cs="Arial" w:eastAsia="Arial" w:hAnsi="Arial"/>
          <w:sz w:val="17"/>
          <w:szCs w:val="17"/>
          <w:color w:val="auto"/>
        </w:rPr>
        <w:t>means the Internal Revenue Code of 1986, as amended, and any successor Code, and related rules, regulations and interpretations.</w:t>
      </w:r>
    </w:p>
    <w:p>
      <w:pPr>
        <w:spacing w:after="0" w:line="237"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i w:val="1"/>
          <w:iCs w:val="1"/>
          <w:color w:val="auto"/>
        </w:rPr>
        <w:t xml:space="preserve">“Consultant” </w:t>
      </w:r>
      <w:r>
        <w:rPr>
          <w:rFonts w:ascii="Arial" w:cs="Arial" w:eastAsia="Arial" w:hAnsi="Arial"/>
          <w:sz w:val="18"/>
          <w:szCs w:val="18"/>
          <w:color w:val="auto"/>
        </w:rPr>
        <w:t>means a consultant or adviser who provides</w:t>
      </w:r>
      <w:r>
        <w:rPr>
          <w:rFonts w:ascii="Arial" w:cs="Arial" w:eastAsia="Arial" w:hAnsi="Arial"/>
          <w:sz w:val="18"/>
          <w:szCs w:val="18"/>
          <w:i w:val="1"/>
          <w:iCs w:val="1"/>
          <w:color w:val="auto"/>
        </w:rPr>
        <w:t xml:space="preserve"> bona fide </w:t>
      </w:r>
      <w:r>
        <w:rPr>
          <w:rFonts w:ascii="Arial" w:cs="Arial" w:eastAsia="Arial" w:hAnsi="Arial"/>
          <w:sz w:val="18"/>
          <w:szCs w:val="18"/>
          <w:color w:val="auto"/>
        </w:rPr>
        <w:t>services to the Company or an Affiliate as an independent contractor and who</w:t>
      </w:r>
      <w:r>
        <w:rPr>
          <w:rFonts w:ascii="Arial" w:cs="Arial" w:eastAsia="Arial" w:hAnsi="Arial"/>
          <w:sz w:val="18"/>
          <w:szCs w:val="18"/>
          <w:i w:val="1"/>
          <w:iCs w:val="1"/>
          <w:color w:val="auto"/>
        </w:rPr>
        <w:t xml:space="preserve"> </w:t>
      </w:r>
      <w:r>
        <w:rPr>
          <w:rFonts w:ascii="Arial" w:cs="Arial" w:eastAsia="Arial" w:hAnsi="Arial"/>
          <w:sz w:val="18"/>
          <w:szCs w:val="18"/>
          <w:color w:val="auto"/>
        </w:rPr>
        <w:t>qualifies as a consultant or advisor under Instruction A.1.(a)(1) of Form S-8 under the Act.</w:t>
      </w:r>
    </w:p>
    <w:p>
      <w:pPr>
        <w:sectPr>
          <w:pgSz w:w="11900" w:h="16838" w:orient="portrait"/>
          <w:cols w:equalWidth="0" w:num="1">
            <w:col w:w="11020"/>
          </w:cols>
          <w:pgMar w:left="440" w:top="121" w:right="439" w:bottom="1440" w:gutter="0" w:footer="0" w:header="0"/>
        </w:sectPr>
      </w:pPr>
    </w:p>
    <w:bookmarkStart w:id="13" w:name="page14"/>
    <w:bookmarkEnd w:id="13"/>
    <w:p>
      <w:pPr>
        <w:ind w:left="4" w:right="80" w:firstLine="440"/>
        <w:spacing w:after="0" w:line="342"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“Dividend Equivalent Right” </w:t>
      </w:r>
      <w:r>
        <w:rPr>
          <w:rFonts w:ascii="Arial" w:cs="Arial" w:eastAsia="Arial" w:hAnsi="Arial"/>
          <w:sz w:val="16"/>
          <w:szCs w:val="16"/>
          <w:color w:val="auto"/>
        </w:rPr>
        <w:t>means an Award entitling the grantee to receive credits based on cash dividends that would have been paid on the</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of Stock specified in the Dividend Equivalent Right (or other award to which it relates) if such shares had been issued to and held by the grantee.</w:t>
      </w:r>
    </w:p>
    <w:p>
      <w:pPr>
        <w:spacing w:after="0" w:line="124" w:lineRule="exact"/>
        <w:rPr>
          <w:sz w:val="20"/>
          <w:szCs w:val="20"/>
          <w:color w:val="auto"/>
        </w:rPr>
      </w:pPr>
    </w:p>
    <w:p>
      <w:pPr>
        <w:ind w:left="444"/>
        <w:spacing w:after="0"/>
        <w:rPr>
          <w:sz w:val="20"/>
          <w:szCs w:val="20"/>
          <w:color w:val="auto"/>
        </w:rPr>
      </w:pPr>
      <w:r>
        <w:rPr>
          <w:rFonts w:ascii="Arial" w:cs="Arial" w:eastAsia="Arial" w:hAnsi="Arial"/>
          <w:sz w:val="18"/>
          <w:szCs w:val="18"/>
          <w:i w:val="1"/>
          <w:iCs w:val="1"/>
          <w:color w:val="auto"/>
        </w:rPr>
        <w:t xml:space="preserve">“Effective Date” </w:t>
      </w:r>
      <w:r>
        <w:rPr>
          <w:rFonts w:ascii="Arial" w:cs="Arial" w:eastAsia="Arial" w:hAnsi="Arial"/>
          <w:sz w:val="18"/>
          <w:szCs w:val="18"/>
          <w:color w:val="auto"/>
        </w:rPr>
        <w:t>means the date on which the Plan becomes effective as set forth in Section 19.</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i w:val="1"/>
          <w:iCs w:val="1"/>
          <w:color w:val="auto"/>
        </w:rPr>
        <w:t xml:space="preserve">“Exchange Act” </w:t>
      </w:r>
      <w:r>
        <w:rPr>
          <w:rFonts w:ascii="Arial" w:cs="Arial" w:eastAsia="Arial" w:hAnsi="Arial"/>
          <w:sz w:val="18"/>
          <w:szCs w:val="18"/>
          <w:color w:val="auto"/>
        </w:rPr>
        <w:t>means the Securities Exchange Act of 1934, as amended, and the rules and regulations thereunder.</w:t>
      </w:r>
    </w:p>
    <w:p>
      <w:pPr>
        <w:spacing w:after="0" w:line="225" w:lineRule="exact"/>
        <w:rPr>
          <w:sz w:val="20"/>
          <w:szCs w:val="20"/>
          <w:color w:val="auto"/>
        </w:rPr>
      </w:pPr>
    </w:p>
    <w:p>
      <w:pPr>
        <w:ind w:left="4" w:right="20" w:firstLine="440"/>
        <w:spacing w:after="0" w:line="257" w:lineRule="auto"/>
        <w:rPr>
          <w:sz w:val="20"/>
          <w:szCs w:val="20"/>
          <w:color w:val="auto"/>
        </w:rPr>
      </w:pPr>
      <w:r>
        <w:rPr>
          <w:rFonts w:ascii="Arial" w:cs="Arial" w:eastAsia="Arial" w:hAnsi="Arial"/>
          <w:sz w:val="18"/>
          <w:szCs w:val="18"/>
          <w:i w:val="1"/>
          <w:iCs w:val="1"/>
          <w:color w:val="auto"/>
        </w:rPr>
        <w:t xml:space="preserve">“Fair Market Value” </w:t>
      </w:r>
      <w:r>
        <w:rPr>
          <w:rFonts w:ascii="Arial" w:cs="Arial" w:eastAsia="Arial" w:hAnsi="Arial"/>
          <w:sz w:val="18"/>
          <w:szCs w:val="18"/>
          <w:color w:val="auto"/>
        </w:rPr>
        <w:t>of the Stock on any given date means the fair market value of the Stock determined in good faith by the Administrator;</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however, that if the Stock is listed on the National Association of Securities Dealers Automated Quotation System (“Nasdaq”), Nasdaq Global Market, The New York Stock Exchange or another national securities exchange or traded on any established market, the determination shall be made by reference to market quotations. If there are no market quotations for such date, the determination shall be made by reference to the last date preceding such date for which there are market quotations.</w:t>
      </w:r>
    </w:p>
    <w:p>
      <w:pPr>
        <w:spacing w:after="0" w:line="188" w:lineRule="exact"/>
        <w:rPr>
          <w:sz w:val="20"/>
          <w:szCs w:val="20"/>
          <w:color w:val="auto"/>
        </w:rPr>
      </w:pPr>
    </w:p>
    <w:p>
      <w:pPr>
        <w:ind w:left="444"/>
        <w:spacing w:after="0"/>
        <w:rPr>
          <w:sz w:val="20"/>
          <w:szCs w:val="20"/>
          <w:color w:val="auto"/>
        </w:rPr>
      </w:pPr>
      <w:r>
        <w:rPr>
          <w:rFonts w:ascii="Arial" w:cs="Arial" w:eastAsia="Arial" w:hAnsi="Arial"/>
          <w:sz w:val="16"/>
          <w:szCs w:val="16"/>
          <w:i w:val="1"/>
          <w:iCs w:val="1"/>
          <w:color w:val="auto"/>
        </w:rPr>
        <w:t xml:space="preserve">“Incentive Stock Option” </w:t>
      </w:r>
      <w:r>
        <w:rPr>
          <w:rFonts w:ascii="Arial" w:cs="Arial" w:eastAsia="Arial" w:hAnsi="Arial"/>
          <w:sz w:val="16"/>
          <w:szCs w:val="16"/>
          <w:color w:val="auto"/>
        </w:rPr>
        <w:t>means any Stock Option designated and qualified as an “incentive stock option” as defined in Section 422 of the Code.</w:t>
      </w:r>
    </w:p>
    <w:p>
      <w:pPr>
        <w:spacing w:after="0" w:line="248" w:lineRule="exact"/>
        <w:rPr>
          <w:sz w:val="20"/>
          <w:szCs w:val="20"/>
          <w:color w:val="auto"/>
        </w:rPr>
      </w:pPr>
    </w:p>
    <w:p>
      <w:pPr>
        <w:ind w:left="444"/>
        <w:spacing w:after="0"/>
        <w:rPr>
          <w:sz w:val="20"/>
          <w:szCs w:val="20"/>
          <w:color w:val="auto"/>
        </w:rPr>
      </w:pPr>
      <w:r>
        <w:rPr>
          <w:rFonts w:ascii="Arial" w:cs="Arial" w:eastAsia="Arial" w:hAnsi="Arial"/>
          <w:sz w:val="18"/>
          <w:szCs w:val="18"/>
          <w:i w:val="1"/>
          <w:iCs w:val="1"/>
          <w:color w:val="auto"/>
        </w:rPr>
        <w:t xml:space="preserve">“Non-Employee Director” </w:t>
      </w:r>
      <w:r>
        <w:rPr>
          <w:rFonts w:ascii="Arial" w:cs="Arial" w:eastAsia="Arial" w:hAnsi="Arial"/>
          <w:sz w:val="18"/>
          <w:szCs w:val="18"/>
          <w:color w:val="auto"/>
        </w:rPr>
        <w:t>means a member of the Board who is not also an employee of the Company or any Subsidiary.</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i w:val="1"/>
          <w:iCs w:val="1"/>
          <w:color w:val="auto"/>
        </w:rPr>
        <w:t xml:space="preserve">“Non-Qualified Stock Option” </w:t>
      </w:r>
      <w:r>
        <w:rPr>
          <w:rFonts w:ascii="Arial" w:cs="Arial" w:eastAsia="Arial" w:hAnsi="Arial"/>
          <w:sz w:val="18"/>
          <w:szCs w:val="18"/>
          <w:color w:val="auto"/>
        </w:rPr>
        <w:t>means any Stock Option that is not an Incentive Stock Option.</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i w:val="1"/>
          <w:iCs w:val="1"/>
          <w:color w:val="auto"/>
        </w:rPr>
        <w:t xml:space="preserve">“Option” </w:t>
      </w:r>
      <w:r>
        <w:rPr>
          <w:rFonts w:ascii="Arial" w:cs="Arial" w:eastAsia="Arial" w:hAnsi="Arial"/>
          <w:sz w:val="18"/>
          <w:szCs w:val="18"/>
          <w:color w:val="auto"/>
        </w:rPr>
        <w:t>or</w:t>
      </w:r>
      <w:r>
        <w:rPr>
          <w:rFonts w:ascii="Arial" w:cs="Arial" w:eastAsia="Arial" w:hAnsi="Arial"/>
          <w:sz w:val="18"/>
          <w:szCs w:val="18"/>
          <w:i w:val="1"/>
          <w:iCs w:val="1"/>
          <w:color w:val="auto"/>
        </w:rPr>
        <w:t xml:space="preserve"> “Stock Option” </w:t>
      </w:r>
      <w:r>
        <w:rPr>
          <w:rFonts w:ascii="Arial" w:cs="Arial" w:eastAsia="Arial" w:hAnsi="Arial"/>
          <w:sz w:val="18"/>
          <w:szCs w:val="18"/>
          <w:color w:val="auto"/>
        </w:rPr>
        <w:t>means any option to purchase shares of Stock granted pursuant to Section 5.</w:t>
      </w:r>
    </w:p>
    <w:p>
      <w:pPr>
        <w:spacing w:after="0" w:line="225" w:lineRule="exact"/>
        <w:rPr>
          <w:sz w:val="20"/>
          <w:szCs w:val="20"/>
          <w:color w:val="auto"/>
        </w:rPr>
      </w:pPr>
    </w:p>
    <w:p>
      <w:pPr>
        <w:ind w:left="4" w:right="220" w:firstLine="440"/>
        <w:spacing w:after="0" w:line="277" w:lineRule="auto"/>
        <w:rPr>
          <w:sz w:val="20"/>
          <w:szCs w:val="20"/>
          <w:color w:val="auto"/>
        </w:rPr>
      </w:pPr>
      <w:r>
        <w:rPr>
          <w:rFonts w:ascii="Arial" w:cs="Arial" w:eastAsia="Arial" w:hAnsi="Arial"/>
          <w:sz w:val="18"/>
          <w:szCs w:val="18"/>
          <w:i w:val="1"/>
          <w:iCs w:val="1"/>
          <w:color w:val="auto"/>
        </w:rPr>
        <w:t xml:space="preserve">“Restricted Shares” </w:t>
      </w:r>
      <w:r>
        <w:rPr>
          <w:rFonts w:ascii="Arial" w:cs="Arial" w:eastAsia="Arial" w:hAnsi="Arial"/>
          <w:sz w:val="18"/>
          <w:szCs w:val="18"/>
          <w:color w:val="auto"/>
        </w:rPr>
        <w:t>means the shares of Stock underlying a Restricted Stock Award that remain subject to a risk of forfeiture or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right of repurchase.</w:t>
      </w:r>
    </w:p>
    <w:p>
      <w:pPr>
        <w:spacing w:after="0" w:line="170" w:lineRule="exact"/>
        <w:rPr>
          <w:sz w:val="20"/>
          <w:szCs w:val="20"/>
          <w:color w:val="auto"/>
        </w:rPr>
      </w:pPr>
    </w:p>
    <w:p>
      <w:pPr>
        <w:ind w:left="4" w:right="100" w:firstLine="440"/>
        <w:spacing w:after="0" w:line="277" w:lineRule="auto"/>
        <w:rPr>
          <w:sz w:val="20"/>
          <w:szCs w:val="20"/>
          <w:color w:val="auto"/>
        </w:rPr>
      </w:pPr>
      <w:r>
        <w:rPr>
          <w:rFonts w:ascii="Arial" w:cs="Arial" w:eastAsia="Arial" w:hAnsi="Arial"/>
          <w:sz w:val="18"/>
          <w:szCs w:val="18"/>
          <w:i w:val="1"/>
          <w:iCs w:val="1"/>
          <w:color w:val="auto"/>
        </w:rPr>
        <w:t xml:space="preserve">“Restricted Stock Award” </w:t>
      </w:r>
      <w:r>
        <w:rPr>
          <w:rFonts w:ascii="Arial" w:cs="Arial" w:eastAsia="Arial" w:hAnsi="Arial"/>
          <w:sz w:val="18"/>
          <w:szCs w:val="18"/>
          <w:color w:val="auto"/>
        </w:rPr>
        <w:t>means an Award of Restricted Shares subject to such restrictions and conditions as the Administrator may determine at</w:t>
      </w:r>
      <w:r>
        <w:rPr>
          <w:rFonts w:ascii="Arial" w:cs="Arial" w:eastAsia="Arial" w:hAnsi="Arial"/>
          <w:sz w:val="18"/>
          <w:szCs w:val="18"/>
          <w:i w:val="1"/>
          <w:iCs w:val="1"/>
          <w:color w:val="auto"/>
        </w:rPr>
        <w:t xml:space="preserve"> </w:t>
      </w:r>
      <w:r>
        <w:rPr>
          <w:rFonts w:ascii="Arial" w:cs="Arial" w:eastAsia="Arial" w:hAnsi="Arial"/>
          <w:sz w:val="18"/>
          <w:szCs w:val="18"/>
          <w:color w:val="auto"/>
        </w:rPr>
        <w:t>the time of grant.</w:t>
      </w:r>
    </w:p>
    <w:p>
      <w:pPr>
        <w:spacing w:after="0" w:line="170" w:lineRule="exact"/>
        <w:rPr>
          <w:sz w:val="20"/>
          <w:szCs w:val="20"/>
          <w:color w:val="auto"/>
        </w:rPr>
      </w:pPr>
    </w:p>
    <w:p>
      <w:pPr>
        <w:ind w:left="4" w:right="20" w:firstLine="440"/>
        <w:spacing w:after="0" w:line="277" w:lineRule="auto"/>
        <w:rPr>
          <w:sz w:val="20"/>
          <w:szCs w:val="20"/>
          <w:color w:val="auto"/>
        </w:rPr>
      </w:pPr>
      <w:r>
        <w:rPr>
          <w:rFonts w:ascii="Arial" w:cs="Arial" w:eastAsia="Arial" w:hAnsi="Arial"/>
          <w:sz w:val="18"/>
          <w:szCs w:val="18"/>
          <w:i w:val="1"/>
          <w:iCs w:val="1"/>
          <w:color w:val="auto"/>
        </w:rPr>
        <w:t xml:space="preserve">“Restricted Stock Units” </w:t>
      </w:r>
      <w:r>
        <w:rPr>
          <w:rFonts w:ascii="Arial" w:cs="Arial" w:eastAsia="Arial" w:hAnsi="Arial"/>
          <w:sz w:val="18"/>
          <w:szCs w:val="18"/>
          <w:color w:val="auto"/>
        </w:rPr>
        <w:t>means an Award of stock units subject to such restrictions and conditions as the Administrator may determine at the time</w:t>
      </w:r>
      <w:r>
        <w:rPr>
          <w:rFonts w:ascii="Arial" w:cs="Arial" w:eastAsia="Arial" w:hAnsi="Arial"/>
          <w:sz w:val="18"/>
          <w:szCs w:val="18"/>
          <w:i w:val="1"/>
          <w:iCs w:val="1"/>
          <w:color w:val="auto"/>
        </w:rPr>
        <w:t xml:space="preserve"> </w:t>
      </w:r>
      <w:r>
        <w:rPr>
          <w:rFonts w:ascii="Arial" w:cs="Arial" w:eastAsia="Arial" w:hAnsi="Arial"/>
          <w:sz w:val="18"/>
          <w:szCs w:val="18"/>
          <w:color w:val="auto"/>
        </w:rPr>
        <w:t>of grant.</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6"/>
          <w:szCs w:val="16"/>
          <w:i w:val="1"/>
          <w:iCs w:val="1"/>
          <w:color w:val="auto"/>
        </w:rPr>
        <w:t xml:space="preserve">“Sale Event” </w:t>
      </w:r>
      <w:r>
        <w:rPr>
          <w:rFonts w:ascii="Arial" w:cs="Arial" w:eastAsia="Arial" w:hAnsi="Arial"/>
          <w:sz w:val="16"/>
          <w:szCs w:val="16"/>
          <w:color w:val="auto"/>
        </w:rPr>
        <w:t>means (i) the sale of all or substantially all of the assets of the Company on a consolidated basis to an unrelated person or entity,</w:t>
      </w:r>
    </w:p>
    <w:p>
      <w:pPr>
        <w:spacing w:after="0" w:line="46" w:lineRule="exact"/>
        <w:rPr>
          <w:sz w:val="20"/>
          <w:szCs w:val="20"/>
          <w:color w:val="auto"/>
        </w:rPr>
      </w:pPr>
    </w:p>
    <w:p>
      <w:pPr>
        <w:ind w:left="264" w:hanging="264"/>
        <w:spacing w:after="0"/>
        <w:tabs>
          <w:tab w:leader="none" w:pos="264" w:val="left"/>
        </w:tabs>
        <w:numPr>
          <w:ilvl w:val="0"/>
          <w:numId w:val="11"/>
        </w:numPr>
        <w:rPr>
          <w:rFonts w:ascii="Arial" w:cs="Arial" w:eastAsia="Arial" w:hAnsi="Arial"/>
          <w:sz w:val="17"/>
          <w:szCs w:val="17"/>
          <w:color w:val="auto"/>
        </w:rPr>
      </w:pPr>
      <w:r>
        <w:rPr>
          <w:rFonts w:ascii="Arial" w:cs="Arial" w:eastAsia="Arial" w:hAnsi="Arial"/>
          <w:sz w:val="17"/>
          <w:szCs w:val="17"/>
          <w:color w:val="auto"/>
        </w:rPr>
        <w:t>a merger, reorganization or consolidation pursuant to which the holders of the Company’s outstanding voting power and outstanding stock</w:t>
      </w:r>
    </w:p>
    <w:p>
      <w:pPr>
        <w:spacing w:after="0" w:line="20" w:lineRule="exact"/>
        <w:rPr>
          <w:rFonts w:ascii="Arial" w:cs="Arial" w:eastAsia="Arial" w:hAnsi="Arial"/>
          <w:sz w:val="17"/>
          <w:szCs w:val="17"/>
          <w:color w:val="auto"/>
        </w:rPr>
      </w:pPr>
    </w:p>
    <w:p>
      <w:pPr>
        <w:ind w:left="4"/>
        <w:spacing w:after="0" w:line="292" w:lineRule="auto"/>
        <w:rPr>
          <w:rFonts w:ascii="Arial" w:cs="Arial" w:eastAsia="Arial" w:hAnsi="Arial"/>
          <w:sz w:val="17"/>
          <w:szCs w:val="17"/>
          <w:color w:val="auto"/>
        </w:rPr>
      </w:pPr>
      <w:r>
        <w:rPr>
          <w:rFonts w:ascii="Arial" w:cs="Arial" w:eastAsia="Arial" w:hAnsi="Arial"/>
          <w:sz w:val="16"/>
          <w:szCs w:val="16"/>
          <w:color w:val="auto"/>
        </w:rPr>
        <w:t>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thereof acting in concert, or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w:t>
      </w:r>
    </w:p>
    <w:p>
      <w:pPr>
        <w:spacing w:after="0" w:line="162" w:lineRule="exact"/>
        <w:rPr>
          <w:sz w:val="20"/>
          <w:szCs w:val="20"/>
          <w:color w:val="auto"/>
        </w:rPr>
      </w:pPr>
    </w:p>
    <w:p>
      <w:pPr>
        <w:ind w:left="4" w:right="2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Sale Price</w:t>
      </w:r>
      <w:r>
        <w:rPr>
          <w:rFonts w:ascii="Arial" w:cs="Arial" w:eastAsia="Arial" w:hAnsi="Arial"/>
          <w:sz w:val="18"/>
          <w:szCs w:val="18"/>
          <w:color w:val="auto"/>
        </w:rPr>
        <w:t>” means the value as determined by the Administrator of the consideration payable, or otherwise to be received by stockholders, per share of Stock pursuant to a Sale Event.</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i w:val="1"/>
          <w:iCs w:val="1"/>
          <w:color w:val="auto"/>
        </w:rPr>
        <w:t xml:space="preserve">“Section 409A” </w:t>
      </w:r>
      <w:r>
        <w:rPr>
          <w:rFonts w:ascii="Arial" w:cs="Arial" w:eastAsia="Arial" w:hAnsi="Arial"/>
          <w:sz w:val="18"/>
          <w:szCs w:val="18"/>
          <w:color w:val="auto"/>
        </w:rPr>
        <w:t>means Section 409A of the Code and the regulations and other guidance promulgated thereunder.</w:t>
      </w:r>
    </w:p>
    <w:p>
      <w:pPr>
        <w:sectPr>
          <w:pgSz w:w="11900" w:h="16838" w:orient="portrait"/>
          <w:cols w:equalWidth="0" w:num="1">
            <w:col w:w="11004"/>
          </w:cols>
          <w:pgMar w:left="436" w:top="274" w:right="459" w:bottom="1440" w:gutter="0" w:footer="0" w:header="0"/>
        </w:sectPr>
      </w:pPr>
    </w:p>
    <w:bookmarkStart w:id="14" w:name="page15"/>
    <w:bookmarkEnd w:id="14"/>
    <w:p>
      <w:pPr>
        <w:ind w:firstLine="440"/>
        <w:spacing w:after="0" w:line="263"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“Service Relationship” </w:t>
      </w:r>
      <w:r>
        <w:rPr>
          <w:rFonts w:ascii="Arial" w:cs="Arial" w:eastAsia="Arial" w:hAnsi="Arial"/>
          <w:sz w:val="18"/>
          <w:szCs w:val="18"/>
          <w:color w:val="auto"/>
        </w:rPr>
        <w:t>means any relationship as an employee, director or Consultant of the Company or any Affiliate (e.g., a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Relationship shall be deemed to continue without interruption in the event an individual’s status changes from full-time employee to part-time employee or Consultant).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“Stock” </w:t>
      </w:r>
      <w:r>
        <w:rPr>
          <w:rFonts w:ascii="Arial" w:cs="Arial" w:eastAsia="Arial" w:hAnsi="Arial"/>
          <w:sz w:val="18"/>
          <w:szCs w:val="18"/>
          <w:color w:val="auto"/>
        </w:rPr>
        <w:t>means the Common Stock, par value $0.0001 per share, of the Company, subject to adjustments pursuant to Section 3.</w:t>
      </w:r>
    </w:p>
    <w:p>
      <w:pPr>
        <w:spacing w:after="0" w:line="225"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i w:val="1"/>
          <w:iCs w:val="1"/>
          <w:color w:val="auto"/>
        </w:rPr>
        <w:t xml:space="preserve">“Stock Appreciation Right” </w:t>
      </w:r>
      <w:r>
        <w:rPr>
          <w:rFonts w:ascii="Arial" w:cs="Arial" w:eastAsia="Arial" w:hAnsi="Arial"/>
          <w:sz w:val="16"/>
          <w:szCs w:val="16"/>
          <w:color w:val="auto"/>
        </w:rPr>
        <w:t>means an Award entitling the recipient to receive shares of Stock (or cash, to the extent explicitly provided for in the</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Award Certificate) having a value equal to the excess of the Fair Market Value of the Stock on the date of exercise over the exercise price of the Stock Appreciation Right multiplied by the number of shares of Stock with respect to which the Stock Appreciation Right shall have been exercised.</w:t>
      </w:r>
    </w:p>
    <w:p>
      <w:pPr>
        <w:spacing w:after="0" w:line="149"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i w:val="1"/>
          <w:iCs w:val="1"/>
          <w:color w:val="auto"/>
        </w:rPr>
        <w:t xml:space="preserve">“Subsidiary” </w:t>
      </w:r>
      <w:r>
        <w:rPr>
          <w:rFonts w:ascii="Arial" w:cs="Arial" w:eastAsia="Arial" w:hAnsi="Arial"/>
          <w:sz w:val="18"/>
          <w:szCs w:val="18"/>
          <w:color w:val="auto"/>
        </w:rPr>
        <w:t>means any corporation or other entity (other than the Company) in which the Company has at least a 50 percent interest, either</w:t>
      </w:r>
      <w:r>
        <w:rPr>
          <w:rFonts w:ascii="Arial" w:cs="Arial" w:eastAsia="Arial" w:hAnsi="Arial"/>
          <w:sz w:val="18"/>
          <w:szCs w:val="18"/>
          <w:i w:val="1"/>
          <w:iCs w:val="1"/>
          <w:color w:val="auto"/>
        </w:rPr>
        <w:t xml:space="preserve"> </w:t>
      </w:r>
      <w:r>
        <w:rPr>
          <w:rFonts w:ascii="Arial" w:cs="Arial" w:eastAsia="Arial" w:hAnsi="Arial"/>
          <w:sz w:val="18"/>
          <w:szCs w:val="18"/>
          <w:color w:val="auto"/>
        </w:rPr>
        <w:t>directly or indirectly.</w:t>
      </w:r>
    </w:p>
    <w:p>
      <w:pPr>
        <w:spacing w:after="0" w:line="170" w:lineRule="exact"/>
        <w:rPr>
          <w:sz w:val="20"/>
          <w:szCs w:val="20"/>
          <w:color w:val="auto"/>
        </w:rPr>
      </w:pPr>
    </w:p>
    <w:p>
      <w:pPr>
        <w:ind w:right="80" w:firstLine="440"/>
        <w:spacing w:after="0" w:line="308" w:lineRule="auto"/>
        <w:rPr>
          <w:sz w:val="20"/>
          <w:szCs w:val="20"/>
          <w:color w:val="auto"/>
        </w:rPr>
      </w:pPr>
      <w:r>
        <w:rPr>
          <w:rFonts w:ascii="Arial" w:cs="Arial" w:eastAsia="Arial" w:hAnsi="Arial"/>
          <w:sz w:val="17"/>
          <w:szCs w:val="17"/>
          <w:i w:val="1"/>
          <w:iCs w:val="1"/>
          <w:color w:val="auto"/>
        </w:rPr>
        <w:t xml:space="preserve">“Ten Percent Owner” </w:t>
      </w:r>
      <w:r>
        <w:rPr>
          <w:rFonts w:ascii="Arial" w:cs="Arial" w:eastAsia="Arial" w:hAnsi="Arial"/>
          <w:sz w:val="17"/>
          <w:szCs w:val="17"/>
          <w:color w:val="auto"/>
        </w:rPr>
        <w:t>means an employee who owns or is deemed to own (by reason of the attribution rules of Section 424(d) of the Code) more</w:t>
      </w:r>
      <w:r>
        <w:rPr>
          <w:rFonts w:ascii="Arial" w:cs="Arial" w:eastAsia="Arial" w:hAnsi="Arial"/>
          <w:sz w:val="17"/>
          <w:szCs w:val="17"/>
          <w:i w:val="1"/>
          <w:iCs w:val="1"/>
          <w:color w:val="auto"/>
        </w:rPr>
        <w:t xml:space="preserve"> </w:t>
      </w:r>
      <w:r>
        <w:rPr>
          <w:rFonts w:ascii="Arial" w:cs="Arial" w:eastAsia="Arial" w:hAnsi="Arial"/>
          <w:sz w:val="17"/>
          <w:szCs w:val="17"/>
          <w:color w:val="auto"/>
        </w:rPr>
        <w:t>than 10 percent of the combined voting power of all classes of stock of the Company or any parent or subsidiary corporation.</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“Unrestricted Stock Award” </w:t>
      </w:r>
      <w:r>
        <w:rPr>
          <w:rFonts w:ascii="Arial" w:cs="Arial" w:eastAsia="Arial" w:hAnsi="Arial"/>
          <w:sz w:val="18"/>
          <w:szCs w:val="18"/>
          <w:color w:val="auto"/>
        </w:rPr>
        <w:t>means an Award of shares of Stock free of any restrictions.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ADMINISTRATION OF PLAN; ADMINISTRATOR AUTHORITY TO SELECT GRANTEES AND DETERMINE AWARDS</w:t>
      </w:r>
    </w:p>
    <w:p>
      <w:pPr>
        <w:spacing w:after="0" w:line="117" w:lineRule="exact"/>
        <w:rPr>
          <w:sz w:val="20"/>
          <w:szCs w:val="20"/>
          <w:color w:val="auto"/>
        </w:rPr>
      </w:pPr>
    </w:p>
    <w:p>
      <w:pPr>
        <w:ind w:left="680" w:hanging="244"/>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Administration of Plan</w:t>
      </w:r>
      <w:r>
        <w:rPr>
          <w:rFonts w:ascii="Arial" w:cs="Arial" w:eastAsia="Arial" w:hAnsi="Arial"/>
          <w:sz w:val="18"/>
          <w:szCs w:val="18"/>
          <w:color w:val="auto"/>
        </w:rPr>
        <w:t>. The Plan shall be administered by the Administrator.</w:t>
      </w:r>
    </w:p>
    <w:p>
      <w:pPr>
        <w:spacing w:after="0" w:line="117" w:lineRule="exact"/>
        <w:rPr>
          <w:rFonts w:ascii="Arial" w:cs="Arial" w:eastAsia="Arial" w:hAnsi="Arial"/>
          <w:sz w:val="18"/>
          <w:szCs w:val="18"/>
          <w:color w:val="auto"/>
        </w:rPr>
      </w:pPr>
    </w:p>
    <w:p>
      <w:pPr>
        <w:ind w:right="640" w:firstLine="436"/>
        <w:spacing w:after="0" w:line="277" w:lineRule="auto"/>
        <w:tabs>
          <w:tab w:leader="none" w:pos="695"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Powers of Administrator</w:t>
      </w:r>
      <w:r>
        <w:rPr>
          <w:rFonts w:ascii="Arial" w:cs="Arial" w:eastAsia="Arial" w:hAnsi="Arial"/>
          <w:sz w:val="18"/>
          <w:szCs w:val="18"/>
          <w:color w:val="auto"/>
        </w:rPr>
        <w:t>. The Administrator shall have the power and authority to grant Awards consistent with the terms of the Plan, including the power and authority:</w:t>
      </w:r>
    </w:p>
    <w:p>
      <w:pPr>
        <w:spacing w:after="0" w:line="62" w:lineRule="exact"/>
        <w:rPr>
          <w:rFonts w:ascii="Arial" w:cs="Arial" w:eastAsia="Arial" w:hAnsi="Arial"/>
          <w:sz w:val="18"/>
          <w:szCs w:val="18"/>
          <w:color w:val="auto"/>
        </w:rPr>
      </w:pPr>
    </w:p>
    <w:p>
      <w:pPr>
        <w:ind w:left="1200" w:hanging="213"/>
        <w:spacing w:after="0"/>
        <w:tabs>
          <w:tab w:leader="none" w:pos="12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to select the individuals to whom Awards may from time to time be granted;</w:t>
      </w:r>
    </w:p>
    <w:p>
      <w:pPr>
        <w:spacing w:after="0" w:line="117" w:lineRule="exact"/>
        <w:rPr>
          <w:rFonts w:ascii="Arial" w:cs="Arial" w:eastAsia="Arial" w:hAnsi="Arial"/>
          <w:sz w:val="18"/>
          <w:szCs w:val="18"/>
          <w:color w:val="auto"/>
        </w:rPr>
      </w:pPr>
    </w:p>
    <w:p>
      <w:pPr>
        <w:ind w:right="480" w:firstLine="987"/>
        <w:spacing w:after="0" w:line="263" w:lineRule="auto"/>
        <w:tabs>
          <w:tab w:leader="none" w:pos="1256" w:val="left"/>
        </w:tabs>
        <w:numPr>
          <w:ilvl w:val="1"/>
          <w:numId w:val="12"/>
        </w:numPr>
        <w:rPr>
          <w:rFonts w:ascii="Arial" w:cs="Arial" w:eastAsia="Arial" w:hAnsi="Arial"/>
          <w:sz w:val="18"/>
          <w:szCs w:val="18"/>
          <w:color w:val="auto"/>
        </w:rPr>
      </w:pPr>
      <w:r>
        <w:rPr>
          <w:rFonts w:ascii="Arial" w:cs="Arial" w:eastAsia="Arial" w:hAnsi="Arial"/>
          <w:sz w:val="18"/>
          <w:szCs w:val="18"/>
          <w:color w:val="auto"/>
        </w:rPr>
        <w:t>to determine the time or times of grant, and the extent, if any, of Incentive Stock Options, Non-Qualified Stock Options, Stock Appreciation Rights, Restricted Stock Awards, Restricted Stock Units, Unrestricted Stock Awards, Cash-Based Awards, and Dividend Equivalent Rights, or any combination of the foregoing, granted to any one or more grantees;</w:t>
      </w:r>
    </w:p>
    <w:p>
      <w:pPr>
        <w:spacing w:after="0" w:line="75" w:lineRule="exact"/>
        <w:rPr>
          <w:rFonts w:ascii="Arial" w:cs="Arial" w:eastAsia="Arial" w:hAnsi="Arial"/>
          <w:sz w:val="18"/>
          <w:szCs w:val="18"/>
          <w:color w:val="auto"/>
        </w:rPr>
      </w:pPr>
    </w:p>
    <w:p>
      <w:pPr>
        <w:ind w:left="1300" w:hanging="313"/>
        <w:spacing w:after="0"/>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to determine the number of shares of Stock to be covered by any Award;</w:t>
      </w:r>
    </w:p>
    <w:p>
      <w:pPr>
        <w:spacing w:after="0" w:line="117" w:lineRule="exact"/>
        <w:rPr>
          <w:rFonts w:ascii="Arial" w:cs="Arial" w:eastAsia="Arial" w:hAnsi="Arial"/>
          <w:sz w:val="18"/>
          <w:szCs w:val="18"/>
          <w:color w:val="auto"/>
        </w:rPr>
      </w:pPr>
    </w:p>
    <w:p>
      <w:pPr>
        <w:ind w:firstLine="987"/>
        <w:spacing w:after="0" w:line="342" w:lineRule="auto"/>
        <w:tabs>
          <w:tab w:leader="none" w:pos="1296" w:val="left"/>
        </w:tabs>
        <w:numPr>
          <w:ilvl w:val="1"/>
          <w:numId w:val="12"/>
        </w:numPr>
        <w:rPr>
          <w:rFonts w:ascii="Arial" w:cs="Arial" w:eastAsia="Arial" w:hAnsi="Arial"/>
          <w:sz w:val="16"/>
          <w:szCs w:val="16"/>
          <w:color w:val="auto"/>
        </w:rPr>
      </w:pPr>
      <w:r>
        <w:rPr>
          <w:rFonts w:ascii="Arial" w:cs="Arial" w:eastAsia="Arial" w:hAnsi="Arial"/>
          <w:sz w:val="16"/>
          <w:szCs w:val="16"/>
          <w:color w:val="auto"/>
        </w:rPr>
        <w:t>to determine and modify from time to time the terms and conditions, including restrictions, not inconsistent with the terms of the Plan, of any Award, which terms and conditions may differ among individual Awards and grantees, and to approve the forms of Award Certificates;</w:t>
      </w:r>
    </w:p>
    <w:p>
      <w:pPr>
        <w:spacing w:after="0" w:line="15" w:lineRule="exact"/>
        <w:rPr>
          <w:rFonts w:ascii="Arial" w:cs="Arial" w:eastAsia="Arial" w:hAnsi="Arial"/>
          <w:sz w:val="16"/>
          <w:szCs w:val="16"/>
          <w:color w:val="auto"/>
        </w:rPr>
      </w:pPr>
    </w:p>
    <w:p>
      <w:pPr>
        <w:ind w:left="1240" w:hanging="253"/>
        <w:spacing w:after="0"/>
        <w:tabs>
          <w:tab w:leader="none" w:pos="12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to accelerate at any time the exercisability or vesting of all or any portion of any Award;</w:t>
      </w:r>
    </w:p>
    <w:p>
      <w:pPr>
        <w:spacing w:after="0" w:line="117" w:lineRule="exact"/>
        <w:rPr>
          <w:rFonts w:ascii="Arial" w:cs="Arial" w:eastAsia="Arial" w:hAnsi="Arial"/>
          <w:sz w:val="18"/>
          <w:szCs w:val="18"/>
          <w:color w:val="auto"/>
        </w:rPr>
      </w:pPr>
    </w:p>
    <w:p>
      <w:pPr>
        <w:ind w:left="1300" w:hanging="313"/>
        <w:spacing w:after="0"/>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subject to the provisions of Section 5(c), to extend at any time the period in which Stock Options may be exercised; and</w:t>
      </w:r>
    </w:p>
    <w:p>
      <w:pPr>
        <w:spacing w:after="0" w:line="117" w:lineRule="exact"/>
        <w:rPr>
          <w:rFonts w:ascii="Arial" w:cs="Arial" w:eastAsia="Arial" w:hAnsi="Arial"/>
          <w:sz w:val="18"/>
          <w:szCs w:val="18"/>
          <w:color w:val="auto"/>
        </w:rPr>
      </w:pPr>
    </w:p>
    <w:p>
      <w:pPr>
        <w:ind w:right="80" w:firstLine="987"/>
        <w:spacing w:after="0" w:line="259" w:lineRule="auto"/>
        <w:tabs>
          <w:tab w:leader="none" w:pos="1346" w:val="left"/>
        </w:tabs>
        <w:numPr>
          <w:ilvl w:val="1"/>
          <w:numId w:val="12"/>
        </w:numPr>
        <w:rPr>
          <w:rFonts w:ascii="Arial" w:cs="Arial" w:eastAsia="Arial" w:hAnsi="Arial"/>
          <w:sz w:val="18"/>
          <w:szCs w:val="18"/>
          <w:color w:val="auto"/>
        </w:rPr>
      </w:pPr>
      <w:r>
        <w:rPr>
          <w:rFonts w:ascii="Arial" w:cs="Arial" w:eastAsia="Arial" w:hAnsi="Arial"/>
          <w:sz w:val="18"/>
          <w:szCs w:val="18"/>
          <w:color w:val="auto"/>
        </w:rPr>
        <w:t>at any time to adopt, alter and repeal such rules, guidelines and practices for administration of the Plan and for its own acts and proceedings as it shall deem advisable; to interpret the terms and provisions of the Plan and any Award (including related written instruments); to make all determinations it deems advisable for the administration of the Plan; to decide all disputes arising in connection with the Plan; and to otherwise supervise the administration of the Plan.</w:t>
      </w:r>
    </w:p>
    <w:p>
      <w:pPr>
        <w:sectPr>
          <w:pgSz w:w="11900" w:h="16838" w:orient="portrait"/>
          <w:cols w:equalWidth="0" w:num="1">
            <w:col w:w="10960"/>
          </w:cols>
          <w:pgMar w:left="440" w:top="274" w:right="499" w:bottom="1440" w:gutter="0" w:footer="0" w:header="0"/>
        </w:sectPr>
      </w:pPr>
    </w:p>
    <w:bookmarkStart w:id="15" w:name="page16"/>
    <w:bookmarkEnd w:id="15"/>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decisions and interpretations of the Administrator shall be binding on all persons, including the Company and Plan grantees.</w:t>
      </w:r>
    </w:p>
    <w:p>
      <w:pPr>
        <w:spacing w:after="0" w:line="117" w:lineRule="exact"/>
        <w:rPr>
          <w:sz w:val="20"/>
          <w:szCs w:val="20"/>
          <w:color w:val="auto"/>
        </w:rPr>
      </w:pPr>
    </w:p>
    <w:p>
      <w:pPr>
        <w:ind w:left="4" w:firstLine="436"/>
        <w:spacing w:after="0" w:line="287" w:lineRule="auto"/>
        <w:tabs>
          <w:tab w:leader="none" w:pos="689" w:val="left"/>
        </w:tabs>
        <w:numPr>
          <w:ilvl w:val="1"/>
          <w:numId w:val="13"/>
        </w:numPr>
        <w:rPr>
          <w:rFonts w:ascii="Arial" w:cs="Arial" w:eastAsia="Arial" w:hAnsi="Arial"/>
          <w:sz w:val="16"/>
          <w:szCs w:val="16"/>
          <w:color w:val="auto"/>
        </w:rPr>
      </w:pPr>
      <w:r>
        <w:rPr>
          <w:rFonts w:ascii="Arial" w:cs="Arial" w:eastAsia="Arial" w:hAnsi="Arial"/>
          <w:sz w:val="16"/>
          <w:szCs w:val="16"/>
          <w:u w:val="single" w:color="auto"/>
          <w:color w:val="auto"/>
        </w:rPr>
        <w:t>Dele</w:t>
      </w:r>
      <w:r>
        <w:rPr>
          <w:rFonts w:ascii="Arial" w:cs="Arial" w:eastAsia="Arial" w:hAnsi="Arial"/>
          <w:sz w:val="16"/>
          <w:szCs w:val="16"/>
          <w:color w:val="auto"/>
        </w:rPr>
        <w:t>g</w:t>
      </w:r>
      <w:r>
        <w:rPr>
          <w:rFonts w:ascii="Arial" w:cs="Arial" w:eastAsia="Arial" w:hAnsi="Arial"/>
          <w:sz w:val="16"/>
          <w:szCs w:val="16"/>
          <w:u w:val="single" w:color="auto"/>
          <w:color w:val="auto"/>
        </w:rPr>
        <w:t>ation of Authority to Grant Awards</w:t>
      </w:r>
      <w:r>
        <w:rPr>
          <w:rFonts w:ascii="Arial" w:cs="Arial" w:eastAsia="Arial" w:hAnsi="Arial"/>
          <w:sz w:val="16"/>
          <w:szCs w:val="16"/>
          <w:color w:val="auto"/>
        </w:rPr>
        <w:t>. Subject to applicable law, the Administrator, in its discretion, may delegate to a committee consisting of one or more officers of the Company, including the Chief Executive Officer of the Company, all or part of the Administrator’s authority and duties with respect to the granting of Awards to individuals who are (i) not subject to the reporting and other provisions of Section 16 of the Exchange Act and</w:t>
      </w:r>
    </w:p>
    <w:p>
      <w:pPr>
        <w:spacing w:after="0" w:line="2" w:lineRule="exact"/>
        <w:rPr>
          <w:rFonts w:ascii="Arial" w:cs="Arial" w:eastAsia="Arial" w:hAnsi="Arial"/>
          <w:sz w:val="16"/>
          <w:szCs w:val="16"/>
          <w:color w:val="auto"/>
        </w:rPr>
      </w:pPr>
    </w:p>
    <w:p>
      <w:pPr>
        <w:ind w:left="4" w:right="80" w:hanging="4"/>
        <w:spacing w:after="0" w:line="253" w:lineRule="auto"/>
        <w:tabs>
          <w:tab w:leader="none" w:pos="269"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not members of the delegated committee. Any such delegation by the Administrator shall include a limitation as to the amount of Stock underlying Awards that may be granted during the period of the delegation and shall contain guidelines as to the determination of the exercise price and the vesting criteria. The Administrator may revoke or amend the terms of a delegation at any time but such action shall not invalidate any prior actions of the Administrator’s delegate or delegates that were consistent with the terms of the Plan.</w:t>
      </w:r>
    </w:p>
    <w:p>
      <w:pPr>
        <w:spacing w:after="0" w:line="84" w:lineRule="exact"/>
        <w:rPr>
          <w:rFonts w:ascii="Arial" w:cs="Arial" w:eastAsia="Arial" w:hAnsi="Arial"/>
          <w:sz w:val="18"/>
          <w:szCs w:val="18"/>
          <w:color w:val="auto"/>
        </w:rPr>
      </w:pPr>
    </w:p>
    <w:p>
      <w:pPr>
        <w:ind w:left="4" w:right="80" w:firstLine="436"/>
        <w:spacing w:after="0" w:line="342" w:lineRule="auto"/>
        <w:tabs>
          <w:tab w:leader="none" w:pos="699" w:val="left"/>
        </w:tabs>
        <w:numPr>
          <w:ilvl w:val="1"/>
          <w:numId w:val="14"/>
        </w:numPr>
        <w:rPr>
          <w:rFonts w:ascii="Arial" w:cs="Arial" w:eastAsia="Arial" w:hAnsi="Arial"/>
          <w:sz w:val="16"/>
          <w:szCs w:val="16"/>
          <w:color w:val="auto"/>
        </w:rPr>
      </w:pPr>
      <w:r>
        <w:rPr>
          <w:rFonts w:ascii="Arial" w:cs="Arial" w:eastAsia="Arial" w:hAnsi="Arial"/>
          <w:sz w:val="16"/>
          <w:szCs w:val="16"/>
          <w:u w:val="single" w:color="auto"/>
          <w:color w:val="auto"/>
        </w:rPr>
        <w:t>Award Certificate</w:t>
      </w:r>
      <w:r>
        <w:rPr>
          <w:rFonts w:ascii="Arial" w:cs="Arial" w:eastAsia="Arial" w:hAnsi="Arial"/>
          <w:sz w:val="16"/>
          <w:szCs w:val="16"/>
          <w:color w:val="auto"/>
        </w:rPr>
        <w:t>. Awards under the Plan shall be evidenced by Award Certificates that set forth the terms, conditions and limitations for each Award which may include, without limitation, the term of an Award and the provisions applicable in the event employment or service terminates.</w:t>
      </w:r>
    </w:p>
    <w:p>
      <w:pPr>
        <w:spacing w:after="0" w:line="15" w:lineRule="exact"/>
        <w:rPr>
          <w:rFonts w:ascii="Arial" w:cs="Arial" w:eastAsia="Arial" w:hAnsi="Arial"/>
          <w:sz w:val="16"/>
          <w:szCs w:val="16"/>
          <w:color w:val="auto"/>
        </w:rPr>
      </w:pPr>
    </w:p>
    <w:p>
      <w:pPr>
        <w:ind w:left="4" w:right="220" w:firstLine="436"/>
        <w:spacing w:after="0" w:line="273" w:lineRule="auto"/>
        <w:tabs>
          <w:tab w:leader="none" w:pos="689" w:val="left"/>
        </w:tabs>
        <w:numPr>
          <w:ilvl w:val="1"/>
          <w:numId w:val="14"/>
        </w:numPr>
        <w:rPr>
          <w:rFonts w:ascii="Arial" w:cs="Arial" w:eastAsia="Arial" w:hAnsi="Arial"/>
          <w:sz w:val="17"/>
          <w:szCs w:val="17"/>
          <w:color w:val="auto"/>
        </w:rPr>
      </w:pPr>
      <w:r>
        <w:rPr>
          <w:rFonts w:ascii="Arial" w:cs="Arial" w:eastAsia="Arial" w:hAnsi="Arial"/>
          <w:sz w:val="17"/>
          <w:szCs w:val="17"/>
          <w:u w:val="single" w:color="auto"/>
          <w:color w:val="auto"/>
        </w:rPr>
        <w:t>Indemnification</w:t>
      </w:r>
      <w:r>
        <w:rPr>
          <w:rFonts w:ascii="Arial" w:cs="Arial" w:eastAsia="Arial" w:hAnsi="Arial"/>
          <w:sz w:val="17"/>
          <w:szCs w:val="17"/>
          <w:color w:val="auto"/>
        </w:rPr>
        <w:t>. Neither the Board nor the Administrator, nor any member of either or any delegate thereof, shall be liable for any act, omission, interpretation, construction or determination made in good faith in connection with the Plan, and the members of the Board and the Administrator (and any delegate thereof) shall be entitled in all cases to indemnification and reimbursement by the Company in respect of any claim, loss, damage or expense (including, without limitation, reasonable attorneys’ fees) arising or resulting therefrom to the fullest extent permitted by law and/or under the Company’s articles or bylaws or any directors’ and officers’ liability insurance coverage which may be in effect from time to time and/or any indemnification agreement between such individual and the Company.</w:t>
      </w:r>
    </w:p>
    <w:p>
      <w:pPr>
        <w:spacing w:after="0" w:line="69" w:lineRule="exact"/>
        <w:rPr>
          <w:rFonts w:ascii="Arial" w:cs="Arial" w:eastAsia="Arial" w:hAnsi="Arial"/>
          <w:sz w:val="17"/>
          <w:szCs w:val="17"/>
          <w:color w:val="auto"/>
        </w:rPr>
      </w:pPr>
    </w:p>
    <w:p>
      <w:pPr>
        <w:ind w:left="4" w:right="60" w:firstLine="436"/>
        <w:spacing w:after="0" w:line="284" w:lineRule="auto"/>
        <w:tabs>
          <w:tab w:leader="none" w:pos="669" w:val="left"/>
        </w:tabs>
        <w:numPr>
          <w:ilvl w:val="1"/>
          <w:numId w:val="14"/>
        </w:numPr>
        <w:rPr>
          <w:rFonts w:ascii="Arial" w:cs="Arial" w:eastAsia="Arial" w:hAnsi="Arial"/>
          <w:sz w:val="16"/>
          <w:szCs w:val="16"/>
          <w:color w:val="auto"/>
        </w:rPr>
      </w:pPr>
      <w:r>
        <w:rPr>
          <w:rFonts w:ascii="Arial" w:cs="Arial" w:eastAsia="Arial" w:hAnsi="Arial"/>
          <w:sz w:val="16"/>
          <w:szCs w:val="16"/>
          <w:u w:val="single" w:color="auto"/>
          <w:color w:val="auto"/>
        </w:rPr>
        <w:t>Forei</w:t>
      </w:r>
      <w:r>
        <w:rPr>
          <w:rFonts w:ascii="Arial" w:cs="Arial" w:eastAsia="Arial" w:hAnsi="Arial"/>
          <w:sz w:val="16"/>
          <w:szCs w:val="16"/>
          <w:color w:val="auto"/>
        </w:rPr>
        <w:t>g</w:t>
      </w:r>
      <w:r>
        <w:rPr>
          <w:rFonts w:ascii="Arial" w:cs="Arial" w:eastAsia="Arial" w:hAnsi="Arial"/>
          <w:sz w:val="16"/>
          <w:szCs w:val="16"/>
          <w:u w:val="single" w:color="auto"/>
          <w:color w:val="auto"/>
        </w:rPr>
        <w:t>n Award Recipients</w:t>
      </w:r>
      <w:r>
        <w:rPr>
          <w:rFonts w:ascii="Arial" w:cs="Arial" w:eastAsia="Arial" w:hAnsi="Arial"/>
          <w:sz w:val="16"/>
          <w:szCs w:val="16"/>
          <w:color w:val="auto"/>
        </w:rPr>
        <w:t>. Notwithstanding any provision of the Plan to the contrary, in order to comply with the laws in other countries in which the Company and its Subsidiaries operate or have employees or other individuals eligible for Awards, the Administrator, in its sole discretion, shall have the power and authority to: (i) determine which Subsidiaries shall be covered by the Plan; (ii) determine which individuals outside the United States are eligible to participate in the Plan; (iii) modify the terms and conditions of any Award granted to individuals outside the United States to comply with applicable foreign laws; (iv) establish subplans and modify exercise procedures and other terms and procedures, to the extent the Administrator determines such actions to be necessary or advisable (and such subplans and/or modifications shall be attached to this Plan as appendices); provided, however, that no such subplans and/or modifications shall increase the share limitations contained in Section 3(a) hereof; and</w:t>
      </w:r>
    </w:p>
    <w:p>
      <w:pPr>
        <w:spacing w:after="0" w:line="2" w:lineRule="exact"/>
        <w:rPr>
          <w:rFonts w:ascii="Arial" w:cs="Arial" w:eastAsia="Arial" w:hAnsi="Arial"/>
          <w:sz w:val="16"/>
          <w:szCs w:val="16"/>
          <w:color w:val="auto"/>
        </w:rPr>
      </w:pPr>
    </w:p>
    <w:p>
      <w:pPr>
        <w:jc w:val="both"/>
        <w:ind w:left="4" w:right="120" w:hanging="4"/>
        <w:spacing w:after="0" w:line="253" w:lineRule="auto"/>
        <w:tabs>
          <w:tab w:leader="none" w:pos="259" w:val="left"/>
        </w:tabs>
        <w:numPr>
          <w:ilvl w:val="0"/>
          <w:numId w:val="15"/>
        </w:numPr>
        <w:rPr>
          <w:rFonts w:ascii="Arial" w:cs="Arial" w:eastAsia="Arial" w:hAnsi="Arial"/>
          <w:sz w:val="18"/>
          <w:szCs w:val="18"/>
          <w:color w:val="auto"/>
        </w:rPr>
      </w:pPr>
      <w:r>
        <w:rPr>
          <w:rFonts w:ascii="Arial" w:cs="Arial" w:eastAsia="Arial" w:hAnsi="Arial"/>
          <w:sz w:val="18"/>
          <w:szCs w:val="18"/>
          <w:color w:val="auto"/>
        </w:rPr>
        <w:t>take any action, before or after an Award is made, that the Administrator determines to be necessary or advisable to obtain approval or comply with any local governmental regulatory exemptions or approvals. Notwithstanding the foregoing, the Administrator may not take any actions hereunder, and no Awards shall be granted, that would violate the Exchange Act or any other applicable United States securities law, the Code, or any other applicable United States governing statute or law.</w:t>
      </w:r>
    </w:p>
    <w:p>
      <w:pPr>
        <w:spacing w:after="0" w:line="193"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STOCK ISSUABLE UNDER THE PLAN; MERGERS; SUBSTITUTION</w:t>
      </w:r>
    </w:p>
    <w:p>
      <w:pPr>
        <w:spacing w:after="0" w:line="117" w:lineRule="exact"/>
        <w:rPr>
          <w:sz w:val="20"/>
          <w:szCs w:val="20"/>
          <w:color w:val="auto"/>
        </w:rPr>
      </w:pPr>
    </w:p>
    <w:p>
      <w:pPr>
        <w:ind w:left="4" w:firstLine="436"/>
        <w:spacing w:after="0" w:line="257" w:lineRule="auto"/>
        <w:tabs>
          <w:tab w:leader="none" w:pos="689"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Stock Issuable</w:t>
      </w:r>
      <w:r>
        <w:rPr>
          <w:rFonts w:ascii="Arial" w:cs="Arial" w:eastAsia="Arial" w:hAnsi="Arial"/>
          <w:sz w:val="18"/>
          <w:szCs w:val="18"/>
          <w:color w:val="auto"/>
        </w:rPr>
        <w:t>. The maximum number of shares of Stock reserved and available for issuance under the Plan shall be 2,634,369 shares (the “Initial Limit”), subject to adjustment as provided in this Section 3, plus on January 1, 2024 and each January 1 thereafter, the number of shares of Stock reserved and available for issuance under the Plan shall be cumulatively increased by (i) four (4%) percent of the number of shares of Stock issued and outstanding on the immediately preceding December 31 or (ii) such lesser number of shares as determined by the Administrator (the “Annual Increase”). Subject to such</w:t>
      </w:r>
    </w:p>
    <w:p>
      <w:pPr>
        <w:sectPr>
          <w:pgSz w:w="11900" w:h="16838" w:orient="portrait"/>
          <w:cols w:equalWidth="0" w:num="1">
            <w:col w:w="11004"/>
          </w:cols>
          <w:pgMar w:left="436" w:top="274" w:right="459" w:bottom="1440" w:gutter="0" w:footer="0" w:header="0"/>
        </w:sectPr>
      </w:pPr>
    </w:p>
    <w:bookmarkStart w:id="16" w:name="page17"/>
    <w:bookmarkEnd w:id="16"/>
    <w:p>
      <w:pPr>
        <w:ind w:left="4" w:right="8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overall limitation, the maximum aggregate number of shares of Stock that may be issued in the form of Incentive Stock Options shall not exceed the Initial Limit subject to adjustment as provided in Section 3(b). For purposes of this limitation, the shares of Stock underlying any awards under the Plan that are forfeited, canceled, held back upon exercise of an option or settlement of an award to cover the exercise price or tax withholding, reacquired by the Company prior to vesting, satisfied without the issuance of Stock or otherwise terminated (other than by exercise) shall be added back to the shares of Stock available for issuance under the Plan and, to the extent permitted under Section 422 of the Code and the regulations promulgated thereunder, the shares of Stock that may be issued as Incentive Stock Options. In the event the Company repurchases shares of Stock on the open market, such shares shall not be added to the shares of Stock available for issuance under the Plan. Subject to such overall limitations, shares of Stock may be issued up to such maximum number pursuant to any type or types of Award. The shares available for issuance under the Plan may be authorized but unissued shares of Stock or shares of Stock reacquired by the Company.</w:t>
      </w:r>
    </w:p>
    <w:p>
      <w:pPr>
        <w:spacing w:after="0" w:line="73" w:lineRule="exact"/>
        <w:rPr>
          <w:sz w:val="20"/>
          <w:szCs w:val="20"/>
          <w:color w:val="auto"/>
        </w:rPr>
      </w:pPr>
    </w:p>
    <w:p>
      <w:pPr>
        <w:ind w:left="4" w:right="80" w:firstLine="436"/>
        <w:spacing w:after="0" w:line="284" w:lineRule="auto"/>
        <w:tabs>
          <w:tab w:leader="none" w:pos="699" w:val="left"/>
        </w:tabs>
        <w:numPr>
          <w:ilvl w:val="1"/>
          <w:numId w:val="17"/>
        </w:numPr>
        <w:rPr>
          <w:rFonts w:ascii="Arial" w:cs="Arial" w:eastAsia="Arial" w:hAnsi="Arial"/>
          <w:sz w:val="16"/>
          <w:szCs w:val="16"/>
          <w:color w:val="auto"/>
        </w:rPr>
      </w:pPr>
      <w:r>
        <w:rPr>
          <w:rFonts w:ascii="Arial" w:cs="Arial" w:eastAsia="Arial" w:hAnsi="Arial"/>
          <w:sz w:val="16"/>
          <w:szCs w:val="16"/>
          <w:u w:val="single" w:color="auto"/>
          <w:color w:val="auto"/>
        </w:rPr>
        <w:t>Chan</w:t>
      </w:r>
      <w:r>
        <w:rPr>
          <w:rFonts w:ascii="Arial" w:cs="Arial" w:eastAsia="Arial" w:hAnsi="Arial"/>
          <w:sz w:val="16"/>
          <w:szCs w:val="16"/>
          <w:color w:val="auto"/>
        </w:rPr>
        <w:t>g</w:t>
      </w:r>
      <w:r>
        <w:rPr>
          <w:rFonts w:ascii="Arial" w:cs="Arial" w:eastAsia="Arial" w:hAnsi="Arial"/>
          <w:sz w:val="16"/>
          <w:szCs w:val="16"/>
          <w:u w:val="single" w:color="auto"/>
          <w:color w:val="auto"/>
        </w:rPr>
        <w:t>es in Stock</w:t>
      </w:r>
      <w:r>
        <w:rPr>
          <w:rFonts w:ascii="Arial" w:cs="Arial" w:eastAsia="Arial" w:hAnsi="Arial"/>
          <w:sz w:val="16"/>
          <w:szCs w:val="16"/>
          <w:color w:val="auto"/>
        </w:rPr>
        <w:t>. Subject to Section 3(c) hereof, if, as a result of any reorganization, recapitalization, reclassification, stock dividend, stock split, reverse stock split or other similar change in the Company’s capital stock, the outstanding shares of Stock are increased or decreased or are exchanged for a different number or kind of shares or other securities of the Company, or additional shares or new or different shares or other securities of the Company or other non-cash assets are distributed with respect to such shares of Stock or other securities, or, if, as a result of any merger or consolidation, sale of all or substantially all of the assets of the Company, the outstanding shares of Stock are converted into or exchanged for securities of the Company or any successor entity (or a parent or subsidiary thereof), the Administrator shall make an appropriate or proportionate adjustment in</w:t>
      </w:r>
    </w:p>
    <w:p>
      <w:pPr>
        <w:spacing w:after="0" w:line="4" w:lineRule="exact"/>
        <w:rPr>
          <w:rFonts w:ascii="Arial" w:cs="Arial" w:eastAsia="Arial" w:hAnsi="Arial"/>
          <w:sz w:val="16"/>
          <w:szCs w:val="16"/>
          <w:color w:val="auto"/>
        </w:rPr>
      </w:pPr>
    </w:p>
    <w:p>
      <w:pPr>
        <w:ind w:left="4" w:hanging="4"/>
        <w:spacing w:after="0" w:line="286" w:lineRule="auto"/>
        <w:tabs>
          <w:tab w:leader="none" w:pos="219"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maximum number of shares reserved for issuance under the Plan, including the maximum number of shares that may be issued in the form of Incentive Stock Options, (ii) the number and kind of shares or other securities subject to any then outstanding Awards under the Plan, (iii) the repurchase price, if any, per share subject to each outstanding Restricted Stock Award, and (iv) the exercise price for each share subject to any then outstanding Stock Options and Stock Appreciation Rights under the Plan, without changing the aggregate exercise price (i.e., the exercise price multiplied by the number of shares subject to Stock Options and Stock Appreciation Rights) as to which such Stock Options and Stock Appreciation Rights remain exercisable. The Administrator shall also make equitable or proportionate adjustments in the number of shares subject to outstanding Awards and the exercise price and the terms of outstanding Awards to take into consideration cash dividends paid other than in the ordinary course or any other extraordinary corporate event. The adjustment by the Administrator shall be final, binding and conclusive. No fractional shares of Stock shall be issued under the Plan resulting from any such adjustment, but the Administrator in its discretion may make a cash payment in lieu of fractional shares.</w:t>
      </w:r>
    </w:p>
    <w:p>
      <w:pPr>
        <w:spacing w:after="0" w:line="64" w:lineRule="exact"/>
        <w:rPr>
          <w:rFonts w:ascii="Arial" w:cs="Arial" w:eastAsia="Arial" w:hAnsi="Arial"/>
          <w:sz w:val="16"/>
          <w:szCs w:val="16"/>
          <w:color w:val="auto"/>
        </w:rPr>
      </w:pPr>
    </w:p>
    <w:p>
      <w:pPr>
        <w:ind w:left="4" w:right="40" w:firstLine="436"/>
        <w:spacing w:after="0" w:line="289" w:lineRule="auto"/>
        <w:tabs>
          <w:tab w:leader="none" w:pos="689" w:val="left"/>
        </w:tabs>
        <w:numPr>
          <w:ilvl w:val="1"/>
          <w:numId w:val="18"/>
        </w:numPr>
        <w:rPr>
          <w:rFonts w:ascii="Arial" w:cs="Arial" w:eastAsia="Arial" w:hAnsi="Arial"/>
          <w:sz w:val="16"/>
          <w:szCs w:val="16"/>
          <w:color w:val="auto"/>
        </w:rPr>
      </w:pPr>
      <w:r>
        <w:rPr>
          <w:rFonts w:ascii="Arial" w:cs="Arial" w:eastAsia="Arial" w:hAnsi="Arial"/>
          <w:sz w:val="16"/>
          <w:szCs w:val="16"/>
          <w:u w:val="single" w:color="auto"/>
          <w:color w:val="auto"/>
        </w:rPr>
        <w:t>Mer</w:t>
      </w:r>
      <w:r>
        <w:rPr>
          <w:rFonts w:ascii="Arial" w:cs="Arial" w:eastAsia="Arial" w:hAnsi="Arial"/>
          <w:sz w:val="16"/>
          <w:szCs w:val="16"/>
          <w:color w:val="auto"/>
        </w:rPr>
        <w:t>g</w:t>
      </w:r>
      <w:r>
        <w:rPr>
          <w:rFonts w:ascii="Arial" w:cs="Arial" w:eastAsia="Arial" w:hAnsi="Arial"/>
          <w:sz w:val="16"/>
          <w:szCs w:val="16"/>
          <w:u w:val="single" w:color="auto"/>
          <w:color w:val="auto"/>
        </w:rPr>
        <w:t>ers and Other Transactions</w:t>
      </w:r>
      <w:r>
        <w:rPr>
          <w:rFonts w:ascii="Arial" w:cs="Arial" w:eastAsia="Arial" w:hAnsi="Arial"/>
          <w:sz w:val="16"/>
          <w:szCs w:val="16"/>
          <w:color w:val="auto"/>
        </w:rPr>
        <w:t>. In the case of and subject to the consummation of a Sale Event, the parties thereto may cause the assumption or continuation of Awards theretofore granted by the successor entity, or the substitution of such Awards with new Awards of the successor entity or parent thereof, with appropriate adjustment as to the number and kind of shares and, if appropriate, the per share exercise prices, as such parties shall agree. To the extent the parties to such Sale Event do not provide for the assumption, continuation or substitution of Awards, upon the effective time of the Sale Event, the Plan and all outstanding Awards granted hereunder shall terminate. In such case, except as may be otherwise provided in the relevant Award Certificate, all Awards with time-based vesting, conditions or restrictions shall become fully vested and exercisable or nonforfeitable as of the effective time of the Sale Event, and all Awards with conditions and restrictions relating to the attainment of performance goals may become vested and exercisable or nonforfeitable in connection with a Sale Event in the Administrator’s discretion or to the extent specified in the relevant Award Certificate. In the event of such termination, (i) the Company shall have the option (in its sole discretion) to make or provide for a</w:t>
      </w:r>
    </w:p>
    <w:p>
      <w:pPr>
        <w:sectPr>
          <w:pgSz w:w="11900" w:h="16838" w:orient="portrait"/>
          <w:cols w:equalWidth="0" w:num="1">
            <w:col w:w="11004"/>
          </w:cols>
          <w:pgMar w:left="436" w:top="274" w:right="459" w:bottom="1440" w:gutter="0" w:footer="0" w:header="0"/>
        </w:sectPr>
      </w:pPr>
    </w:p>
    <w:bookmarkStart w:id="17" w:name="page18"/>
    <w:bookmarkEnd w:id="17"/>
    <w:p>
      <w:pPr>
        <w:ind w:right="2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payment, in cash or in kind, to the grantees holding Options and Stock Appreciation Rights, in exchange for the cancellation thereof, in an amount equal to the difference between (A) the Sale Price multiplied by the number of shares of Stock subject to outstanding Options and Stock Appreciation Rights (to the extent then exercisable at prices not in excess of the Sale Price) and (B) the aggregate exercise price of all such outstanding Options and Stock Appreciation Rights (provided that, in the case of an Option or Stock Appreciation Right with an exercise price equal to or greater than the Sale Price, such Option or Stock Appreciation Right shall be cancelled for no consideration); or (ii) each grantee shall be permitted, within a specified period of time prior to the consummation of the Sale Event as determined by the Administrator, to exercise all outstanding Options and Stock Appreciation Rights (to the extent then exercisable) held by such grantee. The Company shall also have the option (in its sole discretion) to make or provide for a payment, in cash or in kind, to the grantees holding other Awards in an amount equal to the Sale Price multiplied by the number of vested shares of Stock under such Awards.</w:t>
      </w:r>
    </w:p>
    <w:p>
      <w:pPr>
        <w:spacing w:after="0" w:line="88" w:lineRule="exact"/>
        <w:rPr>
          <w:sz w:val="20"/>
          <w:szCs w:val="20"/>
          <w:color w:val="auto"/>
        </w:rPr>
      </w:pPr>
    </w:p>
    <w:p>
      <w:pPr>
        <w:ind w:right="80" w:firstLine="436"/>
        <w:spacing w:after="0" w:line="255" w:lineRule="auto"/>
        <w:tabs>
          <w:tab w:leader="none" w:pos="695"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Maximum Awards to Non-Employee Directors</w:t>
      </w:r>
      <w:r>
        <w:rPr>
          <w:rFonts w:ascii="Arial" w:cs="Arial" w:eastAsia="Arial" w:hAnsi="Arial"/>
          <w:sz w:val="18"/>
          <w:szCs w:val="18"/>
          <w:color w:val="auto"/>
        </w:rPr>
        <w:t>. Notwithstanding anything to the contrary in this Plan, the value of all Awards awarded under this Plan and all other cash compensation paid by the Company to any Non-Employee Director in any calendar year for service as a Non-Employee Director shall not exceed $750,000, provided, however that such amount shall be $1,000,000 for the calendar year in which the applicable Non-Employee Director is initially elected or appointed to the Board. For the purpose of this limitation, the value of any Award shall be its grant date fair value, as determined in accordance with FASB ASC 718 or successor provision but excluding the impact of estimated forfeitures related to service-based vesting provisions.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ELIGIBILITY</w:t>
      </w:r>
    </w:p>
    <w:p>
      <w:pPr>
        <w:spacing w:after="0" w:line="117"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Grantees under the Plan will be such employees, Non-Employee Directors and Consultants of the Company and its Affiliates as are selected from time to time by the Administrator in its sole discretion; provided that Awards may not be granted to employees, Directors or Consultants who are providing services only to any “parent” of the Company, as such term is defined in Rule 405 of the Act, unless (i) the stock underlying the Awards is treated as “service recipient stock” under Section 409A or (ii) the Company, in consultation with its legal counsel, has determined that such Awards are exempt from or otherwise comply with Section 409A.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STOCK OPTIONS</w:t>
      </w:r>
    </w:p>
    <w:p>
      <w:pPr>
        <w:spacing w:after="0" w:line="117" w:lineRule="exact"/>
        <w:rPr>
          <w:sz w:val="20"/>
          <w:szCs w:val="20"/>
          <w:color w:val="auto"/>
        </w:rPr>
      </w:pPr>
    </w:p>
    <w:p>
      <w:pPr>
        <w:ind w:firstLine="436"/>
        <w:spacing w:after="0" w:line="277" w:lineRule="auto"/>
        <w:tabs>
          <w:tab w:leader="none" w:pos="685"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Award of Stock Options</w:t>
      </w:r>
      <w:r>
        <w:rPr>
          <w:rFonts w:ascii="Arial" w:cs="Arial" w:eastAsia="Arial" w:hAnsi="Arial"/>
          <w:sz w:val="18"/>
          <w:szCs w:val="18"/>
          <w:color w:val="auto"/>
        </w:rPr>
        <w:t>. The Administrator may grant Stock Options under the Plan. Any Stock Option granted under the Plan shall be in such form as the Administrator may from time to time approve.</w:t>
      </w:r>
    </w:p>
    <w:p>
      <w:pPr>
        <w:spacing w:after="0" w:line="170" w:lineRule="exact"/>
        <w:rPr>
          <w:sz w:val="20"/>
          <w:szCs w:val="20"/>
          <w:color w:val="auto"/>
        </w:rPr>
      </w:pPr>
    </w:p>
    <w:p>
      <w:pPr>
        <w:ind w:right="20" w:firstLine="440"/>
        <w:spacing w:after="0" w:line="286" w:lineRule="auto"/>
        <w:rPr>
          <w:sz w:val="20"/>
          <w:szCs w:val="20"/>
          <w:color w:val="auto"/>
        </w:rPr>
      </w:pPr>
      <w:r>
        <w:rPr>
          <w:rFonts w:ascii="Arial" w:cs="Arial" w:eastAsia="Arial" w:hAnsi="Arial"/>
          <w:sz w:val="17"/>
          <w:szCs w:val="17"/>
          <w:color w:val="auto"/>
        </w:rPr>
        <w:t>Stock Options granted under the Plan may be either Incentive Stock Options or Non-Qualified Stock Options. Incentive Stock Options may be granted only to employees of the Company or any Subsidiary that is a “subsidiary corporation” within the meaning of Section 424(f) of the Code. To the extent that any Option does not qualify as an Incentive Stock Option, it shall be deemed a Non-Qualified Stock Option.</w:t>
      </w:r>
    </w:p>
    <w:p>
      <w:pPr>
        <w:spacing w:after="0" w:line="165" w:lineRule="exact"/>
        <w:rPr>
          <w:sz w:val="20"/>
          <w:szCs w:val="20"/>
          <w:color w:val="auto"/>
        </w:rPr>
      </w:pPr>
    </w:p>
    <w:p>
      <w:pPr>
        <w:jc w:val="both"/>
        <w:ind w:right="20" w:firstLine="440"/>
        <w:spacing w:after="0" w:line="311" w:lineRule="auto"/>
        <w:rPr>
          <w:sz w:val="20"/>
          <w:szCs w:val="20"/>
          <w:color w:val="auto"/>
        </w:rPr>
      </w:pPr>
      <w:r>
        <w:rPr>
          <w:rFonts w:ascii="Arial" w:cs="Arial" w:eastAsia="Arial" w:hAnsi="Arial"/>
          <w:sz w:val="16"/>
          <w:szCs w:val="16"/>
          <w:color w:val="auto"/>
        </w:rPr>
        <w:t>Stock Options granted pursuant to this Section 5 shall be subject to the following terms and conditions and shall contain such additional terms and conditions, not inconsistent with the terms of the Plan, as the Administrator shall deem desirable. If the Administrator so determines, Stock Options may be granted in lieu of cash compensation at the optionee’s election, subject to such terms and conditions as the Administrator may establish.</w:t>
      </w:r>
    </w:p>
    <w:p>
      <w:pPr>
        <w:sectPr>
          <w:pgSz w:w="11900" w:h="16838" w:orient="portrait"/>
          <w:cols w:equalWidth="0" w:num="1">
            <w:col w:w="11000"/>
          </w:cols>
          <w:pgMar w:left="440" w:top="274" w:right="459" w:bottom="1440" w:gutter="0" w:footer="0" w:header="0"/>
        </w:sectPr>
      </w:pPr>
    </w:p>
    <w:bookmarkStart w:id="18" w:name="page19"/>
    <w:bookmarkEnd w:id="18"/>
    <w:p>
      <w:pPr>
        <w:ind w:right="100" w:firstLine="436"/>
        <w:spacing w:after="0" w:line="286" w:lineRule="auto"/>
        <w:tabs>
          <w:tab w:leader="none" w:pos="695"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Exercise Price</w:t>
      </w:r>
      <w:r>
        <w:rPr>
          <w:rFonts w:ascii="Arial" w:cs="Arial" w:eastAsia="Arial" w:hAnsi="Arial"/>
          <w:sz w:val="16"/>
          <w:szCs w:val="16"/>
          <w:color w:val="auto"/>
        </w:rPr>
        <w:t>. The exercise price per share for the Stock covered by a Stock Option granted pursuant to this Section 5 shall be determined by the Administrator at the time of grant but shall not be less than 100 percent of the Fair Market Value on the date of grant. In the case of an Incentive Stock Option that is granted to a Ten Percent Owner, the exercise price of such Incentive Stock Option shall be not less than 110 percent of the Fair Market Value on the grant date. Notwithstanding the foregoing, Stock Options may be granted with an exercise price per share that is less than</w:t>
      </w:r>
    </w:p>
    <w:p>
      <w:pPr>
        <w:spacing w:after="0" w:line="1" w:lineRule="exact"/>
        <w:rPr>
          <w:rFonts w:ascii="Arial" w:cs="Arial" w:eastAsia="Arial" w:hAnsi="Arial"/>
          <w:sz w:val="16"/>
          <w:szCs w:val="16"/>
          <w:color w:val="auto"/>
        </w:rPr>
      </w:pPr>
    </w:p>
    <w:p>
      <w:pPr>
        <w:ind w:right="240"/>
        <w:spacing w:after="0" w:line="255" w:lineRule="auto"/>
        <w:rPr>
          <w:rFonts w:ascii="Arial" w:cs="Arial" w:eastAsia="Arial" w:hAnsi="Arial"/>
          <w:sz w:val="16"/>
          <w:szCs w:val="16"/>
          <w:color w:val="auto"/>
        </w:rPr>
      </w:pPr>
      <w:r>
        <w:rPr>
          <w:rFonts w:ascii="Arial" w:cs="Arial" w:eastAsia="Arial" w:hAnsi="Arial"/>
          <w:sz w:val="18"/>
          <w:szCs w:val="18"/>
          <w:color w:val="auto"/>
        </w:rPr>
        <w:t>100 percent of the Fair Market Value on the date of grant (i) pursuant to a transaction described in, and in a manner consistent with, Section 424(a) of the Code, (ii) to individuals who are not subject to U.S. income tax on the date of grant, or (iii) if the Stock Option is otherwise compliant with Section 409A.</w:t>
      </w:r>
    </w:p>
    <w:p>
      <w:pPr>
        <w:spacing w:after="0" w:line="81" w:lineRule="exact"/>
        <w:rPr>
          <w:rFonts w:ascii="Arial" w:cs="Arial" w:eastAsia="Arial" w:hAnsi="Arial"/>
          <w:sz w:val="16"/>
          <w:szCs w:val="16"/>
          <w:color w:val="auto"/>
        </w:rPr>
      </w:pPr>
    </w:p>
    <w:p>
      <w:pPr>
        <w:jc w:val="both"/>
        <w:ind w:right="20" w:firstLine="436"/>
        <w:spacing w:after="0" w:line="263" w:lineRule="auto"/>
        <w:tabs>
          <w:tab w:leader="none" w:pos="685"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Option Term</w:t>
      </w:r>
      <w:r>
        <w:rPr>
          <w:rFonts w:ascii="Arial" w:cs="Arial" w:eastAsia="Arial" w:hAnsi="Arial"/>
          <w:sz w:val="18"/>
          <w:szCs w:val="18"/>
          <w:color w:val="auto"/>
        </w:rPr>
        <w:t>. The term of each Stock Option shall be fixed by the Administrator, but no Stock Option shall be exercisable more than ten years after the date the Stock Option is granted. In the case of an Incentive Stock Option that is granted to a Ten Percent Owner, the term of such Stock Option shall be no more than five years from the date of grant.</w:t>
      </w:r>
    </w:p>
    <w:p>
      <w:pPr>
        <w:spacing w:after="0" w:line="75" w:lineRule="exact"/>
        <w:rPr>
          <w:rFonts w:ascii="Arial" w:cs="Arial" w:eastAsia="Arial" w:hAnsi="Arial"/>
          <w:sz w:val="18"/>
          <w:szCs w:val="18"/>
          <w:color w:val="auto"/>
        </w:rPr>
      </w:pPr>
    </w:p>
    <w:p>
      <w:pPr>
        <w:ind w:firstLine="436"/>
        <w:spacing w:after="0" w:line="259" w:lineRule="auto"/>
        <w:tabs>
          <w:tab w:leader="none" w:pos="695"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Exercisability; Rights of a Stockholder</w:t>
      </w:r>
      <w:r>
        <w:rPr>
          <w:rFonts w:ascii="Arial" w:cs="Arial" w:eastAsia="Arial" w:hAnsi="Arial"/>
          <w:sz w:val="18"/>
          <w:szCs w:val="18"/>
          <w:color w:val="auto"/>
        </w:rPr>
        <w:t>. Stock Options shall become exercisable at such time or times, whether or not in installments, as shall be determined by the Administrator at or after the grant date. The Administrator may at any time accelerate the exercisability of all or any portion of any Stock Option. An optionee shall have the rights of a stockholder only as to shares acquired upon the exercise of a Stock Option and not as to unexercised Stock Options.</w:t>
      </w:r>
    </w:p>
    <w:p>
      <w:pPr>
        <w:spacing w:after="0" w:line="78" w:lineRule="exact"/>
        <w:rPr>
          <w:rFonts w:ascii="Arial" w:cs="Arial" w:eastAsia="Arial" w:hAnsi="Arial"/>
          <w:sz w:val="18"/>
          <w:szCs w:val="18"/>
          <w:color w:val="auto"/>
        </w:rPr>
      </w:pPr>
    </w:p>
    <w:p>
      <w:pPr>
        <w:jc w:val="both"/>
        <w:ind w:right="300" w:firstLine="436"/>
        <w:spacing w:after="0" w:line="263" w:lineRule="auto"/>
        <w:tabs>
          <w:tab w:leader="none" w:pos="685"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Method of Exercise</w:t>
      </w:r>
      <w:r>
        <w:rPr>
          <w:rFonts w:ascii="Arial" w:cs="Arial" w:eastAsia="Arial" w:hAnsi="Arial"/>
          <w:sz w:val="18"/>
          <w:szCs w:val="18"/>
          <w:color w:val="auto"/>
        </w:rPr>
        <w:t>. Stock Options may be exercised in whole or in part, by giving written or electronic notice of exercise to the Company, specifying the number of shares to be purchased. Payment of the purchase price may be made by one or more of the following methods except to the extent otherwise provided in the Option Award Certificate:</w:t>
      </w:r>
    </w:p>
    <w:p>
      <w:pPr>
        <w:spacing w:after="0" w:line="75" w:lineRule="exact"/>
        <w:rPr>
          <w:rFonts w:ascii="Arial" w:cs="Arial" w:eastAsia="Arial" w:hAnsi="Arial"/>
          <w:sz w:val="18"/>
          <w:szCs w:val="18"/>
          <w:color w:val="auto"/>
        </w:rPr>
      </w:pPr>
    </w:p>
    <w:p>
      <w:pPr>
        <w:ind w:left="1200" w:hanging="213"/>
        <w:spacing w:after="0"/>
        <w:tabs>
          <w:tab w:leader="none" w:pos="12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In cash, by certified or bank check or other instrument acceptable to the Administrator;</w:t>
      </w:r>
    </w:p>
    <w:p>
      <w:pPr>
        <w:spacing w:after="0" w:line="117" w:lineRule="exact"/>
        <w:rPr>
          <w:rFonts w:ascii="Arial" w:cs="Arial" w:eastAsia="Arial" w:hAnsi="Arial"/>
          <w:sz w:val="18"/>
          <w:szCs w:val="18"/>
          <w:color w:val="auto"/>
        </w:rPr>
      </w:pPr>
    </w:p>
    <w:p>
      <w:pPr>
        <w:ind w:right="20" w:firstLine="987"/>
        <w:spacing w:after="0" w:line="342" w:lineRule="auto"/>
        <w:tabs>
          <w:tab w:leader="none" w:pos="1256" w:val="left"/>
        </w:tabs>
        <w:numPr>
          <w:ilvl w:val="1"/>
          <w:numId w:val="21"/>
        </w:numPr>
        <w:rPr>
          <w:rFonts w:ascii="Arial" w:cs="Arial" w:eastAsia="Arial" w:hAnsi="Arial"/>
          <w:sz w:val="16"/>
          <w:szCs w:val="16"/>
          <w:color w:val="auto"/>
        </w:rPr>
      </w:pPr>
      <w:r>
        <w:rPr>
          <w:rFonts w:ascii="Arial" w:cs="Arial" w:eastAsia="Arial" w:hAnsi="Arial"/>
          <w:sz w:val="16"/>
          <w:szCs w:val="16"/>
          <w:color w:val="auto"/>
        </w:rPr>
        <w:t>Through the delivery (or attestation to the ownership following such procedures as the Company may prescribe) of shares of Stock that are not then subject to restrictions under any Company plan. Such surrendered shares shall be valued at Fair Market Value on the exercise date;</w:t>
      </w:r>
    </w:p>
    <w:p>
      <w:pPr>
        <w:spacing w:after="0" w:line="15" w:lineRule="exact"/>
        <w:rPr>
          <w:rFonts w:ascii="Arial" w:cs="Arial" w:eastAsia="Arial" w:hAnsi="Arial"/>
          <w:sz w:val="16"/>
          <w:szCs w:val="16"/>
          <w:color w:val="auto"/>
        </w:rPr>
      </w:pPr>
    </w:p>
    <w:p>
      <w:pPr>
        <w:ind w:right="80" w:firstLine="987"/>
        <w:spacing w:after="0" w:line="279" w:lineRule="auto"/>
        <w:tabs>
          <w:tab w:leader="none" w:pos="1306" w:val="left"/>
        </w:tabs>
        <w:numPr>
          <w:ilvl w:val="1"/>
          <w:numId w:val="21"/>
        </w:numPr>
        <w:rPr>
          <w:rFonts w:ascii="Arial" w:cs="Arial" w:eastAsia="Arial" w:hAnsi="Arial"/>
          <w:sz w:val="17"/>
          <w:szCs w:val="17"/>
          <w:color w:val="auto"/>
        </w:rPr>
      </w:pPr>
      <w:r>
        <w:rPr>
          <w:rFonts w:ascii="Arial" w:cs="Arial" w:eastAsia="Arial" w:hAnsi="Arial"/>
          <w:sz w:val="17"/>
          <w:szCs w:val="17"/>
          <w:color w:val="auto"/>
        </w:rPr>
        <w:t>By the optionee delivering to the Company a properly executed exercise notice together with irrevocable instructions to a broker to promptly deliver to the Company cash or a check payable and acceptable to the Company for the purchase price; provided that in the event the optionee chooses to pay the purchase price as so provided, the optionee and the broker shall comply with such procedures and enter into such agreements of indemnity and other agreements as the Company shall prescribe as a condition of such payment procedure; or</w:t>
      </w:r>
    </w:p>
    <w:p>
      <w:pPr>
        <w:spacing w:after="0" w:line="63" w:lineRule="exact"/>
        <w:rPr>
          <w:rFonts w:ascii="Arial" w:cs="Arial" w:eastAsia="Arial" w:hAnsi="Arial"/>
          <w:sz w:val="17"/>
          <w:szCs w:val="17"/>
          <w:color w:val="auto"/>
        </w:rPr>
      </w:pPr>
    </w:p>
    <w:p>
      <w:pPr>
        <w:jc w:val="both"/>
        <w:ind w:right="160" w:firstLine="987"/>
        <w:spacing w:after="0" w:line="263" w:lineRule="auto"/>
        <w:tabs>
          <w:tab w:leader="none" w:pos="1296" w:val="left"/>
        </w:tabs>
        <w:numPr>
          <w:ilvl w:val="1"/>
          <w:numId w:val="21"/>
        </w:numPr>
        <w:rPr>
          <w:rFonts w:ascii="Arial" w:cs="Arial" w:eastAsia="Arial" w:hAnsi="Arial"/>
          <w:sz w:val="18"/>
          <w:szCs w:val="18"/>
          <w:color w:val="auto"/>
        </w:rPr>
      </w:pPr>
      <w:r>
        <w:rPr>
          <w:rFonts w:ascii="Arial" w:cs="Arial" w:eastAsia="Arial" w:hAnsi="Arial"/>
          <w:sz w:val="18"/>
          <w:szCs w:val="18"/>
          <w:color w:val="auto"/>
        </w:rPr>
        <w:t>With respect to Stock Options that are not Incentive Stock Options, by a “net exercise” arrangement pursuant to which the Company will reduce the number of shares of Stock issuable upon exercise by the largest whole number of shares with a Fair Market Value that does not exceed the aggregate exercise price.</w:t>
      </w:r>
    </w:p>
    <w:p>
      <w:pPr>
        <w:spacing w:after="0" w:line="18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Payment instruments will be received subject to collection. The transfer to the optionee on the records of the Company or of the transfer agent of the shares of Stock to be purchased pursuant to the exercise of a Stock Option will be contingent upon receipt from the optionee (or a purchaser acting in his stead in accordance with the provisions of the Stock Option) by the Company of the full purchase price for such shares and the fulfillment of any other requirements contained in the Option Award Certificate or applicable provisions of laws (including the satisfaction of any withholding taxes that the Company is obligated to withhold with respect to the optionee). In the event an optionee chooses to pay the purchase price by previously-owned shares of Stock through the attestation method, the number of shares of Stock transferred to the optionee upon the exercise of the Stock Option shall be net of the number of attested shares. In the event that the Company establishes, for itself or using the services of a third party, an automated system for the exercise of Stock Options, such as a system using an internet website or interactive voice response, then the paperless exercise of Stock Options may be permitted through the use of such an automated system.</w:t>
      </w:r>
    </w:p>
    <w:p>
      <w:pPr>
        <w:sectPr>
          <w:pgSz w:w="11900" w:h="16838" w:orient="portrait"/>
          <w:cols w:equalWidth="0" w:num="1">
            <w:col w:w="11000"/>
          </w:cols>
          <w:pgMar w:left="440" w:top="274" w:right="459" w:bottom="1440" w:gutter="0" w:footer="0" w:header="0"/>
        </w:sectPr>
      </w:pPr>
    </w:p>
    <w:bookmarkStart w:id="19" w:name="page20"/>
    <w:bookmarkEnd w:id="19"/>
    <w:p>
      <w:pPr>
        <w:ind w:left="4" w:firstLine="436"/>
        <w:spacing w:after="0" w:line="301" w:lineRule="auto"/>
        <w:tabs>
          <w:tab w:leader="none" w:pos="669"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Annual Limit on Incentive Stock Options</w:t>
      </w:r>
      <w:r>
        <w:rPr>
          <w:rFonts w:ascii="Arial" w:cs="Arial" w:eastAsia="Arial" w:hAnsi="Arial"/>
          <w:sz w:val="16"/>
          <w:szCs w:val="16"/>
          <w:color w:val="auto"/>
        </w:rPr>
        <w:t>. To the extent required for “incentive stock option” treatment under Section 422 of the Code, the aggregate Fair Market Value (determined as of the time of grant) of the shares of Stock with respect to which Incentive Stock Options granted under this Plan and any other plan of the Company or its parent and subsidiary corporations become exercisable for the first time by an optionee during any calendar year shall not exceed $100,000. To the extent that any Stock Option exceeds this limit, it shall constitute a Non-Qualified Stock Option.</w:t>
      </w:r>
    </w:p>
    <w:p>
      <w:pPr>
        <w:spacing w:after="0" w:line="157"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STOCK APPRECIATION RIGHTS</w:t>
      </w:r>
    </w:p>
    <w:p>
      <w:pPr>
        <w:spacing w:after="0" w:line="117" w:lineRule="exact"/>
        <w:rPr>
          <w:sz w:val="20"/>
          <w:szCs w:val="20"/>
          <w:color w:val="auto"/>
        </w:rPr>
      </w:pPr>
    </w:p>
    <w:p>
      <w:pPr>
        <w:ind w:left="4" w:right="180" w:firstLine="436"/>
        <w:spacing w:after="0" w:line="301" w:lineRule="auto"/>
        <w:tabs>
          <w:tab w:leader="none" w:pos="689"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Award of Stock Appreciation Rights</w:t>
      </w:r>
      <w:r>
        <w:rPr>
          <w:rFonts w:ascii="Arial" w:cs="Arial" w:eastAsia="Arial" w:hAnsi="Arial"/>
          <w:sz w:val="16"/>
          <w:szCs w:val="16"/>
          <w:color w:val="auto"/>
        </w:rPr>
        <w:t>. The Administrator may grant Stock Appreciation Rights under the Plan. A Stock Appreciation Right is an Award entitling the recipient to receive shares of Stock (or cash, to the extent explicitly provided for in the applicable Award Certificate) having a value equal to the excess of the Fair Market Value of a share of Stock on the date of exercise over the exercise price of the Stock Appreciation Right multiplied by the number of shares of Stock with respect to which the Stock Appreciation Right shall have been exercised.</w:t>
      </w:r>
    </w:p>
    <w:p>
      <w:pPr>
        <w:spacing w:after="0" w:line="49" w:lineRule="exact"/>
        <w:rPr>
          <w:rFonts w:ascii="Arial" w:cs="Arial" w:eastAsia="Arial" w:hAnsi="Arial"/>
          <w:sz w:val="16"/>
          <w:szCs w:val="16"/>
          <w:color w:val="auto"/>
        </w:rPr>
      </w:pPr>
    </w:p>
    <w:p>
      <w:pPr>
        <w:ind w:left="4" w:right="260" w:firstLine="436"/>
        <w:spacing w:after="0" w:line="277" w:lineRule="auto"/>
        <w:tabs>
          <w:tab w:leader="none" w:pos="699"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Exercise Price of Stock Appreciation Rights</w:t>
      </w:r>
      <w:r>
        <w:rPr>
          <w:rFonts w:ascii="Arial" w:cs="Arial" w:eastAsia="Arial" w:hAnsi="Arial"/>
          <w:sz w:val="18"/>
          <w:szCs w:val="18"/>
          <w:color w:val="auto"/>
        </w:rPr>
        <w:t>. The exercise price of a Stock Appreciation Right shall not be less than 100 percent of the Fair Market Value of the Stock on the date of grant.</w:t>
      </w:r>
    </w:p>
    <w:p>
      <w:pPr>
        <w:spacing w:after="0" w:line="62" w:lineRule="exact"/>
        <w:rPr>
          <w:rFonts w:ascii="Arial" w:cs="Arial" w:eastAsia="Arial" w:hAnsi="Arial"/>
          <w:sz w:val="18"/>
          <w:szCs w:val="18"/>
          <w:color w:val="auto"/>
        </w:rPr>
      </w:pPr>
    </w:p>
    <w:p>
      <w:pPr>
        <w:ind w:left="4" w:right="60" w:firstLine="436"/>
        <w:spacing w:after="0" w:line="277" w:lineRule="auto"/>
        <w:tabs>
          <w:tab w:leader="none" w:pos="689"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Grant and Exercise of Stock Appreciation Rights</w:t>
      </w:r>
      <w:r>
        <w:rPr>
          <w:rFonts w:ascii="Arial" w:cs="Arial" w:eastAsia="Arial" w:hAnsi="Arial"/>
          <w:sz w:val="18"/>
          <w:szCs w:val="18"/>
          <w:color w:val="auto"/>
        </w:rPr>
        <w:t>. Stock Appreciation Rights may be granted by the Administrator independently of any Stock Option granted pursuant to Section 5 of the Plan.</w:t>
      </w:r>
    </w:p>
    <w:p>
      <w:pPr>
        <w:spacing w:after="0" w:line="62" w:lineRule="exact"/>
        <w:rPr>
          <w:rFonts w:ascii="Arial" w:cs="Arial" w:eastAsia="Arial" w:hAnsi="Arial"/>
          <w:sz w:val="18"/>
          <w:szCs w:val="18"/>
          <w:color w:val="auto"/>
        </w:rPr>
      </w:pPr>
    </w:p>
    <w:p>
      <w:pPr>
        <w:ind w:left="4" w:right="280" w:firstLine="436"/>
        <w:spacing w:after="0" w:line="311" w:lineRule="auto"/>
        <w:tabs>
          <w:tab w:leader="none" w:pos="699"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Terms and Conditions of Stock Appreciation Rights</w:t>
      </w:r>
      <w:r>
        <w:rPr>
          <w:rFonts w:ascii="Arial" w:cs="Arial" w:eastAsia="Arial" w:hAnsi="Arial"/>
          <w:sz w:val="16"/>
          <w:szCs w:val="16"/>
          <w:color w:val="auto"/>
        </w:rPr>
        <w:t>. Stock Appreciation Rights shall be subject to such terms and conditions as shall be determined on the date of grant by the Administrator. The term of a Stock Appreciation Right may not exceed ten years. The terms and conditions of each such Award shall be determined by the Administrator, and such terms and conditions may differ among individual Awards and grantees.</w:t>
      </w:r>
    </w:p>
    <w:p>
      <w:pPr>
        <w:spacing w:after="0" w:line="149"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RESTRICTED STOCK AWARDS</w:t>
      </w:r>
    </w:p>
    <w:p>
      <w:pPr>
        <w:spacing w:after="0" w:line="117" w:lineRule="exact"/>
        <w:rPr>
          <w:sz w:val="20"/>
          <w:szCs w:val="20"/>
          <w:color w:val="auto"/>
        </w:rPr>
      </w:pPr>
    </w:p>
    <w:p>
      <w:pPr>
        <w:ind w:left="4" w:firstLine="436"/>
        <w:spacing w:after="0" w:line="311" w:lineRule="auto"/>
        <w:tabs>
          <w:tab w:leader="none" w:pos="689" w:val="left"/>
        </w:tabs>
        <w:numPr>
          <w:ilvl w:val="1"/>
          <w:numId w:val="24"/>
        </w:numPr>
        <w:rPr>
          <w:rFonts w:ascii="Arial" w:cs="Arial" w:eastAsia="Arial" w:hAnsi="Arial"/>
          <w:sz w:val="16"/>
          <w:szCs w:val="16"/>
          <w:color w:val="auto"/>
        </w:rPr>
      </w:pPr>
      <w:r>
        <w:rPr>
          <w:rFonts w:ascii="Arial" w:cs="Arial" w:eastAsia="Arial" w:hAnsi="Arial"/>
          <w:sz w:val="16"/>
          <w:szCs w:val="16"/>
          <w:u w:val="single" w:color="auto"/>
          <w:color w:val="auto"/>
        </w:rPr>
        <w:t>Nature of Restricted Stock Awards</w:t>
      </w:r>
      <w:r>
        <w:rPr>
          <w:rFonts w:ascii="Arial" w:cs="Arial" w:eastAsia="Arial" w:hAnsi="Arial"/>
          <w:sz w:val="16"/>
          <w:szCs w:val="16"/>
          <w:color w:val="auto"/>
        </w:rPr>
        <w:t>. The Administrator may grant Restricted Stock Awards under the Plan. A Restricted Stock Award is any Award of Restricted Shares subject to such restrictions and conditions as the Administrator may determine at the time of grant. Conditions may be based on continuing employment (or other Service Relationship) and/or achievement of pre-established performance goals and objectives.</w:t>
      </w:r>
    </w:p>
    <w:p>
      <w:pPr>
        <w:spacing w:after="0" w:line="40" w:lineRule="exact"/>
        <w:rPr>
          <w:rFonts w:ascii="Arial" w:cs="Arial" w:eastAsia="Arial" w:hAnsi="Arial"/>
          <w:sz w:val="16"/>
          <w:szCs w:val="16"/>
          <w:color w:val="auto"/>
        </w:rPr>
      </w:pPr>
    </w:p>
    <w:p>
      <w:pPr>
        <w:jc w:val="both"/>
        <w:ind w:left="4" w:right="80" w:firstLine="436"/>
        <w:spacing w:after="0" w:line="284" w:lineRule="auto"/>
        <w:tabs>
          <w:tab w:leader="none" w:pos="699" w:val="left"/>
        </w:tabs>
        <w:numPr>
          <w:ilvl w:val="1"/>
          <w:numId w:val="24"/>
        </w:numPr>
        <w:rPr>
          <w:rFonts w:ascii="Arial" w:cs="Arial" w:eastAsia="Arial" w:hAnsi="Arial"/>
          <w:sz w:val="16"/>
          <w:szCs w:val="16"/>
          <w:color w:val="auto"/>
        </w:rPr>
      </w:pPr>
      <w:r>
        <w:rPr>
          <w:rFonts w:ascii="Arial" w:cs="Arial" w:eastAsia="Arial" w:hAnsi="Arial"/>
          <w:sz w:val="16"/>
          <w:szCs w:val="16"/>
          <w:u w:val="single" w:color="auto"/>
          <w:color w:val="auto"/>
        </w:rPr>
        <w:t>Ri</w:t>
      </w:r>
      <w:r>
        <w:rPr>
          <w:rFonts w:ascii="Arial" w:cs="Arial" w:eastAsia="Arial" w:hAnsi="Arial"/>
          <w:sz w:val="16"/>
          <w:szCs w:val="16"/>
          <w:color w:val="auto"/>
        </w:rPr>
        <w:t>g</w:t>
      </w:r>
      <w:r>
        <w:rPr>
          <w:rFonts w:ascii="Arial" w:cs="Arial" w:eastAsia="Arial" w:hAnsi="Arial"/>
          <w:sz w:val="16"/>
          <w:szCs w:val="16"/>
          <w:u w:val="single" w:color="auto"/>
          <w:color w:val="auto"/>
        </w:rPr>
        <w:t>hts as a Stockholder</w:t>
      </w:r>
      <w:r>
        <w:rPr>
          <w:rFonts w:ascii="Arial" w:cs="Arial" w:eastAsia="Arial" w:hAnsi="Arial"/>
          <w:sz w:val="16"/>
          <w:szCs w:val="16"/>
          <w:color w:val="auto"/>
        </w:rPr>
        <w:t>. Upon the grant of the Restricted Stock Award and payment of any applicable purchase price, a grantee shall have the rights of a stockholder with respect to the voting of the Restricted Shares and receipt of dividends; provided that if the lapse of restrictions with respect to the Restricted Stock Award is tied to the attainment of performance goals, any dividends paid by the Company during the performance period shall accrue and shall not be paid to the grantee until and to the extent the performance goals are met with respect to the Restricted Stock Award. Unless the Administrator shall otherwise determine, (i) uncertificated Restricted Shares shall be accompanied by a notation on the records of the Company or the transfer agent to the effect that they are subject to forfeiture until such Restricted Shares are vested as provided in Section 7(d) below, and</w:t>
      </w:r>
    </w:p>
    <w:p>
      <w:pPr>
        <w:spacing w:after="0" w:line="4" w:lineRule="exact"/>
        <w:rPr>
          <w:rFonts w:ascii="Arial" w:cs="Arial" w:eastAsia="Arial" w:hAnsi="Arial"/>
          <w:sz w:val="16"/>
          <w:szCs w:val="16"/>
          <w:color w:val="auto"/>
        </w:rPr>
      </w:pPr>
    </w:p>
    <w:p>
      <w:pPr>
        <w:ind w:left="4" w:right="280" w:hanging="4"/>
        <w:spacing w:after="0" w:line="255" w:lineRule="auto"/>
        <w:tabs>
          <w:tab w:leader="none" w:pos="269" w:val="left"/>
        </w:tabs>
        <w:numPr>
          <w:ilvl w:val="0"/>
          <w:numId w:val="25"/>
        </w:numPr>
        <w:rPr>
          <w:rFonts w:ascii="Arial" w:cs="Arial" w:eastAsia="Arial" w:hAnsi="Arial"/>
          <w:sz w:val="18"/>
          <w:szCs w:val="18"/>
          <w:color w:val="auto"/>
        </w:rPr>
      </w:pPr>
      <w:r>
        <w:rPr>
          <w:rFonts w:ascii="Arial" w:cs="Arial" w:eastAsia="Arial" w:hAnsi="Arial"/>
          <w:sz w:val="18"/>
          <w:szCs w:val="18"/>
          <w:color w:val="auto"/>
        </w:rPr>
        <w:t>certificated Restricted Shares shall remain in the possession of the Company until such Restricted Shares are vested as provided in Section 7(d) below, and the grantee shall be required, as a condition of the grant, to deliver to the Company such instruments of transfer as the Administrator may prescribe.</w:t>
      </w:r>
    </w:p>
    <w:p>
      <w:pPr>
        <w:sectPr>
          <w:pgSz w:w="11900" w:h="16838" w:orient="portrait"/>
          <w:cols w:equalWidth="0" w:num="1">
            <w:col w:w="10984"/>
          </w:cols>
          <w:pgMar w:left="436" w:top="274" w:right="479" w:bottom="1440" w:gutter="0" w:footer="0" w:header="0"/>
        </w:sectPr>
      </w:pPr>
    </w:p>
    <w:bookmarkStart w:id="20" w:name="page21"/>
    <w:bookmarkEnd w:id="20"/>
    <w:p>
      <w:pPr>
        <w:ind w:right="60" w:firstLine="436"/>
        <w:spacing w:after="0" w:line="270" w:lineRule="auto"/>
        <w:tabs>
          <w:tab w:leader="none" w:pos="685"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Restrictions</w:t>
      </w:r>
      <w:r>
        <w:rPr>
          <w:rFonts w:ascii="Arial" w:cs="Arial" w:eastAsia="Arial" w:hAnsi="Arial"/>
          <w:sz w:val="17"/>
          <w:szCs w:val="17"/>
          <w:color w:val="auto"/>
        </w:rPr>
        <w:t>. Restricted Shares may not be sold, assigned, transferred, pledged or otherwise encumbered or disposed of except as specifically provided herein or in the Restricted Stock Award Certificate. Except as may otherwise be provided by the Administrator either in the Award Certificate or, subject to Section 16 below, in writing after the Award is issued, if a grantee’s employment (or other Service Relationship) with the Company and its Subsidiaries terminates for any reason, any Restricted Shares that have not vested at the time of termination shall automatically and without any requirement of notice to such grantee from or other action by or on behalf of, the Company be deemed to have been reacquired by the Company at their original purchase price (if any) from such grantee or such grantee’s legal representative simultaneously with such termination of employment (or other Service Relationship), and thereafter shall cease to represent any ownership of the Company by the grantee or rights of the grantee as a stockholder. Following such deemed reacquisition of Restricted Shares that are represented by physical certificates, a grantee shall surrender such certificates to the Company upon request without consideration.</w:t>
      </w:r>
    </w:p>
    <w:p>
      <w:pPr>
        <w:spacing w:after="0" w:line="72" w:lineRule="exact"/>
        <w:rPr>
          <w:rFonts w:ascii="Arial" w:cs="Arial" w:eastAsia="Arial" w:hAnsi="Arial"/>
          <w:sz w:val="17"/>
          <w:szCs w:val="17"/>
          <w:color w:val="auto"/>
        </w:rPr>
      </w:pPr>
    </w:p>
    <w:p>
      <w:pPr>
        <w:ind w:right="60" w:firstLine="436"/>
        <w:spacing w:after="0" w:line="301" w:lineRule="auto"/>
        <w:tabs>
          <w:tab w:leader="none" w:pos="695"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Vestin</w:t>
      </w:r>
      <w:r>
        <w:rPr>
          <w:rFonts w:ascii="Arial" w:cs="Arial" w:eastAsia="Arial" w:hAnsi="Arial"/>
          <w:sz w:val="16"/>
          <w:szCs w:val="16"/>
          <w:color w:val="auto"/>
        </w:rPr>
        <w:t>g of Restricted Shares. The Administrator at the time of grant shall specify the date or dates and/or the attainment of pre-established performance goals, objectives and other conditions on which the non- transferability of the Restricted Shares and the Company’s right of repurchase or forfeiture shall lapse. Subsequent to such date or dates and/or the attainment of such pre-established performance goals, objectives and other conditions, the shares on which all restrictions have lapsed shall no longer be Restricted Shares and shall be deemed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781685</wp:posOffset>
            </wp:positionH>
            <wp:positionV relativeFrom="paragraph">
              <wp:posOffset>-464820</wp:posOffset>
            </wp:positionV>
            <wp:extent cx="94869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5">
                      <a:extLst>
                        <a:ext uri="{28A0092B-C50C-407E-A947-70E740481C1C}"/>
                      </a:extLst>
                    </a:blip>
                    <a:srcRect/>
                    <a:stretch>
                      <a:fillRect/>
                    </a:stretch>
                  </pic:blipFill>
                  <pic:spPr bwMode="auto">
                    <a:xfrm>
                      <a:off x="0" y="0"/>
                      <a:ext cx="948690" cy="8255"/>
                    </a:xfrm>
                    <a:prstGeom prst="rect">
                      <a:avLst/>
                    </a:prstGeom>
                    <a:noFill/>
                  </pic:spPr>
                </pic:pic>
              </a:graphicData>
            </a:graphic>
          </wp:anchor>
        </w:drawing>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RESTRICTED STOCK UNITS</w:t>
      </w:r>
    </w:p>
    <w:p>
      <w:pPr>
        <w:spacing w:after="0" w:line="117" w:lineRule="exact"/>
        <w:rPr>
          <w:sz w:val="20"/>
          <w:szCs w:val="20"/>
          <w:color w:val="auto"/>
        </w:rPr>
      </w:pPr>
    </w:p>
    <w:p>
      <w:pPr>
        <w:ind w:right="40" w:firstLine="436"/>
        <w:spacing w:after="0" w:line="290" w:lineRule="auto"/>
        <w:tabs>
          <w:tab w:leader="none" w:pos="685"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Nature of Restricted Stock Units</w:t>
      </w:r>
      <w:r>
        <w:rPr>
          <w:rFonts w:ascii="Arial" w:cs="Arial" w:eastAsia="Arial" w:hAnsi="Arial"/>
          <w:sz w:val="16"/>
          <w:szCs w:val="16"/>
          <w:color w:val="auto"/>
        </w:rPr>
        <w:t>. The Administrator may grant Restricted Stock Units under the Plan. A Restricted Stock Unit is an Award of stock units that may be settled in shares of Stock (or cash, to the extent explicitly provided for in the Award Certificate) upon the satisfaction of such restrictions and conditions at the time of grant. Conditions may be based on continuing employment (or other Service Relationship) and/or achievement of pre-established performance goals and objectives. The terms and conditions of each such Award shall be determined by the Administrator, and such terms and conditions may differ among individual Awards and grantees. Except in the case of Restricted Stock Units with a deferred settlement date that complies with Section 409A, at the end of the vesting period, the Restricted Stock Units, to the extent vested, shall be settled in the form of shares of Stock. Restricted Stock Units with deferred settlement dates are subject to Section 409A and shall contain such additional terms and conditions as the Administrator shall determine in its sole discretion in order to comply with the requirements of Section 409A.</w:t>
      </w:r>
    </w:p>
    <w:p>
      <w:pPr>
        <w:spacing w:after="0" w:line="57" w:lineRule="exact"/>
        <w:rPr>
          <w:rFonts w:ascii="Arial" w:cs="Arial" w:eastAsia="Arial" w:hAnsi="Arial"/>
          <w:sz w:val="16"/>
          <w:szCs w:val="16"/>
          <w:color w:val="auto"/>
        </w:rPr>
      </w:pPr>
    </w:p>
    <w:p>
      <w:pPr>
        <w:ind w:firstLine="436"/>
        <w:spacing w:after="0" w:line="270" w:lineRule="auto"/>
        <w:tabs>
          <w:tab w:leader="none" w:pos="695"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Election to Receive Restricted Stock Units in Lieu of Compensation</w:t>
      </w:r>
      <w:r>
        <w:rPr>
          <w:rFonts w:ascii="Arial" w:cs="Arial" w:eastAsia="Arial" w:hAnsi="Arial"/>
          <w:sz w:val="17"/>
          <w:szCs w:val="17"/>
          <w:color w:val="auto"/>
        </w:rPr>
        <w:t>. The Administrator may, in its sole discretion, permit a grantee to elect to receive a portion of future cash compensation otherwise due to such grantee in the form of an award of Restricted Stock Units. Any such election shall be made in writing and shall be delivered to the Company no later than the date specified by the Administrator and in accordance with Section 409A and such other rules and procedures established by the Administrator. Any such future cash compensation that the grantee elects to defer shall be converted to a fixed number of Restricted Stock Units based on the Fair Market Value of Stock on the date the compensation would otherwise have been paid to the grantee if such payment had not been deferred as provided herein. The Administrator shall have the sole right to determine whether and under what circumstances to permit such elections and to impose such limitations and other terms and conditions thereon as the Administrator deems appropriate. Any Restricted Stock Units that are elected to be received in lieu of cash compensation shall be fully vested, unless otherwise provided in the Award Certificate.</w:t>
      </w:r>
    </w:p>
    <w:p>
      <w:pPr>
        <w:sectPr>
          <w:pgSz w:w="11900" w:h="16838" w:orient="portrait"/>
          <w:cols w:equalWidth="0" w:num="1">
            <w:col w:w="11000"/>
          </w:cols>
          <w:pgMar w:left="440" w:top="274" w:right="459" w:bottom="1440" w:gutter="0" w:footer="0" w:header="0"/>
        </w:sectPr>
      </w:pPr>
    </w:p>
    <w:bookmarkStart w:id="21" w:name="page22"/>
    <w:bookmarkEnd w:id="21"/>
    <w:p>
      <w:pPr>
        <w:jc w:val="both"/>
        <w:ind w:right="100" w:firstLine="436"/>
        <w:spacing w:after="0" w:line="311" w:lineRule="auto"/>
        <w:tabs>
          <w:tab w:leader="none" w:pos="685"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Ri</w:t>
      </w:r>
      <w:r>
        <w:rPr>
          <w:rFonts w:ascii="Arial" w:cs="Arial" w:eastAsia="Arial" w:hAnsi="Arial"/>
          <w:sz w:val="16"/>
          <w:szCs w:val="16"/>
          <w:color w:val="auto"/>
        </w:rPr>
        <w:t>g</w:t>
      </w:r>
      <w:r>
        <w:rPr>
          <w:rFonts w:ascii="Arial" w:cs="Arial" w:eastAsia="Arial" w:hAnsi="Arial"/>
          <w:sz w:val="16"/>
          <w:szCs w:val="16"/>
          <w:u w:val="single" w:color="auto"/>
          <w:color w:val="auto"/>
        </w:rPr>
        <w:t>hts as a Stockholder</w:t>
      </w:r>
      <w:r>
        <w:rPr>
          <w:rFonts w:ascii="Arial" w:cs="Arial" w:eastAsia="Arial" w:hAnsi="Arial"/>
          <w:sz w:val="16"/>
          <w:szCs w:val="16"/>
          <w:color w:val="auto"/>
        </w:rPr>
        <w:t>. A grantee shall have the rights as a stockholder only as to shares of Stock acquired by the grantee upon settlement of Restricted Stock Units; provided, however, that the grantee may be credited with Dividend Equivalent Rights with respect to the stock units underlying his or her Restricted Stock Units, subject to the provisions of Section 11 and such terms and conditions as the Administrator may determine.</w:t>
      </w:r>
    </w:p>
    <w:p>
      <w:pPr>
        <w:spacing w:after="0" w:line="40" w:lineRule="exact"/>
        <w:rPr>
          <w:rFonts w:ascii="Arial" w:cs="Arial" w:eastAsia="Arial" w:hAnsi="Arial"/>
          <w:sz w:val="16"/>
          <w:szCs w:val="16"/>
          <w:color w:val="auto"/>
        </w:rPr>
      </w:pPr>
    </w:p>
    <w:p>
      <w:pPr>
        <w:jc w:val="both"/>
        <w:ind w:right="340" w:firstLine="436"/>
        <w:spacing w:after="0" w:line="286" w:lineRule="auto"/>
        <w:tabs>
          <w:tab w:leader="none" w:pos="695"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Except as may otherwise be provided by the Administrator either in the Award Certificate or, subject to Section 16 below, in writing after the Award is issued, a grantee’s right in all Restricted Stock Units that have not vested shall automatically terminate upon the grantee’s termination of employment (or cessation of Service Relationship) with the Company and its Subsidiaries for any reason.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UNRESTRICTED STOCK AWARDS</w:t>
      </w:r>
    </w:p>
    <w:p>
      <w:pPr>
        <w:spacing w:after="0" w:line="117"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u w:val="single" w:color="auto"/>
          <w:color w:val="auto"/>
        </w:rPr>
        <w:t>Grant or Sale of Unrestricted Stock</w:t>
      </w:r>
      <w:r>
        <w:rPr>
          <w:rFonts w:ascii="Arial" w:cs="Arial" w:eastAsia="Arial" w:hAnsi="Arial"/>
          <w:sz w:val="18"/>
          <w:szCs w:val="18"/>
          <w:color w:val="auto"/>
        </w:rPr>
        <w:t>. The Administrator may grant (or sell at par value or such higher purchase price determined by the Administrator) an Unrestricted Stock Award under the Plan. An Unrestricted Stock Award is an Award pursuant to which the grantee may receive shares of Stock free of any restrictions under the Plan. Unrestricted Stock Awards may be granted in respect of past services or other valid consideration, or in lieu of cash compensation due to such grantee.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CASH-BASED AWARDS</w:t>
      </w:r>
    </w:p>
    <w:p>
      <w:pPr>
        <w:spacing w:after="0" w:line="117"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u w:val="single" w:color="auto"/>
          <w:color w:val="auto"/>
        </w:rPr>
        <w:t>Grant of Cash-Based Awards</w:t>
      </w:r>
      <w:r>
        <w:rPr>
          <w:rFonts w:ascii="Arial" w:cs="Arial" w:eastAsia="Arial" w:hAnsi="Arial"/>
          <w:sz w:val="17"/>
          <w:szCs w:val="17"/>
          <w:color w:val="auto"/>
        </w:rPr>
        <w:t>. The Administrator may grant Cash-Based Awards under the Plan. A Cash- Based Award is an Award that entitles the grantee to a payment in cash upon the attainment of specified performance goals. The Administrator shall determine the maximum duration of the Cash-Based Award, the amount of cash to which the Cash-Based Award pertains, the conditions upon which the Cash-Based Award shall become vested or payable, and such other provisions as the Administrator shall determine. Each Cash- Based Award shall specify a cash-denominated payment amount, formula or payment ranges as determined by the Administrator. Payment, if any, with respect to a Cash-Based Award shall be made in accordance with the terms of the Award and may be made in cash.</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DIVIDEND EQUIVALENT RIGHTS</w:t>
      </w:r>
    </w:p>
    <w:p>
      <w:pPr>
        <w:spacing w:after="0" w:line="117" w:lineRule="exact"/>
        <w:rPr>
          <w:sz w:val="20"/>
          <w:szCs w:val="20"/>
          <w:color w:val="auto"/>
        </w:rPr>
      </w:pPr>
    </w:p>
    <w:p>
      <w:pPr>
        <w:ind w:right="80" w:firstLine="436"/>
        <w:spacing w:after="0" w:line="269" w:lineRule="auto"/>
        <w:tabs>
          <w:tab w:leader="none" w:pos="685"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Dividend Equivalent Rights</w:t>
      </w:r>
      <w:r>
        <w:rPr>
          <w:rFonts w:ascii="Arial" w:cs="Arial" w:eastAsia="Arial" w:hAnsi="Arial"/>
          <w:sz w:val="17"/>
          <w:szCs w:val="17"/>
          <w:color w:val="auto"/>
        </w:rPr>
        <w:t>. The Administrator may grant Dividend Equivalent Rights under the Plan. A Dividend Equivalent Right is an Award entitling the grantee to receive credits based on cash dividends that would have been paid on the shares of Stock specified in the Dividend Equivalent Right (or other Award to which it relates) if such shares had been issued to the grantee. A Dividend Equivalent Right may be granted hereunder to any grantee as a component of an award of Restricted Stock Units or as a freestanding award. The terms and conditions of Dividend Equivalent Rights shall be specified in the Award Certificate. Dividend equivalents credited to the holder of a Dividend Equivalent Right may be paid currently or may be deemed to be reinvested in additional shares of Stock, which may thereafter accrue additional equivalents. Any such reinvestment shall be at Fair Market Value on the date of reinvestment or such other price as may then apply under a dividend reinvestment plan sponsored by the Company, if any. Dividend Equivalent Rights may be settled in cash or shares of Stock or a combination thereof, in a single installment or installments. A Dividend Equivalent Right granted as a component of an Award of Restricted Stock Units shall provide that such Dividend Equivalent Right shall be settled only upon settlement or payment of, or lapse of restrictions on, such other Award, and that such Dividend Equivalent Right shall expire or be forfeited or annulled under the same conditions as such other Award.</w:t>
      </w:r>
    </w:p>
    <w:p>
      <w:pPr>
        <w:sectPr>
          <w:pgSz w:w="11900" w:h="16838" w:orient="portrait"/>
          <w:cols w:equalWidth="0" w:num="1">
            <w:col w:w="10980"/>
          </w:cols>
          <w:pgMar w:left="440" w:top="274" w:right="479" w:bottom="1440" w:gutter="0" w:footer="0" w:header="0"/>
        </w:sectPr>
      </w:pPr>
    </w:p>
    <w:bookmarkStart w:id="22" w:name="page23"/>
    <w:bookmarkEnd w:id="22"/>
    <w:p>
      <w:pPr>
        <w:ind w:right="300" w:firstLine="436"/>
        <w:spacing w:after="0" w:line="263" w:lineRule="auto"/>
        <w:tabs>
          <w:tab w:leader="none" w:pos="695"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Termination</w:t>
      </w:r>
      <w:r>
        <w:rPr>
          <w:rFonts w:ascii="Arial" w:cs="Arial" w:eastAsia="Arial" w:hAnsi="Arial"/>
          <w:sz w:val="18"/>
          <w:szCs w:val="18"/>
          <w:color w:val="auto"/>
        </w:rPr>
        <w:t>. Except as may otherwise be provided by the Administrator either in the Award Certificate or, subject to Section 16 below, in writing after the Award is issued, a grantee’s rights in all Dividend Equivalent Rights shall automatically terminate upon the grantee’s termination of employment (or cessation of Service Relationship) with the Company and its Subsidiaries for any reason.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TRANSFERABILITY OF AWARDS</w:t>
      </w:r>
    </w:p>
    <w:p>
      <w:pPr>
        <w:spacing w:after="0" w:line="117" w:lineRule="exact"/>
        <w:rPr>
          <w:sz w:val="20"/>
          <w:szCs w:val="20"/>
          <w:color w:val="auto"/>
        </w:rPr>
      </w:pPr>
    </w:p>
    <w:p>
      <w:pPr>
        <w:ind w:firstLine="436"/>
        <w:spacing w:after="0" w:line="257" w:lineRule="auto"/>
        <w:tabs>
          <w:tab w:leader="none" w:pos="685"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Transferabilit</w:t>
      </w:r>
      <w:r>
        <w:rPr>
          <w:rFonts w:ascii="Arial" w:cs="Arial" w:eastAsia="Arial" w:hAnsi="Arial"/>
          <w:sz w:val="18"/>
          <w:szCs w:val="18"/>
          <w:color w:val="auto"/>
        </w:rPr>
        <w:t>y. Except as provided in Section 12(b) below, during a grantee’s lifetime, his or her Awards shall be exercisable only by the grantee, or by the grantee’s legal representative or guardian in the event of the grantee’s incapacity. No Awards shall be sold, assigned, transferred or otherwise encumbered or disposed of by a grantee other than by will or by the laws of descent and distribution or pursuant to a domestic relations order. No Awards shall be subject, in whole or in part, to attachment, execution, or levy of any kind, and any purported transfer in violation hereof shall be null and void.</w:t>
      </w:r>
    </w:p>
    <w:p>
      <w:pPr>
        <w:spacing w:after="0" w:line="79" w:lineRule="exact"/>
        <w:rPr>
          <w:rFonts w:ascii="Arial" w:cs="Arial" w:eastAsia="Arial" w:hAnsi="Arial"/>
          <w:sz w:val="18"/>
          <w:szCs w:val="18"/>
          <w:color w:val="auto"/>
        </w:rPr>
      </w:pPr>
    </w:p>
    <w:p>
      <w:pPr>
        <w:ind w:right="260" w:firstLine="436"/>
        <w:spacing w:after="0" w:line="275" w:lineRule="auto"/>
        <w:tabs>
          <w:tab w:leader="none" w:pos="695" w:val="left"/>
        </w:tabs>
        <w:numPr>
          <w:ilvl w:val="0"/>
          <w:numId w:val="31"/>
        </w:numPr>
        <w:rPr>
          <w:rFonts w:ascii="Arial" w:cs="Arial" w:eastAsia="Arial" w:hAnsi="Arial"/>
          <w:sz w:val="17"/>
          <w:szCs w:val="17"/>
          <w:color w:val="auto"/>
        </w:rPr>
      </w:pPr>
      <w:r>
        <w:rPr>
          <w:rFonts w:ascii="Arial" w:cs="Arial" w:eastAsia="Arial" w:hAnsi="Arial"/>
          <w:sz w:val="17"/>
          <w:szCs w:val="17"/>
          <w:u w:val="single" w:color="auto"/>
          <w:color w:val="auto"/>
        </w:rPr>
        <w:t>Administrator Action</w:t>
      </w:r>
      <w:r>
        <w:rPr>
          <w:rFonts w:ascii="Arial" w:cs="Arial" w:eastAsia="Arial" w:hAnsi="Arial"/>
          <w:sz w:val="17"/>
          <w:szCs w:val="17"/>
          <w:color w:val="auto"/>
        </w:rPr>
        <w:t>. Notwithstanding Section 12(a), the Administrator, in its discretion, may provide either in the Award Certificate regarding a given Award or by subsequent written approval that the grantee (who is an employee or director) may transfer his or her Non-Qualified Stock Options to his or her immediate family members, to trusts for the benefit of such family members, or to partnerships in which such family members are the only partners, provided that the transferee agrees in writing with the Company to be bound by all of the terms and conditions of this Plan and the applicable Award. In no event may an Award be transferred by a grantee for value.</w:t>
      </w:r>
    </w:p>
    <w:p>
      <w:pPr>
        <w:spacing w:after="0" w:line="68" w:lineRule="exact"/>
        <w:rPr>
          <w:rFonts w:ascii="Arial" w:cs="Arial" w:eastAsia="Arial" w:hAnsi="Arial"/>
          <w:sz w:val="17"/>
          <w:szCs w:val="17"/>
          <w:color w:val="auto"/>
        </w:rPr>
      </w:pPr>
    </w:p>
    <w:p>
      <w:pPr>
        <w:ind w:right="40" w:firstLine="436"/>
        <w:spacing w:after="0" w:line="275" w:lineRule="auto"/>
        <w:tabs>
          <w:tab w:leader="none" w:pos="685" w:val="left"/>
        </w:tabs>
        <w:numPr>
          <w:ilvl w:val="0"/>
          <w:numId w:val="31"/>
        </w:numPr>
        <w:rPr>
          <w:rFonts w:ascii="Arial" w:cs="Arial" w:eastAsia="Arial" w:hAnsi="Arial"/>
          <w:sz w:val="17"/>
          <w:szCs w:val="17"/>
          <w:color w:val="auto"/>
        </w:rPr>
      </w:pPr>
      <w:r>
        <w:rPr>
          <w:rFonts w:ascii="Arial" w:cs="Arial" w:eastAsia="Arial" w:hAnsi="Arial"/>
          <w:sz w:val="17"/>
          <w:szCs w:val="17"/>
          <w:u w:val="single" w:color="auto"/>
          <w:color w:val="auto"/>
        </w:rPr>
        <w:t>Family Member</w:t>
      </w:r>
      <w:r>
        <w:rPr>
          <w:rFonts w:ascii="Arial" w:cs="Arial" w:eastAsia="Arial" w:hAnsi="Arial"/>
          <w:sz w:val="17"/>
          <w:szCs w:val="17"/>
          <w:color w:val="auto"/>
        </w:rPr>
        <w:t>. For purposes of Section 12(b), “family member” shall mean a grantee’s child, stepchild, grandchild, parent, stepparent, grandparent, spouse, former spouse, sibling, niece, nephew, mother-in- law, father-in-law, son-in-law, daughter-in-law, brother-in-law, or sister-in-law, including adoptive relationships, any person sharing the grantee’s household (other than a tenant of the grantee), a trust in which these persons (or the grantee) have more than 50 percent of the beneficial interest, a foundation in which these persons (or the grantee) control the management of assets, and any other entity in which these persons (or the grantee) own more than 50 percent of the voting interests.</w:t>
      </w:r>
    </w:p>
    <w:p>
      <w:pPr>
        <w:spacing w:after="0" w:line="68" w:lineRule="exact"/>
        <w:rPr>
          <w:rFonts w:ascii="Arial" w:cs="Arial" w:eastAsia="Arial" w:hAnsi="Arial"/>
          <w:sz w:val="17"/>
          <w:szCs w:val="17"/>
          <w:color w:val="auto"/>
        </w:rPr>
      </w:pPr>
    </w:p>
    <w:p>
      <w:pPr>
        <w:ind w:right="180" w:firstLine="436"/>
        <w:spacing w:after="0" w:line="257" w:lineRule="auto"/>
        <w:tabs>
          <w:tab w:leader="none" w:pos="695"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Desi</w:t>
      </w:r>
      <w:r>
        <w:rPr>
          <w:rFonts w:ascii="Arial" w:cs="Arial" w:eastAsia="Arial" w:hAnsi="Arial"/>
          <w:sz w:val="18"/>
          <w:szCs w:val="18"/>
          <w:color w:val="auto"/>
        </w:rPr>
        <w:t>g</w:t>
      </w:r>
      <w:r>
        <w:rPr>
          <w:rFonts w:ascii="Arial" w:cs="Arial" w:eastAsia="Arial" w:hAnsi="Arial"/>
          <w:sz w:val="18"/>
          <w:szCs w:val="18"/>
          <w:u w:val="single" w:color="auto"/>
          <w:color w:val="auto"/>
        </w:rPr>
        <w:t>nation of Beneficiary</w:t>
      </w:r>
      <w:r>
        <w:rPr>
          <w:rFonts w:ascii="Arial" w:cs="Arial" w:eastAsia="Arial" w:hAnsi="Arial"/>
          <w:sz w:val="18"/>
          <w:szCs w:val="18"/>
          <w:color w:val="auto"/>
        </w:rPr>
        <w:t>. To the extent permitted by the Company, each grantee to whom an Award has been made under the Plan may designate a beneficiary or beneficiaries to exercise any Award or receive any payment under any Award payable on or after the grantee’s death. Any such designation shall be on a form provided for that purpose by the Administrator and shall not be effective until received by the Administrator. If no beneficiary has been designated by a deceased grantee, or if the designated beneficiaries have predeceased the grantee, the beneficiary shall be the grantee’s estate.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TAX WITHHOLDING</w:t>
      </w:r>
    </w:p>
    <w:p>
      <w:pPr>
        <w:spacing w:after="0" w:line="117" w:lineRule="exact"/>
        <w:rPr>
          <w:sz w:val="20"/>
          <w:szCs w:val="20"/>
          <w:color w:val="auto"/>
        </w:rPr>
      </w:pPr>
    </w:p>
    <w:p>
      <w:pPr>
        <w:ind w:right="60" w:firstLine="436"/>
        <w:spacing w:after="0" w:line="273" w:lineRule="auto"/>
        <w:tabs>
          <w:tab w:leader="none" w:pos="685"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Payment by Grantee</w:t>
      </w:r>
      <w:r>
        <w:rPr>
          <w:rFonts w:ascii="Arial" w:cs="Arial" w:eastAsia="Arial" w:hAnsi="Arial"/>
          <w:sz w:val="17"/>
          <w:szCs w:val="17"/>
          <w:color w:val="auto"/>
        </w:rPr>
        <w:t>. Each grantee shall, no later than the date as of which the value of an Award or of any Stock or other amount received thereunder first becomes includable in the gross income of the grantee for income tax purposes, pay to the Company, or make arrangements satisfactory to the Administrator regarding payment of, any Federal, state, or local taxes of any kind required by law to be withheld by the Company with respect to such income. The Company and its Subsidiaries shall, to the extent permitted by law, have the right to deduct any such taxes from any payment of any kind otherwise due to the grantee. The Company’s obligation to deliver evidence of book entry (or stock certificates) to any grantee is subject to and conditioned on tax withholding obligations being satisfied by the grantee.</w:t>
      </w:r>
    </w:p>
    <w:p>
      <w:pPr>
        <w:spacing w:after="0" w:line="69" w:lineRule="exact"/>
        <w:rPr>
          <w:rFonts w:ascii="Arial" w:cs="Arial" w:eastAsia="Arial" w:hAnsi="Arial"/>
          <w:sz w:val="17"/>
          <w:szCs w:val="17"/>
          <w:color w:val="auto"/>
        </w:rPr>
      </w:pPr>
    </w:p>
    <w:p>
      <w:pPr>
        <w:ind w:right="40" w:firstLine="436"/>
        <w:spacing w:after="0" w:line="257" w:lineRule="auto"/>
        <w:tabs>
          <w:tab w:leader="none" w:pos="695"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Pa</w:t>
      </w:r>
      <w:r>
        <w:rPr>
          <w:rFonts w:ascii="Arial" w:cs="Arial" w:eastAsia="Arial" w:hAnsi="Arial"/>
          <w:sz w:val="18"/>
          <w:szCs w:val="18"/>
          <w:color w:val="auto"/>
        </w:rPr>
        <w:t>y</w:t>
      </w:r>
      <w:r>
        <w:rPr>
          <w:rFonts w:ascii="Arial" w:cs="Arial" w:eastAsia="Arial" w:hAnsi="Arial"/>
          <w:sz w:val="18"/>
          <w:szCs w:val="18"/>
          <w:u w:val="single" w:color="auto"/>
          <w:color w:val="auto"/>
        </w:rPr>
        <w:t>ment in Stock</w:t>
      </w:r>
      <w:r>
        <w:rPr>
          <w:rFonts w:ascii="Arial" w:cs="Arial" w:eastAsia="Arial" w:hAnsi="Arial"/>
          <w:sz w:val="18"/>
          <w:szCs w:val="18"/>
          <w:color w:val="auto"/>
        </w:rPr>
        <w:t>. The Administrator may require the Company’s tax withholding obligation to be satisfied, in whole or in part, by the Company withholding from shares of Stock to be issued pursuant to any Award a number of shares with an aggregate Fair Market Value (as of the date the withholding is effected) that would satisfy the withholding amount due; provided, however, that the amount withheld does not exceed the maximum statutory tax rate or such lesser amount as is necessary to avoid liability accounting treatment. For purposes of share withholding, the Fair Market Value of</w:t>
      </w:r>
    </w:p>
    <w:p>
      <w:pPr>
        <w:sectPr>
          <w:pgSz w:w="11900" w:h="16838" w:orient="portrait"/>
          <w:cols w:equalWidth="0" w:num="1">
            <w:col w:w="10980"/>
          </w:cols>
          <w:pgMar w:left="440" w:top="274" w:right="479" w:bottom="1440" w:gutter="0" w:footer="0" w:header="0"/>
        </w:sectPr>
      </w:pPr>
    </w:p>
    <w:bookmarkStart w:id="23" w:name="page24"/>
    <w:bookmarkEnd w:id="23"/>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withheld shares shall be determined in the same manner as the value of Stock includible in income of the grantees. The Administrator may also require the Company’s tax withholding obligation to be satisfied, in whole or in part, by an arrangement whereby a certain number of shares of Stock issued pursuant to any Award are immediately sold and proceeds from such sale are remitted to the Company in an amount that would satisfy the withholding amount due.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SECTION 409A AWARDS</w:t>
      </w:r>
    </w:p>
    <w:p>
      <w:pPr>
        <w:spacing w:after="0" w:line="117" w:lineRule="exact"/>
        <w:rPr>
          <w:sz w:val="20"/>
          <w:szCs w:val="20"/>
          <w:color w:val="auto"/>
        </w:rPr>
      </w:pPr>
    </w:p>
    <w:p>
      <w:pPr>
        <w:ind w:right="20" w:firstLine="440"/>
        <w:spacing w:after="0" w:line="253" w:lineRule="auto"/>
        <w:rPr>
          <w:sz w:val="20"/>
          <w:szCs w:val="20"/>
          <w:color w:val="auto"/>
        </w:rPr>
      </w:pPr>
      <w:r>
        <w:rPr>
          <w:rFonts w:ascii="Arial" w:cs="Arial" w:eastAsia="Arial" w:hAnsi="Arial"/>
          <w:sz w:val="18"/>
          <w:szCs w:val="18"/>
          <w:color w:val="auto"/>
        </w:rPr>
        <w:t>Awards are intended to be exempt from Section 409A to the greatest extent possible and to otherwise comply with Section 409A. The Plan and all Awards shall be interpreted in accordance with such intent. To the extent that any Award is determined to constitute “nonqualified deferred compensation” within the meaning of Section 409A (a “409A Award”), the Award shall be subject to such additional rules and requirements as specified by the Administrator from time to time in order to comply with Section 409A. In this regard, if any amount under a 409A Award is payable upon a “separation from service” (within the meaning of Section 409A) to a grantee who is then considered a “specified employee” (within the meaning of Section 409A), then no such payment shall be made prior to the date that is the earlier of (i) six months and one day after the grantee’s separation from service, or (ii) the grantee’s death, but only to the extent such delay is necessary to prevent such payment from being subject to interest, penalties and/or additional tax imposed pursuant to Section 409A. Further, the settlement of any 409A Award may not be accelerated except to the extent permitted by Section 409A.</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TERMINATION OF SERVICE RELATIONSHIP, TRANSFER, LEAVE OF ABSENCE, ETC.</w:t>
      </w:r>
    </w:p>
    <w:p>
      <w:pPr>
        <w:spacing w:after="0" w:line="117" w:lineRule="exact"/>
        <w:rPr>
          <w:sz w:val="20"/>
          <w:szCs w:val="20"/>
          <w:color w:val="auto"/>
        </w:rPr>
      </w:pPr>
    </w:p>
    <w:p>
      <w:pPr>
        <w:ind w:right="200" w:firstLine="436"/>
        <w:spacing w:after="0" w:line="277" w:lineRule="auto"/>
        <w:tabs>
          <w:tab w:leader="none" w:pos="685"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Termination of Service Relationship</w:t>
      </w:r>
      <w:r>
        <w:rPr>
          <w:rFonts w:ascii="Arial" w:cs="Arial" w:eastAsia="Arial" w:hAnsi="Arial"/>
          <w:sz w:val="18"/>
          <w:szCs w:val="18"/>
          <w:color w:val="auto"/>
        </w:rPr>
        <w:t>. If the grantee’s Service Relationship is with an Affiliate and such Affiliate ceases to be an Affiliate, the grantee shall be deemed to have terminated his or her Service Relationship for purposes of the Plan.</w:t>
      </w:r>
    </w:p>
    <w:p>
      <w:pPr>
        <w:spacing w:after="0" w:line="62" w:lineRule="exact"/>
        <w:rPr>
          <w:rFonts w:ascii="Arial" w:cs="Arial" w:eastAsia="Arial" w:hAnsi="Arial"/>
          <w:sz w:val="18"/>
          <w:szCs w:val="18"/>
          <w:color w:val="auto"/>
        </w:rPr>
      </w:pPr>
    </w:p>
    <w:p>
      <w:pPr>
        <w:ind w:left="700" w:hanging="264"/>
        <w:spacing w:after="0"/>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 purposes of the Plan, the following events shall not be deemed a termination of a Service Relationship:</w:t>
      </w:r>
    </w:p>
    <w:p>
      <w:pPr>
        <w:spacing w:after="0" w:line="117" w:lineRule="exact"/>
        <w:rPr>
          <w:rFonts w:ascii="Arial" w:cs="Arial" w:eastAsia="Arial" w:hAnsi="Arial"/>
          <w:sz w:val="18"/>
          <w:szCs w:val="18"/>
          <w:color w:val="auto"/>
        </w:rPr>
      </w:pPr>
    </w:p>
    <w:p>
      <w:pPr>
        <w:ind w:left="1200" w:hanging="213"/>
        <w:spacing w:after="0"/>
        <w:tabs>
          <w:tab w:leader="none" w:pos="1200" w:val="left"/>
        </w:tabs>
        <w:numPr>
          <w:ilvl w:val="1"/>
          <w:numId w:val="33"/>
        </w:numPr>
        <w:rPr>
          <w:rFonts w:ascii="Arial" w:cs="Arial" w:eastAsia="Arial" w:hAnsi="Arial"/>
          <w:sz w:val="16"/>
          <w:szCs w:val="16"/>
          <w:color w:val="auto"/>
        </w:rPr>
      </w:pPr>
      <w:r>
        <w:rPr>
          <w:rFonts w:ascii="Arial" w:cs="Arial" w:eastAsia="Arial" w:hAnsi="Arial"/>
          <w:sz w:val="16"/>
          <w:szCs w:val="16"/>
          <w:color w:val="auto"/>
        </w:rPr>
        <w:t>a transfer to the employment of the Company from an Affiliate or from the Company to an Affiliate, or from one Affiliate to another; or</w:t>
      </w:r>
    </w:p>
    <w:p>
      <w:pPr>
        <w:spacing w:after="0" w:line="140" w:lineRule="exact"/>
        <w:rPr>
          <w:rFonts w:ascii="Arial" w:cs="Arial" w:eastAsia="Arial" w:hAnsi="Arial"/>
          <w:sz w:val="16"/>
          <w:szCs w:val="16"/>
          <w:color w:val="auto"/>
        </w:rPr>
      </w:pPr>
    </w:p>
    <w:p>
      <w:pPr>
        <w:ind w:right="200" w:firstLine="987"/>
        <w:spacing w:after="0" w:line="263" w:lineRule="auto"/>
        <w:tabs>
          <w:tab w:leader="none" w:pos="1256"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Administrator otherwise so provides in writing.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AMENDMENTS AND TERMINATION</w:t>
      </w:r>
    </w:p>
    <w:p>
      <w:pPr>
        <w:spacing w:after="0" w:line="117"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The Board may, at any time, amend or discontinue the Plan and the Administrator may, at any time, amend or cancel any outstanding Award for the purpose of satisfying changes in law or for any other lawful purpose, but no such action shall materially and adversely affect rights under any outstanding Award without the holder’s consent. Except as provided in Section 3(b) or 3(c), without prior stockholder approval, in no event may the Administrator exercise its discretion to reduce the exercise price of outstanding Stock Options or Stock Appreciation Rights or effect repricing through cancellation and re-grants or cancellation of Stock Options or Stock Appreciation Rights in exchange for cash or other Awards. To the extent required under the rules of any securities exchange or market system on which the Stock is listed, to the extent determined by the Administrator to be required by the Code to ensure that Incentive Stock Options granted under the Plan are qualified under Section 422 of the Code, Plan amendments shall be subject to approval by Company stockholders. Nothing in this Section 16 shall limit the Administrator’s authority to take any action permitted pursuant to Section 3(b) or 3(c).</w:t>
      </w:r>
    </w:p>
    <w:p>
      <w:pPr>
        <w:sectPr>
          <w:pgSz w:w="11900" w:h="16838" w:orient="portrait"/>
          <w:cols w:equalWidth="0" w:num="1">
            <w:col w:w="11000"/>
          </w:cols>
          <w:pgMar w:left="440" w:top="274" w:right="45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17. </w:t>
      </w:r>
      <w:r>
        <w:rPr>
          <w:rFonts w:ascii="Arial" w:cs="Arial" w:eastAsia="Arial" w:hAnsi="Arial"/>
          <w:sz w:val="18"/>
          <w:szCs w:val="18"/>
          <w:u w:val="single" w:color="auto"/>
          <w:color w:val="auto"/>
        </w:rPr>
        <w:t>STATUS OF PLAN</w:t>
      </w:r>
    </w:p>
    <w:p>
      <w:pPr>
        <w:spacing w:after="0" w:line="117"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With respect to the portion of any Award that has not been exercised and any payments in cash, Stock or other consideration not received by a grantee, a grantee shall have no rights greater than those of a general creditor of the Company unless the Administrator shall otherwise expressly determine in connection with any Award or Awards. In its sole discretion, the Administrator may authorize the creation of trusts or other arrangements to meet the Company’s obligations to deliver Stock or make payments with respect to Awards hereunder, provided that the existence of such trusts or other arrangements is consistent with the foregoing sentence.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GENERAL PROVISIONS</w:t>
      </w:r>
    </w:p>
    <w:p>
      <w:pPr>
        <w:spacing w:after="0" w:line="117" w:lineRule="exact"/>
        <w:rPr>
          <w:sz w:val="20"/>
          <w:szCs w:val="20"/>
          <w:color w:val="auto"/>
        </w:rPr>
      </w:pPr>
    </w:p>
    <w:p>
      <w:pPr>
        <w:ind w:right="20" w:firstLine="436"/>
        <w:spacing w:after="0" w:line="277" w:lineRule="auto"/>
        <w:tabs>
          <w:tab w:leader="none" w:pos="685"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No Distribution</w:t>
      </w:r>
      <w:r>
        <w:rPr>
          <w:rFonts w:ascii="Arial" w:cs="Arial" w:eastAsia="Arial" w:hAnsi="Arial"/>
          <w:sz w:val="18"/>
          <w:szCs w:val="18"/>
          <w:color w:val="auto"/>
        </w:rPr>
        <w:t>. The Administrator may require each person acquiring Stock pursuant to an Award to represent to and agree with the Company in writing that such person is acquiring the shares without a view to distribution thereof.</w:t>
      </w:r>
    </w:p>
    <w:p>
      <w:pPr>
        <w:spacing w:after="0" w:line="62" w:lineRule="exact"/>
        <w:rPr>
          <w:rFonts w:ascii="Arial" w:cs="Arial" w:eastAsia="Arial" w:hAnsi="Arial"/>
          <w:sz w:val="18"/>
          <w:szCs w:val="18"/>
          <w:color w:val="auto"/>
        </w:rPr>
      </w:pPr>
    </w:p>
    <w:p>
      <w:pPr>
        <w:ind w:right="60" w:firstLine="436"/>
        <w:spacing w:after="0" w:line="285" w:lineRule="auto"/>
        <w:tabs>
          <w:tab w:leader="none" w:pos="695"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Issuance of Stock</w:t>
      </w:r>
      <w:r>
        <w:rPr>
          <w:rFonts w:ascii="Arial" w:cs="Arial" w:eastAsia="Arial" w:hAnsi="Arial"/>
          <w:sz w:val="16"/>
          <w:szCs w:val="16"/>
          <w:color w:val="auto"/>
        </w:rPr>
        <w:t>. To the extent certificated, stock certificates to grantees under this Plan shall be deemed delivered for all purposes when the Company or a stock transfer agent of the Company shall have mailed such certificates in the United States mail, addressed to the grantee, at the grantee’s last known address on file with the Company. Uncertificated Stock shall be deemed delivered for all purposes when the Company or a Stock transfer agent of the Company shall have given to the grantee by electronic mail (with proof of receipt) or by United States mail, addressed to the grantee, at the grantee’s last known address on file with the Company, notice of issuance and recorded the issuance in its records (which may include electronic “book entry” records). Notwithstanding anything herein to the contrary, the Company shall not be required to issue or deliver any evidence of book entry or certificates evidencing shares of Stock pursuant to the exercise or settlement of any Award, unless and until the Administrator has determined, with advice of counsel (to the extent the Administrator deems such advice necessary or advisable), that the issuance and delivery is in compliance with all applicable laws, regulations of governmental authorities and, if applicable, the requirements of any exchange on which the shares of Stock are listed, quoted or traded. Any Stock issued pursuant to the Plan shall be subject to any stop-transfer orders and other restrictions as the Administrator deems necessary or advisable to comply with federal, state or foreign jurisdiction, securities or other laws, rules and quotation system on which the Stock is listed, quoted or traded. The Administrator may place legends on any Stock certificate or notations on any book entry to reference restrictions applicable to the Stock. In addition to the terms and conditions provided herein, the Administrator may require that an individual make such reasonable covenants, agreements, and representations as the Administrator, in its discretion, deems necessary or advisable in order to comply with any such laws, regulations, or requirements. The Administrator shall have the right to require any individual to comply with any timing or other restrictions with respect to the settlement or exercise of any Award, including a window-period limitation, as may be imposed in the discretion of the Administrator.</w:t>
      </w:r>
    </w:p>
    <w:p>
      <w:pPr>
        <w:spacing w:after="0" w:line="68" w:lineRule="exact"/>
        <w:rPr>
          <w:rFonts w:ascii="Arial" w:cs="Arial" w:eastAsia="Arial" w:hAnsi="Arial"/>
          <w:sz w:val="16"/>
          <w:szCs w:val="16"/>
          <w:color w:val="auto"/>
        </w:rPr>
      </w:pPr>
    </w:p>
    <w:p>
      <w:pPr>
        <w:ind w:right="60" w:firstLine="436"/>
        <w:spacing w:after="0" w:line="263" w:lineRule="auto"/>
        <w:tabs>
          <w:tab w:leader="none" w:pos="685"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Stockholder Ri</w:t>
      </w:r>
      <w:r>
        <w:rPr>
          <w:rFonts w:ascii="Arial" w:cs="Arial" w:eastAsia="Arial" w:hAnsi="Arial"/>
          <w:sz w:val="18"/>
          <w:szCs w:val="18"/>
          <w:color w:val="auto"/>
        </w:rPr>
        <w:t>g</w:t>
      </w:r>
      <w:r>
        <w:rPr>
          <w:rFonts w:ascii="Arial" w:cs="Arial" w:eastAsia="Arial" w:hAnsi="Arial"/>
          <w:sz w:val="18"/>
          <w:szCs w:val="18"/>
          <w:u w:val="single" w:color="auto"/>
          <w:color w:val="auto"/>
        </w:rPr>
        <w:t>hts</w:t>
      </w:r>
      <w:r>
        <w:rPr>
          <w:rFonts w:ascii="Arial" w:cs="Arial" w:eastAsia="Arial" w:hAnsi="Arial"/>
          <w:sz w:val="18"/>
          <w:szCs w:val="18"/>
          <w:color w:val="auto"/>
        </w:rPr>
        <w:t>. Until Stock is deemed delivered in accordance with Section 18(b), no right to vote or receive dividends or any other rights of a stockholder will exist with respect to shares of Stock to be issued in connection with an Award, notwithstanding the exercise of a Stock Option or any other action by the grantee with respect to an Award.</w:t>
      </w:r>
    </w:p>
    <w:p>
      <w:pPr>
        <w:spacing w:after="0" w:line="75" w:lineRule="exact"/>
        <w:rPr>
          <w:rFonts w:ascii="Arial" w:cs="Arial" w:eastAsia="Arial" w:hAnsi="Arial"/>
          <w:sz w:val="18"/>
          <w:szCs w:val="18"/>
          <w:color w:val="auto"/>
        </w:rPr>
      </w:pPr>
    </w:p>
    <w:p>
      <w:pPr>
        <w:ind w:right="180" w:firstLine="436"/>
        <w:spacing w:after="0" w:line="259" w:lineRule="auto"/>
        <w:tabs>
          <w:tab w:leader="none" w:pos="695"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Other Compensation Arrangements; No Employment Rights</w:t>
      </w:r>
      <w:r>
        <w:rPr>
          <w:rFonts w:ascii="Arial" w:cs="Arial" w:eastAsia="Arial" w:hAnsi="Arial"/>
          <w:sz w:val="18"/>
          <w:szCs w:val="18"/>
          <w:color w:val="auto"/>
        </w:rPr>
        <w:t>. Nothing contained in this Plan shall prevent the Board from adopting other or additional compensation arrangements, including trusts, and such arrangements may be either generally applicable or applicable only in specific cases. The adoption of this Plan and the grant of Awards do not confer upon any employee any right to continued employment with the Company or any Subsidiary.</w:t>
      </w:r>
    </w:p>
    <w:p>
      <w:pPr>
        <w:sectPr>
          <w:pgSz w:w="11900" w:h="16838" w:orient="portrait"/>
          <w:cols w:equalWidth="0" w:num="1">
            <w:col w:w="11020"/>
          </w:cols>
          <w:pgMar w:left="440" w:top="274" w:right="439" w:bottom="1440" w:gutter="0" w:footer="0" w:header="0"/>
        </w:sectPr>
      </w:pPr>
    </w:p>
    <w:bookmarkStart w:id="25" w:name="page26"/>
    <w:bookmarkEnd w:id="25"/>
    <w:p>
      <w:pPr>
        <w:ind w:right="120" w:firstLine="436"/>
        <w:spacing w:after="0" w:line="277" w:lineRule="auto"/>
        <w:tabs>
          <w:tab w:leader="none" w:pos="685"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Tradin</w:t>
      </w:r>
      <w:r>
        <w:rPr>
          <w:rFonts w:ascii="Arial" w:cs="Arial" w:eastAsia="Arial" w:hAnsi="Arial"/>
          <w:sz w:val="18"/>
          <w:szCs w:val="18"/>
          <w:color w:val="auto"/>
        </w:rPr>
        <w:t xml:space="preserve">g </w:t>
      </w:r>
      <w:r>
        <w:rPr>
          <w:rFonts w:ascii="Arial" w:cs="Arial" w:eastAsia="Arial" w:hAnsi="Arial"/>
          <w:sz w:val="18"/>
          <w:szCs w:val="18"/>
          <w:u w:val="single" w:color="auto"/>
          <w:color w:val="auto"/>
        </w:rPr>
        <w:t>Policy Restrictions</w:t>
      </w:r>
      <w:r>
        <w:rPr>
          <w:rFonts w:ascii="Arial" w:cs="Arial" w:eastAsia="Arial" w:hAnsi="Arial"/>
          <w:sz w:val="18"/>
          <w:szCs w:val="18"/>
          <w:color w:val="auto"/>
        </w:rPr>
        <w:t>. Option exercises and other Awards under the Plan shall be subject to the Company’s insider trading policies and procedures, as in effect from time to time.</w:t>
      </w:r>
    </w:p>
    <w:p>
      <w:pPr>
        <w:spacing w:after="0" w:line="62" w:lineRule="exact"/>
        <w:rPr>
          <w:rFonts w:ascii="Arial" w:cs="Arial" w:eastAsia="Arial" w:hAnsi="Arial"/>
          <w:sz w:val="18"/>
          <w:szCs w:val="18"/>
          <w:color w:val="auto"/>
        </w:rPr>
      </w:pPr>
    </w:p>
    <w:p>
      <w:pPr>
        <w:ind w:left="660" w:hanging="224"/>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Clawback Polic</w:t>
      </w:r>
      <w:r>
        <w:rPr>
          <w:rFonts w:ascii="Arial" w:cs="Arial" w:eastAsia="Arial" w:hAnsi="Arial"/>
          <w:sz w:val="18"/>
          <w:szCs w:val="18"/>
          <w:color w:val="auto"/>
        </w:rPr>
        <w:t>y. Awards under the Plan shall be subject to the Company’s clawback policy, as in effect from time to time.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u w:val="single" w:color="auto"/>
          <w:color w:val="auto"/>
        </w:rPr>
        <w:t>EFFECTIVE DATE OF PLAN</w:t>
      </w:r>
    </w:p>
    <w:p>
      <w:pPr>
        <w:spacing w:after="0" w:line="117"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This Plan shall become effective upon the date immediately preceding the Closing Date, subject to prior stockholder approval in accordance with applicable state law, the Company’s bylaws and articles of incorporation, and applicable stock exchange rules. No grants of Stock Options and other Awards may be made hereunder after the tenth anniversary of the Effective Date and no grants of Incentive Stock Options may be made hereunder after the tenth anniversary of the date the Plan is approved by the Board.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 </w:t>
      </w:r>
      <w:r>
        <w:rPr>
          <w:rFonts w:ascii="Arial" w:cs="Arial" w:eastAsia="Arial" w:hAnsi="Arial"/>
          <w:sz w:val="18"/>
          <w:szCs w:val="18"/>
          <w:u w:val="single" w:color="auto"/>
          <w:color w:val="auto"/>
        </w:rPr>
        <w:t>GOVERNING LAW</w:t>
      </w:r>
    </w:p>
    <w:p>
      <w:pPr>
        <w:spacing w:after="0" w:line="117" w:lineRule="exact"/>
        <w:rPr>
          <w:sz w:val="20"/>
          <w:szCs w:val="20"/>
          <w:color w:val="auto"/>
        </w:rPr>
      </w:pPr>
    </w:p>
    <w:p>
      <w:pPr>
        <w:ind w:right="140" w:firstLine="440"/>
        <w:spacing w:after="0" w:line="286" w:lineRule="auto"/>
        <w:rPr>
          <w:sz w:val="20"/>
          <w:szCs w:val="20"/>
          <w:color w:val="auto"/>
        </w:rPr>
      </w:pPr>
      <w:r>
        <w:rPr>
          <w:rFonts w:ascii="Arial" w:cs="Arial" w:eastAsia="Arial" w:hAnsi="Arial"/>
          <w:sz w:val="17"/>
          <w:szCs w:val="17"/>
          <w:color w:val="auto"/>
        </w:rPr>
        <w:t>This Plan and all Awards and actions taken thereunder shall be governed by, and construed in accordance with, the General Corporation Law of the State of Delaware as to matters within the scope thereof, and as to all other matters shall be governed by and construed in accordance with the internal laws of the Commonwealth of Massachusetts, applied without regard to conflict of law principles.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APPROVED BY BOARD OF DIRECTORS: October 15,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APPROVED BY STOCKHOLDERS: February 3,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AMENDED AND RESTATED: January 16, 2023</w:t>
      </w:r>
    </w:p>
    <w:p>
      <w:pPr>
        <w:sectPr>
          <w:pgSz w:w="11900" w:h="16838" w:orient="portrait"/>
          <w:cols w:equalWidth="0" w:num="1">
            <w:col w:w="10920"/>
          </w:cols>
          <w:pgMar w:left="440" w:top="274" w:right="5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INCENTIVE STOCK OPTION AGREEMENT</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UNDER THE DISC MEDICINE, INC.</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7"/>
          <w:szCs w:val="17"/>
          <w:b w:val="1"/>
          <w:bCs w:val="1"/>
          <w:color w:val="auto"/>
        </w:rPr>
        <w:t>AMENDED AND RESTATED 2021 STOCK OPTION</w:t>
      </w:r>
    </w:p>
    <w:p>
      <w:pPr>
        <w:spacing w:after="0" w:line="2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AND INCENTIVE PLAN</w:t>
      </w:r>
    </w:p>
    <w:p>
      <w:pPr>
        <w:sectPr>
          <w:pgSz w:w="11900" w:h="16838" w:orient="portrait"/>
          <w:cols w:equalWidth="0" w:num="1">
            <w:col w:w="11024"/>
          </w:cols>
          <w:pgMar w:left="436" w:top="121" w:right="439" w:bottom="1440" w:gutter="0" w:footer="0" w:header="0"/>
        </w:sectPr>
      </w:pPr>
    </w:p>
    <w:p>
      <w:pPr>
        <w:spacing w:after="0" w:line="238" w:lineRule="exact"/>
        <w:rPr>
          <w:sz w:val="20"/>
          <w:szCs w:val="20"/>
          <w:color w:val="auto"/>
        </w:rPr>
      </w:pPr>
    </w:p>
    <w:p>
      <w:pPr>
        <w:ind w:left="4"/>
        <w:spacing w:after="0"/>
        <w:rPr>
          <w:sz w:val="20"/>
          <w:szCs w:val="20"/>
          <w:color w:val="auto"/>
        </w:rPr>
      </w:pPr>
      <w:r>
        <w:rPr>
          <w:rFonts w:ascii="Arial" w:cs="Arial" w:eastAsia="Arial" w:hAnsi="Arial"/>
          <w:sz w:val="16"/>
          <w:szCs w:val="16"/>
          <w:color w:val="auto"/>
        </w:rPr>
        <w:t>Name of Optionee:</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117" w:lineRule="exact"/>
        <w:rPr>
          <w:sz w:val="20"/>
          <w:szCs w:val="20"/>
          <w:color w:val="auto"/>
        </w:rPr>
      </w:pPr>
    </w:p>
    <w:p>
      <w:pPr>
        <w:sectPr>
          <w:pgSz w:w="11900" w:h="16838" w:orient="portrait"/>
          <w:cols w:equalWidth="0" w:num="2">
            <w:col w:w="2264" w:space="720"/>
            <w:col w:w="8040"/>
          </w:cols>
          <w:pgMar w:left="436" w:top="121" w:right="439" w:bottom="1440" w:gutter="0" w:footer="0" w:header="0"/>
          <w:type w:val="continuous"/>
        </w:sectPr>
      </w:pPr>
    </w:p>
    <w:p>
      <w:pPr>
        <w:ind w:left="4"/>
        <w:spacing w:after="0"/>
        <w:rPr>
          <w:sz w:val="20"/>
          <w:szCs w:val="20"/>
          <w:color w:val="auto"/>
        </w:rPr>
      </w:pPr>
      <w:r>
        <w:rPr>
          <w:rFonts w:ascii="Arial" w:cs="Arial" w:eastAsia="Arial" w:hAnsi="Arial"/>
          <w:sz w:val="16"/>
          <w:szCs w:val="16"/>
          <w:color w:val="auto"/>
        </w:rPr>
        <w:t>No. of Option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 ]</w:t>
      </w:r>
    </w:p>
    <w:p>
      <w:pPr>
        <w:spacing w:after="0" w:line="117" w:lineRule="exact"/>
        <w:rPr>
          <w:sz w:val="20"/>
          <w:szCs w:val="20"/>
          <w:color w:val="auto"/>
        </w:rPr>
      </w:pPr>
    </w:p>
    <w:p>
      <w:pPr>
        <w:sectPr>
          <w:pgSz w:w="11900" w:h="16838" w:orient="portrait"/>
          <w:cols w:equalWidth="0" w:num="2">
            <w:col w:w="2264" w:space="720"/>
            <w:col w:w="8040"/>
          </w:cols>
          <w:pgMar w:left="436" w:top="121" w:right="439" w:bottom="1440" w:gutter="0" w:footer="0" w:header="0"/>
          <w:type w:val="continuous"/>
        </w:sectPr>
      </w:pPr>
    </w:p>
    <w:p>
      <w:pPr>
        <w:ind w:left="4"/>
        <w:spacing w:after="0"/>
        <w:rPr>
          <w:sz w:val="20"/>
          <w:szCs w:val="20"/>
          <w:color w:val="auto"/>
        </w:rPr>
      </w:pPr>
      <w:r>
        <w:rPr>
          <w:rFonts w:ascii="Arial" w:cs="Arial" w:eastAsia="Arial" w:hAnsi="Arial"/>
          <w:sz w:val="16"/>
          <w:szCs w:val="16"/>
          <w:color w:val="auto"/>
        </w:rPr>
        <w:t>Option Exercise Price per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 ]</w:t>
      </w:r>
      <w:r>
        <w:rPr>
          <w:rFonts w:ascii="Arial" w:cs="Arial" w:eastAsia="Arial" w:hAnsi="Arial"/>
          <w:sz w:val="12"/>
          <w:szCs w:val="12"/>
          <w:color w:val="auto"/>
        </w:rPr>
        <w:t>1</w:t>
      </w:r>
    </w:p>
    <w:p>
      <w:pPr>
        <w:spacing w:after="0" w:line="129" w:lineRule="exact"/>
        <w:rPr>
          <w:sz w:val="20"/>
          <w:szCs w:val="20"/>
          <w:color w:val="auto"/>
        </w:rPr>
      </w:pPr>
    </w:p>
    <w:p>
      <w:pPr>
        <w:sectPr>
          <w:pgSz w:w="11900" w:h="16838" w:orient="portrait"/>
          <w:cols w:equalWidth="0" w:num="2">
            <w:col w:w="2364" w:space="620"/>
            <w:col w:w="8040"/>
          </w:cols>
          <w:pgMar w:left="436" w:top="121" w:right="439" w:bottom="1440" w:gutter="0" w:footer="0" w:header="0"/>
          <w:type w:val="continuous"/>
        </w:sectPr>
      </w:pPr>
    </w:p>
    <w:p>
      <w:pPr>
        <w:ind w:left="4"/>
        <w:spacing w:after="0"/>
        <w:rPr>
          <w:sz w:val="20"/>
          <w:szCs w:val="20"/>
          <w:color w:val="auto"/>
        </w:rPr>
      </w:pPr>
      <w:r>
        <w:rPr>
          <w:rFonts w:ascii="Arial" w:cs="Arial" w:eastAsia="Arial" w:hAnsi="Arial"/>
          <w:sz w:val="16"/>
          <w:szCs w:val="16"/>
          <w:color w:val="auto"/>
        </w:rPr>
        <w:t>Grant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 ], 2021</w:t>
      </w:r>
    </w:p>
    <w:p>
      <w:pPr>
        <w:spacing w:after="0" w:line="129" w:lineRule="exact"/>
        <w:rPr>
          <w:sz w:val="20"/>
          <w:szCs w:val="20"/>
          <w:color w:val="auto"/>
        </w:rPr>
      </w:pPr>
    </w:p>
    <w:p>
      <w:pPr>
        <w:sectPr>
          <w:pgSz w:w="11900" w:h="16838" w:orient="portrait"/>
          <w:cols w:equalWidth="0" w:num="2">
            <w:col w:w="2264" w:space="720"/>
            <w:col w:w="8040"/>
          </w:cols>
          <w:pgMar w:left="436" w:top="121" w:right="439" w:bottom="1440" w:gutter="0" w:footer="0" w:header="0"/>
          <w:type w:val="continuous"/>
        </w:sectPr>
      </w:pPr>
    </w:p>
    <w:p>
      <w:pPr>
        <w:ind w:left="4"/>
        <w:spacing w:after="0"/>
        <w:rPr>
          <w:sz w:val="20"/>
          <w:szCs w:val="20"/>
          <w:color w:val="auto"/>
        </w:rPr>
      </w:pPr>
      <w:r>
        <w:rPr>
          <w:rFonts w:ascii="Arial" w:cs="Arial" w:eastAsia="Arial" w:hAnsi="Arial"/>
          <w:sz w:val="16"/>
          <w:szCs w:val="16"/>
          <w:color w:val="auto"/>
        </w:rPr>
        <w:t>Expiration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 ], 2031</w:t>
      </w:r>
    </w:p>
    <w:p>
      <w:pPr>
        <w:spacing w:after="0" w:line="200" w:lineRule="exact"/>
        <w:rPr>
          <w:sz w:val="20"/>
          <w:szCs w:val="20"/>
          <w:color w:val="auto"/>
        </w:rPr>
      </w:pPr>
    </w:p>
    <w:p>
      <w:pPr>
        <w:sectPr>
          <w:pgSz w:w="11900" w:h="16838" w:orient="portrait"/>
          <w:cols w:equalWidth="0" w:num="2">
            <w:col w:w="2264" w:space="720"/>
            <w:col w:w="8040"/>
          </w:cols>
          <w:pgMar w:left="436" w:top="121" w:right="439" w:bottom="1440" w:gutter="0" w:footer="0" w:header="0"/>
          <w:type w:val="continuous"/>
        </w:sectPr>
      </w:pPr>
    </w:p>
    <w:p>
      <w:pPr>
        <w:spacing w:after="0" w:line="37" w:lineRule="exact"/>
        <w:rPr>
          <w:sz w:val="20"/>
          <w:szCs w:val="20"/>
          <w:color w:val="auto"/>
        </w:rPr>
      </w:pPr>
    </w:p>
    <w:p>
      <w:pPr>
        <w:ind w:left="4" w:right="120" w:firstLine="440"/>
        <w:spacing w:after="0" w:line="301" w:lineRule="auto"/>
        <w:rPr>
          <w:sz w:val="20"/>
          <w:szCs w:val="20"/>
          <w:color w:val="auto"/>
        </w:rPr>
      </w:pPr>
      <w:r>
        <w:rPr>
          <w:rFonts w:ascii="Arial" w:cs="Arial" w:eastAsia="Arial" w:hAnsi="Arial"/>
          <w:sz w:val="16"/>
          <w:szCs w:val="16"/>
          <w:color w:val="auto"/>
        </w:rPr>
        <w:t>Pursuant to the Disc Medicine, Inc. Amended and Restated 2021 Stock Option and Incentive Plan, as amended through the date hereof (the “Plan”), Disc Medicine, Inc. (the “Company”) hereby grants to the Optionee named above an option (the “Stock Option”) to purchase on or prior to the Expiration Date specified above all or part of the number of shares of Common Stock, par value $0.0001 per share (the “Stock”), of the Company specified above at the Option Exercise Price per Share specified above subject to the terms and conditions set forth herein and in the Plan.</w:t>
      </w:r>
    </w:p>
    <w:p>
      <w:pPr>
        <w:spacing w:after="0" w:line="157" w:lineRule="exact"/>
        <w:rPr>
          <w:sz w:val="20"/>
          <w:szCs w:val="20"/>
          <w:color w:val="auto"/>
        </w:rPr>
      </w:pPr>
    </w:p>
    <w:p>
      <w:pPr>
        <w:ind w:left="4" w:right="60" w:firstLine="436"/>
        <w:spacing w:after="0" w:line="259" w:lineRule="auto"/>
        <w:tabs>
          <w:tab w:leader="none" w:pos="624"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Exercisability Schedule</w:t>
      </w:r>
      <w:r>
        <w:rPr>
          <w:rFonts w:ascii="Arial" w:cs="Arial" w:eastAsia="Arial" w:hAnsi="Arial"/>
          <w:sz w:val="18"/>
          <w:szCs w:val="18"/>
          <w:color w:val="auto"/>
        </w:rPr>
        <w:t>. No portion of this Stock Option may be exercised until such portion shall have become exercisable. Except as set forth below, and subject to the discretion of the Administrator (as defined in Section 2 of the Plan) to accelerate the exercisability schedule hereunder, this Stock Option shall be exercisable with respect to the following number of Option Shares on the dates indicated so long as the Optionee remains an employee of the Company or a Subsidiary on such dates:</w:t>
      </w:r>
    </w:p>
    <w:p>
      <w:pPr>
        <w:spacing w:after="0" w:line="183" w:lineRule="exact"/>
        <w:rPr>
          <w:sz w:val="20"/>
          <w:szCs w:val="20"/>
          <w:color w:val="auto"/>
        </w:rPr>
      </w:pPr>
    </w:p>
    <w:p>
      <w:pPr>
        <w:ind w:left="4" w:right="260" w:firstLine="440"/>
        <w:spacing w:after="0" w:line="282" w:lineRule="auto"/>
        <w:rPr>
          <w:sz w:val="20"/>
          <w:szCs w:val="20"/>
          <w:color w:val="auto"/>
        </w:rPr>
      </w:pPr>
      <w:r>
        <w:rPr>
          <w:rFonts w:ascii="Arial" w:cs="Arial" w:eastAsia="Arial" w:hAnsi="Arial"/>
          <w:sz w:val="18"/>
          <w:szCs w:val="18"/>
          <w:b w:val="1"/>
          <w:bCs w:val="1"/>
          <w:color w:val="auto"/>
        </w:rPr>
        <w:t>The Option Shares will vest 25% on the one year anniversary of the Grant Date; remaining 75% to vest ratably over 3 years in equally monthly installments thereafter.</w:t>
      </w:r>
    </w:p>
    <w:p>
      <w:pPr>
        <w:spacing w:after="0" w:line="166" w:lineRule="exact"/>
        <w:rPr>
          <w:sz w:val="20"/>
          <w:szCs w:val="20"/>
          <w:color w:val="auto"/>
        </w:rPr>
      </w:pPr>
    </w:p>
    <w:p>
      <w:pPr>
        <w:ind w:left="4" w:right="400" w:firstLine="440"/>
        <w:spacing w:after="0" w:line="277" w:lineRule="auto"/>
        <w:rPr>
          <w:sz w:val="20"/>
          <w:szCs w:val="20"/>
          <w:color w:val="auto"/>
        </w:rPr>
      </w:pPr>
      <w:r>
        <w:rPr>
          <w:rFonts w:ascii="Arial" w:cs="Arial" w:eastAsia="Arial" w:hAnsi="Arial"/>
          <w:sz w:val="18"/>
          <w:szCs w:val="18"/>
          <w:color w:val="auto"/>
        </w:rPr>
        <w:t>Once exercisable, this Stock Option shall continue to be exercisable at any time or times prior to the close of business on the Expiration Date, subject to the provisions hereof and of the Plan.</w:t>
      </w:r>
    </w:p>
    <w:p>
      <w:pPr>
        <w:spacing w:after="0" w:line="170" w:lineRule="exact"/>
        <w:rPr>
          <w:sz w:val="20"/>
          <w:szCs w:val="20"/>
          <w:color w:val="auto"/>
        </w:rPr>
      </w:pPr>
    </w:p>
    <w:p>
      <w:pPr>
        <w:ind w:left="624" w:hanging="184"/>
        <w:spacing w:after="0"/>
        <w:tabs>
          <w:tab w:leader="none" w:pos="624"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Manner of Exercise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60" w:firstLine="987"/>
        <w:spacing w:after="0" w:line="263" w:lineRule="auto"/>
        <w:tabs>
          <w:tab w:leader="none" w:pos="12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Optionee may exercise this Stock Option only in the following manner: from time to time on or prior to the Expiration Date of this Stock Option, the Optionee may give written notice to the Administrator of his or her election to purchase some or all of the Option Shares purchasable at the time of such notice. This notice shall specify the number of Option Shares to be purchased.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236855</wp:posOffset>
            </wp:positionV>
            <wp:extent cx="7715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99" w:lineRule="exact"/>
        <w:rPr>
          <w:sz w:val="20"/>
          <w:szCs w:val="20"/>
          <w:color w:val="auto"/>
        </w:rPr>
      </w:pPr>
    </w:p>
    <w:p>
      <w:pPr>
        <w:ind w:left="424" w:hanging="424"/>
        <w:spacing w:after="0"/>
        <w:tabs>
          <w:tab w:leader="none" w:pos="424" w:val="left"/>
        </w:tabs>
        <w:numPr>
          <w:ilvl w:val="0"/>
          <w:numId w:val="38"/>
        </w:numPr>
        <w:rPr>
          <w:rFonts w:ascii="Arial" w:cs="Arial" w:eastAsia="Arial" w:hAnsi="Arial"/>
          <w:sz w:val="27"/>
          <w:szCs w:val="27"/>
          <w:color w:val="auto"/>
          <w:vertAlign w:val="superscript"/>
        </w:rPr>
      </w:pPr>
      <w:r>
        <w:rPr>
          <w:rFonts w:ascii="Arial" w:cs="Arial" w:eastAsia="Arial" w:hAnsi="Arial"/>
          <w:sz w:val="18"/>
          <w:szCs w:val="18"/>
          <w:color w:val="auto"/>
        </w:rPr>
        <w:t>Post-market price on grant date</w:t>
      </w:r>
    </w:p>
    <w:p>
      <w:pPr>
        <w:sectPr>
          <w:pgSz w:w="11900" w:h="16838" w:orient="portrait"/>
          <w:cols w:equalWidth="0" w:num="1">
            <w:col w:w="11024"/>
          </w:cols>
          <w:pgMar w:left="436" w:top="121" w:right="439" w:bottom="1440" w:gutter="0" w:footer="0" w:header="0"/>
          <w:type w:val="continuous"/>
        </w:sectPr>
      </w:pPr>
    </w:p>
    <w:bookmarkStart w:id="27" w:name="page28"/>
    <w:bookmarkEnd w:id="27"/>
    <w:p>
      <w:pPr>
        <w:ind w:firstLine="4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Payment of the purchase price for the Option Shares may be made by one or more of the following methods: (i) in cash, by certified or bank check or other instrument acceptable to the Administrator; (ii) through the delivery (or attestation to the ownership) of shares of Stock that have been purchased by the Optionee on the open market or that are beneficially owned by the Optionee and are not then subject to any restrictions under any Company plan and that otherwise satisfy any holding periods as may be required by the Administrator; (iii) by the Optionee delivering to the Company a properly executed exercise notice together with irrevocable instructions to a broker to promptly deliver to the Company cash or a check payable and acceptable to the Company to pay the option purchase price, provided that in the event the Optionee chooses to pay the option purchase price as so provided, the Optionee and the broker shall comply with such procedures and enter into such agreements of indemnity and other agreements as the Administrator shall prescribe as a condition of such payment procedure; or (iv) a combination of (i), (ii) and (iii) above. Payment instruments will be received subject to collection.</w:t>
      </w:r>
    </w:p>
    <w:p>
      <w:pPr>
        <w:spacing w:after="0" w:line="181"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color w:val="auto"/>
        </w:rPr>
        <w:t>The transfer to the Optionee on the records of the Company or of the transfer agent of the Option Shares will be contingent upon (i) the Company’s receipt from the Optionee of the full purchase price for the Option Shares, as set forth above, (ii) the fulfillment of any other requirements contained herein or in the Plan or in any other agreement or provision of laws, and (iii) the receipt by the Company of any agreement, statement or other evidence that the Company may require to satisfy itself that the issuance of Stock to be purchased pursuant to the exercise of Stock Options under the Plan and any subsequent resale of the shares of Stock will be in compliance with applicable laws and regulations. In the event the Optionee chooses to pay the purchase price by previously-owned shares of Stock through the attestation method, the number of shares of Stock transferred to the Optionee upon the exercise of the Stock Option shall be net of the Shares attested to.</w:t>
      </w:r>
    </w:p>
    <w:p>
      <w:pPr>
        <w:spacing w:after="0" w:line="69" w:lineRule="exact"/>
        <w:rPr>
          <w:sz w:val="20"/>
          <w:szCs w:val="20"/>
          <w:color w:val="auto"/>
        </w:rPr>
      </w:pPr>
    </w:p>
    <w:p>
      <w:pPr>
        <w:ind w:right="20" w:firstLine="987"/>
        <w:spacing w:after="0" w:line="291" w:lineRule="auto"/>
        <w:tabs>
          <w:tab w:leader="none" w:pos="1246"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shares of Stock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 holder with respect to, any shares of Stock subject to this Stock Option unless and until this Stock Option shall have been exercised pursuant to the terms hereof, the Company or the transfer agent shall have transferred the shares to the Optionee, and the Optionee’s name shall have been entered as the stockholder of record on the books of the Company. Thereupon, the Optionee shall have full voting, dividend and other ownership rights with respect to such shares of Stock.</w:t>
      </w:r>
    </w:p>
    <w:p>
      <w:pPr>
        <w:spacing w:after="0" w:line="58" w:lineRule="exact"/>
        <w:rPr>
          <w:rFonts w:ascii="Arial" w:cs="Arial" w:eastAsia="Arial" w:hAnsi="Arial"/>
          <w:sz w:val="16"/>
          <w:szCs w:val="16"/>
          <w:color w:val="auto"/>
        </w:rPr>
      </w:pPr>
    </w:p>
    <w:p>
      <w:pPr>
        <w:ind w:right="60" w:firstLine="987"/>
        <w:spacing w:after="0" w:line="263" w:lineRule="auto"/>
        <w:tabs>
          <w:tab w:leader="none" w:pos="1236"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minimum number of shares with respect to which this Stock Option may be exercised at any one time shall be 100 shares, unless the number of shares with respect to which this Stock Option is being exercised is the total number of shares subject to exercise under this Stock Option at the time.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28" w:name="page29"/>
    <w:bookmarkEnd w:id="28"/>
    <w:p>
      <w:pPr>
        <w:ind w:left="9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 Notwithstanding any other provision hereof or of the Plan, no portion of this Stock Option shall be exercisable after the Expiration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Date hereof.</w:t>
      </w:r>
    </w:p>
    <w:p>
      <w:pPr>
        <w:spacing w:after="0" w:line="211" w:lineRule="exact"/>
        <w:rPr>
          <w:sz w:val="20"/>
          <w:szCs w:val="20"/>
          <w:color w:val="auto"/>
        </w:rPr>
      </w:pPr>
    </w:p>
    <w:p>
      <w:pPr>
        <w:ind w:right="260" w:firstLine="436"/>
        <w:spacing w:after="0" w:line="277" w:lineRule="auto"/>
        <w:tabs>
          <w:tab w:leader="none" w:pos="62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If the Optionee’s employment with the Company or a Subsidiary (as defined in the Plan) terminates, the period within which to exercise the Stock Option may be subject to earlier termination as set forth below.</w:t>
      </w:r>
    </w:p>
    <w:p>
      <w:pPr>
        <w:spacing w:after="0" w:line="62" w:lineRule="exact"/>
        <w:rPr>
          <w:rFonts w:ascii="Arial" w:cs="Arial" w:eastAsia="Arial" w:hAnsi="Arial"/>
          <w:sz w:val="18"/>
          <w:szCs w:val="18"/>
          <w:color w:val="auto"/>
        </w:rPr>
      </w:pPr>
    </w:p>
    <w:p>
      <w:pPr>
        <w:ind w:right="320" w:firstLine="987"/>
        <w:spacing w:after="0" w:line="301" w:lineRule="auto"/>
        <w:tabs>
          <w:tab w:leader="none" w:pos="1236" w:val="left"/>
        </w:tabs>
        <w:numPr>
          <w:ilvl w:val="1"/>
          <w:numId w:val="40"/>
        </w:numPr>
        <w:rPr>
          <w:rFonts w:ascii="Arial" w:cs="Arial" w:eastAsia="Arial" w:hAnsi="Arial"/>
          <w:sz w:val="16"/>
          <w:szCs w:val="16"/>
          <w:color w:val="auto"/>
        </w:rPr>
      </w:pPr>
      <w:r>
        <w:rPr>
          <w:rFonts w:ascii="Arial" w:cs="Arial" w:eastAsia="Arial" w:hAnsi="Arial"/>
          <w:sz w:val="16"/>
          <w:szCs w:val="16"/>
          <w:u w:val="single" w:color="auto"/>
          <w:color w:val="auto"/>
        </w:rPr>
        <w:t>Termination Due to Death</w:t>
      </w:r>
      <w:r>
        <w:rPr>
          <w:rFonts w:ascii="Arial" w:cs="Arial" w:eastAsia="Arial" w:hAnsi="Arial"/>
          <w:sz w:val="16"/>
          <w:szCs w:val="16"/>
          <w:color w:val="auto"/>
        </w:rPr>
        <w:t>. If the Optionee’s employment with the Company or a Subsidiary terminates by reason of the Optionee’s death, any portion of this Stock Option outstanding on such date, to the extent exercisable on the date of death, may thereafter be exercised by the Optionee’s legal representative or legatee for a period of 12 months from the date of death or until the Expiration Date, if earlier. Any portion of this Stock Option that is not exercisable on the date of death shall terminate immediately and be of no further force or effect.</w:t>
      </w:r>
    </w:p>
    <w:p>
      <w:pPr>
        <w:spacing w:after="0" w:line="49" w:lineRule="exact"/>
        <w:rPr>
          <w:rFonts w:ascii="Arial" w:cs="Arial" w:eastAsia="Arial" w:hAnsi="Arial"/>
          <w:sz w:val="16"/>
          <w:szCs w:val="16"/>
          <w:color w:val="auto"/>
        </w:rPr>
      </w:pPr>
    </w:p>
    <w:p>
      <w:pPr>
        <w:ind w:firstLine="987"/>
        <w:spacing w:after="0" w:line="301" w:lineRule="auto"/>
        <w:tabs>
          <w:tab w:leader="none" w:pos="1246" w:val="left"/>
        </w:tabs>
        <w:numPr>
          <w:ilvl w:val="1"/>
          <w:numId w:val="40"/>
        </w:numPr>
        <w:rPr>
          <w:rFonts w:ascii="Arial" w:cs="Arial" w:eastAsia="Arial" w:hAnsi="Arial"/>
          <w:sz w:val="16"/>
          <w:szCs w:val="16"/>
          <w:color w:val="auto"/>
        </w:rPr>
      </w:pPr>
      <w:r>
        <w:rPr>
          <w:rFonts w:ascii="Arial" w:cs="Arial" w:eastAsia="Arial" w:hAnsi="Arial"/>
          <w:sz w:val="16"/>
          <w:szCs w:val="16"/>
          <w:u w:val="single" w:color="auto"/>
          <w:color w:val="auto"/>
        </w:rPr>
        <w:t>Termination Due to Disability</w:t>
      </w:r>
      <w:r>
        <w:rPr>
          <w:rFonts w:ascii="Arial" w:cs="Arial" w:eastAsia="Arial" w:hAnsi="Arial"/>
          <w:sz w:val="16"/>
          <w:szCs w:val="16"/>
          <w:color w:val="auto"/>
        </w:rPr>
        <w:t>. If the Optionee’s employment with the Company or a Subsidiary terminates by reason of the Optionee’s disability (as determined by the Administrator), any portion of this Stock Option outstanding on such date, to the extent exercisable on the date of such termination, may thereafter be exercised by the Optionee for a period of 12 months from the date of disability or until the Expiration Date, if earlier. Any portion of this Stock Option that is not exercisable on the date of disability shall terminate immediately and be of no further force or effect.</w:t>
      </w:r>
    </w:p>
    <w:p>
      <w:pPr>
        <w:spacing w:after="0" w:line="49" w:lineRule="exact"/>
        <w:rPr>
          <w:rFonts w:ascii="Arial" w:cs="Arial" w:eastAsia="Arial" w:hAnsi="Arial"/>
          <w:sz w:val="16"/>
          <w:szCs w:val="16"/>
          <w:color w:val="auto"/>
        </w:rPr>
      </w:pPr>
    </w:p>
    <w:p>
      <w:pPr>
        <w:ind w:firstLine="987"/>
        <w:spacing w:after="0" w:line="293" w:lineRule="auto"/>
        <w:tabs>
          <w:tab w:leader="none" w:pos="1236" w:val="left"/>
        </w:tabs>
        <w:numPr>
          <w:ilvl w:val="1"/>
          <w:numId w:val="40"/>
        </w:numPr>
        <w:rPr>
          <w:rFonts w:ascii="Arial" w:cs="Arial" w:eastAsia="Arial" w:hAnsi="Arial"/>
          <w:sz w:val="16"/>
          <w:szCs w:val="16"/>
          <w:color w:val="auto"/>
        </w:rPr>
      </w:pPr>
      <w:r>
        <w:rPr>
          <w:rFonts w:ascii="Arial" w:cs="Arial" w:eastAsia="Arial" w:hAnsi="Arial"/>
          <w:sz w:val="16"/>
          <w:szCs w:val="16"/>
          <w:u w:val="single" w:color="auto"/>
          <w:color w:val="auto"/>
        </w:rPr>
        <w:t>Termination for Cause</w:t>
      </w:r>
      <w:r>
        <w:rPr>
          <w:rFonts w:ascii="Arial" w:cs="Arial" w:eastAsia="Arial" w:hAnsi="Arial"/>
          <w:sz w:val="16"/>
          <w:szCs w:val="16"/>
          <w:color w:val="auto"/>
        </w:rPr>
        <w:t>. If the Optionee’s employment with the Company or a Subsidiary terminates for Cause, any portion of this Stock Option outstanding on such date shall terminate immediately and be of no further force and effect. For purposes hereof, “Cause” shall mean, unless otherwise provided in an employment or other service agreement between the Company and the Optionee, a determination by the Administrator that the Optionee shall be dismissed as a result of (i) any material breach by the Optionee of any agreement between the Optionee and the Company; (ii) the conviction of, indictment for or plea of nolo contendere by the Optionee to a felony or a crime involving moral turpitude; or (iii) any material misconduct or willful and deliberate non-performance (other than by reason of disability) by the Optionee of the Optionee’s duties to the Company.</w:t>
      </w:r>
    </w:p>
    <w:p>
      <w:pPr>
        <w:spacing w:after="0" w:line="56" w:lineRule="exact"/>
        <w:rPr>
          <w:rFonts w:ascii="Arial" w:cs="Arial" w:eastAsia="Arial" w:hAnsi="Arial"/>
          <w:sz w:val="16"/>
          <w:szCs w:val="16"/>
          <w:color w:val="auto"/>
        </w:rPr>
      </w:pPr>
    </w:p>
    <w:p>
      <w:pPr>
        <w:ind w:firstLine="987"/>
        <w:spacing w:after="0" w:line="257" w:lineRule="auto"/>
        <w:tabs>
          <w:tab w:leader="none" w:pos="1246" w:val="left"/>
        </w:tabs>
        <w:numPr>
          <w:ilvl w:val="1"/>
          <w:numId w:val="40"/>
        </w:numPr>
        <w:rPr>
          <w:rFonts w:ascii="Arial" w:cs="Arial" w:eastAsia="Arial" w:hAnsi="Arial"/>
          <w:sz w:val="18"/>
          <w:szCs w:val="18"/>
          <w:color w:val="auto"/>
        </w:rPr>
      </w:pPr>
      <w:r>
        <w:rPr>
          <w:rFonts w:ascii="Arial" w:cs="Arial" w:eastAsia="Arial" w:hAnsi="Arial"/>
          <w:sz w:val="18"/>
          <w:szCs w:val="18"/>
          <w:u w:val="single" w:color="auto"/>
          <w:color w:val="auto"/>
        </w:rPr>
        <w:t>Other Termination</w:t>
      </w:r>
      <w:r>
        <w:rPr>
          <w:rFonts w:ascii="Arial" w:cs="Arial" w:eastAsia="Arial" w:hAnsi="Arial"/>
          <w:sz w:val="18"/>
          <w:szCs w:val="18"/>
          <w:color w:val="auto"/>
        </w:rPr>
        <w:t>. If the Optionee’s employment with the Company or a Subsidiary terminates for any reason other than the Optionee’s death, the Optionee’s disability, or Cause, and unless otherwise determined by the Administrator, any portion of this Stock Option outstanding on such date may be exercised, to the extent exercisable on the date of termination, for a period of three months from the date of termination or until the Expiration Date, if earlier. Any portion of this Stock Option that is not exercisable on the date of termination shall terminate immediately and be of no further force or effect.</w:t>
      </w:r>
    </w:p>
    <w:p>
      <w:pPr>
        <w:spacing w:after="0" w:line="188" w:lineRule="exact"/>
        <w:rPr>
          <w:sz w:val="20"/>
          <w:szCs w:val="20"/>
          <w:color w:val="auto"/>
        </w:rPr>
      </w:pPr>
    </w:p>
    <w:p>
      <w:pPr>
        <w:ind w:right="620" w:firstLine="440"/>
        <w:spacing w:after="0" w:line="277" w:lineRule="auto"/>
        <w:rPr>
          <w:sz w:val="20"/>
          <w:szCs w:val="20"/>
          <w:color w:val="auto"/>
        </w:rPr>
      </w:pPr>
      <w:r>
        <w:rPr>
          <w:rFonts w:ascii="Arial" w:cs="Arial" w:eastAsia="Arial" w:hAnsi="Arial"/>
          <w:sz w:val="18"/>
          <w:szCs w:val="18"/>
          <w:color w:val="auto"/>
        </w:rPr>
        <w:t>The Administrator’s determination of the reason for termination of the Optionee’s employment with the Company or a Subsidiary shall be conclusive and binding on the Optionee and his or her representatives or legatees.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29" w:name="page30"/>
    <w:bookmarkEnd w:id="29"/>
    <w:p>
      <w:pPr>
        <w:ind w:left="-20" w:firstLine="436"/>
        <w:spacing w:after="0" w:line="263" w:lineRule="auto"/>
        <w:tabs>
          <w:tab w:leader="none" w:pos="60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Incorporation of Plan</w:t>
      </w:r>
      <w:r>
        <w:rPr>
          <w:rFonts w:ascii="Arial" w:cs="Arial" w:eastAsia="Arial" w:hAnsi="Arial"/>
          <w:sz w:val="18"/>
          <w:szCs w:val="18"/>
          <w:color w:val="auto"/>
        </w:rPr>
        <w:t>. Notwithstanding anything herein to the contrary, this Stock Option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83" w:lineRule="exact"/>
        <w:rPr>
          <w:rFonts w:ascii="Arial" w:cs="Arial" w:eastAsia="Arial" w:hAnsi="Arial"/>
          <w:sz w:val="18"/>
          <w:szCs w:val="18"/>
          <w:color w:val="auto"/>
        </w:rPr>
      </w:pPr>
    </w:p>
    <w:p>
      <w:pPr>
        <w:ind w:left="-20" w:right="340" w:firstLine="436"/>
        <w:spacing w:after="0" w:line="263" w:lineRule="auto"/>
        <w:tabs>
          <w:tab w:leader="none" w:pos="60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w:t>
      </w:r>
    </w:p>
    <w:p>
      <w:pPr>
        <w:spacing w:after="0" w:line="183" w:lineRule="exact"/>
        <w:rPr>
          <w:rFonts w:ascii="Arial" w:cs="Arial" w:eastAsia="Arial" w:hAnsi="Arial"/>
          <w:sz w:val="18"/>
          <w:szCs w:val="18"/>
          <w:color w:val="auto"/>
        </w:rPr>
      </w:pPr>
    </w:p>
    <w:p>
      <w:pPr>
        <w:ind w:left="-20" w:right="20" w:firstLine="436"/>
        <w:spacing w:after="0" w:line="289" w:lineRule="auto"/>
        <w:tabs>
          <w:tab w:leader="none" w:pos="600"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Status of the Stock Option</w:t>
      </w:r>
      <w:r>
        <w:rPr>
          <w:rFonts w:ascii="Arial" w:cs="Arial" w:eastAsia="Arial" w:hAnsi="Arial"/>
          <w:sz w:val="16"/>
          <w:szCs w:val="16"/>
          <w:color w:val="auto"/>
        </w:rPr>
        <w:t xml:space="preserve">. This Stock Option is intended to qualify as an “incentive stock option” under Section 422 of the Internal Revenue Code of 1986, as amended (the “Code”), but the Company does not represent or warrant that this Stock Option qualifies as such. The Optionee should consult with his or her own tax advisors regarding the tax effects of this Stock Option and the requirements necessary to obtain favorable income tax treatment under Section 422 of the Code, including, but not limited to, holding period requirements and that </w:t>
      </w:r>
      <w:r>
        <w:rPr>
          <w:rFonts w:ascii="Arial" w:cs="Arial" w:eastAsia="Arial" w:hAnsi="Arial"/>
          <w:sz w:val="16"/>
          <w:szCs w:val="16"/>
          <w:b w:val="1"/>
          <w:bCs w:val="1"/>
          <w:i w:val="1"/>
          <w:iCs w:val="1"/>
          <w:color w:val="auto"/>
        </w:rPr>
        <w:t>this Stock Option must be exercised within</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three months after termination of employment as an employee (or 12 months in the case of death or disability) to qualify as an “incentive stock option.</w:t>
      </w:r>
      <w:r>
        <w:rPr>
          <w:rFonts w:ascii="Arial" w:cs="Arial" w:eastAsia="Arial" w:hAnsi="Arial"/>
          <w:sz w:val="16"/>
          <w:szCs w:val="16"/>
          <w:color w:val="auto"/>
        </w:rPr>
        <w:t>” To the extent any portion of this Stock Option does not so qualify as an “incentive stock option,” such portion shall be deemed to be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non-qualified stock option. If the Optionee intends to dispose or does dispose (whether by sale, gift, transfer or otherwise) of any Option Shares within the one-year period beginning on the date after the transfer of such shares to him or her, or within the two-year period beginning on the day after the grant of this Stock Option, he or she will so notify the Company within 30 days after such disposition.</w:t>
      </w:r>
    </w:p>
    <w:p>
      <w:pPr>
        <w:spacing w:after="0" w:line="166" w:lineRule="exact"/>
        <w:rPr>
          <w:rFonts w:ascii="Arial" w:cs="Arial" w:eastAsia="Arial" w:hAnsi="Arial"/>
          <w:sz w:val="16"/>
          <w:szCs w:val="16"/>
          <w:color w:val="auto"/>
        </w:rPr>
      </w:pPr>
    </w:p>
    <w:p>
      <w:pPr>
        <w:ind w:left="-20" w:right="40" w:firstLine="436"/>
        <w:spacing w:after="0" w:line="254" w:lineRule="auto"/>
        <w:tabs>
          <w:tab w:leader="none" w:pos="60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 The Optionee shall, not later than the date as of which the exercise of this Stock Option becomes a taxable event for Federal income tax purposes, pay to the Company or make arrangements satisfactory to the Administrator for payment of any Federal, state, and local taxes required by law to be withheld on account of such taxable event. The Company shall have the authority to cause the required tax withholding obligation to be satisfied, in whole or in part, by (i) withholding from shares of Stock to be issued to the Optionee a number of shares of Stock with an aggregate Fair Market Value that would satisfy the withholding amount due; or (ii) causing its transfer agent to sell from the number of shares of Stock to be issued to the Optionee, the number of shares of Stock necessary to satisfy the Federal, state and local taxes required by law to be withheld from the Optionee on account of such transfer.</w:t>
      </w:r>
    </w:p>
    <w:p>
      <w:pPr>
        <w:spacing w:after="0" w:line="194" w:lineRule="exact"/>
        <w:rPr>
          <w:rFonts w:ascii="Arial" w:cs="Arial" w:eastAsia="Arial" w:hAnsi="Arial"/>
          <w:sz w:val="18"/>
          <w:szCs w:val="18"/>
          <w:color w:val="auto"/>
        </w:rPr>
      </w:pPr>
    </w:p>
    <w:p>
      <w:pPr>
        <w:jc w:val="both"/>
        <w:ind w:left="-20" w:firstLine="436"/>
        <w:spacing w:after="0" w:line="286" w:lineRule="auto"/>
        <w:tabs>
          <w:tab w:leader="none" w:pos="600"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No Obligation to Continue Employment</w:t>
      </w:r>
      <w:r>
        <w:rPr>
          <w:rFonts w:ascii="Arial" w:cs="Arial" w:eastAsia="Arial" w:hAnsi="Arial"/>
          <w:sz w:val="17"/>
          <w:szCs w:val="17"/>
          <w:color w:val="auto"/>
        </w:rPr>
        <w:t>. Neither the Company nor any Subsidiary is obligated by or as a result of the Plan or this Agreement to continue the Optionee’s employment with the Company or a Subsidiary and neither the Plan nor this Agreement shall interfere in any way with the right of the Company or any Subsidiary to terminate the Optionee’s employment with the Company or a Subsidiary at any time.</w:t>
      </w:r>
    </w:p>
    <w:p>
      <w:pPr>
        <w:spacing w:after="0" w:line="165" w:lineRule="exact"/>
        <w:rPr>
          <w:rFonts w:ascii="Arial" w:cs="Arial" w:eastAsia="Arial" w:hAnsi="Arial"/>
          <w:sz w:val="17"/>
          <w:szCs w:val="17"/>
          <w:color w:val="auto"/>
        </w:rPr>
      </w:pPr>
    </w:p>
    <w:p>
      <w:pPr>
        <w:ind w:left="-20" w:right="420" w:firstLine="436"/>
        <w:spacing w:after="0" w:line="277" w:lineRule="auto"/>
        <w:tabs>
          <w:tab w:leader="none" w:pos="60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constitutes the entire agreement between the parties with respect to this Stock Option and supersedes all prior agreements and discussions between the parties concerning such subject matter.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460" w:top="274" w:right="479" w:bottom="1440" w:gutter="0" w:footer="0" w:header="0"/>
        </w:sectPr>
      </w:pPr>
    </w:p>
    <w:bookmarkStart w:id="30" w:name="page31"/>
    <w:bookmarkEnd w:id="30"/>
    <w:p>
      <w:pPr>
        <w:ind w:left="-60" w:firstLine="436"/>
        <w:spacing w:after="0" w:line="270" w:lineRule="auto"/>
        <w:tabs>
          <w:tab w:leader="none" w:pos="650"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Data Privacy Consent</w:t>
      </w:r>
      <w:r>
        <w:rPr>
          <w:rFonts w:ascii="Arial" w:cs="Arial" w:eastAsia="Arial" w:hAnsi="Arial"/>
          <w:sz w:val="17"/>
          <w:szCs w:val="17"/>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Optionee (i) authorizes the Company to collect, process, register and transfer to the Relevant Companies all Relevant Information; (ii) waives any privacy rights the Optionee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Optionee shall have access to, and the right to change, the Relevant Information. Relevant Information will only be used in accordance with applicable law.</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80"/>
          </w:cols>
          <w:pgMar w:left="500" w:top="274" w:right="519" w:bottom="1440" w:gutter="0" w:footer="0" w:header="0"/>
        </w:sectPr>
      </w:pPr>
    </w:p>
    <w:bookmarkStart w:id="31" w:name="page32"/>
    <w:bookmarkEnd w:id="31"/>
    <w:p>
      <w:pPr>
        <w:ind w:firstLine="436"/>
        <w:spacing w:after="0" w:line="263" w:lineRule="auto"/>
        <w:tabs>
          <w:tab w:leader="none" w:pos="703"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Notices</w:t>
      </w:r>
      <w:r>
        <w:rPr>
          <w:rFonts w:ascii="Arial" w:cs="Arial" w:eastAsia="Arial" w:hAnsi="Arial"/>
          <w:sz w:val="18"/>
          <w:szCs w:val="18"/>
          <w:color w:val="auto"/>
        </w:rPr>
        <w:t>.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DISC MEDICINE,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The foregoing Agreement is hereby accepted and the terms and conditions thereof hereby agreed to by the undersigned. Electronic acceptance of this Agreement pursuant to the Company’s instructions to the Optionee (including through an online acceptance process) is acceptable.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14605</wp:posOffset>
            </wp:positionV>
            <wp:extent cx="328295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8">
                      <a:extLst>
                        <a:ext uri="{28A0092B-C50C-407E-A947-70E740481C1C}"/>
                      </a:extLst>
                    </a:blip>
                    <a:srcRect/>
                    <a:stretch>
                      <a:fillRect/>
                    </a:stretch>
                  </pic:blipFill>
                  <pic:spPr bwMode="auto">
                    <a:xfrm>
                      <a:off x="0" y="0"/>
                      <a:ext cx="3282950" cy="8255"/>
                    </a:xfrm>
                    <a:prstGeom prst="rect">
                      <a:avLst/>
                    </a:prstGeom>
                    <a:noFill/>
                  </pic:spPr>
                </pic:pic>
              </a:graphicData>
            </a:graphic>
          </wp:anchor>
        </w:drawing>
        <w:drawing>
          <wp:anchor simplePos="0" relativeHeight="251657728" behindDoc="1" locked="0" layoutInCell="0" allowOverlap="1">
            <wp:simplePos x="0" y="0"/>
            <wp:positionH relativeFrom="column">
              <wp:posOffset>444500</wp:posOffset>
            </wp:positionH>
            <wp:positionV relativeFrom="paragraph">
              <wp:posOffset>-10160</wp:posOffset>
            </wp:positionV>
            <wp:extent cx="128524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9">
                      <a:extLst>
                        <a:ext uri="{28A0092B-C50C-407E-A947-70E740481C1C}"/>
                      </a:extLst>
                    </a:blip>
                    <a:srcRect/>
                    <a:stretch>
                      <a:fillRect/>
                    </a:stretch>
                  </pic:blipFill>
                  <pic:spPr bwMode="auto">
                    <a:xfrm>
                      <a:off x="0" y="0"/>
                      <a:ext cx="1285240" cy="8255"/>
                    </a:xfrm>
                    <a:prstGeom prst="rect">
                      <a:avLst/>
                    </a:prstGeom>
                    <a:noFill/>
                  </pic:spPr>
                </pic:pic>
              </a:graphicData>
            </a:graphic>
          </wp:anchor>
        </w:drawing>
      </w:r>
    </w:p>
    <w:p>
      <w:pPr>
        <w:spacing w:after="0" w:line="1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Optionee’s Signature</w:t>
      </w:r>
    </w:p>
    <w:p>
      <w:pPr>
        <w:spacing w:after="0" w:line="22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Optionee’s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220345</wp:posOffset>
            </wp:positionV>
            <wp:extent cx="328295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0">
                      <a:extLst>
                        <a:ext uri="{28A0092B-C50C-407E-A947-70E740481C1C}"/>
                      </a:extLst>
                    </a:blip>
                    <a:srcRect/>
                    <a:stretch>
                      <a:fillRect/>
                    </a:stretch>
                  </pic:blipFill>
                  <pic:spPr bwMode="auto">
                    <a:xfrm>
                      <a:off x="0" y="0"/>
                      <a:ext cx="3282950" cy="8255"/>
                    </a:xfrm>
                    <a:prstGeom prst="rect">
                      <a:avLst/>
                    </a:prstGeom>
                    <a:noFill/>
                  </pic:spPr>
                </pic:pic>
              </a:graphicData>
            </a:graphic>
          </wp:anchor>
        </w:drawing>
        <w:drawing>
          <wp:anchor simplePos="0" relativeHeight="251657728" behindDoc="1" locked="0" layoutInCell="0" allowOverlap="1">
            <wp:simplePos x="0" y="0"/>
            <wp:positionH relativeFrom="column">
              <wp:posOffset>3709035</wp:posOffset>
            </wp:positionH>
            <wp:positionV relativeFrom="paragraph">
              <wp:posOffset>443230</wp:posOffset>
            </wp:positionV>
            <wp:extent cx="328295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1">
                      <a:extLst>
                        <a:ext uri="{28A0092B-C50C-407E-A947-70E740481C1C}"/>
                      </a:extLst>
                    </a:blip>
                    <a:srcRect/>
                    <a:stretch>
                      <a:fillRect/>
                    </a:stretch>
                  </pic:blipFill>
                  <pic:spPr bwMode="auto">
                    <a:xfrm>
                      <a:off x="0" y="0"/>
                      <a:ext cx="3282950" cy="8255"/>
                    </a:xfrm>
                    <a:prstGeom prst="rect">
                      <a:avLst/>
                    </a:prstGeom>
                    <a:noFill/>
                  </pic:spPr>
                </pic:pic>
              </a:graphicData>
            </a:graphic>
          </wp:anchor>
        </w:drawing>
        <w:drawing>
          <wp:anchor simplePos="0" relativeHeight="251657728" behindDoc="1" locked="0" layoutInCell="0" allowOverlap="1">
            <wp:simplePos x="0" y="0"/>
            <wp:positionH relativeFrom="column">
              <wp:posOffset>3709035</wp:posOffset>
            </wp:positionH>
            <wp:positionV relativeFrom="paragraph">
              <wp:posOffset>666115</wp:posOffset>
            </wp:positionV>
            <wp:extent cx="328295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2">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20"/>
          </w:cols>
          <w:pgMar w:left="440" w:top="274" w:right="5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16"/>
        </w:trPr>
        <w:tc>
          <w:tcPr>
            <w:tcW w:w="2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540" w:type="dxa"/>
            <w:vAlign w:val="bottom"/>
            <w:gridSpan w:val="4"/>
          </w:tcPr>
          <w:p>
            <w:pPr>
              <w:jc w:val="center"/>
              <w:ind w:left="250"/>
              <w:spacing w:after="0"/>
              <w:rPr>
                <w:sz w:val="20"/>
                <w:szCs w:val="20"/>
                <w:color w:val="auto"/>
              </w:rPr>
            </w:pPr>
            <w:r>
              <w:rPr>
                <w:rFonts w:ascii="Arial" w:cs="Arial" w:eastAsia="Arial" w:hAnsi="Arial"/>
                <w:sz w:val="18"/>
                <w:szCs w:val="18"/>
                <w:b w:val="1"/>
                <w:bCs w:val="1"/>
                <w:color w:val="auto"/>
              </w:rPr>
              <w:t>NON-QUALIFIED STOCK OPTION AGREEMENT</w:t>
            </w:r>
          </w:p>
        </w:tc>
      </w:tr>
      <w:tr>
        <w:trPr>
          <w:trHeight w:val="216"/>
        </w:trPr>
        <w:tc>
          <w:tcPr>
            <w:tcW w:w="2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540" w:type="dxa"/>
            <w:vAlign w:val="bottom"/>
            <w:gridSpan w:val="4"/>
          </w:tcPr>
          <w:p>
            <w:pPr>
              <w:jc w:val="center"/>
              <w:ind w:left="270"/>
              <w:spacing w:after="0"/>
              <w:rPr>
                <w:sz w:val="20"/>
                <w:szCs w:val="20"/>
                <w:color w:val="auto"/>
              </w:rPr>
            </w:pPr>
            <w:r>
              <w:rPr>
                <w:rFonts w:ascii="Arial" w:cs="Arial" w:eastAsia="Arial" w:hAnsi="Arial"/>
                <w:sz w:val="18"/>
                <w:szCs w:val="18"/>
                <w:b w:val="1"/>
                <w:bCs w:val="1"/>
                <w:color w:val="auto"/>
              </w:rPr>
              <w:t>FOR NON-EMPLOYEE DIRECTORS</w:t>
            </w:r>
          </w:p>
        </w:tc>
      </w:tr>
      <w:tr>
        <w:trPr>
          <w:trHeight w:val="216"/>
        </w:trPr>
        <w:tc>
          <w:tcPr>
            <w:tcW w:w="2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540" w:type="dxa"/>
            <w:vAlign w:val="bottom"/>
            <w:gridSpan w:val="4"/>
          </w:tcPr>
          <w:p>
            <w:pPr>
              <w:jc w:val="center"/>
              <w:ind w:left="250"/>
              <w:spacing w:after="0"/>
              <w:rPr>
                <w:sz w:val="20"/>
                <w:szCs w:val="20"/>
                <w:color w:val="auto"/>
              </w:rPr>
            </w:pPr>
            <w:r>
              <w:rPr>
                <w:rFonts w:ascii="Arial" w:cs="Arial" w:eastAsia="Arial" w:hAnsi="Arial"/>
                <w:sz w:val="18"/>
                <w:szCs w:val="18"/>
                <w:b w:val="1"/>
                <w:bCs w:val="1"/>
                <w:color w:val="auto"/>
              </w:rPr>
              <w:t>UNDER THE DISC MEDICINE, Inc.</w:t>
            </w:r>
          </w:p>
        </w:tc>
      </w:tr>
      <w:tr>
        <w:trPr>
          <w:trHeight w:val="216"/>
        </w:trPr>
        <w:tc>
          <w:tcPr>
            <w:tcW w:w="2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540" w:type="dxa"/>
            <w:vAlign w:val="bottom"/>
            <w:gridSpan w:val="4"/>
          </w:tcPr>
          <w:p>
            <w:pPr>
              <w:jc w:val="center"/>
              <w:ind w:left="270"/>
              <w:spacing w:after="0"/>
              <w:rPr>
                <w:sz w:val="20"/>
                <w:szCs w:val="20"/>
                <w:color w:val="auto"/>
              </w:rPr>
            </w:pPr>
            <w:r>
              <w:rPr>
                <w:rFonts w:ascii="Arial" w:cs="Arial" w:eastAsia="Arial" w:hAnsi="Arial"/>
                <w:sz w:val="18"/>
                <w:szCs w:val="18"/>
                <w:b w:val="1"/>
                <w:bCs w:val="1"/>
                <w:color w:val="auto"/>
                <w:w w:val="98"/>
              </w:rPr>
              <w:t>AMENDED AND RESTATED 2021 STOCK OPTION</w:t>
            </w:r>
          </w:p>
        </w:tc>
      </w:tr>
      <w:tr>
        <w:trPr>
          <w:trHeight w:val="234"/>
        </w:trPr>
        <w:tc>
          <w:tcPr>
            <w:tcW w:w="2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100" w:type="dxa"/>
            <w:vAlign w:val="bottom"/>
            <w:gridSpan w:val="2"/>
          </w:tcPr>
          <w:p>
            <w:pPr>
              <w:jc w:val="center"/>
              <w:ind w:right="1100"/>
              <w:spacing w:after="0"/>
              <w:rPr>
                <w:sz w:val="20"/>
                <w:szCs w:val="20"/>
                <w:color w:val="auto"/>
              </w:rPr>
            </w:pPr>
            <w:r>
              <w:rPr>
                <w:rFonts w:ascii="Arial" w:cs="Arial" w:eastAsia="Arial" w:hAnsi="Arial"/>
                <w:sz w:val="18"/>
                <w:szCs w:val="18"/>
                <w:b w:val="1"/>
                <w:bCs w:val="1"/>
                <w:color w:val="auto"/>
              </w:rPr>
              <w:t>AND INCENTIVE PLAN</w:t>
            </w:r>
          </w:p>
        </w:tc>
      </w:tr>
      <w:tr>
        <w:trPr>
          <w:trHeight w:val="418"/>
        </w:trPr>
        <w:tc>
          <w:tcPr>
            <w:tcW w:w="2660" w:type="dxa"/>
            <w:vAlign w:val="bottom"/>
          </w:tcPr>
          <w:p>
            <w:pPr>
              <w:spacing w:after="0"/>
              <w:rPr>
                <w:sz w:val="20"/>
                <w:szCs w:val="20"/>
                <w:color w:val="auto"/>
              </w:rPr>
            </w:pPr>
            <w:r>
              <w:rPr>
                <w:rFonts w:ascii="Arial" w:cs="Arial" w:eastAsia="Arial" w:hAnsi="Arial"/>
                <w:sz w:val="18"/>
                <w:szCs w:val="18"/>
                <w:color w:val="auto"/>
              </w:rPr>
              <w:t>Name of Optionee:</w:t>
            </w:r>
          </w:p>
        </w:tc>
        <w:tc>
          <w:tcPr>
            <w:tcW w:w="3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600" w:type="dxa"/>
            <w:vAlign w:val="bottom"/>
          </w:tcPr>
          <w:p>
            <w:pPr>
              <w:spacing w:after="0"/>
              <w:rPr>
                <w:sz w:val="24"/>
                <w:szCs w:val="24"/>
                <w:color w:val="auto"/>
              </w:rPr>
            </w:pPr>
          </w:p>
        </w:tc>
      </w:tr>
      <w:tr>
        <w:trPr>
          <w:trHeight w:val="304"/>
        </w:trPr>
        <w:tc>
          <w:tcPr>
            <w:tcW w:w="2660" w:type="dxa"/>
            <w:vAlign w:val="bottom"/>
          </w:tcPr>
          <w:p>
            <w:pPr>
              <w:spacing w:after="0"/>
              <w:rPr>
                <w:sz w:val="20"/>
                <w:szCs w:val="20"/>
                <w:color w:val="auto"/>
              </w:rPr>
            </w:pPr>
            <w:r>
              <w:rPr>
                <w:rFonts w:ascii="Arial" w:cs="Arial" w:eastAsia="Arial" w:hAnsi="Arial"/>
                <w:sz w:val="18"/>
                <w:szCs w:val="18"/>
                <w:color w:val="auto"/>
              </w:rPr>
              <w:t>No. of Option Shares:</w:t>
            </w:r>
          </w:p>
        </w:tc>
        <w:tc>
          <w:tcPr>
            <w:tcW w:w="3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04"/>
        </w:trPr>
        <w:tc>
          <w:tcPr>
            <w:tcW w:w="2660" w:type="dxa"/>
            <w:vAlign w:val="bottom"/>
          </w:tcPr>
          <w:p>
            <w:pPr>
              <w:spacing w:after="0"/>
              <w:rPr>
                <w:sz w:val="20"/>
                <w:szCs w:val="20"/>
                <w:color w:val="auto"/>
              </w:rPr>
            </w:pPr>
            <w:r>
              <w:rPr>
                <w:rFonts w:ascii="Arial" w:cs="Arial" w:eastAsia="Arial" w:hAnsi="Arial"/>
                <w:sz w:val="18"/>
                <w:szCs w:val="18"/>
                <w:color w:val="auto"/>
              </w:rPr>
              <w:t>Option Exercise Price per Share:</w:t>
            </w:r>
          </w:p>
        </w:tc>
        <w:tc>
          <w:tcPr>
            <w:tcW w:w="400" w:type="dxa"/>
            <w:vAlign w:val="bottom"/>
            <w:gridSpan w:val="2"/>
          </w:tcPr>
          <w:p>
            <w:pPr>
              <w:ind w:left="320"/>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5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37"/>
        </w:trPr>
        <w:tc>
          <w:tcPr>
            <w:tcW w:w="2660" w:type="dxa"/>
            <w:vAlign w:val="bottom"/>
          </w:tcPr>
          <w:p>
            <w:pPr>
              <w:spacing w:after="0"/>
              <w:rPr>
                <w:sz w:val="20"/>
                <w:szCs w:val="20"/>
                <w:color w:val="auto"/>
              </w:rPr>
            </w:pPr>
          </w:p>
        </w:tc>
        <w:tc>
          <w:tcPr>
            <w:tcW w:w="4940" w:type="dxa"/>
            <w:vAlign w:val="bottom"/>
            <w:gridSpan w:val="6"/>
          </w:tcPr>
          <w:p>
            <w:pPr>
              <w:ind w:left="320"/>
              <w:spacing w:after="0"/>
              <w:rPr>
                <w:sz w:val="20"/>
                <w:szCs w:val="20"/>
                <w:color w:val="auto"/>
              </w:rPr>
            </w:pPr>
            <w:r>
              <w:rPr>
                <w:rFonts w:ascii="Arial" w:cs="Arial" w:eastAsia="Arial" w:hAnsi="Arial"/>
                <w:sz w:val="18"/>
                <w:szCs w:val="18"/>
                <w:b w:val="1"/>
                <w:bCs w:val="1"/>
                <w:color w:val="auto"/>
              </w:rPr>
              <w:t>[FMV on Grant Date]</w:t>
            </w:r>
          </w:p>
        </w:tc>
      </w:tr>
      <w:tr>
        <w:trPr>
          <w:trHeight w:val="283"/>
        </w:trPr>
        <w:tc>
          <w:tcPr>
            <w:tcW w:w="2660" w:type="dxa"/>
            <w:vAlign w:val="bottom"/>
          </w:tcPr>
          <w:p>
            <w:pPr>
              <w:spacing w:after="0"/>
              <w:rPr>
                <w:sz w:val="20"/>
                <w:szCs w:val="20"/>
                <w:color w:val="auto"/>
              </w:rPr>
            </w:pPr>
            <w:r>
              <w:rPr>
                <w:rFonts w:ascii="Arial" w:cs="Arial" w:eastAsia="Arial" w:hAnsi="Arial"/>
                <w:sz w:val="18"/>
                <w:szCs w:val="18"/>
                <w:color w:val="auto"/>
              </w:rPr>
              <w:t>Grant Date:</w:t>
            </w:r>
          </w:p>
        </w:tc>
        <w:tc>
          <w:tcPr>
            <w:tcW w:w="3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04"/>
        </w:trPr>
        <w:tc>
          <w:tcPr>
            <w:tcW w:w="2660" w:type="dxa"/>
            <w:vAlign w:val="bottom"/>
          </w:tcPr>
          <w:p>
            <w:pPr>
              <w:spacing w:after="0"/>
              <w:rPr>
                <w:sz w:val="20"/>
                <w:szCs w:val="20"/>
                <w:color w:val="auto"/>
              </w:rPr>
            </w:pPr>
            <w:r>
              <w:rPr>
                <w:rFonts w:ascii="Arial" w:cs="Arial" w:eastAsia="Arial" w:hAnsi="Arial"/>
                <w:sz w:val="18"/>
                <w:szCs w:val="18"/>
                <w:color w:val="auto"/>
              </w:rPr>
              <w:t>Expiration Date:</w:t>
            </w:r>
          </w:p>
        </w:tc>
        <w:tc>
          <w:tcPr>
            <w:tcW w:w="3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37"/>
        </w:trPr>
        <w:tc>
          <w:tcPr>
            <w:tcW w:w="2660" w:type="dxa"/>
            <w:vAlign w:val="bottom"/>
          </w:tcPr>
          <w:p>
            <w:pPr>
              <w:spacing w:after="0"/>
              <w:rPr>
                <w:sz w:val="20"/>
                <w:szCs w:val="20"/>
                <w:color w:val="auto"/>
              </w:rPr>
            </w:pPr>
          </w:p>
        </w:tc>
        <w:tc>
          <w:tcPr>
            <w:tcW w:w="4940" w:type="dxa"/>
            <w:vAlign w:val="bottom"/>
            <w:gridSpan w:val="6"/>
          </w:tcPr>
          <w:p>
            <w:pPr>
              <w:ind w:left="320"/>
              <w:spacing w:after="0"/>
              <w:rPr>
                <w:sz w:val="20"/>
                <w:szCs w:val="20"/>
                <w:color w:val="auto"/>
              </w:rPr>
            </w:pPr>
            <w:r>
              <w:rPr>
                <w:rFonts w:ascii="Arial" w:cs="Arial" w:eastAsia="Arial" w:hAnsi="Arial"/>
                <w:sz w:val="18"/>
                <w:szCs w:val="18"/>
                <w:b w:val="1"/>
                <w:bCs w:val="1"/>
                <w:color w:val="auto"/>
              </w:rPr>
              <w:t>[No more than 10 years]</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right="60" w:firstLine="440"/>
        <w:spacing w:after="0" w:line="273" w:lineRule="auto"/>
        <w:rPr>
          <w:sz w:val="20"/>
          <w:szCs w:val="20"/>
          <w:color w:val="auto"/>
        </w:rPr>
      </w:pPr>
      <w:r>
        <w:rPr>
          <w:rFonts w:ascii="Arial" w:cs="Arial" w:eastAsia="Arial" w:hAnsi="Arial"/>
          <w:sz w:val="17"/>
          <w:szCs w:val="17"/>
          <w:color w:val="auto"/>
        </w:rPr>
        <w:t>Pursuant to the Disc Medicine, Inc. Amended and Restated 2021 Stock Option and Incentive Plan, as amended through the date hereof (the “Plan”), Disc Medicine, Inc. (the “Company”) hereby grants to the Optionee named above, who is a Non-Employee Director of the Company but is not an employee of the Company, an option (the “Stock Option”) to purchase on or prior to the Expiration Date specified above all or part of the number of shares of Common Stock, par value $0.0001 per share (the “Stock”), of the Company specified above at the Option Exercise Price per Share specified above subject to the terms and conditions set forth herein and in the Plan. This Stock Option is not intended to be an “incentive stock option” under Section 422 of the Internal Revenue Code of 1986, as amended.</w:t>
      </w:r>
    </w:p>
    <w:p>
      <w:pPr>
        <w:spacing w:after="0" w:line="178" w:lineRule="exact"/>
        <w:rPr>
          <w:sz w:val="20"/>
          <w:szCs w:val="20"/>
          <w:color w:val="auto"/>
        </w:rPr>
      </w:pPr>
    </w:p>
    <w:p>
      <w:pPr>
        <w:ind w:firstLine="436"/>
        <w:spacing w:after="0" w:line="259" w:lineRule="auto"/>
        <w:tabs>
          <w:tab w:leader="none" w:pos="62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Exercisability Schedule</w:t>
      </w:r>
      <w:r>
        <w:rPr>
          <w:rFonts w:ascii="Arial" w:cs="Arial" w:eastAsia="Arial" w:hAnsi="Arial"/>
          <w:sz w:val="18"/>
          <w:szCs w:val="18"/>
          <w:color w:val="auto"/>
        </w:rPr>
        <w:t>. No portion of this Stock Option may be exercised until such portion shall have become exercisable. Except as set forth below, and subject to the discretion of the Administrator (as defined in Section 2 of the Plan) to accelerate the exercisability schedule hereunder, this Stock Option shall be exercisable with respect to the following number of Option Shares on the dates indicated so long as the Optionee remains in service as a member of the Board on such dates:</w:t>
      </w:r>
    </w:p>
    <w:p>
      <w:pPr>
        <w:spacing w:after="0" w:line="197" w:lineRule="exact"/>
        <w:rPr>
          <w:sz w:val="20"/>
          <w:szCs w:val="20"/>
          <w:color w:val="auto"/>
        </w:rPr>
      </w:pPr>
    </w:p>
    <w:tbl>
      <w:tblPr>
        <w:tblLayout w:type="fixed"/>
        <w:tblInd w:w="2760" w:type="dxa"/>
        <w:tblCellMar>
          <w:top w:w="0" w:type="dxa"/>
          <w:left w:w="0" w:type="dxa"/>
          <w:bottom w:w="0" w:type="dxa"/>
          <w:right w:w="0" w:type="dxa"/>
        </w:tblCellMar>
      </w:tblPr>
      <w:tr>
        <w:trPr>
          <w:trHeight w:val="161"/>
        </w:trPr>
        <w:tc>
          <w:tcPr>
            <w:tcW w:w="298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Incremental Number of</w:t>
            </w: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81"/>
        </w:trPr>
        <w:tc>
          <w:tcPr>
            <w:tcW w:w="298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Option Shares Exercisable</w:t>
            </w:r>
          </w:p>
        </w:tc>
        <w:tc>
          <w:tcPr>
            <w:tcW w:w="2640" w:type="dxa"/>
            <w:vAlign w:val="bottom"/>
            <w:gridSpan w:val="3"/>
          </w:tcPr>
          <w:p>
            <w:pPr>
              <w:ind w:left="780"/>
              <w:spacing w:after="0"/>
              <w:rPr>
                <w:sz w:val="20"/>
                <w:szCs w:val="20"/>
                <w:color w:val="auto"/>
              </w:rPr>
            </w:pPr>
            <w:r>
              <w:rPr>
                <w:rFonts w:ascii="Arial" w:cs="Arial" w:eastAsia="Arial" w:hAnsi="Arial"/>
                <w:sz w:val="14"/>
                <w:szCs w:val="14"/>
                <w:color w:val="auto"/>
              </w:rPr>
              <w:t>Exercisability Date</w:t>
            </w:r>
          </w:p>
        </w:tc>
      </w:tr>
      <w:tr>
        <w:trPr>
          <w:trHeight w:val="169"/>
        </w:trPr>
        <w:tc>
          <w:tcPr>
            <w:tcW w:w="288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1"/>
              </w:rPr>
              <w:t>_____________ (___%)</w:t>
            </w:r>
          </w:p>
        </w:tc>
        <w:tc>
          <w:tcPr>
            <w:tcW w:w="10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r>
      <w:tr>
        <w:trPr>
          <w:trHeight w:val="196"/>
        </w:trPr>
        <w:tc>
          <w:tcPr>
            <w:tcW w:w="2880" w:type="dxa"/>
            <w:vAlign w:val="bottom"/>
          </w:tcPr>
          <w:p>
            <w:pPr>
              <w:jc w:val="center"/>
              <w:spacing w:after="0" w:line="196" w:lineRule="exact"/>
              <w:rPr>
                <w:sz w:val="20"/>
                <w:szCs w:val="20"/>
                <w:color w:val="auto"/>
              </w:rPr>
            </w:pPr>
            <w:r>
              <w:rPr>
                <w:rFonts w:ascii="Arial" w:cs="Arial" w:eastAsia="Arial" w:hAnsi="Arial"/>
                <w:sz w:val="18"/>
                <w:szCs w:val="18"/>
                <w:color w:val="auto"/>
                <w:w w:val="91"/>
              </w:rPr>
              <w:t>_____________ (___%)</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960" w:type="dxa"/>
            <w:vAlign w:val="bottom"/>
          </w:tcPr>
          <w:p>
            <w:pPr>
              <w:spacing w:after="0"/>
              <w:rPr>
                <w:sz w:val="17"/>
                <w:szCs w:val="17"/>
                <w:color w:val="auto"/>
              </w:rPr>
            </w:pPr>
          </w:p>
        </w:tc>
      </w:tr>
      <w:tr>
        <w:trPr>
          <w:trHeight w:val="196"/>
        </w:trPr>
        <w:tc>
          <w:tcPr>
            <w:tcW w:w="2880" w:type="dxa"/>
            <w:vAlign w:val="bottom"/>
          </w:tcPr>
          <w:p>
            <w:pPr>
              <w:jc w:val="center"/>
              <w:spacing w:after="0" w:line="196" w:lineRule="exact"/>
              <w:rPr>
                <w:sz w:val="20"/>
                <w:szCs w:val="20"/>
                <w:color w:val="auto"/>
              </w:rPr>
            </w:pPr>
            <w:r>
              <w:rPr>
                <w:rFonts w:ascii="Arial" w:cs="Arial" w:eastAsia="Arial" w:hAnsi="Arial"/>
                <w:sz w:val="18"/>
                <w:szCs w:val="18"/>
                <w:color w:val="auto"/>
                <w:w w:val="91"/>
              </w:rPr>
              <w:t>_____________ (___%)</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960" w:type="dxa"/>
            <w:vAlign w:val="bottom"/>
          </w:tcPr>
          <w:p>
            <w:pPr>
              <w:spacing w:after="0"/>
              <w:rPr>
                <w:sz w:val="17"/>
                <w:szCs w:val="17"/>
                <w:color w:val="auto"/>
              </w:rPr>
            </w:pPr>
          </w:p>
        </w:tc>
      </w:tr>
      <w:tr>
        <w:trPr>
          <w:trHeight w:val="196"/>
        </w:trPr>
        <w:tc>
          <w:tcPr>
            <w:tcW w:w="2880" w:type="dxa"/>
            <w:vAlign w:val="bottom"/>
          </w:tcPr>
          <w:p>
            <w:pPr>
              <w:jc w:val="center"/>
              <w:spacing w:after="0" w:line="196" w:lineRule="exact"/>
              <w:rPr>
                <w:sz w:val="20"/>
                <w:szCs w:val="20"/>
                <w:color w:val="auto"/>
              </w:rPr>
            </w:pPr>
            <w:r>
              <w:rPr>
                <w:rFonts w:ascii="Arial" w:cs="Arial" w:eastAsia="Arial" w:hAnsi="Arial"/>
                <w:sz w:val="18"/>
                <w:szCs w:val="18"/>
                <w:color w:val="auto"/>
                <w:w w:val="91"/>
              </w:rPr>
              <w:t>_____________ (___%)</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960" w:type="dxa"/>
            <w:vAlign w:val="bottom"/>
          </w:tcPr>
          <w:p>
            <w:pPr>
              <w:spacing w:after="0"/>
              <w:rPr>
                <w:sz w:val="17"/>
                <w:szCs w:val="17"/>
                <w:color w:val="auto"/>
              </w:rPr>
            </w:pPr>
          </w:p>
        </w:tc>
      </w:tr>
    </w:tbl>
    <w:p>
      <w:pPr>
        <w:sectPr>
          <w:pgSz w:w="11900" w:h="16838" w:orient="portrait"/>
          <w:cols w:equalWidth="0" w:num="1">
            <w:col w:w="10960"/>
          </w:cols>
          <w:pgMar w:left="440" w:top="270" w:right="499" w:bottom="1440" w:gutter="0" w:footer="0" w:header="0"/>
        </w:sectPr>
      </w:pPr>
    </w:p>
    <w:bookmarkStart w:id="33" w:name="page34"/>
    <w:bookmarkEnd w:id="33"/>
    <w:p>
      <w:pPr>
        <w:ind w:right="8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anything to the contrary herein or in the Plan, all outstanding Option Shares shall become fully exercisable upon a Sale Event. Once exercisable, this Stock Option shall continue to be exercisable at any time or times prior to the close of business on the Expiration Date, subject to the provisions hereof and of the Plan.</w:t>
      </w:r>
    </w:p>
    <w:p>
      <w:pPr>
        <w:spacing w:after="0" w:line="184" w:lineRule="exact"/>
        <w:rPr>
          <w:sz w:val="20"/>
          <w:szCs w:val="20"/>
          <w:color w:val="auto"/>
        </w:rPr>
      </w:pPr>
    </w:p>
    <w:p>
      <w:pPr>
        <w:ind w:left="620" w:hanging="184"/>
        <w:spacing w:after="0"/>
        <w:tabs>
          <w:tab w:leader="none" w:pos="62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Manner of Exercise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40" w:firstLine="987"/>
        <w:spacing w:after="0" w:line="263" w:lineRule="auto"/>
        <w:tabs>
          <w:tab w:leader="none" w:pos="1236"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Optionee may exercise this Stock Option only in the following manner: from time to time on or prior to the Expiration Date of this Stock Option, the Optionee may give written notice to the Administrator of his or her election to purchase some or all of the Option Shares purchasable at the time of such notice. This notice shall specify the number of Option Shares to be purchased.</w:t>
      </w:r>
    </w:p>
    <w:p>
      <w:pPr>
        <w:spacing w:after="0" w:line="184"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Payment of the purchase price for the Option Shares may be made by one or more of the following methods: (i) in cash, by certified or bank check or other instrument acceptable to the Administrator; (ii) through the delivery (or attestation to the ownership) of shares of Stock that have been purchased by the Optionee on the open market or that are beneficially owned by the Optionee and are not then subject to any restrictions under any Company plan and that otherwise satisfy any holding periods as may be required by the Administrator; (iii) by the Optionee delivering to the Company a properly executed exercise notice together with irrevocable instructions to a broker to promptly deliver to the Company cash or a check payable and acceptable to the Company to pay the option purchase price, provided that in the event the Optionee chooses to pay the option purchase price as so provided, the Optionee and the broker shall comply with such procedures and enter into such agreements of indemnity and other agreements as the Administrator shall prescribe as a condition of such payment procedure; (iv) by a “net exercise” arrangement pursuant to which the Company will reduce the number of shares of Stock issuable upon exercise by the largest whole number of shares with a Fair Market Value that does not exceed the aggregate exercise price; or (v) a combination of (i), (ii), (iii) and (iv) above. Payment instruments will be received subject to collection.</w:t>
      </w:r>
    </w:p>
    <w:p>
      <w:pPr>
        <w:spacing w:after="0" w:line="168"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color w:val="auto"/>
        </w:rPr>
        <w:t>The transfer to the Optionee on the records of the Company or of the transfer agent of the Option Shares will be contingent upon (i) the Company’s receipt from the Optionee of the full purchase price for the Option Shares, as set forth above, (ii) the fulfillment of any other requirements contained herein or in the Plan or in any other agreement or provision of laws, and (iii) the receipt by the Company of any agreement, statement or other evidence that the Company may require to satisfy itself that the issuance of Stock to be purchased pursuant to the exercise of Stock Options under the Plan and any subsequent resale of the shares of Stock will be in compliance with applicable laws and regulations. In the event the Optionee chooses to pay the purchase price by previously-owned shares of Stock through the attestation method, the number of shares of Stock transferred to the Optionee upon the exercise of the Stock Option shall be net of the Shares attested to.</w:t>
      </w:r>
    </w:p>
    <w:p>
      <w:pPr>
        <w:spacing w:after="0" w:line="69" w:lineRule="exact"/>
        <w:rPr>
          <w:sz w:val="20"/>
          <w:szCs w:val="20"/>
          <w:color w:val="auto"/>
        </w:rPr>
      </w:pPr>
    </w:p>
    <w:p>
      <w:pPr>
        <w:ind w:right="20" w:firstLine="987"/>
        <w:spacing w:after="0" w:line="259" w:lineRule="auto"/>
        <w:tabs>
          <w:tab w:leader="none" w:pos="1246"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shares of Stock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34" w:name="page35"/>
    <w:bookmarkEnd w:id="34"/>
    <w:p>
      <w:pPr>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Optionee. The Optionee shall not be deemed to be the holder of, or to have any of the rights of a holder with respect to, any shares of Stock subject to this Stock Option unless and until this Stock Option shall have been exercised pursuant to the terms hereof, the Company or the transfer agent shall have transferred the shares to the Optionee, and the Optionee’s name shall have been entered as the stockholder of record on the books of the Company. Thereupon, the Optionee shall have full voting, dividend and other ownership rights with respect to such shares of Stock.</w:t>
      </w:r>
    </w:p>
    <w:p>
      <w:pPr>
        <w:spacing w:after="0" w:line="49" w:lineRule="exact"/>
        <w:rPr>
          <w:sz w:val="20"/>
          <w:szCs w:val="20"/>
          <w:color w:val="auto"/>
        </w:rPr>
      </w:pPr>
    </w:p>
    <w:p>
      <w:pPr>
        <w:ind w:right="40" w:firstLine="987"/>
        <w:spacing w:after="0" w:line="263" w:lineRule="auto"/>
        <w:tabs>
          <w:tab w:leader="none" w:pos="1236"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minimum number of shares with respect to which this Stock Option may be exercised at any one time shall be 100 shares, unless the number of shares with respect to which this Stock Option is being exercised is the total number of shares subject to exercise under this Stock Option at the time.</w:t>
      </w:r>
    </w:p>
    <w:p>
      <w:pPr>
        <w:spacing w:after="0" w:line="75" w:lineRule="exact"/>
        <w:rPr>
          <w:rFonts w:ascii="Arial" w:cs="Arial" w:eastAsia="Arial" w:hAnsi="Arial"/>
          <w:sz w:val="18"/>
          <w:szCs w:val="18"/>
          <w:color w:val="auto"/>
        </w:rPr>
      </w:pPr>
    </w:p>
    <w:p>
      <w:pPr>
        <w:ind w:left="1240" w:hanging="253"/>
        <w:spacing w:after="0"/>
        <w:tabs>
          <w:tab w:leader="none" w:pos="1240" w:val="left"/>
        </w:tabs>
        <w:numPr>
          <w:ilvl w:val="1"/>
          <w:numId w:val="47"/>
        </w:numPr>
        <w:rPr>
          <w:rFonts w:ascii="Arial" w:cs="Arial" w:eastAsia="Arial" w:hAnsi="Arial"/>
          <w:sz w:val="17"/>
          <w:szCs w:val="17"/>
          <w:color w:val="auto"/>
        </w:rPr>
      </w:pPr>
      <w:r>
        <w:rPr>
          <w:rFonts w:ascii="Arial" w:cs="Arial" w:eastAsia="Arial" w:hAnsi="Arial"/>
          <w:sz w:val="17"/>
          <w:szCs w:val="17"/>
          <w:color w:val="auto"/>
        </w:rPr>
        <w:t>Notwithstanding any other provision hereof or of the Plan, no portion of this Stock Option shall be exercisable after the Expiration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Date hereof.</w:t>
      </w:r>
    </w:p>
    <w:p>
      <w:pPr>
        <w:spacing w:after="0" w:line="210" w:lineRule="exact"/>
        <w:rPr>
          <w:rFonts w:ascii="Arial" w:cs="Arial" w:eastAsia="Arial" w:hAnsi="Arial"/>
          <w:sz w:val="17"/>
          <w:szCs w:val="17"/>
          <w:color w:val="auto"/>
        </w:rPr>
      </w:pPr>
    </w:p>
    <w:p>
      <w:pPr>
        <w:ind w:right="320" w:firstLine="436"/>
        <w:spacing w:after="0" w:line="277" w:lineRule="auto"/>
        <w:tabs>
          <w:tab w:leader="none" w:pos="62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Termination as Non-Employee Director</w:t>
      </w:r>
      <w:r>
        <w:rPr>
          <w:rFonts w:ascii="Arial" w:cs="Arial" w:eastAsia="Arial" w:hAnsi="Arial"/>
          <w:sz w:val="18"/>
          <w:szCs w:val="18"/>
          <w:color w:val="auto"/>
        </w:rPr>
        <w:t>. If the Optionee ceases to be a Non-Employee Director of the Company, the period within which to exercise the Stock Option may be subject to earlier termination as set forth below.</w:t>
      </w:r>
    </w:p>
    <w:p>
      <w:pPr>
        <w:spacing w:after="0" w:line="62" w:lineRule="exact"/>
        <w:rPr>
          <w:rFonts w:ascii="Arial" w:cs="Arial" w:eastAsia="Arial" w:hAnsi="Arial"/>
          <w:sz w:val="18"/>
          <w:szCs w:val="18"/>
          <w:color w:val="auto"/>
        </w:rPr>
      </w:pPr>
    </w:p>
    <w:p>
      <w:pPr>
        <w:ind w:right="60" w:firstLine="987"/>
        <w:spacing w:after="0" w:line="279" w:lineRule="auto"/>
        <w:tabs>
          <w:tab w:leader="none" w:pos="1236" w:val="left"/>
        </w:tabs>
        <w:numPr>
          <w:ilvl w:val="1"/>
          <w:numId w:val="48"/>
        </w:numPr>
        <w:rPr>
          <w:rFonts w:ascii="Arial" w:cs="Arial" w:eastAsia="Arial" w:hAnsi="Arial"/>
          <w:sz w:val="17"/>
          <w:szCs w:val="17"/>
          <w:color w:val="auto"/>
        </w:rPr>
      </w:pPr>
      <w:r>
        <w:rPr>
          <w:rFonts w:ascii="Arial" w:cs="Arial" w:eastAsia="Arial" w:hAnsi="Arial"/>
          <w:sz w:val="17"/>
          <w:szCs w:val="17"/>
          <w:u w:val="single" w:color="auto"/>
          <w:color w:val="auto"/>
        </w:rPr>
        <w:t>Termination Due to Death</w:t>
      </w:r>
      <w:r>
        <w:rPr>
          <w:rFonts w:ascii="Arial" w:cs="Arial" w:eastAsia="Arial" w:hAnsi="Arial"/>
          <w:sz w:val="17"/>
          <w:szCs w:val="17"/>
          <w:color w:val="auto"/>
        </w:rPr>
        <w:t>. If the Optionee’s service as a Non-Employee Director terminates by reason of the Optionee’s death, any portion of this Stock Option outstanding on such date, to the extent exercisable on the date of death, may thereafter be exercised by the Optionee’s legal representative or legatee for a period of 12 months from the date of death or until the Expiration Date, if earlier. Any portion of this Stock Option that is not exercisable on the date of death shall terminate immediately and be of no further force or effect.</w:t>
      </w:r>
    </w:p>
    <w:p>
      <w:pPr>
        <w:spacing w:after="0" w:line="63" w:lineRule="exact"/>
        <w:rPr>
          <w:rFonts w:ascii="Arial" w:cs="Arial" w:eastAsia="Arial" w:hAnsi="Arial"/>
          <w:sz w:val="17"/>
          <w:szCs w:val="17"/>
          <w:color w:val="auto"/>
        </w:rPr>
      </w:pPr>
    </w:p>
    <w:p>
      <w:pPr>
        <w:ind w:right="120" w:firstLine="987"/>
        <w:spacing w:after="0" w:line="257" w:lineRule="auto"/>
        <w:tabs>
          <w:tab w:leader="none" w:pos="1246"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Other Termination</w:t>
      </w:r>
      <w:r>
        <w:rPr>
          <w:rFonts w:ascii="Arial" w:cs="Arial" w:eastAsia="Arial" w:hAnsi="Arial"/>
          <w:sz w:val="18"/>
          <w:szCs w:val="18"/>
          <w:color w:val="auto"/>
        </w:rPr>
        <w:t>. If the Optionee ceases to be a Non-Employee Director for any reason other than the Optionee’s death, any portion of this Stock Option outstanding on such date may be exercised, to the extent exercisable on the date the Optionee ceased to be a Non-Employee Director, for a period of six months from the date the Optionee ceased to be a Non-Employee Director or until the Expiration Date, if earlier. Any portion of this Stock Option that is not exercisable on the date the Optionee ceases to be a Non-Employee Director shall terminate immediately and be of no further force or effect.</w:t>
      </w:r>
    </w:p>
    <w:p>
      <w:pPr>
        <w:spacing w:after="0" w:line="187" w:lineRule="exact"/>
        <w:rPr>
          <w:rFonts w:ascii="Arial" w:cs="Arial" w:eastAsia="Arial" w:hAnsi="Arial"/>
          <w:sz w:val="18"/>
          <w:szCs w:val="18"/>
          <w:color w:val="auto"/>
        </w:rPr>
      </w:pPr>
    </w:p>
    <w:p>
      <w:pPr>
        <w:ind w:firstLine="436"/>
        <w:spacing w:after="0" w:line="263" w:lineRule="auto"/>
        <w:tabs>
          <w:tab w:leader="none" w:pos="62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Incorporation of Plan</w:t>
      </w:r>
      <w:r>
        <w:rPr>
          <w:rFonts w:ascii="Arial" w:cs="Arial" w:eastAsia="Arial" w:hAnsi="Arial"/>
          <w:sz w:val="18"/>
          <w:szCs w:val="18"/>
          <w:color w:val="auto"/>
        </w:rPr>
        <w:t>. Notwithstanding anything herein to the contrary, this Stock Option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83" w:lineRule="exact"/>
        <w:rPr>
          <w:rFonts w:ascii="Arial" w:cs="Arial" w:eastAsia="Arial" w:hAnsi="Arial"/>
          <w:sz w:val="18"/>
          <w:szCs w:val="18"/>
          <w:color w:val="auto"/>
        </w:rPr>
      </w:pPr>
    </w:p>
    <w:p>
      <w:pPr>
        <w:ind w:right="340" w:firstLine="436"/>
        <w:spacing w:after="0" w:line="263" w:lineRule="auto"/>
        <w:tabs>
          <w:tab w:leader="none" w:pos="62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w:t>
      </w:r>
    </w:p>
    <w:p>
      <w:pPr>
        <w:spacing w:after="0" w:line="183" w:lineRule="exact"/>
        <w:rPr>
          <w:rFonts w:ascii="Arial" w:cs="Arial" w:eastAsia="Arial" w:hAnsi="Arial"/>
          <w:sz w:val="18"/>
          <w:szCs w:val="18"/>
          <w:color w:val="auto"/>
        </w:rPr>
      </w:pPr>
    </w:p>
    <w:p>
      <w:pPr>
        <w:ind w:right="400" w:firstLine="436"/>
        <w:spacing w:after="0" w:line="277" w:lineRule="auto"/>
        <w:tabs>
          <w:tab w:leader="none" w:pos="62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No Obligation to Continue as a Non-Employee Director</w:t>
      </w:r>
      <w:r>
        <w:rPr>
          <w:rFonts w:ascii="Arial" w:cs="Arial" w:eastAsia="Arial" w:hAnsi="Arial"/>
          <w:sz w:val="18"/>
          <w:szCs w:val="18"/>
          <w:color w:val="auto"/>
        </w:rPr>
        <w:t>. Neither the Plan nor this Stock Option confers upon the Optionee any rights with respect to continuance as a Non-Employee Director.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sectPr>
      </w:pPr>
    </w:p>
    <w:bookmarkStart w:id="35" w:name="page36"/>
    <w:bookmarkEnd w:id="35"/>
    <w:p>
      <w:pPr>
        <w:ind w:right="380" w:firstLine="436"/>
        <w:spacing w:after="0" w:line="277" w:lineRule="auto"/>
        <w:tabs>
          <w:tab w:leader="none" w:pos="62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Integration</w:t>
      </w:r>
      <w:r>
        <w:rPr>
          <w:rFonts w:ascii="Arial" w:cs="Arial" w:eastAsia="Arial" w:hAnsi="Arial"/>
          <w:sz w:val="18"/>
          <w:szCs w:val="18"/>
          <w:color w:val="auto"/>
        </w:rPr>
        <w:t>. This Agreement constitutes the entire agreement between the parties with respect to this Stock Option and supersedes all prior agreements and discussions between the parties concerning such subject matter.</w:t>
      </w:r>
    </w:p>
    <w:p>
      <w:pPr>
        <w:spacing w:after="0" w:line="170" w:lineRule="exact"/>
        <w:rPr>
          <w:rFonts w:ascii="Arial" w:cs="Arial" w:eastAsia="Arial" w:hAnsi="Arial"/>
          <w:sz w:val="18"/>
          <w:szCs w:val="18"/>
          <w:color w:val="auto"/>
        </w:rPr>
      </w:pPr>
    </w:p>
    <w:p>
      <w:pPr>
        <w:ind w:right="40" w:firstLine="436"/>
        <w:spacing w:after="0" w:line="270" w:lineRule="auto"/>
        <w:tabs>
          <w:tab w:leader="none" w:pos="620" w:val="left"/>
        </w:tabs>
        <w:numPr>
          <w:ilvl w:val="0"/>
          <w:numId w:val="49"/>
        </w:numPr>
        <w:rPr>
          <w:rFonts w:ascii="Arial" w:cs="Arial" w:eastAsia="Arial" w:hAnsi="Arial"/>
          <w:sz w:val="17"/>
          <w:szCs w:val="17"/>
          <w:color w:val="auto"/>
        </w:rPr>
      </w:pPr>
      <w:r>
        <w:rPr>
          <w:rFonts w:ascii="Arial" w:cs="Arial" w:eastAsia="Arial" w:hAnsi="Arial"/>
          <w:sz w:val="17"/>
          <w:szCs w:val="17"/>
          <w:u w:val="single" w:color="auto"/>
          <w:color w:val="auto"/>
        </w:rPr>
        <w:t>Data Privacy Consent</w:t>
      </w:r>
      <w:r>
        <w:rPr>
          <w:rFonts w:ascii="Arial" w:cs="Arial" w:eastAsia="Arial" w:hAnsi="Arial"/>
          <w:sz w:val="17"/>
          <w:szCs w:val="17"/>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Optionee (i) authorizes the Company to collect, process, register and transfer to the Relevant Companies all Relevant Information; (ii) waives any privacy rights the Optionee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Optionee shall have access to, and the right to change, the Relevant Information. Relevant Information will only be used in accordance with applicable law.</w:t>
      </w:r>
    </w:p>
    <w:p>
      <w:pPr>
        <w:spacing w:after="0" w:line="180" w:lineRule="exact"/>
        <w:rPr>
          <w:rFonts w:ascii="Arial" w:cs="Arial" w:eastAsia="Arial" w:hAnsi="Arial"/>
          <w:sz w:val="17"/>
          <w:szCs w:val="17"/>
          <w:color w:val="auto"/>
        </w:rPr>
      </w:pPr>
    </w:p>
    <w:p>
      <w:pPr>
        <w:ind w:firstLine="436"/>
        <w:spacing w:after="0" w:line="263" w:lineRule="auto"/>
        <w:tabs>
          <w:tab w:leader="none" w:pos="62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DISC MEDICINE,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The foregoing Agreement is hereby accepted and the terms and conditions thereof hereby agreed to by the undersigned. Electronic acceptance of this Agreement pursuant to the Company’s instructions to the Optionee (including through an online acceptance process) is acceptable.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14605</wp:posOffset>
            </wp:positionV>
            <wp:extent cx="328295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8">
                      <a:extLst>
                        <a:ext uri="{28A0092B-C50C-407E-A947-70E740481C1C}"/>
                      </a:extLst>
                    </a:blip>
                    <a:srcRect/>
                    <a:stretch>
                      <a:fillRect/>
                    </a:stretch>
                  </pic:blipFill>
                  <pic:spPr bwMode="auto">
                    <a:xfrm>
                      <a:off x="0" y="0"/>
                      <a:ext cx="3282950" cy="8255"/>
                    </a:xfrm>
                    <a:prstGeom prst="rect">
                      <a:avLst/>
                    </a:prstGeom>
                    <a:noFill/>
                  </pic:spPr>
                </pic:pic>
              </a:graphicData>
            </a:graphic>
          </wp:anchor>
        </w:drawing>
        <w:drawing>
          <wp:anchor simplePos="0" relativeHeight="251657728" behindDoc="1" locked="0" layoutInCell="0" allowOverlap="1">
            <wp:simplePos x="0" y="0"/>
            <wp:positionH relativeFrom="column">
              <wp:posOffset>444500</wp:posOffset>
            </wp:positionH>
            <wp:positionV relativeFrom="paragraph">
              <wp:posOffset>-10160</wp:posOffset>
            </wp:positionV>
            <wp:extent cx="128524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9">
                      <a:extLst>
                        <a:ext uri="{28A0092B-C50C-407E-A947-70E740481C1C}"/>
                      </a:extLst>
                    </a:blip>
                    <a:srcRect/>
                    <a:stretch>
                      <a:fillRect/>
                    </a:stretch>
                  </pic:blipFill>
                  <pic:spPr bwMode="auto">
                    <a:xfrm>
                      <a:off x="0" y="0"/>
                      <a:ext cx="1285240" cy="8255"/>
                    </a:xfrm>
                    <a:prstGeom prst="rect">
                      <a:avLst/>
                    </a:prstGeom>
                    <a:noFill/>
                  </pic:spPr>
                </pic:pic>
              </a:graphicData>
            </a:graphic>
          </wp:anchor>
        </w:drawing>
      </w:r>
    </w:p>
    <w:p>
      <w:pPr>
        <w:spacing w:after="0" w:line="1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Optionee’s Signature</w:t>
      </w:r>
    </w:p>
    <w:p>
      <w:pPr>
        <w:spacing w:after="0" w:line="22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Optionee’s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220345</wp:posOffset>
            </wp:positionV>
            <wp:extent cx="328295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0">
                      <a:extLst>
                        <a:ext uri="{28A0092B-C50C-407E-A947-70E740481C1C}"/>
                      </a:extLst>
                    </a:blip>
                    <a:srcRect/>
                    <a:stretch>
                      <a:fillRect/>
                    </a:stretch>
                  </pic:blipFill>
                  <pic:spPr bwMode="auto">
                    <a:xfrm>
                      <a:off x="0" y="0"/>
                      <a:ext cx="3282950" cy="8255"/>
                    </a:xfrm>
                    <a:prstGeom prst="rect">
                      <a:avLst/>
                    </a:prstGeom>
                    <a:noFill/>
                  </pic:spPr>
                </pic:pic>
              </a:graphicData>
            </a:graphic>
          </wp:anchor>
        </w:drawing>
        <w:drawing>
          <wp:anchor simplePos="0" relativeHeight="251657728" behindDoc="1" locked="0" layoutInCell="0" allowOverlap="1">
            <wp:simplePos x="0" y="0"/>
            <wp:positionH relativeFrom="column">
              <wp:posOffset>3709035</wp:posOffset>
            </wp:positionH>
            <wp:positionV relativeFrom="paragraph">
              <wp:posOffset>443230</wp:posOffset>
            </wp:positionV>
            <wp:extent cx="328295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1">
                      <a:extLst>
                        <a:ext uri="{28A0092B-C50C-407E-A947-70E740481C1C}"/>
                      </a:extLst>
                    </a:blip>
                    <a:srcRect/>
                    <a:stretch>
                      <a:fillRect/>
                    </a:stretch>
                  </pic:blipFill>
                  <pic:spPr bwMode="auto">
                    <a:xfrm>
                      <a:off x="0" y="0"/>
                      <a:ext cx="3282950" cy="8890"/>
                    </a:xfrm>
                    <a:prstGeom prst="rect">
                      <a:avLst/>
                    </a:prstGeom>
                    <a:noFill/>
                  </pic:spPr>
                </pic:pic>
              </a:graphicData>
            </a:graphic>
          </wp:anchor>
        </w:drawing>
        <w:drawing>
          <wp:anchor simplePos="0" relativeHeight="251657728" behindDoc="1" locked="0" layoutInCell="0" allowOverlap="1">
            <wp:simplePos x="0" y="0"/>
            <wp:positionH relativeFrom="column">
              <wp:posOffset>3709035</wp:posOffset>
            </wp:positionH>
            <wp:positionV relativeFrom="paragraph">
              <wp:posOffset>666115</wp:posOffset>
            </wp:positionV>
            <wp:extent cx="328295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2">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440" w:top="274" w:right="499" w:bottom="1440" w:gutter="0" w:footer="0" w:header="0"/>
        </w:sectPr>
      </w:pPr>
    </w:p>
    <w:bookmarkStart w:id="36" w:name="page37"/>
    <w:bookmarkEnd w:id="36"/>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NON-QUALIFIED STOCK OPTION AGREEMENT</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COMPANY EMPLOYEES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UNDER THE DISC MEDICINE,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AMENDED AND RESTATED 2021 STOCK OPTION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AND INCENTIVE PLAN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Name of 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2028825</wp:posOffset>
            </wp:positionH>
            <wp:positionV relativeFrom="paragraph">
              <wp:posOffset>14605</wp:posOffset>
            </wp:positionV>
            <wp:extent cx="307721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4">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No. of Option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2028825</wp:posOffset>
            </wp:positionH>
            <wp:positionV relativeFrom="paragraph">
              <wp:posOffset>-10160</wp:posOffset>
            </wp:positionV>
            <wp:extent cx="10852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5">
                      <a:extLst>
                        <a:ext uri="{28A0092B-C50C-407E-A947-70E740481C1C}"/>
                      </a:extLst>
                    </a:blip>
                    <a:srcRect/>
                    <a:stretch>
                      <a:fillRect/>
                    </a:stretch>
                  </pic:blipFill>
                  <pic:spPr bwMode="auto">
                    <a:xfrm>
                      <a:off x="0" y="0"/>
                      <a:ext cx="1085215" cy="8255"/>
                    </a:xfrm>
                    <a:prstGeom prst="rect">
                      <a:avLst/>
                    </a:prstGeom>
                    <a:noFill/>
                  </pic:spPr>
                </pic:pic>
              </a:graphicData>
            </a:graphic>
          </wp:anchor>
        </w:drawing>
      </w:r>
    </w:p>
    <w:p>
      <w:pPr>
        <w:spacing w:after="0" w:line="3" w:lineRule="exact"/>
        <w:rPr>
          <w:sz w:val="20"/>
          <w:szCs w:val="20"/>
          <w:color w:val="auto"/>
        </w:rPr>
      </w:pPr>
    </w:p>
    <w:p>
      <w:pPr>
        <w:spacing w:after="0"/>
        <w:tabs>
          <w:tab w:leader="none" w:pos="3180" w:val="left"/>
        </w:tabs>
        <w:rPr>
          <w:sz w:val="20"/>
          <w:szCs w:val="20"/>
          <w:color w:val="auto"/>
        </w:rPr>
      </w:pPr>
      <w:r>
        <w:rPr>
          <w:rFonts w:ascii="Arial" w:cs="Arial" w:eastAsia="Arial" w:hAnsi="Arial"/>
          <w:sz w:val="18"/>
          <w:szCs w:val="18"/>
          <w:color w:val="auto"/>
        </w:rPr>
        <w:t>Option Exercise Price per Share:</w:t>
      </w:r>
      <w:r>
        <w:rPr>
          <w:sz w:val="20"/>
          <w:szCs w:val="20"/>
          <w:color w:val="auto"/>
        </w:rPr>
        <w:tab/>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2085975</wp:posOffset>
            </wp:positionH>
            <wp:positionV relativeFrom="paragraph">
              <wp:posOffset>-19050</wp:posOffset>
            </wp:positionV>
            <wp:extent cx="102806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6">
                      <a:extLst>
                        <a:ext uri="{28A0092B-C50C-407E-A947-70E740481C1C}"/>
                      </a:extLst>
                    </a:blip>
                    <a:srcRect/>
                    <a:stretch>
                      <a:fillRect/>
                    </a:stretch>
                  </pic:blipFill>
                  <pic:spPr bwMode="auto">
                    <a:xfrm>
                      <a:off x="0" y="0"/>
                      <a:ext cx="1028065" cy="8255"/>
                    </a:xfrm>
                    <a:prstGeom prst="rect">
                      <a:avLst/>
                    </a:prstGeom>
                    <a:noFill/>
                  </pic:spPr>
                </pic:pic>
              </a:graphicData>
            </a:graphic>
          </wp:anchor>
        </w:drawing>
      </w:r>
    </w:p>
    <w:p>
      <w:pPr>
        <w:ind w:left="3200"/>
        <w:spacing w:after="0"/>
        <w:rPr>
          <w:sz w:val="20"/>
          <w:szCs w:val="20"/>
          <w:color w:val="auto"/>
        </w:rPr>
      </w:pPr>
      <w:r>
        <w:rPr>
          <w:rFonts w:ascii="Arial" w:cs="Arial" w:eastAsia="Arial" w:hAnsi="Arial"/>
          <w:sz w:val="18"/>
          <w:szCs w:val="18"/>
          <w:color w:val="auto"/>
        </w:rPr>
        <w:t>[FMV on Grant 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2028825</wp:posOffset>
            </wp:positionH>
            <wp:positionV relativeFrom="paragraph">
              <wp:posOffset>-19050</wp:posOffset>
            </wp:positionV>
            <wp:extent cx="10852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7">
                      <a:extLst>
                        <a:ext uri="{28A0092B-C50C-407E-A947-70E740481C1C}"/>
                      </a:extLst>
                    </a:blip>
                    <a:srcRect/>
                    <a:stretch>
                      <a:fillRect/>
                    </a:stretch>
                  </pic:blipFill>
                  <pic:spPr bwMode="auto">
                    <a:xfrm>
                      <a:off x="0" y="0"/>
                      <a:ext cx="108521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2028825</wp:posOffset>
            </wp:positionH>
            <wp:positionV relativeFrom="paragraph">
              <wp:posOffset>-19050</wp:posOffset>
            </wp:positionV>
            <wp:extent cx="10852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8">
                      <a:extLst>
                        <a:ext uri="{28A0092B-C50C-407E-A947-70E740481C1C}"/>
                      </a:extLst>
                    </a:blip>
                    <a:srcRect/>
                    <a:stretch>
                      <a:fillRect/>
                    </a:stretch>
                  </pic:blipFill>
                  <pic:spPr bwMode="auto">
                    <a:xfrm>
                      <a:off x="0" y="0"/>
                      <a:ext cx="1085215" cy="8255"/>
                    </a:xfrm>
                    <a:prstGeom prst="rect">
                      <a:avLst/>
                    </a:prstGeom>
                    <a:noFill/>
                  </pic:spPr>
                </pic:pic>
              </a:graphicData>
            </a:graphic>
          </wp:anchor>
        </w:drawing>
      </w:r>
    </w:p>
    <w:p>
      <w:pPr>
        <w:ind w:left="3200"/>
        <w:spacing w:after="0"/>
        <w:rPr>
          <w:sz w:val="20"/>
          <w:szCs w:val="20"/>
          <w:color w:val="auto"/>
        </w:rPr>
      </w:pPr>
      <w:r>
        <w:rPr>
          <w:rFonts w:ascii="Arial" w:cs="Arial" w:eastAsia="Arial" w:hAnsi="Arial"/>
          <w:sz w:val="18"/>
          <w:szCs w:val="18"/>
          <w:color w:val="auto"/>
        </w:rPr>
        <w:t>[No more than 10 years]</w:t>
      </w:r>
    </w:p>
    <w:p>
      <w:pPr>
        <w:spacing w:after="0" w:line="211" w:lineRule="exact"/>
        <w:rPr>
          <w:sz w:val="20"/>
          <w:szCs w:val="20"/>
          <w:color w:val="auto"/>
        </w:rPr>
      </w:pPr>
    </w:p>
    <w:p>
      <w:pPr>
        <w:ind w:right="60" w:firstLine="440"/>
        <w:spacing w:after="0" w:line="296" w:lineRule="auto"/>
        <w:rPr>
          <w:sz w:val="20"/>
          <w:szCs w:val="20"/>
          <w:color w:val="auto"/>
        </w:rPr>
      </w:pPr>
      <w:r>
        <w:rPr>
          <w:rFonts w:ascii="Arial" w:cs="Arial" w:eastAsia="Arial" w:hAnsi="Arial"/>
          <w:sz w:val="16"/>
          <w:szCs w:val="16"/>
          <w:color w:val="auto"/>
        </w:rPr>
        <w:t>Pursuant to the Disc Medicine, Inc. Amended and Restated 2021 Stock Option and Incentive Plan, as amended through the date hereof (the “Plan”), Disc Medicine, Inc. (the “Company”) hereby grants to the Optionee named above an option (the “Stock Option”) to purchase on or prior to the Expiration Date specified above all or part of the number of shares of Common Stock, par value $0.0001 per share (the “Stock”), of the Company specified above at the Option Exercise Price per Share specified above subject to the terms and conditions set forth herein and in the Plan. This Stock Option is not intended to be an “incentive stock option” under Section 422 of the Internal Revenue Code of 1986, as amended.</w:t>
      </w:r>
    </w:p>
    <w:p>
      <w:pPr>
        <w:spacing w:after="0" w:line="53" w:lineRule="exact"/>
        <w:rPr>
          <w:sz w:val="20"/>
          <w:szCs w:val="20"/>
          <w:color w:val="auto"/>
        </w:rPr>
      </w:pPr>
    </w:p>
    <w:p>
      <w:pPr>
        <w:ind w:firstLine="436"/>
        <w:spacing w:after="0" w:line="259" w:lineRule="auto"/>
        <w:tabs>
          <w:tab w:leader="none" w:pos="62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Exercisability Schedule</w:t>
      </w:r>
      <w:r>
        <w:rPr>
          <w:rFonts w:ascii="Arial" w:cs="Arial" w:eastAsia="Arial" w:hAnsi="Arial"/>
          <w:sz w:val="18"/>
          <w:szCs w:val="18"/>
          <w:color w:val="auto"/>
        </w:rPr>
        <w:t>. No portion of this Stock Option may be exercised until such portion shall have become exercisable. Except as set forth below, and subject to the discretion of the Administrator (as defined in Section 2 of the Plan) to accelerate the exercisability schedule hereunder, this Stock Option shall be exercisable with respect to the following number of Option Shares on the dates indicated so long as the Optionee remains an employee of the Company or a Subsidiary on such dates:</w:t>
      </w:r>
    </w:p>
    <w:p>
      <w:pPr>
        <w:spacing w:after="0" w:line="197" w:lineRule="exact"/>
        <w:rPr>
          <w:sz w:val="20"/>
          <w:szCs w:val="20"/>
          <w:color w:val="auto"/>
        </w:rPr>
      </w:pPr>
    </w:p>
    <w:tbl>
      <w:tblPr>
        <w:tblLayout w:type="fixed"/>
        <w:tblInd w:w="4040" w:type="dxa"/>
        <w:tblCellMar>
          <w:top w:w="0" w:type="dxa"/>
          <w:left w:w="0" w:type="dxa"/>
          <w:bottom w:w="0" w:type="dxa"/>
          <w:right w:w="0" w:type="dxa"/>
        </w:tblCellMar>
      </w:tblPr>
      <w:tr>
        <w:trPr>
          <w:trHeight w:val="161"/>
        </w:trPr>
        <w:tc>
          <w:tcPr>
            <w:tcW w:w="2320" w:type="dxa"/>
            <w:vAlign w:val="bottom"/>
          </w:tcPr>
          <w:p>
            <w:pPr>
              <w:jc w:val="center"/>
              <w:ind w:right="728"/>
              <w:spacing w:after="0"/>
              <w:rPr>
                <w:sz w:val="20"/>
                <w:szCs w:val="20"/>
                <w:color w:val="auto"/>
              </w:rPr>
            </w:pPr>
            <w:r>
              <w:rPr>
                <w:rFonts w:ascii="Arial" w:cs="Arial" w:eastAsia="Arial" w:hAnsi="Arial"/>
                <w:sz w:val="14"/>
                <w:szCs w:val="14"/>
                <w:color w:val="auto"/>
                <w:w w:val="95"/>
              </w:rPr>
              <w:t>Incremental Number of</w:t>
            </w:r>
          </w:p>
        </w:tc>
        <w:tc>
          <w:tcPr>
            <w:tcW w:w="1900" w:type="dxa"/>
            <w:vAlign w:val="bottom"/>
          </w:tcPr>
          <w:p>
            <w:pPr>
              <w:spacing w:after="0"/>
              <w:rPr>
                <w:sz w:val="14"/>
                <w:szCs w:val="14"/>
                <w:color w:val="auto"/>
              </w:rPr>
            </w:pPr>
          </w:p>
        </w:tc>
      </w:tr>
      <w:tr>
        <w:trPr>
          <w:trHeight w:val="182"/>
        </w:trPr>
        <w:tc>
          <w:tcPr>
            <w:tcW w:w="2320" w:type="dxa"/>
            <w:vAlign w:val="bottom"/>
          </w:tcPr>
          <w:p>
            <w:pPr>
              <w:jc w:val="center"/>
              <w:ind w:right="728"/>
              <w:spacing w:after="0"/>
              <w:rPr>
                <w:sz w:val="20"/>
                <w:szCs w:val="20"/>
                <w:color w:val="auto"/>
              </w:rPr>
            </w:pPr>
            <w:r>
              <w:rPr>
                <w:rFonts w:ascii="Arial" w:cs="Arial" w:eastAsia="Arial" w:hAnsi="Arial"/>
                <w:sz w:val="14"/>
                <w:szCs w:val="14"/>
                <w:u w:val="single" w:color="auto"/>
                <w:color w:val="auto"/>
                <w:w w:val="91"/>
              </w:rPr>
              <w:t>Option Shares Exercisable</w:t>
            </w:r>
          </w:p>
        </w:tc>
        <w:tc>
          <w:tcPr>
            <w:tcW w:w="1900" w:type="dxa"/>
            <w:vAlign w:val="bottom"/>
          </w:tcPr>
          <w:p>
            <w:pPr>
              <w:ind w:left="800"/>
              <w:spacing w:after="0"/>
              <w:rPr>
                <w:sz w:val="20"/>
                <w:szCs w:val="20"/>
                <w:color w:val="auto"/>
              </w:rPr>
            </w:pPr>
            <w:r>
              <w:rPr>
                <w:rFonts w:ascii="Arial" w:cs="Arial" w:eastAsia="Arial" w:hAnsi="Arial"/>
                <w:sz w:val="14"/>
                <w:szCs w:val="14"/>
                <w:u w:val="single" w:color="auto"/>
                <w:color w:val="auto"/>
                <w:w w:val="93"/>
              </w:rPr>
              <w:t>Exercisability Date</w:t>
            </w:r>
          </w:p>
        </w:tc>
      </w:tr>
    </w:tbl>
    <w:p>
      <w:pPr>
        <w:ind w:left="5340" w:hanging="335"/>
        <w:spacing w:after="0"/>
        <w:tabs>
          <w:tab w:leader="none" w:pos="5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2578100</wp:posOffset>
            </wp:positionH>
            <wp:positionV relativeFrom="paragraph">
              <wp:posOffset>-20320</wp:posOffset>
            </wp:positionV>
            <wp:extent cx="80899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9">
                      <a:extLst>
                        <a:ext uri="{28A0092B-C50C-407E-A947-70E740481C1C}"/>
                      </a:extLst>
                    </a:blip>
                    <a:srcRect/>
                    <a:stretch>
                      <a:fillRect/>
                    </a:stretch>
                  </pic:blipFill>
                  <pic:spPr bwMode="auto">
                    <a:xfrm>
                      <a:off x="0" y="0"/>
                      <a:ext cx="808990" cy="8255"/>
                    </a:xfrm>
                    <a:prstGeom prst="rect">
                      <a:avLst/>
                    </a:prstGeom>
                    <a:noFill/>
                  </pic:spPr>
                </pic:pic>
              </a:graphicData>
            </a:graphic>
          </wp:anchor>
        </w:drawing>
        <w:drawing>
          <wp:anchor simplePos="0" relativeHeight="251657728" behindDoc="1" locked="0" layoutInCell="0" allowOverlap="1">
            <wp:simplePos x="0" y="0"/>
            <wp:positionH relativeFrom="column">
              <wp:posOffset>4606925</wp:posOffset>
            </wp:positionH>
            <wp:positionV relativeFrom="paragraph">
              <wp:posOffset>-12065</wp:posOffset>
            </wp:positionV>
            <wp:extent cx="5715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0">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ind w:left="5340" w:hanging="335"/>
        <w:spacing w:after="0"/>
        <w:tabs>
          <w:tab w:leader="none" w:pos="5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2578100</wp:posOffset>
            </wp:positionH>
            <wp:positionV relativeFrom="paragraph">
              <wp:posOffset>-10795</wp:posOffset>
            </wp:positionV>
            <wp:extent cx="80899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1">
                      <a:extLst>
                        <a:ext uri="{28A0092B-C50C-407E-A947-70E740481C1C}"/>
                      </a:extLst>
                    </a:blip>
                    <a:srcRect/>
                    <a:stretch>
                      <a:fillRect/>
                    </a:stretch>
                  </pic:blipFill>
                  <pic:spPr bwMode="auto">
                    <a:xfrm>
                      <a:off x="0" y="0"/>
                      <a:ext cx="808990" cy="8255"/>
                    </a:xfrm>
                    <a:prstGeom prst="rect">
                      <a:avLst/>
                    </a:prstGeom>
                    <a:noFill/>
                  </pic:spPr>
                </pic:pic>
              </a:graphicData>
            </a:graphic>
          </wp:anchor>
        </w:drawing>
        <w:drawing>
          <wp:anchor simplePos="0" relativeHeight="251657728" behindDoc="1" locked="0" layoutInCell="0" allowOverlap="1">
            <wp:simplePos x="0" y="0"/>
            <wp:positionH relativeFrom="column">
              <wp:posOffset>4606925</wp:posOffset>
            </wp:positionH>
            <wp:positionV relativeFrom="paragraph">
              <wp:posOffset>-10795</wp:posOffset>
            </wp:positionV>
            <wp:extent cx="5715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2">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3" w:lineRule="exact"/>
        <w:rPr>
          <w:sz w:val="20"/>
          <w:szCs w:val="20"/>
          <w:color w:val="auto"/>
        </w:rPr>
      </w:pPr>
    </w:p>
    <w:p>
      <w:pPr>
        <w:ind w:left="5340" w:hanging="335"/>
        <w:spacing w:after="0"/>
        <w:tabs>
          <w:tab w:leader="none" w:pos="5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5340" w:hanging="335"/>
        <w:spacing w:after="0"/>
        <w:tabs>
          <w:tab w:leader="none" w:pos="5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2578100</wp:posOffset>
            </wp:positionH>
            <wp:positionV relativeFrom="paragraph">
              <wp:posOffset>-156210</wp:posOffset>
            </wp:positionV>
            <wp:extent cx="80899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3">
                      <a:extLst>
                        <a:ext uri="{28A0092B-C50C-407E-A947-70E740481C1C}"/>
                      </a:extLst>
                    </a:blip>
                    <a:srcRect/>
                    <a:stretch>
                      <a:fillRect/>
                    </a:stretch>
                  </pic:blipFill>
                  <pic:spPr bwMode="auto">
                    <a:xfrm>
                      <a:off x="0" y="0"/>
                      <a:ext cx="808990" cy="8890"/>
                    </a:xfrm>
                    <a:prstGeom prst="rect">
                      <a:avLst/>
                    </a:prstGeom>
                    <a:noFill/>
                  </pic:spPr>
                </pic:pic>
              </a:graphicData>
            </a:graphic>
          </wp:anchor>
        </w:drawing>
        <w:drawing>
          <wp:anchor simplePos="0" relativeHeight="251657728" behindDoc="1" locked="0" layoutInCell="0" allowOverlap="1">
            <wp:simplePos x="0" y="0"/>
            <wp:positionH relativeFrom="column">
              <wp:posOffset>4606925</wp:posOffset>
            </wp:positionH>
            <wp:positionV relativeFrom="paragraph">
              <wp:posOffset>-156210</wp:posOffset>
            </wp:positionV>
            <wp:extent cx="5715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4">
                      <a:extLst>
                        <a:ext uri="{28A0092B-C50C-407E-A947-70E740481C1C}"/>
                      </a:extLst>
                    </a:blip>
                    <a:srcRect/>
                    <a:stretch>
                      <a:fillRect/>
                    </a:stretch>
                  </pic:blipFill>
                  <pic:spPr bwMode="auto">
                    <a:xfrm>
                      <a:off x="0" y="0"/>
                      <a:ext cx="571500" cy="8890"/>
                    </a:xfrm>
                    <a:prstGeom prst="rect">
                      <a:avLst/>
                    </a:prstGeom>
                    <a:noFill/>
                  </pic:spPr>
                </pic:pic>
              </a:graphicData>
            </a:graphic>
          </wp:anchor>
        </w:drawing>
        <w:drawing>
          <wp:anchor simplePos="0" relativeHeight="251657728" behindDoc="1" locked="0" layoutInCell="0" allowOverlap="1">
            <wp:simplePos x="0" y="0"/>
            <wp:positionH relativeFrom="column">
              <wp:posOffset>2578100</wp:posOffset>
            </wp:positionH>
            <wp:positionV relativeFrom="paragraph">
              <wp:posOffset>-19050</wp:posOffset>
            </wp:positionV>
            <wp:extent cx="80899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5">
                      <a:extLst>
                        <a:ext uri="{28A0092B-C50C-407E-A947-70E740481C1C}"/>
                      </a:extLst>
                    </a:blip>
                    <a:srcRect/>
                    <a:stretch>
                      <a:fillRect/>
                    </a:stretch>
                  </pic:blipFill>
                  <pic:spPr bwMode="auto">
                    <a:xfrm>
                      <a:off x="0" y="0"/>
                      <a:ext cx="808990" cy="8255"/>
                    </a:xfrm>
                    <a:prstGeom prst="rect">
                      <a:avLst/>
                    </a:prstGeom>
                    <a:noFill/>
                  </pic:spPr>
                </pic:pic>
              </a:graphicData>
            </a:graphic>
          </wp:anchor>
        </w:drawing>
        <w:drawing>
          <wp:anchor simplePos="0" relativeHeight="251657728" behindDoc="1" locked="0" layoutInCell="0" allowOverlap="1">
            <wp:simplePos x="0" y="0"/>
            <wp:positionH relativeFrom="column">
              <wp:posOffset>4606925</wp:posOffset>
            </wp:positionH>
            <wp:positionV relativeFrom="paragraph">
              <wp:posOffset>-19050</wp:posOffset>
            </wp:positionV>
            <wp:extent cx="5715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6">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ectPr>
          <w:pgSz w:w="11900" w:h="16838" w:orient="portrait"/>
          <w:cols w:equalWidth="0" w:num="1">
            <w:col w:w="10960"/>
          </w:cols>
          <w:pgMar w:left="440" w:top="270" w:right="499" w:bottom="1440" w:gutter="0" w:footer="0" w:header="0"/>
        </w:sectPr>
      </w:pPr>
    </w:p>
    <w:bookmarkStart w:id="37" w:name="page38"/>
    <w:bookmarkEnd w:id="37"/>
    <w:p>
      <w:pPr>
        <w:ind w:right="3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Once exercisable, this Stock Option shall continue to be exercisable at any time or times prior to the close of business on the Expiration Date, subject to the provisions hereof and of the Plan.</w:t>
      </w:r>
    </w:p>
    <w:p>
      <w:pPr>
        <w:spacing w:after="0" w:line="62" w:lineRule="exact"/>
        <w:rPr>
          <w:sz w:val="20"/>
          <w:szCs w:val="20"/>
          <w:color w:val="auto"/>
        </w:rPr>
      </w:pPr>
    </w:p>
    <w:p>
      <w:pPr>
        <w:ind w:left="620" w:hanging="184"/>
        <w:spacing w:after="0"/>
        <w:tabs>
          <w:tab w:leader="none" w:pos="62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Manner of Exercise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40" w:firstLine="987"/>
        <w:spacing w:after="0" w:line="263" w:lineRule="auto"/>
        <w:tabs>
          <w:tab w:leader="none" w:pos="1236"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Optionee may exercise this Stock Option only in the following manner: from time to time on or prior to the Expiration Date of this Stock Option, the Optionee may give written notice to the Administrator of his or her election to purchase some or all of the Option Shares purchasable at the time of such notice. This notice shall specify the number of Option Shares to be purchased.</w:t>
      </w:r>
    </w:p>
    <w:p>
      <w:pPr>
        <w:spacing w:after="0" w:line="184"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Payment of the purchase price for the Option Shares may be made by one or more of the following methods: (i) in cash, by certified or bank check or other instrument acceptable to the Administrator; (ii) through the delivery (or attestation to the ownership) of shares of Stock that have been purchased by the Optionee on the open market or that are beneficially owned by the Optionee and are not then subject to any restrictions under any Company plan and that otherwise satisfy any holding periods as may be required by the Administrator; (iii) by the Optionee delivering to the Company a properly executed exercise notice together with irrevocable instructions to a broker to promptly deliver to the Company cash or a check payable and acceptable to the Company to pay the option purchase price, provided that in the event the Optionee chooses to pay the option purchase price as so provided, the Optionee and the broker shall comply with such procedures and enter into such agreements of indemnity and other agreements as the Administrator shall prescribe as a condition of such payment procedure; (iv) by a “net exercise” arrangement pursuant to which the Company will reduce the number of shares of Stock issuable upon exercise by the largest whole number of shares with a Fair Market Value that does not exceed the aggregate exercise price; or (v) a combination of (i), (ii), (iii) and (iv) above. Payment instruments will be received subject to collection.</w:t>
      </w:r>
    </w:p>
    <w:p>
      <w:pPr>
        <w:spacing w:after="0" w:line="168"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color w:val="auto"/>
        </w:rPr>
        <w:t>The transfer to the Optionee on the records of the Company or of the transfer agent of the Option Shares will be contingent upon (i) the Company’s receipt from the Optionee of the full purchase price for the Option Shares, as set forth above, (ii) the fulfillment of any other requirements contained herein or in the Plan or in any other agreement or provision of laws, and (iii) the receipt by the Company of any agreement, statement or other evidence that the Company may require to satisfy itself that the issuance of Stock to be purchased pursuant to the exercise of Stock Options under the Plan and any subsequent resale of the shares of Stock will be in compliance with applicable laws and regulations. In the event the Optionee chooses to pay the purchase price by previously-owned shares of Stock through the attestation method, the number of shares of Stock transferred to the Optionee upon the exercise of the Stock Option shall be net of the Shares attested to.</w:t>
      </w:r>
    </w:p>
    <w:p>
      <w:pPr>
        <w:spacing w:after="0" w:line="69" w:lineRule="exact"/>
        <w:rPr>
          <w:sz w:val="20"/>
          <w:szCs w:val="20"/>
          <w:color w:val="auto"/>
        </w:rPr>
      </w:pPr>
    </w:p>
    <w:p>
      <w:pPr>
        <w:ind w:right="20" w:firstLine="987"/>
        <w:spacing w:after="0" w:line="279" w:lineRule="auto"/>
        <w:tabs>
          <w:tab w:leader="none" w:pos="1246"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shares of Stock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38" w:name="page39"/>
    <w:bookmarkEnd w:id="38"/>
    <w:p>
      <w:pPr>
        <w:ind w:right="2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holder with respect to, any shares of Stock subject to this Stock Option unless and until this Stock Option shall have been exercised pursuant to the terms hereof, the Company or the transfer agent shall have transferred the shares to the Optionee, and the Optionee’s name shall have been entered as the stockholder of record on the books of the Company. Thereupon, the Optionee shall have full voting, dividend and other ownership rights with respect to such shares of Stock.</w:t>
      </w:r>
    </w:p>
    <w:p>
      <w:pPr>
        <w:spacing w:after="0" w:line="79" w:lineRule="exact"/>
        <w:rPr>
          <w:sz w:val="20"/>
          <w:szCs w:val="20"/>
          <w:color w:val="auto"/>
        </w:rPr>
      </w:pPr>
    </w:p>
    <w:p>
      <w:pPr>
        <w:ind w:right="60" w:firstLine="987"/>
        <w:spacing w:after="0" w:line="263" w:lineRule="auto"/>
        <w:tabs>
          <w:tab w:leader="none" w:pos="1236"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minimum number of shares with respect to which this Stock Option may be exercised at any one time shall be 100 shares, unless the number of shares with respect to which this Stock Option is being exercised is the total number of shares subject to exercise under this Stock Option at the time.</w:t>
      </w:r>
    </w:p>
    <w:p>
      <w:pPr>
        <w:spacing w:after="0" w:line="75" w:lineRule="exact"/>
        <w:rPr>
          <w:rFonts w:ascii="Arial" w:cs="Arial" w:eastAsia="Arial" w:hAnsi="Arial"/>
          <w:sz w:val="18"/>
          <w:szCs w:val="18"/>
          <w:color w:val="auto"/>
        </w:rPr>
      </w:pPr>
    </w:p>
    <w:p>
      <w:pPr>
        <w:ind w:left="1240" w:hanging="253"/>
        <w:spacing w:after="0"/>
        <w:tabs>
          <w:tab w:leader="none" w:pos="1240" w:val="left"/>
        </w:tabs>
        <w:numPr>
          <w:ilvl w:val="1"/>
          <w:numId w:val="56"/>
        </w:numPr>
        <w:rPr>
          <w:rFonts w:ascii="Arial" w:cs="Arial" w:eastAsia="Arial" w:hAnsi="Arial"/>
          <w:sz w:val="17"/>
          <w:szCs w:val="17"/>
          <w:color w:val="auto"/>
        </w:rPr>
      </w:pPr>
      <w:r>
        <w:rPr>
          <w:rFonts w:ascii="Arial" w:cs="Arial" w:eastAsia="Arial" w:hAnsi="Arial"/>
          <w:sz w:val="17"/>
          <w:szCs w:val="17"/>
          <w:color w:val="auto"/>
        </w:rPr>
        <w:t>Notwithstanding any other provision hereof or of the Plan, no portion of this Stock Option shall be exercisable after the Expiration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Date hereof.</w:t>
      </w:r>
    </w:p>
    <w:p>
      <w:pPr>
        <w:spacing w:after="0" w:line="102" w:lineRule="exact"/>
        <w:rPr>
          <w:rFonts w:ascii="Arial" w:cs="Arial" w:eastAsia="Arial" w:hAnsi="Arial"/>
          <w:sz w:val="17"/>
          <w:szCs w:val="17"/>
          <w:color w:val="auto"/>
        </w:rPr>
      </w:pPr>
    </w:p>
    <w:p>
      <w:pPr>
        <w:ind w:right="260" w:firstLine="436"/>
        <w:spacing w:after="0" w:line="277" w:lineRule="auto"/>
        <w:tabs>
          <w:tab w:leader="none" w:pos="62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If the Optionee’s employment with the Company or a Subsidiary (as defined in the Plan) terminates, the period within which to exercise the Stock Option may be subject to earlier termination as set forth below.</w:t>
      </w:r>
    </w:p>
    <w:p>
      <w:pPr>
        <w:spacing w:after="0" w:line="62" w:lineRule="exact"/>
        <w:rPr>
          <w:rFonts w:ascii="Arial" w:cs="Arial" w:eastAsia="Arial" w:hAnsi="Arial"/>
          <w:sz w:val="18"/>
          <w:szCs w:val="18"/>
          <w:color w:val="auto"/>
        </w:rPr>
      </w:pPr>
    </w:p>
    <w:p>
      <w:pPr>
        <w:ind w:right="320" w:firstLine="987"/>
        <w:spacing w:after="0" w:line="301" w:lineRule="auto"/>
        <w:tabs>
          <w:tab w:leader="none" w:pos="1236" w:val="left"/>
        </w:tabs>
        <w:numPr>
          <w:ilvl w:val="1"/>
          <w:numId w:val="57"/>
        </w:numPr>
        <w:rPr>
          <w:rFonts w:ascii="Arial" w:cs="Arial" w:eastAsia="Arial" w:hAnsi="Arial"/>
          <w:sz w:val="16"/>
          <w:szCs w:val="16"/>
          <w:color w:val="auto"/>
        </w:rPr>
      </w:pPr>
      <w:r>
        <w:rPr>
          <w:rFonts w:ascii="Arial" w:cs="Arial" w:eastAsia="Arial" w:hAnsi="Arial"/>
          <w:sz w:val="16"/>
          <w:szCs w:val="16"/>
          <w:u w:val="single" w:color="auto"/>
          <w:color w:val="auto"/>
        </w:rPr>
        <w:t>Termination Due to Death</w:t>
      </w:r>
      <w:r>
        <w:rPr>
          <w:rFonts w:ascii="Arial" w:cs="Arial" w:eastAsia="Arial" w:hAnsi="Arial"/>
          <w:sz w:val="16"/>
          <w:szCs w:val="16"/>
          <w:color w:val="auto"/>
        </w:rPr>
        <w:t>. If the Optionee’s employment with the Company or a Subsidiary terminates by reason of the Optionee’s death, any portion of this Stock Option outstanding on such date, to the extent exercisable on the date of death, may thereafter be exercised by the Optionee’s legal representative or legatee for a period of 12 months from the date of death or until the Expiration Date, if earlier. Any portion of this Stock Option that is not exercisable on the date of death shall terminate immediately and be of no further force or effect.</w:t>
      </w:r>
    </w:p>
    <w:p>
      <w:pPr>
        <w:spacing w:after="0" w:line="49" w:lineRule="exact"/>
        <w:rPr>
          <w:rFonts w:ascii="Arial" w:cs="Arial" w:eastAsia="Arial" w:hAnsi="Arial"/>
          <w:sz w:val="16"/>
          <w:szCs w:val="16"/>
          <w:color w:val="auto"/>
        </w:rPr>
      </w:pPr>
    </w:p>
    <w:p>
      <w:pPr>
        <w:ind w:firstLine="987"/>
        <w:spacing w:after="0" w:line="301" w:lineRule="auto"/>
        <w:tabs>
          <w:tab w:leader="none" w:pos="1246" w:val="left"/>
        </w:tabs>
        <w:numPr>
          <w:ilvl w:val="1"/>
          <w:numId w:val="57"/>
        </w:numPr>
        <w:rPr>
          <w:rFonts w:ascii="Arial" w:cs="Arial" w:eastAsia="Arial" w:hAnsi="Arial"/>
          <w:sz w:val="16"/>
          <w:szCs w:val="16"/>
          <w:color w:val="auto"/>
        </w:rPr>
      </w:pPr>
      <w:r>
        <w:rPr>
          <w:rFonts w:ascii="Arial" w:cs="Arial" w:eastAsia="Arial" w:hAnsi="Arial"/>
          <w:sz w:val="16"/>
          <w:szCs w:val="16"/>
          <w:u w:val="single" w:color="auto"/>
          <w:color w:val="auto"/>
        </w:rPr>
        <w:t>Termination Due to Disability</w:t>
      </w:r>
      <w:r>
        <w:rPr>
          <w:rFonts w:ascii="Arial" w:cs="Arial" w:eastAsia="Arial" w:hAnsi="Arial"/>
          <w:sz w:val="16"/>
          <w:szCs w:val="16"/>
          <w:color w:val="auto"/>
        </w:rPr>
        <w:t>. If the Optionee’s employment with the Company or a Subsidiary terminates by reason of the Optionee’s disability (as determined by the Administrator), any portion of this Stock Option outstanding on such date, to the extent exercisable on the date of such termination, may thereafter be exercised by the Optionee for a period of 12 months from the date of disability or until the Expiration Date, if earlier. Any portion of this Stock Option that is not exercisable on the date of disability shall terminate immediately and be of no further force or effect.</w:t>
      </w:r>
    </w:p>
    <w:p>
      <w:pPr>
        <w:spacing w:after="0" w:line="49" w:lineRule="exact"/>
        <w:rPr>
          <w:rFonts w:ascii="Arial" w:cs="Arial" w:eastAsia="Arial" w:hAnsi="Arial"/>
          <w:sz w:val="16"/>
          <w:szCs w:val="16"/>
          <w:color w:val="auto"/>
        </w:rPr>
      </w:pPr>
    </w:p>
    <w:p>
      <w:pPr>
        <w:ind w:firstLine="987"/>
        <w:spacing w:after="0" w:line="293" w:lineRule="auto"/>
        <w:tabs>
          <w:tab w:leader="none" w:pos="1236" w:val="left"/>
        </w:tabs>
        <w:numPr>
          <w:ilvl w:val="1"/>
          <w:numId w:val="57"/>
        </w:numPr>
        <w:rPr>
          <w:rFonts w:ascii="Arial" w:cs="Arial" w:eastAsia="Arial" w:hAnsi="Arial"/>
          <w:sz w:val="16"/>
          <w:szCs w:val="16"/>
          <w:color w:val="auto"/>
        </w:rPr>
      </w:pPr>
      <w:r>
        <w:rPr>
          <w:rFonts w:ascii="Arial" w:cs="Arial" w:eastAsia="Arial" w:hAnsi="Arial"/>
          <w:sz w:val="16"/>
          <w:szCs w:val="16"/>
          <w:u w:val="single" w:color="auto"/>
          <w:color w:val="auto"/>
        </w:rPr>
        <w:t>Termination for Cause</w:t>
      </w:r>
      <w:r>
        <w:rPr>
          <w:rFonts w:ascii="Arial" w:cs="Arial" w:eastAsia="Arial" w:hAnsi="Arial"/>
          <w:sz w:val="16"/>
          <w:szCs w:val="16"/>
          <w:color w:val="auto"/>
        </w:rPr>
        <w:t>. If the Optionee’s employment with the Company or a Subsidiary terminates for Cause, any portion of this Stock Option outstanding on such date shall terminate immediately and be of no further force and effect. For purposes hereof, “Cause” shall mean, unless otherwise provided in an employment or other service agreement between the Company and the Optionee, a determination by the Administrator that the Optionee shall be dismissed as a result of (i) any material breach by the Optionee of any agreement between the Optionee and the Company; (ii) the conviction of, indictment for or plea of nolo contendere by the Optionee to a felony or a crime involving moral turpitude; or (iii) any material misconduct or willful and deliberate non-performance (other than by reason of disability) by the Optionee of the Optionee’s duties to the Company.</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39" w:name="page40"/>
    <w:bookmarkEnd w:id="39"/>
    <w:p>
      <w:pPr>
        <w:ind w:firstLine="987"/>
        <w:spacing w:after="0" w:line="257" w:lineRule="auto"/>
        <w:tabs>
          <w:tab w:leader="none" w:pos="1246"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Termination</w:t>
      </w:r>
      <w:r>
        <w:rPr>
          <w:rFonts w:ascii="Arial" w:cs="Arial" w:eastAsia="Arial" w:hAnsi="Arial"/>
          <w:sz w:val="18"/>
          <w:szCs w:val="18"/>
          <w:color w:val="auto"/>
        </w:rPr>
        <w:t>. If the Optionee’s employment with the Company or a Subsidiary terminates for any reason other than the Optionee’s death, the Optionee’s disability or Cause, and unless otherwise determined by the Administrator, any portion of this Stock Option outstanding on such date may be exercised, to the extent exercisable on the date of termination, for a period of three months from the date of termination or until the Expiration Date, if earlier. Any portion of this Stock Option that is not exercisable on the date of termination shall terminate immediately and be of no further force or effect.</w:t>
      </w:r>
    </w:p>
    <w:p>
      <w:pPr>
        <w:spacing w:after="0" w:line="188" w:lineRule="exact"/>
        <w:rPr>
          <w:sz w:val="20"/>
          <w:szCs w:val="20"/>
          <w:color w:val="auto"/>
        </w:rPr>
      </w:pPr>
    </w:p>
    <w:p>
      <w:pPr>
        <w:ind w:right="620" w:firstLine="440"/>
        <w:spacing w:after="0" w:line="277" w:lineRule="auto"/>
        <w:rPr>
          <w:sz w:val="20"/>
          <w:szCs w:val="20"/>
          <w:color w:val="auto"/>
        </w:rPr>
      </w:pPr>
      <w:r>
        <w:rPr>
          <w:rFonts w:ascii="Arial" w:cs="Arial" w:eastAsia="Arial" w:hAnsi="Arial"/>
          <w:sz w:val="18"/>
          <w:szCs w:val="18"/>
          <w:color w:val="auto"/>
        </w:rPr>
        <w:t>The Administrator’s determination of the reason for termination of the Optionee’s employment with the Company or a Subsidiary shall be conclusive and binding on the Optionee and his or her representatives or legatees.</w:t>
      </w:r>
    </w:p>
    <w:p>
      <w:pPr>
        <w:spacing w:after="0" w:line="62" w:lineRule="exact"/>
        <w:rPr>
          <w:sz w:val="20"/>
          <w:szCs w:val="20"/>
          <w:color w:val="auto"/>
        </w:rPr>
      </w:pPr>
    </w:p>
    <w:p>
      <w:pPr>
        <w:ind w:right="20" w:firstLine="436"/>
        <w:spacing w:after="0" w:line="263" w:lineRule="auto"/>
        <w:tabs>
          <w:tab w:leader="none" w:pos="62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Incorporation of Plan</w:t>
      </w:r>
      <w:r>
        <w:rPr>
          <w:rFonts w:ascii="Arial" w:cs="Arial" w:eastAsia="Arial" w:hAnsi="Arial"/>
          <w:sz w:val="18"/>
          <w:szCs w:val="18"/>
          <w:color w:val="auto"/>
        </w:rPr>
        <w:t>. Notwithstanding anything herein to the contrary, this Stock Option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75" w:lineRule="exact"/>
        <w:rPr>
          <w:rFonts w:ascii="Arial" w:cs="Arial" w:eastAsia="Arial" w:hAnsi="Arial"/>
          <w:sz w:val="18"/>
          <w:szCs w:val="18"/>
          <w:color w:val="auto"/>
        </w:rPr>
      </w:pPr>
    </w:p>
    <w:p>
      <w:pPr>
        <w:ind w:right="360" w:firstLine="436"/>
        <w:spacing w:after="0" w:line="263" w:lineRule="auto"/>
        <w:tabs>
          <w:tab w:leader="none" w:pos="62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w:t>
      </w:r>
    </w:p>
    <w:p>
      <w:pPr>
        <w:spacing w:after="0" w:line="75" w:lineRule="exact"/>
        <w:rPr>
          <w:rFonts w:ascii="Arial" w:cs="Arial" w:eastAsia="Arial" w:hAnsi="Arial"/>
          <w:sz w:val="18"/>
          <w:szCs w:val="18"/>
          <w:color w:val="auto"/>
        </w:rPr>
      </w:pPr>
    </w:p>
    <w:p>
      <w:pPr>
        <w:ind w:right="60" w:firstLine="436"/>
        <w:spacing w:after="0" w:line="254" w:lineRule="auto"/>
        <w:tabs>
          <w:tab w:leader="none" w:pos="62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 The Optionee shall, not later than the date as of which the exercise of this Stock Option becomes a taxable event for Federal income tax purposes, pay to the Company or make arrangements satisfactory to the Administrator for payment of any Federal, state, and local taxes required by law to be withheld on account of such taxable event. The Company shall have the authority to cause the required tax withholding obligation to be satisfied, in whole or in part, by (i) withholding from shares of Stock to be issued to the Optionee a number of shares of Stock with an aggregate Fair Market Value that would satisfy the withholding amount due; or (ii) causing its transfer agent to sell from the number of shares of Stock to be issued to the Optionee, the number of shares of Stock necessary to satisfy the Federal, state and local taxes required by law to be withheld from the Optionee on account of such transfer.</w:t>
      </w:r>
    </w:p>
    <w:p>
      <w:pPr>
        <w:spacing w:after="0" w:line="86" w:lineRule="exact"/>
        <w:rPr>
          <w:rFonts w:ascii="Arial" w:cs="Arial" w:eastAsia="Arial" w:hAnsi="Arial"/>
          <w:sz w:val="18"/>
          <w:szCs w:val="18"/>
          <w:color w:val="auto"/>
        </w:rPr>
      </w:pPr>
    </w:p>
    <w:p>
      <w:pPr>
        <w:jc w:val="both"/>
        <w:ind w:right="20" w:firstLine="436"/>
        <w:spacing w:after="0" w:line="286" w:lineRule="auto"/>
        <w:tabs>
          <w:tab w:leader="none" w:pos="620" w:val="left"/>
        </w:tabs>
        <w:numPr>
          <w:ilvl w:val="0"/>
          <w:numId w:val="59"/>
        </w:numPr>
        <w:rPr>
          <w:rFonts w:ascii="Arial" w:cs="Arial" w:eastAsia="Arial" w:hAnsi="Arial"/>
          <w:sz w:val="17"/>
          <w:szCs w:val="17"/>
          <w:color w:val="auto"/>
        </w:rPr>
      </w:pPr>
      <w:r>
        <w:rPr>
          <w:rFonts w:ascii="Arial" w:cs="Arial" w:eastAsia="Arial" w:hAnsi="Arial"/>
          <w:sz w:val="17"/>
          <w:szCs w:val="17"/>
          <w:u w:val="single" w:color="auto"/>
          <w:color w:val="auto"/>
        </w:rPr>
        <w:t>No Obligation to Continue Employment</w:t>
      </w:r>
      <w:r>
        <w:rPr>
          <w:rFonts w:ascii="Arial" w:cs="Arial" w:eastAsia="Arial" w:hAnsi="Arial"/>
          <w:sz w:val="17"/>
          <w:szCs w:val="17"/>
          <w:color w:val="auto"/>
        </w:rPr>
        <w:t>. Neither the Company nor any Subsidiary is obligated by or as a result of the Plan or this Agreement to continue the Optionee’s employment with the Company or a Subsidiary and neither the Plan nor this Agreement shall interfere in any way with the right of the Company or any Subsidiary to terminate the Optionee’s employment with the Company or a Subsidiary at any time.</w:t>
      </w:r>
    </w:p>
    <w:p>
      <w:pPr>
        <w:spacing w:after="0" w:line="57" w:lineRule="exact"/>
        <w:rPr>
          <w:rFonts w:ascii="Arial" w:cs="Arial" w:eastAsia="Arial" w:hAnsi="Arial"/>
          <w:sz w:val="17"/>
          <w:szCs w:val="17"/>
          <w:color w:val="auto"/>
        </w:rPr>
      </w:pPr>
    </w:p>
    <w:p>
      <w:pPr>
        <w:ind w:right="420" w:firstLine="436"/>
        <w:spacing w:after="0" w:line="277" w:lineRule="auto"/>
        <w:tabs>
          <w:tab w:leader="none" w:pos="62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constitutes the entire agreement between the parties with respect to this Stock Option and supersedes all prior agreements and discussions between the parties concerning such subject matter.</w:t>
      </w:r>
    </w:p>
    <w:p>
      <w:pPr>
        <w:spacing w:after="0" w:line="62" w:lineRule="exact"/>
        <w:rPr>
          <w:rFonts w:ascii="Arial" w:cs="Arial" w:eastAsia="Arial" w:hAnsi="Arial"/>
          <w:sz w:val="18"/>
          <w:szCs w:val="18"/>
          <w:color w:val="auto"/>
        </w:rPr>
      </w:pPr>
    </w:p>
    <w:p>
      <w:pPr>
        <w:ind w:right="80" w:firstLine="436"/>
        <w:spacing w:after="0" w:line="301" w:lineRule="auto"/>
        <w:tabs>
          <w:tab w:leader="none" w:pos="620"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Data Privacy Consent</w:t>
      </w:r>
      <w:r>
        <w:rPr>
          <w:rFonts w:ascii="Arial" w:cs="Arial" w:eastAsia="Arial" w:hAnsi="Arial"/>
          <w:sz w:val="16"/>
          <w:szCs w:val="16"/>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40" w:name="page41"/>
    <w:bookmarkEnd w:id="40"/>
    <w:p>
      <w:pPr>
        <w:ind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into this Agreement, the Optionee (i) authorizes the Company to collect, process, register and transfer to the Relevant Companies all Relevant Information; (ii) waives any privacy rights the Optionee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Optionee shall have access to, and the right to change, the Relevant Information. Relevant Information will only be used in accordance with applicable law.</w:t>
      </w:r>
    </w:p>
    <w:p>
      <w:pPr>
        <w:spacing w:after="0" w:line="80" w:lineRule="exact"/>
        <w:rPr>
          <w:sz w:val="20"/>
          <w:szCs w:val="20"/>
          <w:color w:val="auto"/>
        </w:rPr>
      </w:pPr>
    </w:p>
    <w:p>
      <w:pPr>
        <w:ind w:firstLine="436"/>
        <w:spacing w:after="0" w:line="263" w:lineRule="auto"/>
        <w:tabs>
          <w:tab w:leader="none" w:pos="71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w:t>
      </w:r>
    </w:p>
    <w:p>
      <w:pPr>
        <w:spacing w:after="0" w:line="211"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DISC MEDICINE, INC.</w:t>
      </w:r>
    </w:p>
    <w:p>
      <w:pPr>
        <w:spacing w:after="0" w:line="22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4232275</wp:posOffset>
            </wp:positionH>
            <wp:positionV relativeFrom="paragraph">
              <wp:posOffset>14605</wp:posOffset>
            </wp:positionV>
            <wp:extent cx="276034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1">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16"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The foregoing Agreement is hereby accepted and the terms and conditions thereof hereby agreed to by the undersigned. Electronic acceptance of this Agreement pursuant to the Company’s instructions to the Optionee (including through an online acceptance process) is acceptable.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14605</wp:posOffset>
            </wp:positionV>
            <wp:extent cx="65836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2">
                      <a:extLst>
                        <a:ext uri="{28A0092B-C50C-407E-A947-70E740481C1C}"/>
                      </a:extLst>
                    </a:blip>
                    <a:srcRect/>
                    <a:stretch>
                      <a:fillRect/>
                    </a:stretch>
                  </pic:blipFill>
                  <pic:spPr bwMode="auto">
                    <a:xfrm>
                      <a:off x="0" y="0"/>
                      <a:ext cx="6583680" cy="825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Optionee’s Signature</w:t>
      </w:r>
    </w:p>
    <w:p>
      <w:pPr>
        <w:spacing w:after="0" w:line="22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Optionee’s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3992245</wp:posOffset>
            </wp:positionH>
            <wp:positionV relativeFrom="paragraph">
              <wp:posOffset>288925</wp:posOffset>
            </wp:positionV>
            <wp:extent cx="300037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3">
                      <a:extLst>
                        <a:ext uri="{28A0092B-C50C-407E-A947-70E740481C1C}"/>
                      </a:extLst>
                    </a:blip>
                    <a:srcRect/>
                    <a:stretch>
                      <a:fillRect/>
                    </a:stretch>
                  </pic:blipFill>
                  <pic:spPr bwMode="auto">
                    <a:xfrm>
                      <a:off x="0" y="0"/>
                      <a:ext cx="3000375" cy="8255"/>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580390</wp:posOffset>
            </wp:positionV>
            <wp:extent cx="300037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4">
                      <a:extLst>
                        <a:ext uri="{28A0092B-C50C-407E-A947-70E740481C1C}"/>
                      </a:extLst>
                    </a:blip>
                    <a:srcRect/>
                    <a:stretch>
                      <a:fillRect/>
                    </a:stretch>
                  </pic:blipFill>
                  <pic:spPr bwMode="auto">
                    <a:xfrm>
                      <a:off x="0" y="0"/>
                      <a:ext cx="3000375" cy="8255"/>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871855</wp:posOffset>
            </wp:positionV>
            <wp:extent cx="300037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5">
                      <a:extLst>
                        <a:ext uri="{28A0092B-C50C-407E-A947-70E740481C1C}"/>
                      </a:extLst>
                    </a:blip>
                    <a:srcRect/>
                    <a:stretch>
                      <a:fillRect/>
                    </a:stretch>
                  </pic:blipFill>
                  <pic:spPr bwMode="auto">
                    <a:xfrm>
                      <a:off x="0" y="0"/>
                      <a:ext cx="30003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20"/>
          </w:cols>
          <w:pgMar w:left="440" w:top="274" w:right="5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RESTRICTED STOCK UNIT AWARD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NON-EMPLOYEE DIRECTORS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Disc Medicine,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2021 STOCK OPTION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INCENTIVE PLAN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Name of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2037715</wp:posOffset>
            </wp:positionH>
            <wp:positionV relativeFrom="paragraph">
              <wp:posOffset>14605</wp:posOffset>
            </wp:positionV>
            <wp:extent cx="293179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7">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No.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2037715</wp:posOffset>
            </wp:positionH>
            <wp:positionV relativeFrom="paragraph">
              <wp:posOffset>-10160</wp:posOffset>
            </wp:positionV>
            <wp:extent cx="128524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8">
                      <a:extLst>
                        <a:ext uri="{28A0092B-C50C-407E-A947-70E740481C1C}"/>
                      </a:extLst>
                    </a:blip>
                    <a:srcRect/>
                    <a:stretch>
                      <a:fillRect/>
                    </a:stretch>
                  </pic:blipFill>
                  <pic:spPr bwMode="auto">
                    <a:xfrm>
                      <a:off x="0" y="0"/>
                      <a:ext cx="128524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2037715</wp:posOffset>
            </wp:positionH>
            <wp:positionV relativeFrom="paragraph">
              <wp:posOffset>-19050</wp:posOffset>
            </wp:positionV>
            <wp:extent cx="128524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9">
                      <a:extLst>
                        <a:ext uri="{28A0092B-C50C-407E-A947-70E740481C1C}"/>
                      </a:extLst>
                    </a:blip>
                    <a:srcRect/>
                    <a:stretch>
                      <a:fillRect/>
                    </a:stretch>
                  </pic:blipFill>
                  <pic:spPr bwMode="auto">
                    <a:xfrm>
                      <a:off x="0" y="0"/>
                      <a:ext cx="1285240" cy="8890"/>
                    </a:xfrm>
                    <a:prstGeom prst="rect">
                      <a:avLst/>
                    </a:prstGeom>
                    <a:noFill/>
                  </pic:spPr>
                </pic:pic>
              </a:graphicData>
            </a:graphic>
          </wp:anchor>
        </w:drawing>
      </w:r>
    </w:p>
    <w:p>
      <w:pPr>
        <w:spacing w:after="0" w:line="191" w:lineRule="exact"/>
        <w:rPr>
          <w:sz w:val="20"/>
          <w:szCs w:val="20"/>
          <w:color w:val="auto"/>
        </w:rPr>
      </w:pPr>
    </w:p>
    <w:p>
      <w:pPr>
        <w:ind w:right="40" w:firstLine="440"/>
        <w:spacing w:after="0" w:line="311" w:lineRule="auto"/>
        <w:rPr>
          <w:sz w:val="20"/>
          <w:szCs w:val="20"/>
          <w:color w:val="auto"/>
        </w:rPr>
      </w:pPr>
      <w:r>
        <w:rPr>
          <w:rFonts w:ascii="Arial" w:cs="Arial" w:eastAsia="Arial" w:hAnsi="Arial"/>
          <w:sz w:val="16"/>
          <w:szCs w:val="16"/>
          <w:color w:val="auto"/>
        </w:rPr>
        <w:t>Pursuant to the Disc Medicine, Inc. Amended and Restated 2021 Stock Option and Incentive Plan, as amended through the date hereof (the “Plan”), Disc Medicine, Inc. (the “Company”) hereby grants an award of the number of Restricted Stock Units listed above (an “Award”) to the Grantee named above. Each Restricted Stock Unit shall relate to one share of Common Stock, par value $0.0001 per share (the “Stock”), of the Company.</w:t>
      </w:r>
    </w:p>
    <w:p>
      <w:pPr>
        <w:spacing w:after="0" w:line="41" w:lineRule="exact"/>
        <w:rPr>
          <w:sz w:val="20"/>
          <w:szCs w:val="20"/>
          <w:color w:val="auto"/>
        </w:rPr>
      </w:pPr>
    </w:p>
    <w:p>
      <w:pPr>
        <w:ind w:right="20" w:firstLine="436"/>
        <w:spacing w:after="0" w:line="259" w:lineRule="auto"/>
        <w:tabs>
          <w:tab w:leader="none" w:pos="71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Restrictions on Transfer of Award</w:t>
      </w:r>
      <w:r>
        <w:rPr>
          <w:rFonts w:ascii="Arial" w:cs="Arial" w:eastAsia="Arial" w:hAnsi="Arial"/>
          <w:sz w:val="18"/>
          <w:szCs w:val="18"/>
          <w:color w:val="auto"/>
        </w:rPr>
        <w:t>. This Award may not be sold, transferred, pledged, assigned or otherwise encumbered or disposed of by the Grantee, and any shares of Stock issuable with respect to the Award may not be sold, transferred, pledged, assigned or otherwise encumbered or disposed of until (i) the Restricted Stock Units have vested as provided in Paragraph 2 of this Agreement and (ii) shares of Stock have been issued to the Grantee in accordance with the terms of the Plan and this Agreement.</w:t>
      </w:r>
    </w:p>
    <w:p>
      <w:pPr>
        <w:spacing w:after="0" w:line="78" w:lineRule="exact"/>
        <w:rPr>
          <w:rFonts w:ascii="Arial" w:cs="Arial" w:eastAsia="Arial" w:hAnsi="Arial"/>
          <w:sz w:val="18"/>
          <w:szCs w:val="18"/>
          <w:color w:val="auto"/>
        </w:rPr>
      </w:pPr>
    </w:p>
    <w:p>
      <w:pPr>
        <w:ind w:right="160" w:firstLine="436"/>
        <w:spacing w:after="0" w:line="259" w:lineRule="auto"/>
        <w:tabs>
          <w:tab w:leader="none" w:pos="71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Vesting of Restricted Stock Units</w:t>
      </w:r>
      <w:r>
        <w:rPr>
          <w:rFonts w:ascii="Arial" w:cs="Arial" w:eastAsia="Arial" w:hAnsi="Arial"/>
          <w:sz w:val="18"/>
          <w:szCs w:val="18"/>
          <w:color w:val="auto"/>
        </w:rPr>
        <w:t>. The restrictions and conditions of Paragraph 1 of this Agreement shall lapse on the Vesting Date or Dates specified in the following schedule so long as the Grantee remains in service as a member of the Board on such Vesting Dates. If a series of Vesting Dates is specified, then the restrictions and conditions in Paragraph 1 shall lapse only with respect to the number of Restricted Stock Units specified as vested on such date.</w:t>
      </w:r>
    </w:p>
    <w:p>
      <w:pPr>
        <w:spacing w:after="0" w:line="197" w:lineRule="exact"/>
        <w:rPr>
          <w:sz w:val="20"/>
          <w:szCs w:val="20"/>
          <w:color w:val="auto"/>
        </w:rPr>
      </w:pPr>
    </w:p>
    <w:tbl>
      <w:tblPr>
        <w:tblLayout w:type="fixed"/>
        <w:tblInd w:w="4120" w:type="dxa"/>
        <w:tblCellMar>
          <w:top w:w="0" w:type="dxa"/>
          <w:left w:w="0" w:type="dxa"/>
          <w:bottom w:w="0" w:type="dxa"/>
          <w:right w:w="0" w:type="dxa"/>
        </w:tblCellMar>
      </w:tblPr>
      <w:tr>
        <w:trPr>
          <w:trHeight w:val="161"/>
        </w:trPr>
        <w:tc>
          <w:tcPr>
            <w:tcW w:w="2520" w:type="dxa"/>
            <w:vAlign w:val="bottom"/>
          </w:tcPr>
          <w:p>
            <w:pPr>
              <w:jc w:val="center"/>
              <w:ind w:right="748"/>
              <w:spacing w:after="0"/>
              <w:rPr>
                <w:sz w:val="20"/>
                <w:szCs w:val="20"/>
                <w:color w:val="auto"/>
              </w:rPr>
            </w:pPr>
            <w:r>
              <w:rPr>
                <w:rFonts w:ascii="Arial" w:cs="Arial" w:eastAsia="Arial" w:hAnsi="Arial"/>
                <w:sz w:val="14"/>
                <w:szCs w:val="14"/>
                <w:color w:val="auto"/>
                <w:w w:val="94"/>
              </w:rPr>
              <w:t>Incremental Number of</w:t>
            </w:r>
          </w:p>
        </w:tc>
        <w:tc>
          <w:tcPr>
            <w:tcW w:w="1540" w:type="dxa"/>
            <w:vAlign w:val="bottom"/>
          </w:tcPr>
          <w:p>
            <w:pPr>
              <w:spacing w:after="0"/>
              <w:rPr>
                <w:sz w:val="14"/>
                <w:szCs w:val="14"/>
                <w:color w:val="auto"/>
              </w:rPr>
            </w:pPr>
          </w:p>
        </w:tc>
      </w:tr>
      <w:tr>
        <w:trPr>
          <w:trHeight w:val="182"/>
        </w:trPr>
        <w:tc>
          <w:tcPr>
            <w:tcW w:w="2520" w:type="dxa"/>
            <w:vAlign w:val="bottom"/>
          </w:tcPr>
          <w:p>
            <w:pPr>
              <w:jc w:val="center"/>
              <w:ind w:right="748"/>
              <w:spacing w:after="0"/>
              <w:rPr>
                <w:sz w:val="20"/>
                <w:szCs w:val="20"/>
                <w:color w:val="auto"/>
              </w:rPr>
            </w:pPr>
            <w:r>
              <w:rPr>
                <w:rFonts w:ascii="Arial" w:cs="Arial" w:eastAsia="Arial" w:hAnsi="Arial"/>
                <w:sz w:val="14"/>
                <w:szCs w:val="14"/>
                <w:u w:val="single" w:color="auto"/>
                <w:color w:val="auto"/>
                <w:w w:val="91"/>
              </w:rPr>
              <w:t>Restricted Stock Units Vested</w:t>
            </w:r>
          </w:p>
        </w:tc>
        <w:tc>
          <w:tcPr>
            <w:tcW w:w="1540" w:type="dxa"/>
            <w:vAlign w:val="bottom"/>
          </w:tcPr>
          <w:p>
            <w:pPr>
              <w:ind w:left="800"/>
              <w:spacing w:after="0"/>
              <w:rPr>
                <w:sz w:val="20"/>
                <w:szCs w:val="20"/>
                <w:color w:val="auto"/>
              </w:rPr>
            </w:pPr>
            <w:r>
              <w:rPr>
                <w:rFonts w:ascii="Arial" w:cs="Arial" w:eastAsia="Arial" w:hAnsi="Arial"/>
                <w:sz w:val="14"/>
                <w:szCs w:val="14"/>
                <w:color w:val="auto"/>
                <w:w w:val="89"/>
              </w:rPr>
              <w:t>Vesting Date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4669155</wp:posOffset>
            </wp:positionH>
            <wp:positionV relativeFrom="paragraph">
              <wp:posOffset>-635</wp:posOffset>
            </wp:positionV>
            <wp:extent cx="57467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0">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ind w:left="5500" w:hanging="327"/>
        <w:spacing w:after="0"/>
        <w:tabs>
          <w:tab w:leader="none" w:pos="55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2685415</wp:posOffset>
            </wp:positionH>
            <wp:positionV relativeFrom="paragraph">
              <wp:posOffset>-20320</wp:posOffset>
            </wp:positionV>
            <wp:extent cx="80899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1">
                      <a:extLst>
                        <a:ext uri="{28A0092B-C50C-407E-A947-70E740481C1C}"/>
                      </a:extLst>
                    </a:blip>
                    <a:srcRect/>
                    <a:stretch>
                      <a:fillRect/>
                    </a:stretch>
                  </pic:blipFill>
                  <pic:spPr bwMode="auto">
                    <a:xfrm>
                      <a:off x="0" y="0"/>
                      <a:ext cx="808990" cy="8255"/>
                    </a:xfrm>
                    <a:prstGeom prst="rect">
                      <a:avLst/>
                    </a:prstGeom>
                    <a:noFill/>
                  </pic:spPr>
                </pic:pic>
              </a:graphicData>
            </a:graphic>
          </wp:anchor>
        </w:drawing>
        <w:drawing>
          <wp:anchor simplePos="0" relativeHeight="251657728" behindDoc="1" locked="0" layoutInCell="0" allowOverlap="1">
            <wp:simplePos x="0" y="0"/>
            <wp:positionH relativeFrom="column">
              <wp:posOffset>4671060</wp:posOffset>
            </wp:positionH>
            <wp:positionV relativeFrom="paragraph">
              <wp:posOffset>-12065</wp:posOffset>
            </wp:positionV>
            <wp:extent cx="57150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2">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ind w:left="5500" w:hanging="327"/>
        <w:spacing w:after="0"/>
        <w:tabs>
          <w:tab w:leader="none" w:pos="55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2685415</wp:posOffset>
            </wp:positionH>
            <wp:positionV relativeFrom="paragraph">
              <wp:posOffset>-10795</wp:posOffset>
            </wp:positionV>
            <wp:extent cx="80899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3">
                      <a:extLst>
                        <a:ext uri="{28A0092B-C50C-407E-A947-70E740481C1C}"/>
                      </a:extLst>
                    </a:blip>
                    <a:srcRect/>
                    <a:stretch>
                      <a:fillRect/>
                    </a:stretch>
                  </pic:blipFill>
                  <pic:spPr bwMode="auto">
                    <a:xfrm>
                      <a:off x="0" y="0"/>
                      <a:ext cx="808990" cy="8890"/>
                    </a:xfrm>
                    <a:prstGeom prst="rect">
                      <a:avLst/>
                    </a:prstGeom>
                    <a:noFill/>
                  </pic:spPr>
                </pic:pic>
              </a:graphicData>
            </a:graphic>
          </wp:anchor>
        </w:drawing>
        <w:drawing>
          <wp:anchor simplePos="0" relativeHeight="251657728" behindDoc="1" locked="0" layoutInCell="0" allowOverlap="1">
            <wp:simplePos x="0" y="0"/>
            <wp:positionH relativeFrom="column">
              <wp:posOffset>4671060</wp:posOffset>
            </wp:positionH>
            <wp:positionV relativeFrom="paragraph">
              <wp:posOffset>-10795</wp:posOffset>
            </wp:positionV>
            <wp:extent cx="5715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4">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3" w:lineRule="exact"/>
        <w:rPr>
          <w:sz w:val="20"/>
          <w:szCs w:val="20"/>
          <w:color w:val="auto"/>
        </w:rPr>
      </w:pPr>
    </w:p>
    <w:p>
      <w:pPr>
        <w:ind w:left="5500" w:hanging="327"/>
        <w:spacing w:after="0"/>
        <w:tabs>
          <w:tab w:leader="none" w:pos="55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5500" w:hanging="327"/>
        <w:spacing w:after="0"/>
        <w:tabs>
          <w:tab w:leader="none" w:pos="55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2685415</wp:posOffset>
            </wp:positionH>
            <wp:positionV relativeFrom="paragraph">
              <wp:posOffset>-156210</wp:posOffset>
            </wp:positionV>
            <wp:extent cx="80899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5">
                      <a:extLst>
                        <a:ext uri="{28A0092B-C50C-407E-A947-70E740481C1C}"/>
                      </a:extLst>
                    </a:blip>
                    <a:srcRect/>
                    <a:stretch>
                      <a:fillRect/>
                    </a:stretch>
                  </pic:blipFill>
                  <pic:spPr bwMode="auto">
                    <a:xfrm>
                      <a:off x="0" y="0"/>
                      <a:ext cx="808990" cy="8255"/>
                    </a:xfrm>
                    <a:prstGeom prst="rect">
                      <a:avLst/>
                    </a:prstGeom>
                    <a:noFill/>
                  </pic:spPr>
                </pic:pic>
              </a:graphicData>
            </a:graphic>
          </wp:anchor>
        </w:drawing>
        <w:drawing>
          <wp:anchor simplePos="0" relativeHeight="251657728" behindDoc="1" locked="0" layoutInCell="0" allowOverlap="1">
            <wp:simplePos x="0" y="0"/>
            <wp:positionH relativeFrom="column">
              <wp:posOffset>4671060</wp:posOffset>
            </wp:positionH>
            <wp:positionV relativeFrom="paragraph">
              <wp:posOffset>-156210</wp:posOffset>
            </wp:positionV>
            <wp:extent cx="57150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6">
                      <a:extLst>
                        <a:ext uri="{28A0092B-C50C-407E-A947-70E740481C1C}"/>
                      </a:extLst>
                    </a:blip>
                    <a:srcRect/>
                    <a:stretch>
                      <a:fillRect/>
                    </a:stretch>
                  </pic:blipFill>
                  <pic:spPr bwMode="auto">
                    <a:xfrm>
                      <a:off x="0" y="0"/>
                      <a:ext cx="571500" cy="8255"/>
                    </a:xfrm>
                    <a:prstGeom prst="rect">
                      <a:avLst/>
                    </a:prstGeom>
                    <a:noFill/>
                  </pic:spPr>
                </pic:pic>
              </a:graphicData>
            </a:graphic>
          </wp:anchor>
        </w:drawing>
        <w:drawing>
          <wp:anchor simplePos="0" relativeHeight="251657728" behindDoc="1" locked="0" layoutInCell="0" allowOverlap="1">
            <wp:simplePos x="0" y="0"/>
            <wp:positionH relativeFrom="column">
              <wp:posOffset>2685415</wp:posOffset>
            </wp:positionH>
            <wp:positionV relativeFrom="paragraph">
              <wp:posOffset>-19050</wp:posOffset>
            </wp:positionV>
            <wp:extent cx="80899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7">
                      <a:extLst>
                        <a:ext uri="{28A0092B-C50C-407E-A947-70E740481C1C}"/>
                      </a:extLst>
                    </a:blip>
                    <a:srcRect/>
                    <a:stretch>
                      <a:fillRect/>
                    </a:stretch>
                  </pic:blipFill>
                  <pic:spPr bwMode="auto">
                    <a:xfrm>
                      <a:off x="0" y="0"/>
                      <a:ext cx="808990" cy="8255"/>
                    </a:xfrm>
                    <a:prstGeom prst="rect">
                      <a:avLst/>
                    </a:prstGeom>
                    <a:noFill/>
                  </pic:spPr>
                </pic:pic>
              </a:graphicData>
            </a:graphic>
          </wp:anchor>
        </w:drawing>
        <w:drawing>
          <wp:anchor simplePos="0" relativeHeight="251657728" behindDoc="1" locked="0" layoutInCell="0" allowOverlap="1">
            <wp:simplePos x="0" y="0"/>
            <wp:positionH relativeFrom="column">
              <wp:posOffset>4671060</wp:posOffset>
            </wp:positionH>
            <wp:positionV relativeFrom="paragraph">
              <wp:posOffset>-19050</wp:posOffset>
            </wp:positionV>
            <wp:extent cx="57150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8">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Notwithstanding anything to the contrary herein or in the Plan, all outstanding Restricted Stock Units shall become fully vested upon a Sale Event.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Administrator may at any time accelerate the vesting schedule specified in this Paragraph 2.</w:t>
      </w:r>
    </w:p>
    <w:p>
      <w:pPr>
        <w:spacing w:after="0" w:line="103" w:lineRule="exact"/>
        <w:rPr>
          <w:sz w:val="20"/>
          <w:szCs w:val="20"/>
          <w:color w:val="auto"/>
        </w:rPr>
      </w:pPr>
    </w:p>
    <w:p>
      <w:pPr>
        <w:ind w:right="140" w:firstLine="436"/>
        <w:spacing w:after="0" w:line="301" w:lineRule="auto"/>
        <w:tabs>
          <w:tab w:leader="none" w:pos="710"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Termination of Service as a Non-Employee Director</w:t>
      </w:r>
      <w:r>
        <w:rPr>
          <w:rFonts w:ascii="Arial" w:cs="Arial" w:eastAsia="Arial" w:hAnsi="Arial"/>
          <w:sz w:val="16"/>
          <w:szCs w:val="16"/>
          <w:color w:val="auto"/>
        </w:rPr>
        <w:t>. If the Grantee’s service with the Company as a member of the Board terminates for any reason (including death or disability) prior to the satisfaction of the vesting conditions set forth in Paragraph 2 above, any Restricted Stock Units that have not vested as of such date shall automatically and without notice terminate and be forfeited, and neither the Grantee nor any of his or her successors, heirs, assigns, or personal representatives will thereafter have any further rights or interests in such unvested Restricted Stock Units.</w:t>
      </w:r>
    </w:p>
    <w:p>
      <w:pPr>
        <w:sectPr>
          <w:pgSz w:w="11900" w:h="16838" w:orient="portrait"/>
          <w:cols w:equalWidth="0" w:num="1">
            <w:col w:w="11000"/>
          </w:cols>
          <w:pgMar w:left="440" w:top="270" w:right="459" w:bottom="1440" w:gutter="0" w:footer="0" w:header="0"/>
        </w:sectPr>
      </w:pPr>
    </w:p>
    <w:bookmarkStart w:id="42" w:name="page43"/>
    <w:bookmarkEnd w:id="42"/>
    <w:p>
      <w:pPr>
        <w:jc w:val="both"/>
        <w:ind w:left="-20" w:right="120" w:firstLine="436"/>
        <w:spacing w:after="0" w:line="259" w:lineRule="auto"/>
        <w:tabs>
          <w:tab w:leader="none" w:pos="69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Issuance of Shares of Stock</w:t>
      </w:r>
      <w:r>
        <w:rPr>
          <w:rFonts w:ascii="Arial" w:cs="Arial" w:eastAsia="Arial" w:hAnsi="Arial"/>
          <w:sz w:val="18"/>
          <w:szCs w:val="18"/>
          <w:color w:val="auto"/>
        </w:rPr>
        <w:t>. As soon as practicable following each Vesting Date (but in no event later than two and one-half months after the end of the year in which the Vesting Date occurs), the Company shall issue to the Grantee the number of shares of Stock equal to the aggregate number of Restricted Stock Units that have vested pursuant to Paragraph 2 of this Agreement on such date and the Grantee shall thereafter have all the rights of a stockholder of the Company with respect to such shares.</w:t>
      </w:r>
    </w:p>
    <w:p>
      <w:pPr>
        <w:spacing w:after="0" w:line="78" w:lineRule="exact"/>
        <w:rPr>
          <w:rFonts w:ascii="Arial" w:cs="Arial" w:eastAsia="Arial" w:hAnsi="Arial"/>
          <w:sz w:val="18"/>
          <w:szCs w:val="18"/>
          <w:color w:val="auto"/>
        </w:rPr>
      </w:pPr>
    </w:p>
    <w:p>
      <w:pPr>
        <w:ind w:left="-20" w:right="20" w:firstLine="436"/>
        <w:spacing w:after="0" w:line="263" w:lineRule="auto"/>
        <w:tabs>
          <w:tab w:leader="none" w:pos="69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Incorporation of Plan</w:t>
      </w:r>
      <w:r>
        <w:rPr>
          <w:rFonts w:ascii="Arial" w:cs="Arial" w:eastAsia="Arial" w:hAnsi="Arial"/>
          <w:sz w:val="18"/>
          <w:szCs w:val="18"/>
          <w:color w:val="auto"/>
        </w:rPr>
        <w:t>. Notwithstanding anything herein to the contrary, this Agreement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75" w:lineRule="exact"/>
        <w:rPr>
          <w:rFonts w:ascii="Arial" w:cs="Arial" w:eastAsia="Arial" w:hAnsi="Arial"/>
          <w:sz w:val="18"/>
          <w:szCs w:val="18"/>
          <w:color w:val="auto"/>
        </w:rPr>
      </w:pPr>
    </w:p>
    <w:p>
      <w:pPr>
        <w:ind w:left="-20" w:right="80" w:firstLine="436"/>
        <w:spacing w:after="0" w:line="308" w:lineRule="auto"/>
        <w:tabs>
          <w:tab w:leader="none" w:pos="690" w:val="left"/>
        </w:tabs>
        <w:numPr>
          <w:ilvl w:val="0"/>
          <w:numId w:val="66"/>
        </w:numPr>
        <w:rPr>
          <w:rFonts w:ascii="Arial" w:cs="Arial" w:eastAsia="Arial" w:hAnsi="Arial"/>
          <w:sz w:val="17"/>
          <w:szCs w:val="17"/>
          <w:color w:val="auto"/>
        </w:rPr>
      </w:pPr>
      <w:r>
        <w:rPr>
          <w:rFonts w:ascii="Arial" w:cs="Arial" w:eastAsia="Arial" w:hAnsi="Arial"/>
          <w:sz w:val="17"/>
          <w:szCs w:val="17"/>
          <w:u w:val="single" w:color="auto"/>
          <w:color w:val="auto"/>
        </w:rPr>
        <w:t>Section 409A of the Code.</w:t>
      </w:r>
      <w:r>
        <w:rPr>
          <w:rFonts w:ascii="Arial" w:cs="Arial" w:eastAsia="Arial" w:hAnsi="Arial"/>
          <w:sz w:val="17"/>
          <w:szCs w:val="17"/>
          <w:color w:val="auto"/>
        </w:rPr>
        <w:t xml:space="preserve"> This Agreement shall be interpreted in such a manner that all provisions relating to the settlement of the Award are exempt from the requirements of Section 409A of the Code as “short-term deferrals” as described in Section 409A of the Code.</w:t>
      </w:r>
    </w:p>
    <w:p>
      <w:pPr>
        <w:spacing w:after="0" w:line="38" w:lineRule="exact"/>
        <w:rPr>
          <w:rFonts w:ascii="Arial" w:cs="Arial" w:eastAsia="Arial" w:hAnsi="Arial"/>
          <w:sz w:val="17"/>
          <w:szCs w:val="17"/>
          <w:color w:val="auto"/>
        </w:rPr>
      </w:pPr>
    </w:p>
    <w:p>
      <w:pPr>
        <w:ind w:left="-20" w:right="180" w:firstLine="436"/>
        <w:spacing w:after="0" w:line="277" w:lineRule="auto"/>
        <w:tabs>
          <w:tab w:leader="none" w:pos="69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No Obligation to Continue as a Non-Employee Director</w:t>
      </w:r>
      <w:r>
        <w:rPr>
          <w:rFonts w:ascii="Arial" w:cs="Arial" w:eastAsia="Arial" w:hAnsi="Arial"/>
          <w:sz w:val="18"/>
          <w:szCs w:val="18"/>
          <w:color w:val="auto"/>
        </w:rPr>
        <w:t>. Neither the Plan nor this Award confers upon the Grantee any rights with respect to continuance as a Non-Employee Director.</w:t>
      </w:r>
    </w:p>
    <w:p>
      <w:pPr>
        <w:spacing w:after="0" w:line="62" w:lineRule="exact"/>
        <w:rPr>
          <w:rFonts w:ascii="Arial" w:cs="Arial" w:eastAsia="Arial" w:hAnsi="Arial"/>
          <w:sz w:val="18"/>
          <w:szCs w:val="18"/>
          <w:color w:val="auto"/>
        </w:rPr>
      </w:pPr>
    </w:p>
    <w:p>
      <w:pPr>
        <w:ind w:left="-20" w:right="820" w:firstLine="436"/>
        <w:spacing w:after="0" w:line="277" w:lineRule="auto"/>
        <w:tabs>
          <w:tab w:leader="none" w:pos="69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constitutes the entire agreement between the parties with respect to this Award and supersedes all prior agreements and discussions between the parties concerning such subject matter.</w:t>
      </w:r>
    </w:p>
    <w:p>
      <w:pPr>
        <w:spacing w:after="0" w:line="62" w:lineRule="exact"/>
        <w:rPr>
          <w:rFonts w:ascii="Arial" w:cs="Arial" w:eastAsia="Arial" w:hAnsi="Arial"/>
          <w:sz w:val="18"/>
          <w:szCs w:val="18"/>
          <w:color w:val="auto"/>
        </w:rPr>
      </w:pPr>
    </w:p>
    <w:p>
      <w:pPr>
        <w:ind w:left="-20" w:firstLine="436"/>
        <w:spacing w:after="0" w:line="253" w:lineRule="auto"/>
        <w:tabs>
          <w:tab w:leader="none" w:pos="69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Data Privacy Consent</w:t>
      </w:r>
      <w:r>
        <w:rPr>
          <w:rFonts w:ascii="Arial" w:cs="Arial" w:eastAsia="Arial" w:hAnsi="Arial"/>
          <w:sz w:val="18"/>
          <w:szCs w:val="18"/>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w:t>
      </w:r>
    </w:p>
    <w:p>
      <w:pPr>
        <w:spacing w:after="0" w:line="88" w:lineRule="exact"/>
        <w:rPr>
          <w:rFonts w:ascii="Arial" w:cs="Arial" w:eastAsia="Arial" w:hAnsi="Arial"/>
          <w:sz w:val="18"/>
          <w:szCs w:val="18"/>
          <w:color w:val="auto"/>
        </w:rPr>
      </w:pPr>
    </w:p>
    <w:p>
      <w:pPr>
        <w:jc w:val="both"/>
        <w:ind w:left="-20" w:right="160" w:firstLine="436"/>
        <w:spacing w:after="0" w:line="263" w:lineRule="auto"/>
        <w:tabs>
          <w:tab w:leader="none" w:pos="69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60" w:top="274" w:right="459" w:bottom="1440" w:gutter="0" w:footer="0" w:header="0"/>
        </w:sectPr>
      </w:pPr>
    </w:p>
    <w:bookmarkStart w:id="43" w:name="page44"/>
    <w:bookmarkEnd w:id="43"/>
    <w:p>
      <w:pPr>
        <w:ind w:left="62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DISC MEDICINE, INC.</w:t>
      </w:r>
    </w:p>
    <w:p>
      <w:pPr>
        <w:spacing w:after="0" w:line="22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4232275</wp:posOffset>
            </wp:positionH>
            <wp:positionV relativeFrom="paragraph">
              <wp:posOffset>14605</wp:posOffset>
            </wp:positionV>
            <wp:extent cx="276034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1">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16"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14605</wp:posOffset>
            </wp:positionV>
            <wp:extent cx="65836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2">
                      <a:extLst>
                        <a:ext uri="{28A0092B-C50C-407E-A947-70E740481C1C}"/>
                      </a:extLst>
                    </a:blip>
                    <a:srcRect/>
                    <a:stretch>
                      <a:fillRect/>
                    </a:stretch>
                  </pic:blipFill>
                  <pic:spPr bwMode="auto">
                    <a:xfrm>
                      <a:off x="0" y="0"/>
                      <a:ext cx="6583680" cy="825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Grantee’s Signature</w:t>
      </w:r>
    </w:p>
    <w:p>
      <w:pPr>
        <w:spacing w:after="0" w:line="22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Grantee’s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3992245</wp:posOffset>
            </wp:positionH>
            <wp:positionV relativeFrom="paragraph">
              <wp:posOffset>288925</wp:posOffset>
            </wp:positionV>
            <wp:extent cx="300037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3">
                      <a:extLst>
                        <a:ext uri="{28A0092B-C50C-407E-A947-70E740481C1C}"/>
                      </a:extLst>
                    </a:blip>
                    <a:srcRect/>
                    <a:stretch>
                      <a:fillRect/>
                    </a:stretch>
                  </pic:blipFill>
                  <pic:spPr bwMode="auto">
                    <a:xfrm>
                      <a:off x="0" y="0"/>
                      <a:ext cx="3000375" cy="889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580390</wp:posOffset>
            </wp:positionV>
            <wp:extent cx="300037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4">
                      <a:extLst>
                        <a:ext uri="{28A0092B-C50C-407E-A947-70E740481C1C}"/>
                      </a:extLst>
                    </a:blip>
                    <a:srcRect/>
                    <a:stretch>
                      <a:fillRect/>
                    </a:stretch>
                  </pic:blipFill>
                  <pic:spPr bwMode="auto">
                    <a:xfrm>
                      <a:off x="0" y="0"/>
                      <a:ext cx="3000375" cy="8255"/>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871855</wp:posOffset>
            </wp:positionV>
            <wp:extent cx="300037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5">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20"/>
          </w:cols>
          <w:pgMar w:left="440" w:top="274" w:right="739" w:bottom="1440" w:gutter="0" w:footer="0" w:header="0"/>
        </w:sectPr>
      </w:pPr>
    </w:p>
    <w:bookmarkStart w:id="44" w:name="page45"/>
    <w:bookmarkEnd w:id="4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RESTRICTED STOCK UNIT AWARD AGREEMENT</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COMPANY EMPLOYEES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DISC MEDICINE,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AMENDED AND RESTATED 2021 STOCK OPTION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INCENTIVE PLAN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Name of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2037715</wp:posOffset>
            </wp:positionH>
            <wp:positionV relativeFrom="paragraph">
              <wp:posOffset>14605</wp:posOffset>
            </wp:positionV>
            <wp:extent cx="293179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7">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No.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2037715</wp:posOffset>
            </wp:positionH>
            <wp:positionV relativeFrom="paragraph">
              <wp:posOffset>-10160</wp:posOffset>
            </wp:positionV>
            <wp:extent cx="128524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8">
                      <a:extLst>
                        <a:ext uri="{28A0092B-C50C-407E-A947-70E740481C1C}"/>
                      </a:extLst>
                    </a:blip>
                    <a:srcRect/>
                    <a:stretch>
                      <a:fillRect/>
                    </a:stretch>
                  </pic:blipFill>
                  <pic:spPr bwMode="auto">
                    <a:xfrm>
                      <a:off x="0" y="0"/>
                      <a:ext cx="128524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2037715</wp:posOffset>
            </wp:positionH>
            <wp:positionV relativeFrom="paragraph">
              <wp:posOffset>-19050</wp:posOffset>
            </wp:positionV>
            <wp:extent cx="128524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9">
                      <a:extLst>
                        <a:ext uri="{28A0092B-C50C-407E-A947-70E740481C1C}"/>
                      </a:extLst>
                    </a:blip>
                    <a:srcRect/>
                    <a:stretch>
                      <a:fillRect/>
                    </a:stretch>
                  </pic:blipFill>
                  <pic:spPr bwMode="auto">
                    <a:xfrm>
                      <a:off x="0" y="0"/>
                      <a:ext cx="1285240" cy="8255"/>
                    </a:xfrm>
                    <a:prstGeom prst="rect">
                      <a:avLst/>
                    </a:prstGeom>
                    <a:noFill/>
                  </pic:spPr>
                </pic:pic>
              </a:graphicData>
            </a:graphic>
          </wp:anchor>
        </w:drawing>
      </w:r>
    </w:p>
    <w:p>
      <w:pPr>
        <w:spacing w:after="0" w:line="191" w:lineRule="exact"/>
        <w:rPr>
          <w:sz w:val="20"/>
          <w:szCs w:val="20"/>
          <w:color w:val="auto"/>
        </w:rPr>
      </w:pPr>
    </w:p>
    <w:p>
      <w:pPr>
        <w:ind w:right="20" w:firstLine="440"/>
        <w:spacing w:after="0" w:line="311" w:lineRule="auto"/>
        <w:rPr>
          <w:sz w:val="20"/>
          <w:szCs w:val="20"/>
          <w:color w:val="auto"/>
        </w:rPr>
      </w:pPr>
      <w:r>
        <w:rPr>
          <w:rFonts w:ascii="Arial" w:cs="Arial" w:eastAsia="Arial" w:hAnsi="Arial"/>
          <w:sz w:val="16"/>
          <w:szCs w:val="16"/>
          <w:color w:val="auto"/>
        </w:rPr>
        <w:t>Pursuant to the Disc Medicine, Inc. Amended and Restated 2021 Stock Option and Incentive Plan, as amended through the date hereof (the “Plan”), Disc Medicine, Inc. (the “Company”) hereby grants an award of the number of Restricted Stock Units listed above (an “Award”) to the Grantee named above. Each Restricted Stock Unit shall relate to one share of Common Stock, par value $0.0001 per share (the “Stock”), of the Company.</w:t>
      </w:r>
    </w:p>
    <w:p>
      <w:pPr>
        <w:spacing w:after="0" w:line="41" w:lineRule="exact"/>
        <w:rPr>
          <w:sz w:val="20"/>
          <w:szCs w:val="20"/>
          <w:color w:val="auto"/>
        </w:rPr>
      </w:pPr>
    </w:p>
    <w:p>
      <w:pPr>
        <w:ind w:firstLine="436"/>
        <w:spacing w:after="0" w:line="259" w:lineRule="auto"/>
        <w:tabs>
          <w:tab w:leader="none" w:pos="71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Restrictions on Transfer of Award</w:t>
      </w:r>
      <w:r>
        <w:rPr>
          <w:rFonts w:ascii="Arial" w:cs="Arial" w:eastAsia="Arial" w:hAnsi="Arial"/>
          <w:sz w:val="18"/>
          <w:szCs w:val="18"/>
          <w:color w:val="auto"/>
        </w:rPr>
        <w:t>. This Award may not be sold, transferred, pledged, assigned or otherwise encumbered or disposed of by the Grantee, and any shares of Stock issuable with respect to the Award may not be sold, transferred, pledged, assigned or otherwise encumbered or disposed of until (i) the Restricted Stock Units have vested as provided in Paragraph 2 of this Agreement and (ii) shares of Stock have been issued to the Grantee in accordance with the terms of the Plan and this Agreement.</w:t>
      </w:r>
    </w:p>
    <w:p>
      <w:pPr>
        <w:spacing w:after="0" w:line="78" w:lineRule="exact"/>
        <w:rPr>
          <w:rFonts w:ascii="Arial" w:cs="Arial" w:eastAsia="Arial" w:hAnsi="Arial"/>
          <w:sz w:val="18"/>
          <w:szCs w:val="18"/>
          <w:color w:val="auto"/>
        </w:rPr>
      </w:pPr>
    </w:p>
    <w:p>
      <w:pPr>
        <w:ind w:right="200" w:firstLine="436"/>
        <w:spacing w:after="0" w:line="259" w:lineRule="auto"/>
        <w:tabs>
          <w:tab w:leader="none" w:pos="71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Vesting of Restricted Stock Units</w:t>
      </w:r>
      <w:r>
        <w:rPr>
          <w:rFonts w:ascii="Arial" w:cs="Arial" w:eastAsia="Arial" w:hAnsi="Arial"/>
          <w:sz w:val="18"/>
          <w:szCs w:val="18"/>
          <w:color w:val="auto"/>
        </w:rPr>
        <w:t>. The restrictions and conditions of Paragraph 1 of this Agreement shall lapse on the Vesting Date or Dates specified in the following schedule so long as the Grantee remains an employee of the Company or a Subsidiary on such Vesting Dates. If a series of Vesting Dates is specified, then the restrictions and conditions in Paragraph 1 shall lapse only with respect to the number of Restricted Stock Units specified as vested on such date.</w:t>
      </w:r>
    </w:p>
    <w:p>
      <w:pPr>
        <w:spacing w:after="0" w:line="197" w:lineRule="exact"/>
        <w:rPr>
          <w:sz w:val="20"/>
          <w:szCs w:val="20"/>
          <w:color w:val="auto"/>
        </w:rPr>
      </w:pPr>
    </w:p>
    <w:tbl>
      <w:tblPr>
        <w:tblLayout w:type="fixed"/>
        <w:tblInd w:w="4120" w:type="dxa"/>
        <w:tblCellMar>
          <w:top w:w="0" w:type="dxa"/>
          <w:left w:w="0" w:type="dxa"/>
          <w:bottom w:w="0" w:type="dxa"/>
          <w:right w:w="0" w:type="dxa"/>
        </w:tblCellMar>
      </w:tblPr>
      <w:tr>
        <w:trPr>
          <w:trHeight w:val="161"/>
        </w:trPr>
        <w:tc>
          <w:tcPr>
            <w:tcW w:w="2520" w:type="dxa"/>
            <w:vAlign w:val="bottom"/>
          </w:tcPr>
          <w:p>
            <w:pPr>
              <w:jc w:val="center"/>
              <w:ind w:right="748"/>
              <w:spacing w:after="0"/>
              <w:rPr>
                <w:sz w:val="20"/>
                <w:szCs w:val="20"/>
                <w:color w:val="auto"/>
              </w:rPr>
            </w:pPr>
            <w:r>
              <w:rPr>
                <w:rFonts w:ascii="Arial" w:cs="Arial" w:eastAsia="Arial" w:hAnsi="Arial"/>
                <w:sz w:val="14"/>
                <w:szCs w:val="14"/>
                <w:color w:val="auto"/>
                <w:w w:val="94"/>
              </w:rPr>
              <w:t>Incremental Number of</w:t>
            </w:r>
          </w:p>
        </w:tc>
        <w:tc>
          <w:tcPr>
            <w:tcW w:w="1540" w:type="dxa"/>
            <w:vAlign w:val="bottom"/>
          </w:tcPr>
          <w:p>
            <w:pPr>
              <w:spacing w:after="0"/>
              <w:rPr>
                <w:sz w:val="14"/>
                <w:szCs w:val="14"/>
                <w:color w:val="auto"/>
              </w:rPr>
            </w:pPr>
          </w:p>
        </w:tc>
      </w:tr>
      <w:tr>
        <w:trPr>
          <w:trHeight w:val="182"/>
        </w:trPr>
        <w:tc>
          <w:tcPr>
            <w:tcW w:w="2520" w:type="dxa"/>
            <w:vAlign w:val="bottom"/>
          </w:tcPr>
          <w:p>
            <w:pPr>
              <w:jc w:val="center"/>
              <w:ind w:right="748"/>
              <w:spacing w:after="0"/>
              <w:rPr>
                <w:sz w:val="20"/>
                <w:szCs w:val="20"/>
                <w:color w:val="auto"/>
              </w:rPr>
            </w:pPr>
            <w:r>
              <w:rPr>
                <w:rFonts w:ascii="Arial" w:cs="Arial" w:eastAsia="Arial" w:hAnsi="Arial"/>
                <w:sz w:val="14"/>
                <w:szCs w:val="14"/>
                <w:u w:val="single" w:color="auto"/>
                <w:color w:val="auto"/>
                <w:w w:val="91"/>
              </w:rPr>
              <w:t>Restricted Stock Units Vested</w:t>
            </w:r>
          </w:p>
        </w:tc>
        <w:tc>
          <w:tcPr>
            <w:tcW w:w="1540" w:type="dxa"/>
            <w:vAlign w:val="bottom"/>
          </w:tcPr>
          <w:p>
            <w:pPr>
              <w:ind w:left="800"/>
              <w:spacing w:after="0"/>
              <w:rPr>
                <w:sz w:val="20"/>
                <w:szCs w:val="20"/>
                <w:color w:val="auto"/>
              </w:rPr>
            </w:pPr>
            <w:r>
              <w:rPr>
                <w:rFonts w:ascii="Arial" w:cs="Arial" w:eastAsia="Arial" w:hAnsi="Arial"/>
                <w:sz w:val="14"/>
                <w:szCs w:val="14"/>
                <w:color w:val="auto"/>
                <w:w w:val="89"/>
              </w:rPr>
              <w:t>Vesting Date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4669155</wp:posOffset>
            </wp:positionH>
            <wp:positionV relativeFrom="paragraph">
              <wp:posOffset>-635</wp:posOffset>
            </wp:positionV>
            <wp:extent cx="57467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0">
                      <a:extLst>
                        <a:ext uri="{28A0092B-C50C-407E-A947-70E740481C1C}"/>
                      </a:extLst>
                    </a:blip>
                    <a:srcRect/>
                    <a:stretch>
                      <a:fillRect/>
                    </a:stretch>
                  </pic:blipFill>
                  <pic:spPr bwMode="auto">
                    <a:xfrm>
                      <a:off x="0" y="0"/>
                      <a:ext cx="574675" cy="8255"/>
                    </a:xfrm>
                    <a:prstGeom prst="rect">
                      <a:avLst/>
                    </a:prstGeom>
                    <a:noFill/>
                  </pic:spPr>
                </pic:pic>
              </a:graphicData>
            </a:graphic>
          </wp:anchor>
        </w:drawing>
      </w:r>
    </w:p>
    <w:p>
      <w:pPr>
        <w:ind w:left="5500" w:hanging="327"/>
        <w:spacing w:after="0"/>
        <w:tabs>
          <w:tab w:leader="none" w:pos="55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2685415</wp:posOffset>
            </wp:positionH>
            <wp:positionV relativeFrom="paragraph">
              <wp:posOffset>-20320</wp:posOffset>
            </wp:positionV>
            <wp:extent cx="80899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1">
                      <a:extLst>
                        <a:ext uri="{28A0092B-C50C-407E-A947-70E740481C1C}"/>
                      </a:extLst>
                    </a:blip>
                    <a:srcRect/>
                    <a:stretch>
                      <a:fillRect/>
                    </a:stretch>
                  </pic:blipFill>
                  <pic:spPr bwMode="auto">
                    <a:xfrm>
                      <a:off x="0" y="0"/>
                      <a:ext cx="808990" cy="8255"/>
                    </a:xfrm>
                    <a:prstGeom prst="rect">
                      <a:avLst/>
                    </a:prstGeom>
                    <a:noFill/>
                  </pic:spPr>
                </pic:pic>
              </a:graphicData>
            </a:graphic>
          </wp:anchor>
        </w:drawing>
        <w:drawing>
          <wp:anchor simplePos="0" relativeHeight="251657728" behindDoc="1" locked="0" layoutInCell="0" allowOverlap="1">
            <wp:simplePos x="0" y="0"/>
            <wp:positionH relativeFrom="column">
              <wp:posOffset>4671060</wp:posOffset>
            </wp:positionH>
            <wp:positionV relativeFrom="paragraph">
              <wp:posOffset>-12065</wp:posOffset>
            </wp:positionV>
            <wp:extent cx="5715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2">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ind w:left="5500" w:hanging="327"/>
        <w:spacing w:after="0"/>
        <w:tabs>
          <w:tab w:leader="none" w:pos="55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2685415</wp:posOffset>
            </wp:positionH>
            <wp:positionV relativeFrom="paragraph">
              <wp:posOffset>-10795</wp:posOffset>
            </wp:positionV>
            <wp:extent cx="80899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3">
                      <a:extLst>
                        <a:ext uri="{28A0092B-C50C-407E-A947-70E740481C1C}"/>
                      </a:extLst>
                    </a:blip>
                    <a:srcRect/>
                    <a:stretch>
                      <a:fillRect/>
                    </a:stretch>
                  </pic:blipFill>
                  <pic:spPr bwMode="auto">
                    <a:xfrm>
                      <a:off x="0" y="0"/>
                      <a:ext cx="808990" cy="8255"/>
                    </a:xfrm>
                    <a:prstGeom prst="rect">
                      <a:avLst/>
                    </a:prstGeom>
                    <a:noFill/>
                  </pic:spPr>
                </pic:pic>
              </a:graphicData>
            </a:graphic>
          </wp:anchor>
        </w:drawing>
        <w:drawing>
          <wp:anchor simplePos="0" relativeHeight="251657728" behindDoc="1" locked="0" layoutInCell="0" allowOverlap="1">
            <wp:simplePos x="0" y="0"/>
            <wp:positionH relativeFrom="column">
              <wp:posOffset>4671060</wp:posOffset>
            </wp:positionH>
            <wp:positionV relativeFrom="paragraph">
              <wp:posOffset>-10795</wp:posOffset>
            </wp:positionV>
            <wp:extent cx="57150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4">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3" w:lineRule="exact"/>
        <w:rPr>
          <w:sz w:val="20"/>
          <w:szCs w:val="20"/>
          <w:color w:val="auto"/>
        </w:rPr>
      </w:pPr>
    </w:p>
    <w:p>
      <w:pPr>
        <w:ind w:left="5500" w:hanging="327"/>
        <w:spacing w:after="0"/>
        <w:tabs>
          <w:tab w:leader="none" w:pos="55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5500" w:hanging="327"/>
        <w:spacing w:after="0"/>
        <w:tabs>
          <w:tab w:leader="none" w:pos="55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2685415</wp:posOffset>
            </wp:positionH>
            <wp:positionV relativeFrom="paragraph">
              <wp:posOffset>-156210</wp:posOffset>
            </wp:positionV>
            <wp:extent cx="80899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5">
                      <a:extLst>
                        <a:ext uri="{28A0092B-C50C-407E-A947-70E740481C1C}"/>
                      </a:extLst>
                    </a:blip>
                    <a:srcRect/>
                    <a:stretch>
                      <a:fillRect/>
                    </a:stretch>
                  </pic:blipFill>
                  <pic:spPr bwMode="auto">
                    <a:xfrm>
                      <a:off x="0" y="0"/>
                      <a:ext cx="808990" cy="8255"/>
                    </a:xfrm>
                    <a:prstGeom prst="rect">
                      <a:avLst/>
                    </a:prstGeom>
                    <a:noFill/>
                  </pic:spPr>
                </pic:pic>
              </a:graphicData>
            </a:graphic>
          </wp:anchor>
        </w:drawing>
        <w:drawing>
          <wp:anchor simplePos="0" relativeHeight="251657728" behindDoc="1" locked="0" layoutInCell="0" allowOverlap="1">
            <wp:simplePos x="0" y="0"/>
            <wp:positionH relativeFrom="column">
              <wp:posOffset>4671060</wp:posOffset>
            </wp:positionH>
            <wp:positionV relativeFrom="paragraph">
              <wp:posOffset>-156210</wp:posOffset>
            </wp:positionV>
            <wp:extent cx="57150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6">
                      <a:extLst>
                        <a:ext uri="{28A0092B-C50C-407E-A947-70E740481C1C}"/>
                      </a:extLst>
                    </a:blip>
                    <a:srcRect/>
                    <a:stretch>
                      <a:fillRect/>
                    </a:stretch>
                  </pic:blipFill>
                  <pic:spPr bwMode="auto">
                    <a:xfrm>
                      <a:off x="0" y="0"/>
                      <a:ext cx="571500" cy="8255"/>
                    </a:xfrm>
                    <a:prstGeom prst="rect">
                      <a:avLst/>
                    </a:prstGeom>
                    <a:noFill/>
                  </pic:spPr>
                </pic:pic>
              </a:graphicData>
            </a:graphic>
          </wp:anchor>
        </w:drawing>
        <w:drawing>
          <wp:anchor simplePos="0" relativeHeight="251657728" behindDoc="1" locked="0" layoutInCell="0" allowOverlap="1">
            <wp:simplePos x="0" y="0"/>
            <wp:positionH relativeFrom="column">
              <wp:posOffset>2685415</wp:posOffset>
            </wp:positionH>
            <wp:positionV relativeFrom="paragraph">
              <wp:posOffset>-19050</wp:posOffset>
            </wp:positionV>
            <wp:extent cx="80899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7">
                      <a:extLst>
                        <a:ext uri="{28A0092B-C50C-407E-A947-70E740481C1C}"/>
                      </a:extLst>
                    </a:blip>
                    <a:srcRect/>
                    <a:stretch>
                      <a:fillRect/>
                    </a:stretch>
                  </pic:blipFill>
                  <pic:spPr bwMode="auto">
                    <a:xfrm>
                      <a:off x="0" y="0"/>
                      <a:ext cx="808990" cy="8255"/>
                    </a:xfrm>
                    <a:prstGeom prst="rect">
                      <a:avLst/>
                    </a:prstGeom>
                    <a:noFill/>
                  </pic:spPr>
                </pic:pic>
              </a:graphicData>
            </a:graphic>
          </wp:anchor>
        </w:drawing>
        <w:drawing>
          <wp:anchor simplePos="0" relativeHeight="251657728" behindDoc="1" locked="0" layoutInCell="0" allowOverlap="1">
            <wp:simplePos x="0" y="0"/>
            <wp:positionH relativeFrom="column">
              <wp:posOffset>4671060</wp:posOffset>
            </wp:positionH>
            <wp:positionV relativeFrom="paragraph">
              <wp:posOffset>-19050</wp:posOffset>
            </wp:positionV>
            <wp:extent cx="57150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8">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Administrator may at any time accelerate the vesting schedule specified in this Paragraph 2.</w:t>
      </w:r>
    </w:p>
    <w:p>
      <w:pPr>
        <w:spacing w:after="0" w:line="117" w:lineRule="exact"/>
        <w:rPr>
          <w:sz w:val="20"/>
          <w:szCs w:val="20"/>
          <w:color w:val="auto"/>
        </w:rPr>
      </w:pPr>
    </w:p>
    <w:p>
      <w:pPr>
        <w:jc w:val="both"/>
        <w:ind w:right="260" w:firstLine="436"/>
        <w:spacing w:after="0" w:line="301" w:lineRule="auto"/>
        <w:tabs>
          <w:tab w:leader="none" w:pos="710"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Termination of Employment</w:t>
      </w:r>
      <w:r>
        <w:rPr>
          <w:rFonts w:ascii="Arial" w:cs="Arial" w:eastAsia="Arial" w:hAnsi="Arial"/>
          <w:sz w:val="16"/>
          <w:szCs w:val="16"/>
          <w:color w:val="auto"/>
        </w:rPr>
        <w:t>. If the Grantee’s employment with the Company or a Subsidiary terminates for any reason (including death or disability) prior to the satisfaction of the vesting conditions set forth in Paragraph 2 above, any Restricted Stock Units that have not vested as of such date shall automatically and without notice terminate and be forfeited, and neither the Grantee nor any of his or her successors, heirs, assigns, or personal representatives will thereafter have any further rights or interests in such unvested Restricted Stock Units.</w:t>
      </w:r>
    </w:p>
    <w:p>
      <w:pPr>
        <w:sectPr>
          <w:pgSz w:w="11900" w:h="16838" w:orient="portrait"/>
          <w:cols w:equalWidth="0" w:num="1">
            <w:col w:w="10980"/>
          </w:cols>
          <w:pgMar w:left="440" w:top="270" w:right="479" w:bottom="1440" w:gutter="0" w:footer="0" w:header="0"/>
        </w:sectPr>
      </w:pPr>
    </w:p>
    <w:bookmarkStart w:id="45" w:name="page46"/>
    <w:bookmarkEnd w:id="45"/>
    <w:p>
      <w:pPr>
        <w:jc w:val="both"/>
        <w:ind w:left="-20" w:right="100" w:firstLine="436"/>
        <w:spacing w:after="0" w:line="259" w:lineRule="auto"/>
        <w:tabs>
          <w:tab w:leader="none" w:pos="69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Issuance of Shares of Stock</w:t>
      </w:r>
      <w:r>
        <w:rPr>
          <w:rFonts w:ascii="Arial" w:cs="Arial" w:eastAsia="Arial" w:hAnsi="Arial"/>
          <w:sz w:val="18"/>
          <w:szCs w:val="18"/>
          <w:color w:val="auto"/>
        </w:rPr>
        <w:t>. As soon as practicable following each Vesting Date (but in no event later than two and one-half months after the end of the year in which the Vesting Date occurs), the Company shall issue to the Grantee the number of shares of Stock equal to the aggregate number of Restricted Stock Units that have vested pursuant to Paragraph 2 of this Agreement on such date and the Grantee shall thereafter have all the rights of a stockholder of the Company with respect to such shares.</w:t>
      </w:r>
    </w:p>
    <w:p>
      <w:pPr>
        <w:spacing w:after="0" w:line="78" w:lineRule="exact"/>
        <w:rPr>
          <w:rFonts w:ascii="Arial" w:cs="Arial" w:eastAsia="Arial" w:hAnsi="Arial"/>
          <w:sz w:val="18"/>
          <w:szCs w:val="18"/>
          <w:color w:val="auto"/>
        </w:rPr>
      </w:pPr>
    </w:p>
    <w:p>
      <w:pPr>
        <w:ind w:left="-20" w:firstLine="436"/>
        <w:spacing w:after="0" w:line="263" w:lineRule="auto"/>
        <w:tabs>
          <w:tab w:leader="none" w:pos="69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Incorporation of Plan</w:t>
      </w:r>
      <w:r>
        <w:rPr>
          <w:rFonts w:ascii="Arial" w:cs="Arial" w:eastAsia="Arial" w:hAnsi="Arial"/>
          <w:sz w:val="18"/>
          <w:szCs w:val="18"/>
          <w:color w:val="auto"/>
        </w:rPr>
        <w:t>. Notwithstanding anything herein to the contrary, this Agreement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75" w:lineRule="exact"/>
        <w:rPr>
          <w:rFonts w:ascii="Arial" w:cs="Arial" w:eastAsia="Arial" w:hAnsi="Arial"/>
          <w:sz w:val="18"/>
          <w:szCs w:val="18"/>
          <w:color w:val="auto"/>
        </w:rPr>
      </w:pPr>
    </w:p>
    <w:p>
      <w:pPr>
        <w:ind w:left="-20" w:right="60" w:firstLine="436"/>
        <w:spacing w:after="0" w:line="254" w:lineRule="auto"/>
        <w:tabs>
          <w:tab w:leader="none" w:pos="69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 The Grantee shall, not later than the date as of which the receipt of this Award becomes a taxable event for Federal income tax purposes, pay to the Company or make arrangements satisfactory to the Administrator for payment of any Federal, state, and local taxes required by law to be withheld on account of such taxable event. The Company shall have the authority to cause the required tax withholding obligation to be satisfied, in whole or in part, by (i) withholding from shares of Stock to be issued to the Grantee a number of shares of Stock with an aggregate Fair Market Value that would satisfy the withholding amount due; or (ii) causing its transfer agent to sell from the number of shares of Stock to be issued to the Grantee, the number of shares of Stock necessary to satisfy the Federal, state and local taxes required by law to be withheld from the Grantee on account of such transfer.</w:t>
      </w:r>
    </w:p>
    <w:p>
      <w:pPr>
        <w:spacing w:after="0" w:line="86" w:lineRule="exact"/>
        <w:rPr>
          <w:rFonts w:ascii="Arial" w:cs="Arial" w:eastAsia="Arial" w:hAnsi="Arial"/>
          <w:sz w:val="18"/>
          <w:szCs w:val="18"/>
          <w:color w:val="auto"/>
        </w:rPr>
      </w:pPr>
    </w:p>
    <w:p>
      <w:pPr>
        <w:ind w:left="-20" w:right="60" w:firstLine="436"/>
        <w:spacing w:after="0" w:line="308" w:lineRule="auto"/>
        <w:tabs>
          <w:tab w:leader="none" w:pos="690" w:val="left"/>
        </w:tabs>
        <w:numPr>
          <w:ilvl w:val="0"/>
          <w:numId w:val="72"/>
        </w:numPr>
        <w:rPr>
          <w:rFonts w:ascii="Arial" w:cs="Arial" w:eastAsia="Arial" w:hAnsi="Arial"/>
          <w:sz w:val="17"/>
          <w:szCs w:val="17"/>
          <w:color w:val="auto"/>
        </w:rPr>
      </w:pPr>
      <w:r>
        <w:rPr>
          <w:rFonts w:ascii="Arial" w:cs="Arial" w:eastAsia="Arial" w:hAnsi="Arial"/>
          <w:sz w:val="17"/>
          <w:szCs w:val="17"/>
          <w:u w:val="single" w:color="auto"/>
          <w:color w:val="auto"/>
        </w:rPr>
        <w:t>Section 409A of the Code.</w:t>
      </w:r>
      <w:r>
        <w:rPr>
          <w:rFonts w:ascii="Arial" w:cs="Arial" w:eastAsia="Arial" w:hAnsi="Arial"/>
          <w:sz w:val="17"/>
          <w:szCs w:val="17"/>
          <w:color w:val="auto"/>
        </w:rPr>
        <w:t xml:space="preserve"> This Agreement shall be interpreted in such a manner that all provisions relating to the settlement of the Award are exempt from the requirements of Section 409A of the Code as “short-term deferrals” as described in Section 409A of the Code.</w:t>
      </w:r>
    </w:p>
    <w:p>
      <w:pPr>
        <w:spacing w:after="0" w:line="38" w:lineRule="exact"/>
        <w:rPr>
          <w:rFonts w:ascii="Arial" w:cs="Arial" w:eastAsia="Arial" w:hAnsi="Arial"/>
          <w:sz w:val="17"/>
          <w:szCs w:val="17"/>
          <w:color w:val="auto"/>
        </w:rPr>
      </w:pPr>
    </w:p>
    <w:p>
      <w:pPr>
        <w:ind w:left="-20" w:right="100" w:firstLine="436"/>
        <w:spacing w:after="0" w:line="286" w:lineRule="auto"/>
        <w:tabs>
          <w:tab w:leader="none" w:pos="690" w:val="left"/>
        </w:tabs>
        <w:numPr>
          <w:ilvl w:val="0"/>
          <w:numId w:val="72"/>
        </w:numPr>
        <w:rPr>
          <w:rFonts w:ascii="Arial" w:cs="Arial" w:eastAsia="Arial" w:hAnsi="Arial"/>
          <w:sz w:val="17"/>
          <w:szCs w:val="17"/>
          <w:color w:val="auto"/>
        </w:rPr>
      </w:pPr>
      <w:r>
        <w:rPr>
          <w:rFonts w:ascii="Arial" w:cs="Arial" w:eastAsia="Arial" w:hAnsi="Arial"/>
          <w:sz w:val="17"/>
          <w:szCs w:val="17"/>
          <w:u w:val="single" w:color="auto"/>
          <w:color w:val="auto"/>
        </w:rPr>
        <w:t>No Obligation to Continue Employment</w:t>
      </w:r>
      <w:r>
        <w:rPr>
          <w:rFonts w:ascii="Arial" w:cs="Arial" w:eastAsia="Arial" w:hAnsi="Arial"/>
          <w:sz w:val="17"/>
          <w:szCs w:val="17"/>
          <w:color w:val="auto"/>
        </w:rPr>
        <w:t>. Neither the Company nor any Subsidiary is obligated by or as a result of the Plan or this Agreement to continue the Grantee’s employment with the Company or a Subsidiary and neither the Plan nor this Agreement shall interfere in any way with the right of the Company or any Subsidiary to terminate the Grantee’s employment with the Company or a Subsidiary at any time.</w:t>
      </w:r>
    </w:p>
    <w:p>
      <w:pPr>
        <w:spacing w:after="0" w:line="57" w:lineRule="exact"/>
        <w:rPr>
          <w:rFonts w:ascii="Arial" w:cs="Arial" w:eastAsia="Arial" w:hAnsi="Arial"/>
          <w:sz w:val="17"/>
          <w:szCs w:val="17"/>
          <w:color w:val="auto"/>
        </w:rPr>
      </w:pPr>
    </w:p>
    <w:p>
      <w:pPr>
        <w:ind w:left="-20" w:right="800" w:firstLine="436"/>
        <w:spacing w:after="0" w:line="277" w:lineRule="auto"/>
        <w:tabs>
          <w:tab w:leader="none" w:pos="69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constitutes the entire agreement between the parties with respect to this Award and supersedes all prior agreements and discussions between the parties concerning such subject matter.</w:t>
      </w:r>
    </w:p>
    <w:p>
      <w:pPr>
        <w:spacing w:after="0" w:line="62" w:lineRule="exact"/>
        <w:rPr>
          <w:rFonts w:ascii="Arial" w:cs="Arial" w:eastAsia="Arial" w:hAnsi="Arial"/>
          <w:sz w:val="18"/>
          <w:szCs w:val="18"/>
          <w:color w:val="auto"/>
        </w:rPr>
      </w:pPr>
    </w:p>
    <w:p>
      <w:pPr>
        <w:ind w:left="-20" w:right="40" w:firstLine="436"/>
        <w:spacing w:after="0" w:line="257" w:lineRule="auto"/>
        <w:tabs>
          <w:tab w:leader="none" w:pos="69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Data Privacy Consent</w:t>
      </w:r>
      <w:r>
        <w:rPr>
          <w:rFonts w:ascii="Arial" w:cs="Arial" w:eastAsia="Arial" w:hAnsi="Arial"/>
          <w:sz w:val="18"/>
          <w:szCs w:val="18"/>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Grantee (i) authorizes the Company to collect, process, register and</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60" w:top="274" w:right="479" w:bottom="1440" w:gutter="0" w:footer="0" w:header="0"/>
        </w:sectPr>
      </w:pPr>
    </w:p>
    <w:bookmarkStart w:id="46" w:name="page47"/>
    <w:bookmarkEnd w:id="46"/>
    <w:p>
      <w:pPr>
        <w:ind w:right="1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w:t>
      </w:r>
    </w:p>
    <w:p>
      <w:pPr>
        <w:spacing w:after="0" w:line="63" w:lineRule="exact"/>
        <w:rPr>
          <w:sz w:val="20"/>
          <w:szCs w:val="20"/>
          <w:color w:val="auto"/>
        </w:rPr>
      </w:pPr>
    </w:p>
    <w:p>
      <w:pPr>
        <w:jc w:val="both"/>
        <w:ind w:firstLine="436"/>
        <w:spacing w:after="0" w:line="263" w:lineRule="auto"/>
        <w:tabs>
          <w:tab w:leader="none" w:pos="71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w:t>
      </w:r>
    </w:p>
    <w:p>
      <w:pPr>
        <w:spacing w:after="0" w:line="211"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DISC MEDICINE, INC.</w:t>
      </w:r>
    </w:p>
    <w:p>
      <w:pPr>
        <w:spacing w:after="0" w:line="22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4232275</wp:posOffset>
            </wp:positionH>
            <wp:positionV relativeFrom="paragraph">
              <wp:posOffset>151765</wp:posOffset>
            </wp:positionV>
            <wp:extent cx="276034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1">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232"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14605</wp:posOffset>
            </wp:positionV>
            <wp:extent cx="65836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2">
                      <a:extLst>
                        <a:ext uri="{28A0092B-C50C-407E-A947-70E740481C1C}"/>
                      </a:extLst>
                    </a:blip>
                    <a:srcRect/>
                    <a:stretch>
                      <a:fillRect/>
                    </a:stretch>
                  </pic:blipFill>
                  <pic:spPr bwMode="auto">
                    <a:xfrm>
                      <a:off x="0" y="0"/>
                      <a:ext cx="6583680" cy="825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Grantee’s Signature</w:t>
      </w:r>
    </w:p>
    <w:p>
      <w:pPr>
        <w:spacing w:after="0" w:line="22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Grantee’s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3992245</wp:posOffset>
            </wp:positionH>
            <wp:positionV relativeFrom="paragraph">
              <wp:posOffset>288925</wp:posOffset>
            </wp:positionV>
            <wp:extent cx="300037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3">
                      <a:extLst>
                        <a:ext uri="{28A0092B-C50C-407E-A947-70E740481C1C}"/>
                      </a:extLst>
                    </a:blip>
                    <a:srcRect/>
                    <a:stretch>
                      <a:fillRect/>
                    </a:stretch>
                  </pic:blipFill>
                  <pic:spPr bwMode="auto">
                    <a:xfrm>
                      <a:off x="0" y="0"/>
                      <a:ext cx="3000375" cy="8255"/>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580390</wp:posOffset>
            </wp:positionV>
            <wp:extent cx="300037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4">
                      <a:extLst>
                        <a:ext uri="{28A0092B-C50C-407E-A947-70E740481C1C}"/>
                      </a:extLst>
                    </a:blip>
                    <a:srcRect/>
                    <a:stretch>
                      <a:fillRect/>
                    </a:stretch>
                  </pic:blipFill>
                  <pic:spPr bwMode="auto">
                    <a:xfrm>
                      <a:off x="0" y="0"/>
                      <a:ext cx="3000375" cy="8255"/>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871855</wp:posOffset>
            </wp:positionV>
            <wp:extent cx="300037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5">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40"/>
          </w:cols>
          <w:pgMar w:left="440" w:top="274" w:right="61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99.3</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DISC MEDICINE, INC.</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AMENDED AND RESTATED 2021 EMPLOYEE STOCK PURCHASE PLAN</w:t>
      </w:r>
    </w:p>
    <w:p>
      <w:pPr>
        <w:spacing w:after="0" w:line="225" w:lineRule="exact"/>
        <w:rPr>
          <w:sz w:val="20"/>
          <w:szCs w:val="20"/>
          <w:color w:val="auto"/>
        </w:rPr>
      </w:pPr>
    </w:p>
    <w:p>
      <w:pPr>
        <w:ind w:left="4" w:right="100" w:firstLine="991"/>
        <w:spacing w:after="0" w:line="286" w:lineRule="auto"/>
        <w:rPr>
          <w:sz w:val="20"/>
          <w:szCs w:val="20"/>
          <w:color w:val="auto"/>
        </w:rPr>
      </w:pPr>
      <w:r>
        <w:rPr>
          <w:rFonts w:ascii="Arial" w:cs="Arial" w:eastAsia="Arial" w:hAnsi="Arial"/>
          <w:sz w:val="16"/>
          <w:szCs w:val="16"/>
          <w:color w:val="auto"/>
        </w:rPr>
        <w:t>The purpose of the Disc Medicine, Inc. Amended and Restated 2021 Employee Stock Purchase Plan (the “</w:t>
      </w:r>
      <w:r>
        <w:rPr>
          <w:rFonts w:ascii="Arial" w:cs="Arial" w:eastAsia="Arial" w:hAnsi="Arial"/>
          <w:sz w:val="16"/>
          <w:szCs w:val="16"/>
          <w:b w:val="1"/>
          <w:bCs w:val="1"/>
          <w:color w:val="auto"/>
        </w:rPr>
        <w:t>Plan</w:t>
      </w:r>
      <w:r>
        <w:rPr>
          <w:rFonts w:ascii="Arial" w:cs="Arial" w:eastAsia="Arial" w:hAnsi="Arial"/>
          <w:sz w:val="16"/>
          <w:szCs w:val="16"/>
          <w:color w:val="auto"/>
        </w:rPr>
        <w:t>”) is to provide eligible employees of Disc Medicine, Inc. (the “</w:t>
      </w:r>
      <w:r>
        <w:rPr>
          <w:rFonts w:ascii="Arial" w:cs="Arial" w:eastAsia="Arial" w:hAnsi="Arial"/>
          <w:sz w:val="16"/>
          <w:szCs w:val="16"/>
          <w:b w:val="1"/>
          <w:bCs w:val="1"/>
          <w:color w:val="auto"/>
        </w:rPr>
        <w:t>Company</w:t>
      </w:r>
      <w:r>
        <w:rPr>
          <w:rFonts w:ascii="Arial" w:cs="Arial" w:eastAsia="Arial" w:hAnsi="Arial"/>
          <w:sz w:val="16"/>
          <w:szCs w:val="16"/>
          <w:color w:val="auto"/>
        </w:rPr>
        <w:t>”) and each Designated Subsidiary (as defined in Section 11) with opportunities to purchase shares of the Company’s common stock, par value $0.0001 per share (the “</w:t>
      </w:r>
      <w:r>
        <w:rPr>
          <w:rFonts w:ascii="Arial" w:cs="Arial" w:eastAsia="Arial" w:hAnsi="Arial"/>
          <w:sz w:val="16"/>
          <w:szCs w:val="16"/>
          <w:b w:val="1"/>
          <w:bCs w:val="1"/>
          <w:color w:val="auto"/>
        </w:rPr>
        <w:t>Common Stock</w:t>
      </w:r>
      <w:r>
        <w:rPr>
          <w:rFonts w:ascii="Arial" w:cs="Arial" w:eastAsia="Arial" w:hAnsi="Arial"/>
          <w:sz w:val="16"/>
          <w:szCs w:val="16"/>
          <w:color w:val="auto"/>
        </w:rPr>
        <w:t>”). An aggregate of 223,949 shares of Common Stock have been approved and reserved for this purpose, plus on January 1, 2024 and each January 1 thereafter through January 1, 2031, the number of shares of Common Stock reserved and available for issuance under the Plan shall be automatically and cumulatively increased by an amount equal to the least of</w:t>
      </w:r>
    </w:p>
    <w:p>
      <w:pPr>
        <w:spacing w:after="0" w:line="2" w:lineRule="exact"/>
        <w:rPr>
          <w:sz w:val="20"/>
          <w:szCs w:val="20"/>
          <w:color w:val="auto"/>
        </w:rPr>
      </w:pPr>
    </w:p>
    <w:p>
      <w:pPr>
        <w:ind w:left="4" w:right="120" w:hanging="4"/>
        <w:spacing w:after="0" w:line="253" w:lineRule="auto"/>
        <w:tabs>
          <w:tab w:leader="none" w:pos="219" w:val="left"/>
        </w:tabs>
        <w:numPr>
          <w:ilvl w:val="0"/>
          <w:numId w:val="74"/>
        </w:numPr>
        <w:rPr>
          <w:rFonts w:ascii="Arial" w:cs="Arial" w:eastAsia="Arial" w:hAnsi="Arial"/>
          <w:sz w:val="18"/>
          <w:szCs w:val="18"/>
          <w:color w:val="auto"/>
        </w:rPr>
      </w:pPr>
      <w:r>
        <w:rPr>
          <w:rFonts w:ascii="Arial" w:cs="Arial" w:eastAsia="Arial" w:hAnsi="Arial"/>
          <w:sz w:val="18"/>
          <w:szCs w:val="18"/>
          <w:color w:val="auto"/>
        </w:rPr>
        <w:t>one percent (1%) of the number of shares of Common Stock issued and outstanding on the immediately preceding December 31st, (ii) 43,055 shares of Common Stock and (iii) such number of shares of Common Stock as determined by the Administrator. Notwithstanding the foregoing, the Administrator may act prior to the first day of any calendar year to provide that there will be no January 1st increase in the share reserve for such calendar year.</w:t>
      </w:r>
    </w:p>
    <w:p>
      <w:pPr>
        <w:spacing w:after="0" w:line="189" w:lineRule="exact"/>
        <w:rPr>
          <w:sz w:val="20"/>
          <w:szCs w:val="20"/>
          <w:color w:val="auto"/>
        </w:rPr>
      </w:pPr>
    </w:p>
    <w:p>
      <w:pPr>
        <w:ind w:left="4" w:right="40" w:firstLine="991"/>
        <w:spacing w:after="0" w:line="255" w:lineRule="auto"/>
        <w:rPr>
          <w:sz w:val="20"/>
          <w:szCs w:val="20"/>
          <w:color w:val="auto"/>
        </w:rPr>
      </w:pPr>
      <w:r>
        <w:rPr>
          <w:rFonts w:ascii="Arial" w:cs="Arial" w:eastAsia="Arial" w:hAnsi="Arial"/>
          <w:sz w:val="18"/>
          <w:szCs w:val="18"/>
          <w:color w:val="auto"/>
        </w:rPr>
        <w:t>The Plan includes two components: a Code Section 423 Component (the “</w:t>
      </w:r>
      <w:r>
        <w:rPr>
          <w:rFonts w:ascii="Arial" w:cs="Arial" w:eastAsia="Arial" w:hAnsi="Arial"/>
          <w:sz w:val="18"/>
          <w:szCs w:val="18"/>
          <w:b w:val="1"/>
          <w:bCs w:val="1"/>
          <w:color w:val="auto"/>
        </w:rPr>
        <w:t>423 Component</w:t>
      </w:r>
      <w:r>
        <w:rPr>
          <w:rFonts w:ascii="Arial" w:cs="Arial" w:eastAsia="Arial" w:hAnsi="Arial"/>
          <w:sz w:val="18"/>
          <w:szCs w:val="18"/>
          <w:color w:val="auto"/>
        </w:rPr>
        <w:t>”) and a non-Code Section 423 Component (the “</w:t>
      </w:r>
      <w:r>
        <w:rPr>
          <w:rFonts w:ascii="Arial" w:cs="Arial" w:eastAsia="Arial" w:hAnsi="Arial"/>
          <w:sz w:val="18"/>
          <w:szCs w:val="18"/>
          <w:b w:val="1"/>
          <w:bCs w:val="1"/>
          <w:color w:val="auto"/>
        </w:rPr>
        <w:t>Non- 423 Component</w:t>
      </w:r>
      <w:r>
        <w:rPr>
          <w:rFonts w:ascii="Arial" w:cs="Arial" w:eastAsia="Arial" w:hAnsi="Arial"/>
          <w:sz w:val="18"/>
          <w:szCs w:val="18"/>
          <w:color w:val="auto"/>
        </w:rPr>
        <w:t>”). It is intended for the 423 Component to constitute an “employee stock purchase plan” within the meaning of Section 423(b) of the U.S. Internal Revenue Code of 1986, as amended (the “</w:t>
      </w:r>
      <w:r>
        <w:rPr>
          <w:rFonts w:ascii="Arial" w:cs="Arial" w:eastAsia="Arial" w:hAnsi="Arial"/>
          <w:sz w:val="18"/>
          <w:szCs w:val="18"/>
          <w:b w:val="1"/>
          <w:bCs w:val="1"/>
          <w:color w:val="auto"/>
        </w:rPr>
        <w:t>Code</w:t>
      </w:r>
      <w:r>
        <w:rPr>
          <w:rFonts w:ascii="Arial" w:cs="Arial" w:eastAsia="Arial" w:hAnsi="Arial"/>
          <w:sz w:val="18"/>
          <w:szCs w:val="18"/>
          <w:color w:val="auto"/>
        </w:rPr>
        <w:t>”), and the 423 Component shall be interpreted in accordance with that intent. Under the Non-423 Component, which does not qualify as an “employee stock purchase plan” within the meaning of Section 423(b) of the Code, options will be granted pursuant to rules, procedures or sub-plans adopted by the Administrator designed to achieve tax, securities laws or other objectives for eligible employees. Except as otherwise provided herein, the Non-423 Component will operate and be administered in the same manner as the 423 Component.</w:t>
      </w:r>
    </w:p>
    <w:p>
      <w:pPr>
        <w:spacing w:after="0" w:line="193" w:lineRule="exact"/>
        <w:rPr>
          <w:sz w:val="20"/>
          <w:szCs w:val="20"/>
          <w:color w:val="auto"/>
        </w:rPr>
      </w:pPr>
    </w:p>
    <w:p>
      <w:pPr>
        <w:ind w:left="984"/>
        <w:spacing w:after="0"/>
        <w:rPr>
          <w:sz w:val="20"/>
          <w:szCs w:val="20"/>
          <w:color w:val="auto"/>
        </w:rPr>
      </w:pPr>
      <w:r>
        <w:rPr>
          <w:rFonts w:ascii="Arial" w:cs="Arial" w:eastAsia="Arial" w:hAnsi="Arial"/>
          <w:sz w:val="18"/>
          <w:szCs w:val="18"/>
          <w:color w:val="auto"/>
        </w:rPr>
        <w:t>Unless otherwise defined herein, capitalized terms in this Plan shall have the meanings ascribed to them in Section 11.</w:t>
      </w:r>
    </w:p>
    <w:p>
      <w:pPr>
        <w:spacing w:after="0" w:line="113" w:lineRule="exact"/>
        <w:rPr>
          <w:sz w:val="20"/>
          <w:szCs w:val="20"/>
          <w:color w:val="auto"/>
        </w:rPr>
      </w:pPr>
    </w:p>
    <w:p>
      <w:pPr>
        <w:ind w:left="4" w:right="60" w:firstLine="436"/>
        <w:spacing w:after="0" w:line="273" w:lineRule="auto"/>
        <w:tabs>
          <w:tab w:leader="none" w:pos="624" w:val="left"/>
        </w:tabs>
        <w:numPr>
          <w:ilvl w:val="0"/>
          <w:numId w:val="75"/>
        </w:numPr>
        <w:rPr>
          <w:rFonts w:ascii="Arial" w:cs="Arial" w:eastAsia="Arial" w:hAnsi="Arial"/>
          <w:sz w:val="17"/>
          <w:szCs w:val="17"/>
          <w:color w:val="auto"/>
        </w:rPr>
      </w:pPr>
      <w:r>
        <w:rPr>
          <w:rFonts w:ascii="Arial" w:cs="Arial" w:eastAsia="Arial" w:hAnsi="Arial"/>
          <w:sz w:val="17"/>
          <w:szCs w:val="17"/>
          <w:u w:val="single" w:color="auto"/>
          <w:color w:val="auto"/>
        </w:rPr>
        <w:t>Administration</w:t>
      </w:r>
      <w:r>
        <w:rPr>
          <w:rFonts w:ascii="Arial" w:cs="Arial" w:eastAsia="Arial" w:hAnsi="Arial"/>
          <w:sz w:val="17"/>
          <w:szCs w:val="17"/>
          <w:color w:val="auto"/>
        </w:rPr>
        <w:t>. The Plan will be administered by the person or persons (the “</w:t>
      </w:r>
      <w:r>
        <w:rPr>
          <w:rFonts w:ascii="Arial" w:cs="Arial" w:eastAsia="Arial" w:hAnsi="Arial"/>
          <w:sz w:val="17"/>
          <w:szCs w:val="17"/>
          <w:b w:val="1"/>
          <w:bCs w:val="1"/>
          <w:color w:val="auto"/>
        </w:rPr>
        <w:t>Administrator</w:t>
      </w:r>
      <w:r>
        <w:rPr>
          <w:rFonts w:ascii="Arial" w:cs="Arial" w:eastAsia="Arial" w:hAnsi="Arial"/>
          <w:sz w:val="17"/>
          <w:szCs w:val="17"/>
          <w:color w:val="auto"/>
        </w:rPr>
        <w:t>”) appointed by the Company’s Board of Directors (the “</w:t>
      </w:r>
      <w:r>
        <w:rPr>
          <w:rFonts w:ascii="Arial" w:cs="Arial" w:eastAsia="Arial" w:hAnsi="Arial"/>
          <w:sz w:val="17"/>
          <w:szCs w:val="17"/>
          <w:b w:val="1"/>
          <w:bCs w:val="1"/>
          <w:color w:val="auto"/>
        </w:rPr>
        <w:t>Board</w:t>
      </w:r>
      <w:r>
        <w:rPr>
          <w:rFonts w:ascii="Arial" w:cs="Arial" w:eastAsia="Arial" w:hAnsi="Arial"/>
          <w:sz w:val="17"/>
          <w:szCs w:val="17"/>
          <w:color w:val="auto"/>
        </w:rPr>
        <w:t>”) for such purpose. The Administrator has authority at any time to: (i) adopt, alter and repeal such rules, guidelines and practices for the administration of the Plan and for its own acts and proceedings as it shall deem advisable; (ii) interpret the terms and provisions of the Plan; (iii) make all determinations it deems advisable for the administration of the Plan; (iv) decide all disputes arising in connection with the Plan; and (v) otherwise supervise the administration of the Plan. All interpretations and decisions of the Administrator shall be binding on all persons, including the Company and the Participants. No member of the Board or individual exercising administrative authority with respect to the Plan shall be liable for any action or determination made in good faith with respect to the Plan or any option granted hereunder.</w:t>
      </w:r>
    </w:p>
    <w:p>
      <w:pPr>
        <w:spacing w:after="0" w:line="63" w:lineRule="exact"/>
        <w:rPr>
          <w:rFonts w:ascii="Arial" w:cs="Arial" w:eastAsia="Arial" w:hAnsi="Arial"/>
          <w:sz w:val="17"/>
          <w:szCs w:val="17"/>
          <w:color w:val="auto"/>
        </w:rPr>
      </w:pPr>
    </w:p>
    <w:p>
      <w:pPr>
        <w:ind w:left="4" w:right="80" w:firstLine="436"/>
        <w:spacing w:after="0" w:line="277" w:lineRule="auto"/>
        <w:tabs>
          <w:tab w:leader="none" w:pos="624" w:val="left"/>
        </w:tabs>
        <w:numPr>
          <w:ilvl w:val="0"/>
          <w:numId w:val="75"/>
        </w:numPr>
        <w:rPr>
          <w:rFonts w:ascii="Arial" w:cs="Arial" w:eastAsia="Arial" w:hAnsi="Arial"/>
          <w:sz w:val="17"/>
          <w:szCs w:val="17"/>
          <w:color w:val="auto"/>
        </w:rPr>
      </w:pPr>
      <w:r>
        <w:rPr>
          <w:rFonts w:ascii="Arial" w:cs="Arial" w:eastAsia="Arial" w:hAnsi="Arial"/>
          <w:sz w:val="17"/>
          <w:szCs w:val="17"/>
          <w:u w:val="single" w:color="auto"/>
          <w:color w:val="auto"/>
        </w:rPr>
        <w:t>Offerin</w:t>
      </w:r>
      <w:r>
        <w:rPr>
          <w:rFonts w:ascii="Arial" w:cs="Arial" w:eastAsia="Arial" w:hAnsi="Arial"/>
          <w:sz w:val="17"/>
          <w:szCs w:val="17"/>
          <w:color w:val="auto"/>
        </w:rPr>
        <w:t>gs. The Company may make one or more offerings to eligible employees to purchase Common Stock under the Plan (“</w:t>
      </w:r>
      <w:r>
        <w:rPr>
          <w:rFonts w:ascii="Arial" w:cs="Arial" w:eastAsia="Arial" w:hAnsi="Arial"/>
          <w:sz w:val="17"/>
          <w:szCs w:val="17"/>
          <w:b w:val="1"/>
          <w:bCs w:val="1"/>
          <w:color w:val="auto"/>
        </w:rPr>
        <w:t>Offerings</w:t>
      </w:r>
      <w:r>
        <w:rPr>
          <w:rFonts w:ascii="Arial" w:cs="Arial" w:eastAsia="Arial" w:hAnsi="Arial"/>
          <w:sz w:val="17"/>
          <w:szCs w:val="17"/>
          <w:color w:val="auto"/>
        </w:rPr>
        <w:t>”). The initial Offering will begin and end on dates to be determined by the Administrator. Thereafter, unless otherwise determined by the Administrator, an Offering will begin on the first business day occurring on or after each June 1 and December 1 and will end on the last business day occurring on or before the following May 31 and November 30, respectively. The Administrator may, in its discretion, designate a different period for any Offering, provided that no Offering shall exceed twenty-seven (27) months in duration or overlap any other Offering.</w:t>
      </w:r>
    </w:p>
    <w:p>
      <w:pPr>
        <w:sectPr>
          <w:pgSz w:w="11900" w:h="16838" w:orient="portrait"/>
          <w:cols w:equalWidth="0" w:num="1">
            <w:col w:w="11024"/>
          </w:cols>
          <w:pgMar w:left="436" w:top="121" w:right="439" w:bottom="1440" w:gutter="0" w:footer="0" w:header="0"/>
        </w:sectPr>
      </w:pPr>
    </w:p>
    <w:bookmarkStart w:id="48" w:name="page49"/>
    <w:bookmarkEnd w:id="48"/>
    <w:p>
      <w:pPr>
        <w:ind w:left="4" w:firstLine="436"/>
        <w:spacing w:after="0" w:line="287" w:lineRule="auto"/>
        <w:tabs>
          <w:tab w:leader="none" w:pos="624"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Eligibility</w:t>
      </w:r>
      <w:r>
        <w:rPr>
          <w:rFonts w:ascii="Arial" w:cs="Arial" w:eastAsia="Arial" w:hAnsi="Arial"/>
          <w:sz w:val="16"/>
          <w:szCs w:val="16"/>
          <w:color w:val="auto"/>
        </w:rPr>
        <w:t>. All individuals classified as employees on the payroll records of the Company and each Designated Subsidiary are eligible to participate in any one or more of the Offerings under the Plan, provided that as of the first day of the applicable Offering (the “</w:t>
      </w:r>
      <w:r>
        <w:rPr>
          <w:rFonts w:ascii="Arial" w:cs="Arial" w:eastAsia="Arial" w:hAnsi="Arial"/>
          <w:sz w:val="16"/>
          <w:szCs w:val="16"/>
          <w:b w:val="1"/>
          <w:bCs w:val="1"/>
          <w:color w:val="auto"/>
        </w:rPr>
        <w:t>Offering Date</w:t>
      </w:r>
      <w:r>
        <w:rPr>
          <w:rFonts w:ascii="Arial" w:cs="Arial" w:eastAsia="Arial" w:hAnsi="Arial"/>
          <w:sz w:val="16"/>
          <w:szCs w:val="16"/>
          <w:color w:val="auto"/>
        </w:rPr>
        <w:t>”) they are customarily employed by the Company or a Designated Subsidiary. Notwithstanding any other provision herein, individuals who are not contemporaneously classified as employees of the Company or a Designated Subsidiary for purposes of the Company’s or applicable Designated Subsidiary’s payroll system are not considered to be eligible employees of the Company or any Designated Subsidiary and shall not be eligible to participate in the Plan. In the event any such individuals are reclassified as employees of the Company or a Designated Subsidiary for any purpose, including, without limitation, common law or statutory employees, by any action of any third party, including, without limitation, any government agency, or as a result of any private lawsuit, action or administrative proceeding, such individuals shall, notwithstanding such reclassification, remain ineligible for participation. Notwithstanding the foregoing, the exclusive means for individuals who are not contemporaneously classified as employees of the Company or a Designated Subsidiary on the Company’s or Designated Subsidiary’s payroll system to become eligible to participate in this Plan is through an amendment to this Plan, duly executed by the Company, which specifically renders such individuals eligible to participate herein.</w:t>
      </w:r>
    </w:p>
    <w:p>
      <w:pPr>
        <w:spacing w:after="0" w:line="63" w:lineRule="exact"/>
        <w:rPr>
          <w:rFonts w:ascii="Arial" w:cs="Arial" w:eastAsia="Arial" w:hAnsi="Arial"/>
          <w:sz w:val="16"/>
          <w:szCs w:val="16"/>
          <w:color w:val="auto"/>
        </w:rPr>
      </w:pPr>
    </w:p>
    <w:p>
      <w:pPr>
        <w:ind w:left="624" w:hanging="184"/>
        <w:spacing w:after="0"/>
        <w:tabs>
          <w:tab w:leader="none" w:pos="624"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Participation</w:t>
      </w:r>
      <w:r>
        <w:rPr>
          <w:rFonts w:ascii="Arial" w:cs="Arial" w:eastAsia="Arial" w:hAnsi="Arial"/>
          <w:sz w:val="18"/>
          <w:szCs w:val="18"/>
          <w:color w:val="auto"/>
        </w:rPr>
        <w:t>.</w:t>
      </w:r>
    </w:p>
    <w:p>
      <w:pPr>
        <w:spacing w:after="0" w:line="117" w:lineRule="exact"/>
        <w:rPr>
          <w:sz w:val="20"/>
          <w:szCs w:val="20"/>
          <w:color w:val="auto"/>
        </w:rPr>
      </w:pPr>
    </w:p>
    <w:p>
      <w:pPr>
        <w:ind w:left="4" w:right="80" w:firstLine="436"/>
        <w:spacing w:after="0" w:line="263" w:lineRule="auto"/>
        <w:tabs>
          <w:tab w:leader="none" w:pos="689" w:val="left"/>
        </w:tabs>
        <w:numPr>
          <w:ilvl w:val="1"/>
          <w:numId w:val="77"/>
        </w:numPr>
        <w:rPr>
          <w:rFonts w:ascii="Arial" w:cs="Arial" w:eastAsia="Arial" w:hAnsi="Arial"/>
          <w:sz w:val="18"/>
          <w:szCs w:val="18"/>
          <w:color w:val="auto"/>
        </w:rPr>
      </w:pPr>
      <w:r>
        <w:rPr>
          <w:rFonts w:ascii="Arial" w:cs="Arial" w:eastAsia="Arial" w:hAnsi="Arial"/>
          <w:sz w:val="18"/>
          <w:szCs w:val="18"/>
          <w:u w:val="single" w:color="auto"/>
          <w:color w:val="auto"/>
        </w:rPr>
        <w:t>Participants</w:t>
      </w:r>
      <w:r>
        <w:rPr>
          <w:rFonts w:ascii="Arial" w:cs="Arial" w:eastAsia="Arial" w:hAnsi="Arial"/>
          <w:sz w:val="18"/>
          <w:szCs w:val="18"/>
          <w:color w:val="auto"/>
        </w:rPr>
        <w:t>. An eligible employee who is not a Participant in any prior Offering may participate in a subsequent Offering by submitting an enrollment form to his or her appropriate payroll location at least fifteen (15) business days before the Offering Date (or by such other deadline as shall be established by the Administrator for the Offering).</w:t>
      </w:r>
    </w:p>
    <w:p>
      <w:pPr>
        <w:spacing w:after="0" w:line="75" w:lineRule="exact"/>
        <w:rPr>
          <w:rFonts w:ascii="Arial" w:cs="Arial" w:eastAsia="Arial" w:hAnsi="Arial"/>
          <w:sz w:val="18"/>
          <w:szCs w:val="18"/>
          <w:color w:val="auto"/>
        </w:rPr>
      </w:pPr>
    </w:p>
    <w:p>
      <w:pPr>
        <w:ind w:left="4" w:right="220" w:firstLine="436"/>
        <w:spacing w:after="0" w:line="291" w:lineRule="auto"/>
        <w:tabs>
          <w:tab w:leader="none" w:pos="699" w:val="left"/>
        </w:tabs>
        <w:numPr>
          <w:ilvl w:val="1"/>
          <w:numId w:val="77"/>
        </w:numPr>
        <w:rPr>
          <w:rFonts w:ascii="Arial" w:cs="Arial" w:eastAsia="Arial" w:hAnsi="Arial"/>
          <w:sz w:val="16"/>
          <w:szCs w:val="16"/>
          <w:color w:val="auto"/>
        </w:rPr>
      </w:pPr>
      <w:r>
        <w:rPr>
          <w:rFonts w:ascii="Arial" w:cs="Arial" w:eastAsia="Arial" w:hAnsi="Arial"/>
          <w:sz w:val="16"/>
          <w:szCs w:val="16"/>
          <w:u w:val="single" w:color="auto"/>
          <w:color w:val="auto"/>
        </w:rPr>
        <w:t>Enrollment</w:t>
      </w:r>
      <w:r>
        <w:rPr>
          <w:rFonts w:ascii="Arial" w:cs="Arial" w:eastAsia="Arial" w:hAnsi="Arial"/>
          <w:sz w:val="16"/>
          <w:szCs w:val="16"/>
          <w:color w:val="auto"/>
        </w:rPr>
        <w:t>. The enrollment form will (a) state a whole percentage or amount to be deducted from an eligible employee’s Compensation (as defined in Section 11) per pay period, (b) authorize the purchase of Common Stock in each Offering in accordance with the terms of the Plan and</w:t>
      </w:r>
    </w:p>
    <w:p>
      <w:pPr>
        <w:ind w:left="4" w:right="220" w:hanging="4"/>
        <w:spacing w:after="0" w:line="253" w:lineRule="auto"/>
        <w:tabs>
          <w:tab w:leader="none" w:pos="249" w:val="left"/>
        </w:tabs>
        <w:numPr>
          <w:ilvl w:val="0"/>
          <w:numId w:val="78"/>
        </w:numPr>
        <w:rPr>
          <w:rFonts w:ascii="Arial" w:cs="Arial" w:eastAsia="Arial" w:hAnsi="Arial"/>
          <w:sz w:val="18"/>
          <w:szCs w:val="18"/>
          <w:color w:val="auto"/>
        </w:rPr>
      </w:pPr>
      <w:r>
        <w:rPr>
          <w:rFonts w:ascii="Arial" w:cs="Arial" w:eastAsia="Arial" w:hAnsi="Arial"/>
          <w:sz w:val="18"/>
          <w:szCs w:val="18"/>
          <w:color w:val="auto"/>
        </w:rPr>
        <w:t>specify the exact name or names in which shares of Common Stock purchased for such individual are to be issued pursuant to Section 10. An employee who does not enroll in accordance with these procedures will be deemed to have waived the right to participate. Unless a Participant files a new enrollment form or withdraws from the Plan, such Participant’s deductions and purchases will continue at the same percentage or amount of Compensation for future Offerings, provided he or she remains eligible.</w:t>
      </w:r>
    </w:p>
    <w:p>
      <w:pPr>
        <w:spacing w:after="0" w:line="84" w:lineRule="exact"/>
        <w:rPr>
          <w:rFonts w:ascii="Arial" w:cs="Arial" w:eastAsia="Arial" w:hAnsi="Arial"/>
          <w:sz w:val="18"/>
          <w:szCs w:val="18"/>
          <w:color w:val="auto"/>
        </w:rPr>
      </w:pPr>
    </w:p>
    <w:p>
      <w:pPr>
        <w:ind w:left="684" w:hanging="244"/>
        <w:spacing w:after="0"/>
        <w:tabs>
          <w:tab w:leader="none" w:pos="684" w:val="left"/>
        </w:tabs>
        <w:numPr>
          <w:ilvl w:val="1"/>
          <w:numId w:val="78"/>
        </w:numPr>
        <w:rPr>
          <w:rFonts w:ascii="Arial" w:cs="Arial" w:eastAsia="Arial" w:hAnsi="Arial"/>
          <w:sz w:val="17"/>
          <w:szCs w:val="17"/>
          <w:color w:val="auto"/>
        </w:rPr>
      </w:pPr>
      <w:r>
        <w:rPr>
          <w:rFonts w:ascii="Arial" w:cs="Arial" w:eastAsia="Arial" w:hAnsi="Arial"/>
          <w:sz w:val="17"/>
          <w:szCs w:val="17"/>
          <w:color w:val="auto"/>
        </w:rPr>
        <w:t>Notwithstanding the foregoing, participation in the Plan will neither be permitted nor be denied contrary to the requirements of the Code.</w:t>
      </w:r>
    </w:p>
    <w:p>
      <w:pPr>
        <w:spacing w:after="0" w:line="129" w:lineRule="exact"/>
        <w:rPr>
          <w:sz w:val="20"/>
          <w:szCs w:val="20"/>
          <w:color w:val="auto"/>
        </w:rPr>
      </w:pPr>
    </w:p>
    <w:p>
      <w:pPr>
        <w:ind w:left="4" w:right="20" w:firstLine="436"/>
        <w:spacing w:after="0" w:line="286" w:lineRule="auto"/>
        <w:tabs>
          <w:tab w:leader="none" w:pos="624" w:val="left"/>
        </w:tabs>
        <w:numPr>
          <w:ilvl w:val="0"/>
          <w:numId w:val="79"/>
        </w:numPr>
        <w:rPr>
          <w:rFonts w:ascii="Arial" w:cs="Arial" w:eastAsia="Arial" w:hAnsi="Arial"/>
          <w:sz w:val="17"/>
          <w:szCs w:val="17"/>
          <w:color w:val="auto"/>
        </w:rPr>
      </w:pPr>
      <w:r>
        <w:rPr>
          <w:rFonts w:ascii="Arial" w:cs="Arial" w:eastAsia="Arial" w:hAnsi="Arial"/>
          <w:sz w:val="17"/>
          <w:szCs w:val="17"/>
          <w:u w:val="single" w:color="auto"/>
          <w:color w:val="auto"/>
        </w:rPr>
        <w:t>Employee Contributions</w:t>
      </w:r>
      <w:r>
        <w:rPr>
          <w:rFonts w:ascii="Arial" w:cs="Arial" w:eastAsia="Arial" w:hAnsi="Arial"/>
          <w:sz w:val="17"/>
          <w:szCs w:val="17"/>
          <w:color w:val="auto"/>
        </w:rPr>
        <w:t>. Each eligible employee may authorize payroll deductions at a minimum of one percent (1%) up to a maximum of fifteen percent (15%) of such employee’s Compensation for each pay period. The Company will maintain book accounts showing the amount of payroll deductions made by each Participant for each Offering. No interest will accrue or be paid on payroll deductions.</w:t>
      </w:r>
    </w:p>
    <w:p>
      <w:pPr>
        <w:spacing w:after="0" w:line="57" w:lineRule="exact"/>
        <w:rPr>
          <w:rFonts w:ascii="Arial" w:cs="Arial" w:eastAsia="Arial" w:hAnsi="Arial"/>
          <w:sz w:val="17"/>
          <w:szCs w:val="17"/>
          <w:color w:val="auto"/>
        </w:rPr>
      </w:pPr>
    </w:p>
    <w:p>
      <w:pPr>
        <w:ind w:left="4" w:right="80" w:firstLine="436"/>
        <w:spacing w:after="0" w:line="275" w:lineRule="auto"/>
        <w:tabs>
          <w:tab w:leader="none" w:pos="624" w:val="left"/>
        </w:tabs>
        <w:numPr>
          <w:ilvl w:val="0"/>
          <w:numId w:val="79"/>
        </w:numPr>
        <w:rPr>
          <w:rFonts w:ascii="Arial" w:cs="Arial" w:eastAsia="Arial" w:hAnsi="Arial"/>
          <w:sz w:val="17"/>
          <w:szCs w:val="17"/>
          <w:color w:val="auto"/>
        </w:rPr>
      </w:pPr>
      <w:r>
        <w:rPr>
          <w:rFonts w:ascii="Arial" w:cs="Arial" w:eastAsia="Arial" w:hAnsi="Arial"/>
          <w:sz w:val="17"/>
          <w:szCs w:val="17"/>
          <w:u w:val="single" w:color="auto"/>
          <w:color w:val="auto"/>
        </w:rPr>
        <w:t>Deduction Chan</w:t>
      </w:r>
      <w:r>
        <w:rPr>
          <w:rFonts w:ascii="Arial" w:cs="Arial" w:eastAsia="Arial" w:hAnsi="Arial"/>
          <w:sz w:val="17"/>
          <w:szCs w:val="17"/>
          <w:color w:val="auto"/>
        </w:rPr>
        <w:t>g</w:t>
      </w:r>
      <w:r>
        <w:rPr>
          <w:rFonts w:ascii="Arial" w:cs="Arial" w:eastAsia="Arial" w:hAnsi="Arial"/>
          <w:sz w:val="17"/>
          <w:szCs w:val="17"/>
          <w:u w:val="single" w:color="auto"/>
          <w:color w:val="auto"/>
        </w:rPr>
        <w:t>es</w:t>
      </w:r>
      <w:r>
        <w:rPr>
          <w:rFonts w:ascii="Arial" w:cs="Arial" w:eastAsia="Arial" w:hAnsi="Arial"/>
          <w:sz w:val="17"/>
          <w:szCs w:val="17"/>
          <w:color w:val="auto"/>
        </w:rPr>
        <w:t>. Except as may be determined by the Administrator in advance of an Offering, a Participant may not increase or decrease his or her payroll deduction during any Offering, but may increase or decrease his or her payroll deduction with respect to the next Offering (subject to the limitations of Section 5) by filing a new enrollment form at least fifteen (15) business days before the next Offering Date (or by such other deadline as shall be established by the Administrator for the Offering). The Administrator may, in advance of any Offering, establish rules permitting a Participant to increase, decrease or terminate his or her payroll deduction during an Offering.</w:t>
      </w:r>
    </w:p>
    <w:p>
      <w:pPr>
        <w:sectPr>
          <w:pgSz w:w="11900" w:h="16838" w:orient="portrait"/>
          <w:cols w:equalWidth="0" w:num="1">
            <w:col w:w="10964"/>
          </w:cols>
          <w:pgMar w:left="436" w:top="274" w:right="499" w:bottom="1440" w:gutter="0" w:footer="0" w:header="0"/>
        </w:sectPr>
      </w:pPr>
    </w:p>
    <w:bookmarkStart w:id="49" w:name="page50"/>
    <w:bookmarkEnd w:id="49"/>
    <w:p>
      <w:pPr>
        <w:ind w:right="260" w:firstLine="436"/>
        <w:spacing w:after="0" w:line="275" w:lineRule="auto"/>
        <w:tabs>
          <w:tab w:leader="none" w:pos="620" w:val="left"/>
        </w:tabs>
        <w:numPr>
          <w:ilvl w:val="0"/>
          <w:numId w:val="80"/>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Withdrawal</w:t>
      </w:r>
      <w:r>
        <w:rPr>
          <w:rFonts w:ascii="Arial" w:cs="Arial" w:eastAsia="Arial" w:hAnsi="Arial"/>
          <w:sz w:val="17"/>
          <w:szCs w:val="17"/>
          <w:color w:val="auto"/>
        </w:rPr>
        <w:t>. A Participant may withdraw from participation in the Plan by delivering a written notice of withdrawal to his or her appropriate payroll location. The Participant’s withdrawal will be effective as of the next business day. Following a Participant’s withdrawal, the Company will promptly refund such individual’s entire account balance under the Plan to him or her (after payment for any Common Stock purchased before the effective date of withdrawal). Partial withdrawals are not permitted. Such an employee may not begin participation again during the remainder of the Offering, but may enroll in a subsequent Offering in accordance with Section 4.</w:t>
      </w:r>
    </w:p>
    <w:p>
      <w:pPr>
        <w:spacing w:after="0" w:line="68" w:lineRule="exact"/>
        <w:rPr>
          <w:rFonts w:ascii="Arial" w:cs="Arial" w:eastAsia="Arial" w:hAnsi="Arial"/>
          <w:sz w:val="17"/>
          <w:szCs w:val="17"/>
          <w:color w:val="auto"/>
        </w:rPr>
      </w:pPr>
    </w:p>
    <w:p>
      <w:pPr>
        <w:ind w:left="620" w:hanging="184"/>
        <w:spacing w:after="0"/>
        <w:tabs>
          <w:tab w:leader="none" w:pos="620" w:val="left"/>
        </w:tabs>
        <w:numPr>
          <w:ilvl w:val="0"/>
          <w:numId w:val="80"/>
        </w:numPr>
        <w:rPr>
          <w:rFonts w:ascii="Arial" w:cs="Arial" w:eastAsia="Arial" w:hAnsi="Arial"/>
          <w:sz w:val="17"/>
          <w:szCs w:val="17"/>
          <w:color w:val="auto"/>
        </w:rPr>
      </w:pPr>
      <w:r>
        <w:rPr>
          <w:rFonts w:ascii="Arial" w:cs="Arial" w:eastAsia="Arial" w:hAnsi="Arial"/>
          <w:sz w:val="17"/>
          <w:szCs w:val="17"/>
          <w:u w:val="single" w:color="auto"/>
          <w:color w:val="auto"/>
        </w:rPr>
        <w:t>Grant of Options</w:t>
      </w:r>
      <w:r>
        <w:rPr>
          <w:rFonts w:ascii="Arial" w:cs="Arial" w:eastAsia="Arial" w:hAnsi="Arial"/>
          <w:sz w:val="17"/>
          <w:szCs w:val="17"/>
          <w:color w:val="auto"/>
        </w:rPr>
        <w:t>. On each Offering Date, the Company will grant to each eligible employee who is then a Participant in the Plan an option</w:t>
      </w:r>
    </w:p>
    <w:p>
      <w:pPr>
        <w:spacing w:after="0" w:line="35"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Option</w:t>
      </w:r>
      <w:r>
        <w:rPr>
          <w:rFonts w:ascii="Arial" w:cs="Arial" w:eastAsia="Arial" w:hAnsi="Arial"/>
          <w:sz w:val="16"/>
          <w:szCs w:val="16"/>
          <w:color w:val="auto"/>
        </w:rPr>
        <w:t>”) to purchase on the last day of such Offering (the “</w:t>
      </w:r>
      <w:r>
        <w:rPr>
          <w:rFonts w:ascii="Arial" w:cs="Arial" w:eastAsia="Arial" w:hAnsi="Arial"/>
          <w:sz w:val="16"/>
          <w:szCs w:val="16"/>
          <w:b w:val="1"/>
          <w:bCs w:val="1"/>
          <w:color w:val="auto"/>
        </w:rPr>
        <w:t>Exercise Date</w:t>
      </w:r>
      <w:r>
        <w:rPr>
          <w:rFonts w:ascii="Arial" w:cs="Arial" w:eastAsia="Arial" w:hAnsi="Arial"/>
          <w:sz w:val="16"/>
          <w:szCs w:val="16"/>
          <w:color w:val="auto"/>
        </w:rPr>
        <w:t>”), at the Option Price hereinafter provided for, the lowest of (a) a number of shares of Common Stock determined by dividing such Participant’s accumulated payroll deductions on such Exercise Date by the Option Price (as defined herein), (b) the number of shares determined by dividing $25,000 by the Fair Market Value of the Common Stock on the Offering Date for such Offering; or (c) such other lesser maximum number of shares as shall have been established by the Administrator in advance of the Offering; provided, however, that such Option shall be subject to the limitations set forth below. Each Participant’s Option shall be exercisable only to the extent of such Participant’s accumulated payroll deductions on the Exercise Date. The purchase price for each share purchased under each Option (the “Option Price”) will be eighty-five percent (85%) of the Fair Market Value of the Common Stock on the Offering Date or the Exercise Date, whichever is less.</w:t>
      </w:r>
    </w:p>
    <w:p>
      <w:pPr>
        <w:spacing w:after="0" w:line="60" w:lineRule="exact"/>
        <w:rPr>
          <w:sz w:val="20"/>
          <w:szCs w:val="20"/>
          <w:color w:val="auto"/>
        </w:rPr>
      </w:pPr>
    </w:p>
    <w:p>
      <w:pPr>
        <w:ind w:right="80" w:firstLine="440"/>
        <w:spacing w:after="0" w:line="270" w:lineRule="auto"/>
        <w:rPr>
          <w:sz w:val="20"/>
          <w:szCs w:val="20"/>
          <w:color w:val="auto"/>
        </w:rPr>
      </w:pPr>
      <w:r>
        <w:rPr>
          <w:rFonts w:ascii="Arial" w:cs="Arial" w:eastAsia="Arial" w:hAnsi="Arial"/>
          <w:sz w:val="17"/>
          <w:szCs w:val="17"/>
          <w:color w:val="auto"/>
        </w:rPr>
        <w:t>Notwithstanding the foregoing, no Participant may be granted an Option hereunder if such Participant, immediately after the Option was granted, would be treated as owning stock possessing five percent (5%) or more of the total combined voting power or value of all classes of stock of the Company or any Parent or Subsidiary (as defined in Section 11). For purposes of the preceding sentence, the attribution rules of Section 424(d) of the Code shall apply in determining the stock ownership of a Participant, and all stock which the Participant has a contractual right to purchase shall be treated as stock owned by the Participant. In addition, no Participant may be granted an Option which permits such Participant rights to purchase stock under the Plan, and any other employee stock purchase plan of the Company and its Parents and Subsidiaries, to accrue at a rate which exceeds $25,000 of the fair market value of such stock (determined on the Option grant date or dates) for each calendar year in which the Option is outstanding at any time. The purpose of the limitation in the preceding sentence is to comply with Section 423(b)(8) of the Code and shall be applied taking Options into account in the order in which they were granted.</w:t>
      </w:r>
    </w:p>
    <w:p>
      <w:pPr>
        <w:spacing w:after="0" w:line="73" w:lineRule="exact"/>
        <w:rPr>
          <w:sz w:val="20"/>
          <w:szCs w:val="20"/>
          <w:color w:val="auto"/>
        </w:rPr>
      </w:pPr>
    </w:p>
    <w:p>
      <w:pPr>
        <w:ind w:firstLine="436"/>
        <w:spacing w:after="0" w:line="255" w:lineRule="auto"/>
        <w:tabs>
          <w:tab w:leader="none" w:pos="62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Exercise of Option and Purchase of Shares</w:t>
      </w:r>
      <w:r>
        <w:rPr>
          <w:rFonts w:ascii="Arial" w:cs="Arial" w:eastAsia="Arial" w:hAnsi="Arial"/>
          <w:sz w:val="18"/>
          <w:szCs w:val="18"/>
          <w:color w:val="auto"/>
        </w:rPr>
        <w:t>. Each employee who continues to be a Participant in the Plan on the Exercise Date shall be deemed to have exercised his or her Option on such date and shall acquire from the Company such number of whole shares of Common Stock reserved for the purpose of the Plan as his or her accumulated payroll deductions on such date will purchase at the Option Price, subject to any other limitations contained in the Plan. Any amount remaining in a Participant’s account at the end of an Offering solely by reason of the inability to purchase a fractional share will be carried forward to the next Offering; any other balance remaining in a Participant’s account at the end of an Offering will be refunded to the Participant promptly.</w:t>
      </w:r>
    </w:p>
    <w:p>
      <w:pPr>
        <w:spacing w:after="0" w:line="84" w:lineRule="exact"/>
        <w:rPr>
          <w:rFonts w:ascii="Arial" w:cs="Arial" w:eastAsia="Arial" w:hAnsi="Arial"/>
          <w:sz w:val="18"/>
          <w:szCs w:val="18"/>
          <w:color w:val="auto"/>
        </w:rPr>
      </w:pPr>
    </w:p>
    <w:p>
      <w:pPr>
        <w:ind w:right="200" w:firstLine="436"/>
        <w:spacing w:after="0" w:line="286" w:lineRule="auto"/>
        <w:tabs>
          <w:tab w:leader="none" w:pos="710" w:val="left"/>
        </w:tabs>
        <w:numPr>
          <w:ilvl w:val="0"/>
          <w:numId w:val="81"/>
        </w:numPr>
        <w:rPr>
          <w:rFonts w:ascii="Arial" w:cs="Arial" w:eastAsia="Arial" w:hAnsi="Arial"/>
          <w:sz w:val="17"/>
          <w:szCs w:val="17"/>
          <w:color w:val="auto"/>
        </w:rPr>
      </w:pPr>
      <w:r>
        <w:rPr>
          <w:rFonts w:ascii="Arial" w:cs="Arial" w:eastAsia="Arial" w:hAnsi="Arial"/>
          <w:sz w:val="17"/>
          <w:szCs w:val="17"/>
          <w:u w:val="single" w:color="auto"/>
          <w:color w:val="auto"/>
        </w:rPr>
        <w:t>Issuance of Certificates</w:t>
      </w:r>
      <w:r>
        <w:rPr>
          <w:rFonts w:ascii="Arial" w:cs="Arial" w:eastAsia="Arial" w:hAnsi="Arial"/>
          <w:sz w:val="17"/>
          <w:szCs w:val="17"/>
          <w:color w:val="auto"/>
        </w:rPr>
        <w:t>. Certificates or book-entries at the Company’s transfer agent representing shares of Common Stock purchased under the Plan may be issued only in the name of the employee, in the name of the employee and another person of legal age as joint tenants with rights of survivorship, or in the name of a broker authorized by the employee to be his, her or their nominee for such purpose</w:t>
      </w:r>
    </w:p>
    <w:p>
      <w:pPr>
        <w:sectPr>
          <w:pgSz w:w="11900" w:h="16838" w:orient="portrait"/>
          <w:cols w:equalWidth="0" w:num="1">
            <w:col w:w="11000"/>
          </w:cols>
          <w:pgMar w:left="440" w:top="274" w:right="459" w:bottom="1440" w:gutter="0" w:footer="0" w:header="0"/>
        </w:sectPr>
      </w:pPr>
    </w:p>
    <w:bookmarkStart w:id="50" w:name="page51"/>
    <w:bookmarkEnd w:id="50"/>
    <w:p>
      <w:pPr>
        <w:ind w:left="700" w:hanging="264"/>
        <w:spacing w:after="0"/>
        <w:tabs>
          <w:tab w:leader="none" w:pos="700"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Definitions</w:t>
      </w:r>
      <w:r>
        <w:rPr>
          <w:rFonts w:ascii="Arial" w:cs="Arial" w:eastAsia="Arial" w:hAnsi="Arial"/>
          <w:sz w:val="18"/>
          <w:szCs w:val="18"/>
          <w:color w:val="auto"/>
        </w:rPr>
        <w:t>.</w:t>
      </w:r>
    </w:p>
    <w:p>
      <w:pPr>
        <w:spacing w:after="0" w:line="11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Compensation</w:t>
      </w:r>
      <w:r>
        <w:rPr>
          <w:rFonts w:ascii="Arial" w:cs="Arial" w:eastAsia="Arial" w:hAnsi="Arial"/>
          <w:sz w:val="18"/>
          <w:szCs w:val="18"/>
          <w:color w:val="auto"/>
        </w:rPr>
        <w:t>” means the regular or basic rate of compensation.</w:t>
      </w:r>
    </w:p>
    <w:p>
      <w:pPr>
        <w:spacing w:after="0" w:line="225" w:lineRule="exact"/>
        <w:rPr>
          <w:sz w:val="20"/>
          <w:szCs w:val="20"/>
          <w:color w:val="auto"/>
        </w:rPr>
      </w:pPr>
    </w:p>
    <w:p>
      <w:pPr>
        <w:ind w:right="120" w:firstLine="991"/>
        <w:spacing w:after="0" w:line="271" w:lineRule="auto"/>
        <w:rPr>
          <w:sz w:val="20"/>
          <w:szCs w:val="20"/>
          <w:color w:val="auto"/>
        </w:rPr>
      </w:pPr>
      <w:r>
        <w:rPr>
          <w:rFonts w:ascii="Arial" w:cs="Arial" w:eastAsia="Arial" w:hAnsi="Arial"/>
          <w:sz w:val="17"/>
          <w:szCs w:val="17"/>
          <w:color w:val="auto"/>
        </w:rPr>
        <w:t>The term “</w:t>
      </w:r>
      <w:r>
        <w:rPr>
          <w:rFonts w:ascii="Arial" w:cs="Arial" w:eastAsia="Arial" w:hAnsi="Arial"/>
          <w:sz w:val="17"/>
          <w:szCs w:val="17"/>
          <w:b w:val="1"/>
          <w:bCs w:val="1"/>
          <w:color w:val="auto"/>
        </w:rPr>
        <w:t>Designated Subsidiary</w:t>
      </w:r>
      <w:r>
        <w:rPr>
          <w:rFonts w:ascii="Arial" w:cs="Arial" w:eastAsia="Arial" w:hAnsi="Arial"/>
          <w:sz w:val="17"/>
          <w:szCs w:val="17"/>
          <w:color w:val="auto"/>
        </w:rPr>
        <w:t xml:space="preserve">” means any present or future Subsidiary (as defined below) that has been designated by the Administrator to participate in the Plan. The Administrator may so designate any Subsidiary, or revoke any such designation, at any time and from time to time, either before or after the Plan is approved by the stockholders, and may further designate such companies or Participants as participating in the 423 Component or the Non-423 Component. The Administrator may also determine which Subsidiaries or eligible employees may be excluded from participation in the Plan, to the extent consistent with Section 423 of the Code or as implemented under the Non-423 Component, and determine which Designated Subsidiary or Subsidiaries will participate in separate Offerings (to the extent that the Company makes separate Offerings). For purposes of the 423 Component, only the Company and its Subsidiaries may be Designated Subsidiaries; provided, however, that at any given time, a Subsidiary that is a Designated Subsidiary under the 423 Component will not be a Designated Subsidiary under the Non-423 Component. The current list of Designated Subsidiaries is attached hereto as </w:t>
      </w:r>
      <w:r>
        <w:rPr>
          <w:rFonts w:ascii="Arial" w:cs="Arial" w:eastAsia="Arial" w:hAnsi="Arial"/>
          <w:sz w:val="17"/>
          <w:szCs w:val="17"/>
          <w:u w:val="single" w:color="auto"/>
          <w:color w:val="auto"/>
        </w:rPr>
        <w:t>Appendix A</w:t>
      </w:r>
      <w:r>
        <w:rPr>
          <w:rFonts w:ascii="Arial" w:cs="Arial" w:eastAsia="Arial" w:hAnsi="Arial"/>
          <w:sz w:val="17"/>
          <w:szCs w:val="17"/>
          <w:color w:val="auto"/>
        </w:rPr>
        <w:t>.</w:t>
      </w:r>
    </w:p>
    <w:p>
      <w:pPr>
        <w:spacing w:after="0" w:line="174" w:lineRule="exact"/>
        <w:rPr>
          <w:sz w:val="20"/>
          <w:szCs w:val="20"/>
          <w:color w:val="auto"/>
        </w:rPr>
      </w:pPr>
    </w:p>
    <w:p>
      <w:pPr>
        <w:ind w:right="180" w:firstLine="991"/>
        <w:spacing w:after="0" w:line="277" w:lineRule="auto"/>
        <w:rPr>
          <w:sz w:val="20"/>
          <w:szCs w:val="20"/>
          <w:color w:val="auto"/>
        </w:rPr>
      </w:pPr>
      <w:r>
        <w:rPr>
          <w:rFonts w:ascii="Arial" w:cs="Arial" w:eastAsia="Arial" w:hAnsi="Arial"/>
          <w:sz w:val="17"/>
          <w:szCs w:val="17"/>
          <w:color w:val="auto"/>
        </w:rPr>
        <w:t>The term “</w:t>
      </w:r>
      <w:r>
        <w:rPr>
          <w:rFonts w:ascii="Arial" w:cs="Arial" w:eastAsia="Arial" w:hAnsi="Arial"/>
          <w:sz w:val="17"/>
          <w:szCs w:val="17"/>
          <w:b w:val="1"/>
          <w:bCs w:val="1"/>
          <w:color w:val="auto"/>
        </w:rPr>
        <w:t>Fair Market Value of the Common Stock</w:t>
      </w:r>
      <w:r>
        <w:rPr>
          <w:rFonts w:ascii="Arial" w:cs="Arial" w:eastAsia="Arial" w:hAnsi="Arial"/>
          <w:sz w:val="17"/>
          <w:szCs w:val="17"/>
          <w:color w:val="auto"/>
        </w:rPr>
        <w:t>” on any given date means the fair market value of the Common Stock determined in good faith by the Administrator; provided, however, that if the Common Stock is admitted to quotation on the National Association of Securities Dealers Automated Quotation System (“</w:t>
      </w:r>
      <w:r>
        <w:rPr>
          <w:rFonts w:ascii="Arial" w:cs="Arial" w:eastAsia="Arial" w:hAnsi="Arial"/>
          <w:sz w:val="17"/>
          <w:szCs w:val="17"/>
          <w:b w:val="1"/>
          <w:bCs w:val="1"/>
          <w:color w:val="auto"/>
        </w:rPr>
        <w:t>NASDAQ</w:t>
      </w:r>
      <w:r>
        <w:rPr>
          <w:rFonts w:ascii="Arial" w:cs="Arial" w:eastAsia="Arial" w:hAnsi="Arial"/>
          <w:sz w:val="17"/>
          <w:szCs w:val="17"/>
          <w:color w:val="auto"/>
        </w:rPr>
        <w:t>”), the NASDAQ Global Market, The New York Stock Exchange or another national securities exchange, the determination shall be made by reference to the closing price on such date. If there is no closing price for such date, the determination shall be made by reference to the last date preceding such date for which there is a closing price.</w:t>
      </w:r>
    </w:p>
    <w:p>
      <w:pPr>
        <w:spacing w:after="0" w:line="6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Parent</w:t>
      </w:r>
      <w:r>
        <w:rPr>
          <w:rFonts w:ascii="Arial" w:cs="Arial" w:eastAsia="Arial" w:hAnsi="Arial"/>
          <w:sz w:val="18"/>
          <w:szCs w:val="18"/>
          <w:color w:val="auto"/>
        </w:rPr>
        <w:t>” means a “parent corporation” with respect to the Company, as defined in Section 424(e) of the Code.</w:t>
      </w:r>
    </w:p>
    <w:p>
      <w:pPr>
        <w:spacing w:after="0" w:line="117" w:lineRule="exact"/>
        <w:rPr>
          <w:sz w:val="20"/>
          <w:szCs w:val="20"/>
          <w:color w:val="auto"/>
        </w:rPr>
      </w:pPr>
    </w:p>
    <w:p>
      <w:pPr>
        <w:ind w:left="980" w:right="480"/>
        <w:spacing w:after="0" w:line="282"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Participant</w:t>
      </w:r>
      <w:r>
        <w:rPr>
          <w:rFonts w:ascii="Arial" w:cs="Arial" w:eastAsia="Arial" w:hAnsi="Arial"/>
          <w:sz w:val="18"/>
          <w:szCs w:val="18"/>
          <w:color w:val="auto"/>
        </w:rPr>
        <w:t>” means an individual who is eligible as determined in Section 3 and who has complied with the provisions of Section 4.</w:t>
      </w:r>
    </w:p>
    <w:p>
      <w:pPr>
        <w:spacing w:after="0" w:line="54" w:lineRule="exact"/>
        <w:rPr>
          <w:sz w:val="20"/>
          <w:szCs w:val="20"/>
          <w:color w:val="auto"/>
        </w:rPr>
      </w:pPr>
    </w:p>
    <w:p>
      <w:pPr>
        <w:ind w:left="980"/>
        <w:spacing w:after="0"/>
        <w:rPr>
          <w:sz w:val="20"/>
          <w:szCs w:val="20"/>
          <w:color w:val="auto"/>
        </w:rPr>
      </w:pPr>
      <w:r>
        <w:rPr>
          <w:rFonts w:ascii="Arial" w:cs="Arial" w:eastAsia="Arial" w:hAnsi="Arial"/>
          <w:sz w:val="17"/>
          <w:szCs w:val="17"/>
          <w:color w:val="auto"/>
        </w:rPr>
        <w:t>The term “</w:t>
      </w:r>
      <w:r>
        <w:rPr>
          <w:rFonts w:ascii="Arial" w:cs="Arial" w:eastAsia="Arial" w:hAnsi="Arial"/>
          <w:sz w:val="17"/>
          <w:szCs w:val="17"/>
          <w:b w:val="1"/>
          <w:bCs w:val="1"/>
          <w:color w:val="auto"/>
        </w:rPr>
        <w:t>Subsidiary</w:t>
      </w:r>
      <w:r>
        <w:rPr>
          <w:rFonts w:ascii="Arial" w:cs="Arial" w:eastAsia="Arial" w:hAnsi="Arial"/>
          <w:sz w:val="17"/>
          <w:szCs w:val="17"/>
          <w:color w:val="auto"/>
        </w:rPr>
        <w:t>” means a “subsidiary corporation” with respect to the Company, as defined in Section 424(f) of the Code.</w:t>
      </w:r>
    </w:p>
    <w:p>
      <w:pPr>
        <w:spacing w:after="0" w:line="133" w:lineRule="exact"/>
        <w:rPr>
          <w:sz w:val="20"/>
          <w:szCs w:val="20"/>
          <w:color w:val="auto"/>
        </w:rPr>
      </w:pPr>
    </w:p>
    <w:p>
      <w:pPr>
        <w:ind w:firstLine="436"/>
        <w:spacing w:after="0" w:line="269" w:lineRule="auto"/>
        <w:tabs>
          <w:tab w:leader="none" w:pos="710" w:val="left"/>
        </w:tabs>
        <w:numPr>
          <w:ilvl w:val="0"/>
          <w:numId w:val="83"/>
        </w:numPr>
        <w:rPr>
          <w:rFonts w:ascii="Arial" w:cs="Arial" w:eastAsia="Arial" w:hAnsi="Arial"/>
          <w:sz w:val="17"/>
          <w:szCs w:val="17"/>
          <w:color w:val="auto"/>
        </w:rPr>
      </w:pPr>
      <w:r>
        <w:rPr>
          <w:rFonts w:ascii="Arial" w:cs="Arial" w:eastAsia="Arial" w:hAnsi="Arial"/>
          <w:sz w:val="17"/>
          <w:szCs w:val="17"/>
          <w:u w:val="single" w:color="auto"/>
          <w:color w:val="auto"/>
        </w:rPr>
        <w:t>R</w:t>
      </w:r>
      <w:r>
        <w:rPr>
          <w:rFonts w:ascii="Arial" w:cs="Arial" w:eastAsia="Arial" w:hAnsi="Arial"/>
          <w:sz w:val="17"/>
          <w:szCs w:val="17"/>
          <w:color w:val="auto"/>
        </w:rPr>
        <w:t>ig</w:t>
      </w:r>
      <w:r>
        <w:rPr>
          <w:rFonts w:ascii="Arial" w:cs="Arial" w:eastAsia="Arial" w:hAnsi="Arial"/>
          <w:sz w:val="17"/>
          <w:szCs w:val="17"/>
          <w:u w:val="single" w:color="auto"/>
          <w:color w:val="auto"/>
        </w:rPr>
        <w:t>hts on Termination of Employment</w:t>
      </w:r>
      <w:r>
        <w:rPr>
          <w:rFonts w:ascii="Arial" w:cs="Arial" w:eastAsia="Arial" w:hAnsi="Arial"/>
          <w:sz w:val="17"/>
          <w:szCs w:val="17"/>
          <w:color w:val="auto"/>
        </w:rPr>
        <w:t>. If a Participant’s employment terminates for any reason before the Exercise Date for any Offering, no payroll deduction will be taken from any pay due and owing to the Participant and the balance in the Participant’s account will be paid to such Participant or, in the case of such Participant’s death, to his or her designated beneficiary as if such Participant had withdrawn from the Plan under Section 7. An employee will be deemed to have terminated employment, for this purpose, if the corporation that employs the Participant, having been a Designated Subsidiary, ceases to be a Subsidiary, or if the employee is transferred to any corporation other than the Company or a Designated Subsidiary provided, however, that if a Participant transfers from an Offering under the 423 Component to an Offering under the Non-423 Component, the exercise of the Participant’s Option will be qualified under the 423 Component only to the extent that such exercise complies with Section 423 of the Code. If a Participant transfers from an Offering under the Non-423 Component to an Offering under the 423 Component, the exercise of the Participant’s Option will remain non-qualified under the Non-423 Component. An employee will not be deemed to have terminated employment for this purpose if the employee is on 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Administrator otherwise provides in writing.</w:t>
      </w:r>
    </w:p>
    <w:p>
      <w:pPr>
        <w:sectPr>
          <w:pgSz w:w="11900" w:h="16838" w:orient="portrait"/>
          <w:cols w:equalWidth="0" w:num="1">
            <w:col w:w="11020"/>
          </w:cols>
          <w:pgMar w:left="440" w:top="274" w:right="439" w:bottom="1440" w:gutter="0" w:footer="0" w:header="0"/>
        </w:sectPr>
      </w:pPr>
    </w:p>
    <w:bookmarkStart w:id="51" w:name="page52"/>
    <w:bookmarkEnd w:id="51"/>
    <w:p>
      <w:pPr>
        <w:ind w:left="-436" w:right="200" w:firstLine="436"/>
        <w:spacing w:after="0" w:line="273" w:lineRule="auto"/>
        <w:tabs>
          <w:tab w:leader="none" w:pos="274" w:val="left"/>
        </w:tabs>
        <w:numPr>
          <w:ilvl w:val="0"/>
          <w:numId w:val="84"/>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Special Rules and Sub-Plans</w:t>
      </w:r>
      <w:r>
        <w:rPr>
          <w:rFonts w:ascii="Arial" w:cs="Arial" w:eastAsia="Arial" w:hAnsi="Arial"/>
          <w:sz w:val="17"/>
          <w:szCs w:val="17"/>
          <w:color w:val="auto"/>
        </w:rPr>
        <w:t>. Notwithstanding anything herein to the contrary, the Administrator may adopt special rules applicable to the employees of a particular Designated Subsidiary whenever the Administrator determines that such rules are necessary or appropriate for the implementation of the Plan in a jurisdiction where such Designated Subsidiary has employees; provided that if such special rules are inconsistent with the requirements of Section 423(b) of the Code, the employees subject to such special rules or sub-plans will participate in the Non- 423 Component. Any special rules or sub-plans established pursuant to this Section 13 shall, to the extent possible, result in the employees subject to such rules having substantially the same rights as other Participants in the Plan.</w:t>
      </w:r>
    </w:p>
    <w:p>
      <w:pPr>
        <w:spacing w:after="0" w:line="69" w:lineRule="exact"/>
        <w:rPr>
          <w:rFonts w:ascii="Arial" w:cs="Arial" w:eastAsia="Arial" w:hAnsi="Arial"/>
          <w:sz w:val="17"/>
          <w:szCs w:val="17"/>
          <w:color w:val="auto"/>
        </w:rPr>
      </w:pPr>
    </w:p>
    <w:p>
      <w:pPr>
        <w:jc w:val="both"/>
        <w:ind w:left="-436" w:right="340" w:firstLine="436"/>
        <w:spacing w:after="0" w:line="263" w:lineRule="auto"/>
        <w:tabs>
          <w:tab w:leader="none" w:pos="274"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Optionees Not Stockholders</w:t>
      </w:r>
      <w:r>
        <w:rPr>
          <w:rFonts w:ascii="Arial" w:cs="Arial" w:eastAsia="Arial" w:hAnsi="Arial"/>
          <w:sz w:val="18"/>
          <w:szCs w:val="18"/>
          <w:color w:val="auto"/>
        </w:rPr>
        <w:t>. Neither the granting of an Option to a Participant nor the deductions from his or her pay shall constitute such Participant a holder of the shares of Common Stock covered by an Option under the Plan until such shares have been purchased by and issued to the Participant.</w:t>
      </w:r>
    </w:p>
    <w:p>
      <w:pPr>
        <w:spacing w:after="0" w:line="75" w:lineRule="exact"/>
        <w:rPr>
          <w:rFonts w:ascii="Arial" w:cs="Arial" w:eastAsia="Arial" w:hAnsi="Arial"/>
          <w:sz w:val="18"/>
          <w:szCs w:val="18"/>
          <w:color w:val="auto"/>
        </w:rPr>
      </w:pPr>
    </w:p>
    <w:p>
      <w:pPr>
        <w:ind w:left="-436" w:right="160" w:firstLine="436"/>
        <w:spacing w:after="0" w:line="277" w:lineRule="auto"/>
        <w:tabs>
          <w:tab w:leader="none" w:pos="274"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R</w:t>
      </w:r>
      <w:r>
        <w:rPr>
          <w:rFonts w:ascii="Arial" w:cs="Arial" w:eastAsia="Arial" w:hAnsi="Arial"/>
          <w:sz w:val="18"/>
          <w:szCs w:val="18"/>
          <w:color w:val="auto"/>
        </w:rPr>
        <w:t>ig</w:t>
      </w:r>
      <w:r>
        <w:rPr>
          <w:rFonts w:ascii="Arial" w:cs="Arial" w:eastAsia="Arial" w:hAnsi="Arial"/>
          <w:sz w:val="18"/>
          <w:szCs w:val="18"/>
          <w:u w:val="single" w:color="auto"/>
          <w:color w:val="auto"/>
        </w:rPr>
        <w:t>hts Not Transferable</w:t>
      </w:r>
      <w:r>
        <w:rPr>
          <w:rFonts w:ascii="Arial" w:cs="Arial" w:eastAsia="Arial" w:hAnsi="Arial"/>
          <w:sz w:val="18"/>
          <w:szCs w:val="18"/>
          <w:color w:val="auto"/>
        </w:rPr>
        <w:t>. Rights under the Plan are not transferable by a Participant other than by will or the laws of descent and distribution, and are exercisable during the Participant’s lifetime only by the Participant.</w:t>
      </w:r>
    </w:p>
    <w:p>
      <w:pPr>
        <w:spacing w:after="0" w:line="62" w:lineRule="exact"/>
        <w:rPr>
          <w:rFonts w:ascii="Arial" w:cs="Arial" w:eastAsia="Arial" w:hAnsi="Arial"/>
          <w:sz w:val="18"/>
          <w:szCs w:val="18"/>
          <w:color w:val="auto"/>
        </w:rPr>
      </w:pPr>
    </w:p>
    <w:p>
      <w:pPr>
        <w:ind w:left="-436" w:right="320" w:firstLine="436"/>
        <w:spacing w:after="0" w:line="277" w:lineRule="auto"/>
        <w:tabs>
          <w:tab w:leader="none" w:pos="274"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Application of Funds</w:t>
      </w:r>
      <w:r>
        <w:rPr>
          <w:rFonts w:ascii="Arial" w:cs="Arial" w:eastAsia="Arial" w:hAnsi="Arial"/>
          <w:sz w:val="18"/>
          <w:szCs w:val="18"/>
          <w:color w:val="auto"/>
        </w:rPr>
        <w:t>. All funds received or held by the Company under the Plan may be combined with other corporate funds and may be used for any corporate purpose.</w:t>
      </w:r>
    </w:p>
    <w:p>
      <w:pPr>
        <w:spacing w:after="0" w:line="62" w:lineRule="exact"/>
        <w:rPr>
          <w:rFonts w:ascii="Arial" w:cs="Arial" w:eastAsia="Arial" w:hAnsi="Arial"/>
          <w:sz w:val="18"/>
          <w:szCs w:val="18"/>
          <w:color w:val="auto"/>
        </w:rPr>
      </w:pPr>
    </w:p>
    <w:p>
      <w:pPr>
        <w:ind w:left="-436" w:right="60" w:firstLine="436"/>
        <w:spacing w:after="0" w:line="263" w:lineRule="auto"/>
        <w:tabs>
          <w:tab w:leader="none" w:pos="274"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Ad</w:t>
      </w:r>
      <w:r>
        <w:rPr>
          <w:rFonts w:ascii="Arial" w:cs="Arial" w:eastAsia="Arial" w:hAnsi="Arial"/>
          <w:sz w:val="18"/>
          <w:szCs w:val="18"/>
          <w:color w:val="auto"/>
        </w:rPr>
        <w:t>j</w:t>
      </w:r>
      <w:r>
        <w:rPr>
          <w:rFonts w:ascii="Arial" w:cs="Arial" w:eastAsia="Arial" w:hAnsi="Arial"/>
          <w:sz w:val="18"/>
          <w:szCs w:val="18"/>
          <w:u w:val="single" w:color="auto"/>
          <w:color w:val="auto"/>
        </w:rPr>
        <w:t>ustment in Case of Changes Affecting Common Stock</w:t>
      </w:r>
      <w:r>
        <w:rPr>
          <w:rFonts w:ascii="Arial" w:cs="Arial" w:eastAsia="Arial" w:hAnsi="Arial"/>
          <w:sz w:val="18"/>
          <w:szCs w:val="18"/>
          <w:color w:val="auto"/>
        </w:rPr>
        <w:t>. In the event of a subdivision of outstanding shares of Common Stock, the payment of a dividend in Common Stock or any other change affecting the Common Stock, the number of shares approved for the Plan and any other share limitations in the Plan shall be equitably or proportionately adjusted to give proper effect to such event.</w:t>
      </w:r>
    </w:p>
    <w:p>
      <w:pPr>
        <w:spacing w:after="0" w:line="75" w:lineRule="exact"/>
        <w:rPr>
          <w:rFonts w:ascii="Arial" w:cs="Arial" w:eastAsia="Arial" w:hAnsi="Arial"/>
          <w:sz w:val="18"/>
          <w:szCs w:val="18"/>
          <w:color w:val="auto"/>
        </w:rPr>
      </w:pPr>
    </w:p>
    <w:p>
      <w:pPr>
        <w:ind w:left="-436" w:firstLine="436"/>
        <w:spacing w:after="0" w:line="259" w:lineRule="auto"/>
        <w:tabs>
          <w:tab w:leader="none" w:pos="274"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Amendment of the Plan</w:t>
      </w:r>
      <w:r>
        <w:rPr>
          <w:rFonts w:ascii="Arial" w:cs="Arial" w:eastAsia="Arial" w:hAnsi="Arial"/>
          <w:sz w:val="18"/>
          <w:szCs w:val="18"/>
          <w:color w:val="auto"/>
        </w:rPr>
        <w:t>. The Board may at any time and from time to time amend the Plan in any respect, except that without the approval within twelve (12) months of such Board action by the stockholders, no amendment shall be made increasing the number of shares approved for the Plan or making any other change that would require stockholder approval in order for the 423 Component of the Plan, as amended, to qualify as an “ employee stock purchase plan” under Section 423(b) of the Code.</w:t>
      </w:r>
    </w:p>
    <w:p>
      <w:pPr>
        <w:spacing w:after="0" w:line="78" w:lineRule="exact"/>
        <w:rPr>
          <w:rFonts w:ascii="Arial" w:cs="Arial" w:eastAsia="Arial" w:hAnsi="Arial"/>
          <w:sz w:val="18"/>
          <w:szCs w:val="18"/>
          <w:color w:val="auto"/>
        </w:rPr>
      </w:pPr>
    </w:p>
    <w:p>
      <w:pPr>
        <w:jc w:val="both"/>
        <w:ind w:left="-436" w:right="120" w:firstLine="436"/>
        <w:spacing w:after="0" w:line="259" w:lineRule="auto"/>
        <w:tabs>
          <w:tab w:leader="none" w:pos="274"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Insufficient Shares</w:t>
      </w:r>
      <w:r>
        <w:rPr>
          <w:rFonts w:ascii="Arial" w:cs="Arial" w:eastAsia="Arial" w:hAnsi="Arial"/>
          <w:sz w:val="18"/>
          <w:szCs w:val="18"/>
          <w:color w:val="auto"/>
        </w:rPr>
        <w:t>. If the total number of shares of Common Stock that would otherwise be purchased on any Exercise Date plus the number of shares purchased under previous Offerings under the Plan exceeds the maximum number of shares issuable under the Plan, the shares then available shall be apportioned among Participants in proportion to the amount of payroll deductions accumulated on behalf of each Participant that would otherwise be used to purchase Common Stock on such Exercise Date.</w:t>
      </w:r>
    </w:p>
    <w:p>
      <w:pPr>
        <w:spacing w:after="0" w:line="78" w:lineRule="exact"/>
        <w:rPr>
          <w:rFonts w:ascii="Arial" w:cs="Arial" w:eastAsia="Arial" w:hAnsi="Arial"/>
          <w:sz w:val="18"/>
          <w:szCs w:val="18"/>
          <w:color w:val="auto"/>
        </w:rPr>
      </w:pPr>
    </w:p>
    <w:p>
      <w:pPr>
        <w:ind w:left="-436" w:right="220" w:firstLine="436"/>
        <w:spacing w:after="0" w:line="277" w:lineRule="auto"/>
        <w:tabs>
          <w:tab w:leader="none" w:pos="274"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Termination of the Plan</w:t>
      </w:r>
      <w:r>
        <w:rPr>
          <w:rFonts w:ascii="Arial" w:cs="Arial" w:eastAsia="Arial" w:hAnsi="Arial"/>
          <w:sz w:val="18"/>
          <w:szCs w:val="18"/>
          <w:color w:val="auto"/>
        </w:rPr>
        <w:t>. The Plan may be terminated at any time by the Board. Upon termination of the Plan, all amounts in the accounts of Participants shall be promptly refunded.</w:t>
      </w:r>
    </w:p>
    <w:p>
      <w:pPr>
        <w:spacing w:after="0" w:line="62" w:lineRule="exact"/>
        <w:rPr>
          <w:rFonts w:ascii="Arial" w:cs="Arial" w:eastAsia="Arial" w:hAnsi="Arial"/>
          <w:sz w:val="18"/>
          <w:szCs w:val="18"/>
          <w:color w:val="auto"/>
        </w:rPr>
      </w:pPr>
    </w:p>
    <w:p>
      <w:pPr>
        <w:ind w:left="-436" w:right="920" w:firstLine="436"/>
        <w:spacing w:after="0" w:line="277" w:lineRule="auto"/>
        <w:tabs>
          <w:tab w:leader="none" w:pos="274"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Governmental Re</w:t>
      </w:r>
      <w:r>
        <w:rPr>
          <w:rFonts w:ascii="Arial" w:cs="Arial" w:eastAsia="Arial" w:hAnsi="Arial"/>
          <w:sz w:val="18"/>
          <w:szCs w:val="18"/>
          <w:color w:val="auto"/>
        </w:rPr>
        <w:t>g</w:t>
      </w:r>
      <w:r>
        <w:rPr>
          <w:rFonts w:ascii="Arial" w:cs="Arial" w:eastAsia="Arial" w:hAnsi="Arial"/>
          <w:sz w:val="18"/>
          <w:szCs w:val="18"/>
          <w:u w:val="single" w:color="auto"/>
          <w:color w:val="auto"/>
        </w:rPr>
        <w:t>ulations</w:t>
      </w:r>
      <w:r>
        <w:rPr>
          <w:rFonts w:ascii="Arial" w:cs="Arial" w:eastAsia="Arial" w:hAnsi="Arial"/>
          <w:sz w:val="18"/>
          <w:szCs w:val="18"/>
          <w:color w:val="auto"/>
        </w:rPr>
        <w:t>. The Company’s obligation to sell and deliver Common Stock under the Plan is subject to obtaining all governmental approvals required in connection with the authorization, issuance, or sale of such stock.</w:t>
      </w:r>
    </w:p>
    <w:p>
      <w:pPr>
        <w:spacing w:after="0" w:line="62" w:lineRule="exact"/>
        <w:rPr>
          <w:rFonts w:ascii="Arial" w:cs="Arial" w:eastAsia="Arial" w:hAnsi="Arial"/>
          <w:sz w:val="18"/>
          <w:szCs w:val="18"/>
          <w:color w:val="auto"/>
        </w:rPr>
      </w:pPr>
    </w:p>
    <w:p>
      <w:pPr>
        <w:ind w:left="-436" w:right="220" w:firstLine="436"/>
        <w:spacing w:after="0" w:line="286" w:lineRule="auto"/>
        <w:tabs>
          <w:tab w:leader="none" w:pos="274" w:val="left"/>
        </w:tabs>
        <w:numPr>
          <w:ilvl w:val="0"/>
          <w:numId w:val="84"/>
        </w:numPr>
        <w:rPr>
          <w:rFonts w:ascii="Arial" w:cs="Arial" w:eastAsia="Arial" w:hAnsi="Arial"/>
          <w:sz w:val="17"/>
          <w:szCs w:val="17"/>
          <w:color w:val="auto"/>
        </w:rPr>
      </w:pPr>
      <w:r>
        <w:rPr>
          <w:rFonts w:ascii="Arial" w:cs="Arial" w:eastAsia="Arial" w:hAnsi="Arial"/>
          <w:sz w:val="17"/>
          <w:szCs w:val="17"/>
          <w:u w:val="single" w:color="auto"/>
          <w:color w:val="auto"/>
        </w:rPr>
        <w:t>Governin</w:t>
      </w:r>
      <w:r>
        <w:rPr>
          <w:rFonts w:ascii="Arial" w:cs="Arial" w:eastAsia="Arial" w:hAnsi="Arial"/>
          <w:sz w:val="17"/>
          <w:szCs w:val="17"/>
          <w:color w:val="auto"/>
        </w:rPr>
        <w:t xml:space="preserve">g </w:t>
      </w:r>
      <w:r>
        <w:rPr>
          <w:rFonts w:ascii="Arial" w:cs="Arial" w:eastAsia="Arial" w:hAnsi="Arial"/>
          <w:sz w:val="17"/>
          <w:szCs w:val="17"/>
          <w:u w:val="single" w:color="auto"/>
          <w:color w:val="auto"/>
        </w:rPr>
        <w:t>Law</w:t>
      </w:r>
      <w:r>
        <w:rPr>
          <w:rFonts w:ascii="Arial" w:cs="Arial" w:eastAsia="Arial" w:hAnsi="Arial"/>
          <w:sz w:val="17"/>
          <w:szCs w:val="17"/>
          <w:color w:val="auto"/>
        </w:rPr>
        <w:t>. This Plan and all Options and actions taken thereunder shall be governed by, and construed in accordance with the General Corporation Law of the State of Delaware as to matters within the scope thereof, and as to all other matters shall be governed by and construed in accordance with the internal laws of the Commonwealth of Massachusetts applied without regard to conflict of law principles.</w:t>
      </w:r>
    </w:p>
    <w:p>
      <w:pPr>
        <w:sectPr>
          <w:pgSz w:w="11900" w:h="16838" w:orient="portrait"/>
          <w:cols w:equalWidth="0" w:num="1">
            <w:col w:w="10564"/>
          </w:cols>
          <w:pgMar w:left="876" w:top="274" w:right="459" w:bottom="1440" w:gutter="0" w:footer="0" w:header="0"/>
        </w:sectPr>
      </w:pPr>
    </w:p>
    <w:bookmarkStart w:id="52" w:name="page53"/>
    <w:bookmarkEnd w:id="52"/>
    <w:p>
      <w:pPr>
        <w:ind w:left="-987" w:right="100" w:firstLine="987"/>
        <w:spacing w:after="0" w:line="277" w:lineRule="auto"/>
        <w:tabs>
          <w:tab w:leader="none" w:pos="274"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Issuance of Shares</w:t>
      </w:r>
      <w:r>
        <w:rPr>
          <w:rFonts w:ascii="Arial" w:cs="Arial" w:eastAsia="Arial" w:hAnsi="Arial"/>
          <w:sz w:val="18"/>
          <w:szCs w:val="18"/>
          <w:color w:val="auto"/>
        </w:rPr>
        <w:t>. Shares may be issued upon exercise of an Option from authorized but unissued Common Stock, from shares held in the treasury of the Company, or from any other proper source.</w:t>
      </w:r>
    </w:p>
    <w:p>
      <w:pPr>
        <w:spacing w:after="0" w:line="62" w:lineRule="exact"/>
        <w:rPr>
          <w:rFonts w:ascii="Arial" w:cs="Arial" w:eastAsia="Arial" w:hAnsi="Arial"/>
          <w:sz w:val="18"/>
          <w:szCs w:val="18"/>
          <w:color w:val="auto"/>
        </w:rPr>
      </w:pPr>
    </w:p>
    <w:p>
      <w:pPr>
        <w:ind w:left="-987" w:right="140" w:firstLine="987"/>
        <w:spacing w:after="0" w:line="263" w:lineRule="auto"/>
        <w:tabs>
          <w:tab w:leader="none" w:pos="274"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Tax Withholdin</w:t>
      </w:r>
      <w:r>
        <w:rPr>
          <w:rFonts w:ascii="Arial" w:cs="Arial" w:eastAsia="Arial" w:hAnsi="Arial"/>
          <w:sz w:val="18"/>
          <w:szCs w:val="18"/>
          <w:color w:val="auto"/>
        </w:rPr>
        <w:t>g. Participation in the Plan is subject to any required tax withholding on income of the Participant in connection with the Plan. Each Participant agrees, by entering the Plan, that the Company and its Subsidiaries shall have the right to deduct any such taxes from any payment of any kind otherwise due to the Participant, including shares issuable under the Plan.</w:t>
      </w:r>
    </w:p>
    <w:p>
      <w:pPr>
        <w:spacing w:after="0" w:line="75" w:lineRule="exact"/>
        <w:rPr>
          <w:rFonts w:ascii="Arial" w:cs="Arial" w:eastAsia="Arial" w:hAnsi="Arial"/>
          <w:sz w:val="18"/>
          <w:szCs w:val="18"/>
          <w:color w:val="auto"/>
        </w:rPr>
      </w:pPr>
    </w:p>
    <w:p>
      <w:pPr>
        <w:ind w:left="-987" w:firstLine="987"/>
        <w:spacing w:after="0" w:line="311" w:lineRule="auto"/>
        <w:tabs>
          <w:tab w:leader="none" w:pos="274" w:val="left"/>
        </w:tabs>
        <w:numPr>
          <w:ilvl w:val="0"/>
          <w:numId w:val="85"/>
        </w:numPr>
        <w:rPr>
          <w:rFonts w:ascii="Arial" w:cs="Arial" w:eastAsia="Arial" w:hAnsi="Arial"/>
          <w:sz w:val="16"/>
          <w:szCs w:val="16"/>
          <w:color w:val="auto"/>
        </w:rPr>
      </w:pPr>
      <w:r>
        <w:rPr>
          <w:rFonts w:ascii="Arial" w:cs="Arial" w:eastAsia="Arial" w:hAnsi="Arial"/>
          <w:sz w:val="16"/>
          <w:szCs w:val="16"/>
          <w:u w:val="single" w:color="auto"/>
          <w:color w:val="auto"/>
        </w:rPr>
        <w:t>Notification Upon Sale of Shares Under the 423 Component</w:t>
      </w:r>
      <w:r>
        <w:rPr>
          <w:rFonts w:ascii="Arial" w:cs="Arial" w:eastAsia="Arial" w:hAnsi="Arial"/>
          <w:sz w:val="16"/>
          <w:szCs w:val="16"/>
          <w:color w:val="auto"/>
        </w:rPr>
        <w:t>. Each Participant agrees, by entering the 423 Component of the Plan, to give the Company prompt notice of any disposition of shares purchased under the Plan where such disposition occurs within two (2) years after the date of grant of the Option pursuant to which such shares were purchased or within one (1) year after the date such shares were purchased.</w:t>
      </w:r>
    </w:p>
    <w:p>
      <w:pPr>
        <w:spacing w:after="0" w:line="40" w:lineRule="exact"/>
        <w:rPr>
          <w:rFonts w:ascii="Arial" w:cs="Arial" w:eastAsia="Arial" w:hAnsi="Arial"/>
          <w:sz w:val="16"/>
          <w:szCs w:val="16"/>
          <w:color w:val="auto"/>
        </w:rPr>
      </w:pPr>
    </w:p>
    <w:p>
      <w:pPr>
        <w:ind w:left="-987" w:right="40" w:firstLine="987"/>
        <w:spacing w:after="0" w:line="277" w:lineRule="auto"/>
        <w:tabs>
          <w:tab w:leader="none" w:pos="274"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Effective Date and Approval of Stockholders</w:t>
      </w:r>
      <w:r>
        <w:rPr>
          <w:rFonts w:ascii="Arial" w:cs="Arial" w:eastAsia="Arial" w:hAnsi="Arial"/>
          <w:sz w:val="18"/>
          <w:szCs w:val="18"/>
          <w:color w:val="auto"/>
        </w:rPr>
        <w:t>. The Plan shall take effect on the later of the date it is adopted by the Board and the date it is approved by the holders of a majority of the votes cast at a meeting of stockholders at which a quorum is present.</w:t>
      </w:r>
    </w:p>
    <w:p>
      <w:pPr>
        <w:sectPr>
          <w:pgSz w:w="11900" w:h="16838" w:orient="portrait"/>
          <w:cols w:equalWidth="0" w:num="1">
            <w:col w:w="9953"/>
          </w:cols>
          <w:pgMar w:left="1427" w:top="274" w:right="519" w:bottom="1440" w:gutter="0" w:footer="0" w:header="0"/>
        </w:sectPr>
      </w:pPr>
    </w:p>
    <w:bookmarkStart w:id="53" w:name="page54"/>
    <w:bookmarkEnd w:id="53"/>
    <w:p>
      <w:pPr>
        <w:jc w:val="center"/>
        <w:ind w:right="-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APPENDIX A</w:t>
      </w:r>
    </w:p>
    <w:p>
      <w:pPr>
        <w:spacing w:after="0" w:line="225" w:lineRule="exact"/>
        <w:rPr>
          <w:sz w:val="20"/>
          <w:szCs w:val="20"/>
          <w:color w:val="auto"/>
        </w:rPr>
      </w:pPr>
    </w:p>
    <w:p>
      <w:pPr>
        <w:jc w:val="right"/>
        <w:ind w:right="3599"/>
        <w:spacing w:after="0"/>
        <w:rPr>
          <w:sz w:val="20"/>
          <w:szCs w:val="20"/>
          <w:color w:val="auto"/>
        </w:rPr>
      </w:pPr>
      <w:r>
        <w:rPr>
          <w:rFonts w:ascii="Arial" w:cs="Arial" w:eastAsia="Arial" w:hAnsi="Arial"/>
          <w:sz w:val="18"/>
          <w:szCs w:val="18"/>
          <w:b w:val="1"/>
          <w:bCs w:val="1"/>
          <w:u w:val="single" w:color="auto"/>
          <w:color w:val="auto"/>
        </w:rPr>
        <w:t>Designated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Disc Medicine Opco,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Disc Medicine Securities Corp.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Disc Medicine, B.V.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Gemini Therapeutics Sub, Inc.</w:t>
      </w:r>
    </w:p>
    <w:p>
      <w:pPr>
        <w:sectPr>
          <w:pgSz w:w="11900" w:h="16838" w:orient="portrait"/>
          <w:cols w:equalWidth="0" w:num="1">
            <w:col w:w="10019"/>
          </w:cols>
          <w:pgMar w:left="440" w:top="270" w:right="1440"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99.5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Reverse Stock Split</w:t>
      </w:r>
    </w:p>
    <w:p>
      <w:pPr>
        <w:spacing w:after="0" w:line="121"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color w:val="auto"/>
        </w:rPr>
        <w:t>On December 29, 2022, we effected a 1-for-10 reverse stock split of our common stock. The total number of authorized shares of capital stock was amended from 260,000,000 to 110,000,000. The par value per common share remained unchanged. The audited consolidated financial statements of Gemini Therapeutics, Inc. included in the Annual Report on Form 10-K for the year ended December 31, 2021, and the unaudited condensed consolidated financial statements included in our Quarterly Reports on Form 10-Q for the periods ended March 31, 2022, June 30, 2022, and September 30, 2022, that are incorporated by reference into this prospectus are presented without giving effect to the reverse stock split. Except where the context otherwise requires, share numbers in this prospectus reflect the 1-for-10 reverse stock split of our common stock.</w:t>
      </w:r>
    </w:p>
    <w:p>
      <w:pPr>
        <w:spacing w:after="0" w:line="178" w:lineRule="exact"/>
        <w:rPr>
          <w:sz w:val="20"/>
          <w:szCs w:val="20"/>
          <w:color w:val="auto"/>
        </w:rPr>
      </w:pPr>
    </w:p>
    <w:p>
      <w:pPr>
        <w:ind w:right="60" w:firstLine="440"/>
        <w:spacing w:after="0" w:line="291" w:lineRule="auto"/>
        <w:rPr>
          <w:sz w:val="20"/>
          <w:szCs w:val="20"/>
          <w:color w:val="auto"/>
        </w:rPr>
      </w:pPr>
      <w:r>
        <w:rPr>
          <w:rFonts w:ascii="Arial" w:cs="Arial" w:eastAsia="Arial" w:hAnsi="Arial"/>
          <w:sz w:val="16"/>
          <w:szCs w:val="16"/>
          <w:color w:val="auto"/>
        </w:rPr>
        <w:t>The following selected financial data has been derived from our audited consolidated financial statements included in our Annual Report on Form 10-K filed with the SEC on March 10, 2022, and our unaudited condensed consolidated financial statements included in our Quarterly Reports on Form 10-Q filed with the SEC on May 6, 2022, August 11, 2022, and November 10, 2022, as adjusted to reflect the reverse stock split for all periods presented. Our historical results are not indicative of the results that may be expected in the future and results of interim periods are not indicative of the results for the entire year. In addition, the below presented historical results do not present the pro forma impact of the reverse merger, as presented in the unaudited pro forma financial statements and accompanying notes for the nine months ended September 30, 2022, and the fiscal year ended December 31, 2021, contained in the Company’s Proxy Statement/Prospectus on Form S-4/A and incorporated herein by reference.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REPORTED (in thousands, except per share amounts):</w:t>
      </w:r>
    </w:p>
    <w:p>
      <w:pPr>
        <w:spacing w:after="0" w:line="235"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202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1"/>
              </w:rPr>
              <w:t>Years Ended</w:t>
            </w:r>
          </w:p>
        </w:tc>
      </w:tr>
      <w:tr>
        <w:trPr>
          <w:trHeight w:val="148"/>
        </w:trPr>
        <w:tc>
          <w:tcPr>
            <w:tcW w:w="6340" w:type="dxa"/>
            <w:vAlign w:val="bottom"/>
          </w:tcPr>
          <w:p>
            <w:pPr>
              <w:spacing w:after="0"/>
              <w:rPr>
                <w:sz w:val="12"/>
                <w:szCs w:val="12"/>
                <w:color w:val="auto"/>
              </w:rPr>
            </w:pPr>
          </w:p>
        </w:tc>
        <w:tc>
          <w:tcPr>
            <w:tcW w:w="202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634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4"/>
                <w:szCs w:val="14"/>
                <w:color w:val="auto"/>
              </w:rPr>
            </w:pPr>
          </w:p>
        </w:tc>
      </w:tr>
      <w:tr>
        <w:trPr>
          <w:trHeight w:val="209"/>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(71,869)</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(40,837)</w:t>
            </w:r>
          </w:p>
        </w:tc>
        <w:tc>
          <w:tcPr>
            <w:tcW w:w="6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Net loss per share, basic and diluted</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 (1.78)</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 (2.70)</w:t>
            </w: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basic and diluted</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40,362,303</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15,115,129</w:t>
            </w:r>
          </w:p>
        </w:tc>
      </w:tr>
      <w:tr>
        <w:trPr>
          <w:trHeight w:val="230"/>
        </w:trPr>
        <w:tc>
          <w:tcPr>
            <w:tcW w:w="6340" w:type="dxa"/>
            <w:vAlign w:val="bottom"/>
          </w:tcPr>
          <w:p>
            <w:pPr>
              <w:spacing w:after="0"/>
              <w:rPr>
                <w:sz w:val="20"/>
                <w:szCs w:val="20"/>
                <w:color w:val="auto"/>
              </w:rPr>
            </w:pPr>
            <w:r>
              <w:rPr>
                <w:rFonts w:ascii="Arial" w:cs="Arial" w:eastAsia="Arial" w:hAnsi="Arial"/>
                <w:sz w:val="18"/>
                <w:szCs w:val="18"/>
                <w:color w:val="auto"/>
              </w:rPr>
              <w:t>Common shares outstanding at year end</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43,208,159</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15,565,380</w:t>
            </w:r>
          </w:p>
        </w:tc>
      </w:tr>
      <w:tr>
        <w:trPr>
          <w:trHeight w:val="354"/>
        </w:trPr>
        <w:tc>
          <w:tcPr>
            <w:tcW w:w="6340" w:type="dxa"/>
            <w:vAlign w:val="bottom"/>
          </w:tcPr>
          <w:p>
            <w:pPr>
              <w:spacing w:after="0"/>
              <w:rPr>
                <w:sz w:val="24"/>
                <w:szCs w:val="24"/>
                <w:color w:val="auto"/>
              </w:rPr>
            </w:pPr>
          </w:p>
        </w:tc>
        <w:tc>
          <w:tcPr>
            <w:tcW w:w="20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5"/>
              </w:rPr>
              <w:t>Three Months Ended</w:t>
            </w:r>
          </w:p>
        </w:tc>
      </w:tr>
      <w:tr>
        <w:trPr>
          <w:trHeight w:val="148"/>
        </w:trPr>
        <w:tc>
          <w:tcPr>
            <w:tcW w:w="6340" w:type="dxa"/>
            <w:vAlign w:val="bottom"/>
          </w:tcPr>
          <w:p>
            <w:pPr>
              <w:spacing w:after="0"/>
              <w:rPr>
                <w:sz w:val="12"/>
                <w:szCs w:val="12"/>
                <w:color w:val="auto"/>
              </w:rPr>
            </w:pPr>
          </w:p>
        </w:tc>
        <w:tc>
          <w:tcPr>
            <w:tcW w:w="202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99"/>
              </w:rPr>
              <w:t>March 31,</w:t>
            </w:r>
          </w:p>
        </w:tc>
      </w:tr>
      <w:tr>
        <w:trPr>
          <w:trHeight w:val="171"/>
        </w:trPr>
        <w:tc>
          <w:tcPr>
            <w:tcW w:w="6340" w:type="dxa"/>
            <w:vAlign w:val="bottom"/>
          </w:tcPr>
          <w:p>
            <w:pPr>
              <w:spacing w:after="0"/>
              <w:rPr>
                <w:sz w:val="14"/>
                <w:szCs w:val="14"/>
                <w:color w:val="auto"/>
              </w:rPr>
            </w:pPr>
          </w:p>
        </w:tc>
        <w:tc>
          <w:tcPr>
            <w:tcW w:w="8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r>
      <w:tr>
        <w:trPr>
          <w:trHeight w:val="142"/>
        </w:trPr>
        <w:tc>
          <w:tcPr>
            <w:tcW w:w="6340" w:type="dxa"/>
            <w:vAlign w:val="bottom"/>
          </w:tcPr>
          <w:p>
            <w:pPr>
              <w:spacing w:after="0"/>
              <w:rPr>
                <w:sz w:val="12"/>
                <w:szCs w:val="12"/>
                <w:color w:val="auto"/>
              </w:rPr>
            </w:pPr>
          </w:p>
        </w:tc>
        <w:tc>
          <w:tcPr>
            <w:tcW w:w="1960" w:type="dxa"/>
            <w:vAlign w:val="bottom"/>
            <w:gridSpan w:val="3"/>
          </w:tcPr>
          <w:p>
            <w:pPr>
              <w:jc w:val="center"/>
              <w:spacing w:after="0" w:line="142" w:lineRule="exact"/>
              <w:rPr>
                <w:sz w:val="20"/>
                <w:szCs w:val="20"/>
                <w:color w:val="auto"/>
              </w:rPr>
            </w:pPr>
            <w:r>
              <w:rPr>
                <w:rFonts w:ascii="Arial" w:cs="Arial" w:eastAsia="Arial" w:hAnsi="Arial"/>
                <w:sz w:val="14"/>
                <w:szCs w:val="14"/>
                <w:color w:val="auto"/>
                <w:w w:val="95"/>
              </w:rPr>
              <w:t>(Unaudited)</w:t>
            </w:r>
          </w:p>
        </w:tc>
        <w:tc>
          <w:tcPr>
            <w:tcW w:w="60" w:type="dxa"/>
            <w:vAlign w:val="bottom"/>
          </w:tcPr>
          <w:p>
            <w:pPr>
              <w:spacing w:after="0"/>
              <w:rPr>
                <w:sz w:val="12"/>
                <w:szCs w:val="12"/>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 (15,231)</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 (19,048)</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Net loss per share, basic and diluted</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 (0.35)</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 (0.59)</w:t>
            </w: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basic and diluted</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43,212,803</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32,027,161</w:t>
            </w:r>
          </w:p>
        </w:tc>
      </w:tr>
      <w:tr>
        <w:trPr>
          <w:trHeight w:val="230"/>
        </w:trPr>
        <w:tc>
          <w:tcPr>
            <w:tcW w:w="6340" w:type="dxa"/>
            <w:vAlign w:val="bottom"/>
          </w:tcPr>
          <w:p>
            <w:pPr>
              <w:spacing w:after="0"/>
              <w:rPr>
                <w:sz w:val="20"/>
                <w:szCs w:val="20"/>
                <w:color w:val="auto"/>
              </w:rPr>
            </w:pPr>
            <w:r>
              <w:rPr>
                <w:rFonts w:ascii="Arial" w:cs="Arial" w:eastAsia="Arial" w:hAnsi="Arial"/>
                <w:sz w:val="18"/>
                <w:szCs w:val="18"/>
                <w:color w:val="auto"/>
              </w:rPr>
              <w:t>Common shares outstanding at period end</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43,227,159</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43,002,144</w:t>
            </w:r>
          </w:p>
        </w:tc>
      </w:tr>
      <w:tr>
        <w:trPr>
          <w:trHeight w:val="354"/>
        </w:trPr>
        <w:tc>
          <w:tcPr>
            <w:tcW w:w="6340" w:type="dxa"/>
            <w:vAlign w:val="bottom"/>
          </w:tcPr>
          <w:p>
            <w:pPr>
              <w:spacing w:after="0"/>
              <w:rPr>
                <w:sz w:val="24"/>
                <w:szCs w:val="24"/>
                <w:color w:val="auto"/>
              </w:rPr>
            </w:pPr>
          </w:p>
        </w:tc>
        <w:tc>
          <w:tcPr>
            <w:tcW w:w="20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5"/>
              </w:rPr>
              <w:t>Three Months Ended</w:t>
            </w:r>
          </w:p>
        </w:tc>
      </w:tr>
      <w:tr>
        <w:trPr>
          <w:trHeight w:val="148"/>
        </w:trPr>
        <w:tc>
          <w:tcPr>
            <w:tcW w:w="6340" w:type="dxa"/>
            <w:vAlign w:val="bottom"/>
          </w:tcPr>
          <w:p>
            <w:pPr>
              <w:spacing w:after="0"/>
              <w:rPr>
                <w:sz w:val="12"/>
                <w:szCs w:val="12"/>
                <w:color w:val="auto"/>
              </w:rPr>
            </w:pPr>
          </w:p>
        </w:tc>
        <w:tc>
          <w:tcPr>
            <w:tcW w:w="202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June 30,</w:t>
            </w:r>
          </w:p>
        </w:tc>
      </w:tr>
      <w:tr>
        <w:trPr>
          <w:trHeight w:val="171"/>
        </w:trPr>
        <w:tc>
          <w:tcPr>
            <w:tcW w:w="6340" w:type="dxa"/>
            <w:vAlign w:val="bottom"/>
          </w:tcPr>
          <w:p>
            <w:pPr>
              <w:spacing w:after="0"/>
              <w:rPr>
                <w:sz w:val="14"/>
                <w:szCs w:val="14"/>
                <w:color w:val="auto"/>
              </w:rPr>
            </w:pPr>
          </w:p>
        </w:tc>
        <w:tc>
          <w:tcPr>
            <w:tcW w:w="8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r>
      <w:tr>
        <w:trPr>
          <w:trHeight w:val="142"/>
        </w:trPr>
        <w:tc>
          <w:tcPr>
            <w:tcW w:w="6340" w:type="dxa"/>
            <w:vAlign w:val="bottom"/>
          </w:tcPr>
          <w:p>
            <w:pPr>
              <w:spacing w:after="0"/>
              <w:rPr>
                <w:sz w:val="12"/>
                <w:szCs w:val="12"/>
                <w:color w:val="auto"/>
              </w:rPr>
            </w:pPr>
          </w:p>
        </w:tc>
        <w:tc>
          <w:tcPr>
            <w:tcW w:w="1960" w:type="dxa"/>
            <w:vAlign w:val="bottom"/>
            <w:gridSpan w:val="3"/>
          </w:tcPr>
          <w:p>
            <w:pPr>
              <w:jc w:val="center"/>
              <w:spacing w:after="0" w:line="142" w:lineRule="exact"/>
              <w:rPr>
                <w:sz w:val="20"/>
                <w:szCs w:val="20"/>
                <w:color w:val="auto"/>
              </w:rPr>
            </w:pPr>
            <w:r>
              <w:rPr>
                <w:rFonts w:ascii="Arial" w:cs="Arial" w:eastAsia="Arial" w:hAnsi="Arial"/>
                <w:sz w:val="14"/>
                <w:szCs w:val="14"/>
                <w:color w:val="auto"/>
                <w:w w:val="95"/>
              </w:rPr>
              <w:t>(Unaudited)</w:t>
            </w:r>
          </w:p>
        </w:tc>
        <w:tc>
          <w:tcPr>
            <w:tcW w:w="60" w:type="dxa"/>
            <w:vAlign w:val="bottom"/>
          </w:tcPr>
          <w:p>
            <w:pPr>
              <w:spacing w:after="0"/>
              <w:rPr>
                <w:sz w:val="12"/>
                <w:szCs w:val="12"/>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 (7,090)</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 (16,447)</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Net loss per share, basic and diluted</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 (0.16)</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 (0.38)</w:t>
            </w: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basic and diluted</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43,230,523</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43,041,856</w:t>
            </w:r>
          </w:p>
        </w:tc>
      </w:tr>
      <w:tr>
        <w:trPr>
          <w:trHeight w:val="230"/>
        </w:trPr>
        <w:tc>
          <w:tcPr>
            <w:tcW w:w="6340" w:type="dxa"/>
            <w:vAlign w:val="bottom"/>
          </w:tcPr>
          <w:p>
            <w:pPr>
              <w:spacing w:after="0"/>
              <w:rPr>
                <w:sz w:val="20"/>
                <w:szCs w:val="20"/>
                <w:color w:val="auto"/>
              </w:rPr>
            </w:pPr>
            <w:r>
              <w:rPr>
                <w:rFonts w:ascii="Arial" w:cs="Arial" w:eastAsia="Arial" w:hAnsi="Arial"/>
                <w:sz w:val="18"/>
                <w:szCs w:val="18"/>
                <w:color w:val="auto"/>
              </w:rPr>
              <w:t>Common shares outstanding at period end</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43,244,453</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43,055,112</w:t>
            </w:r>
          </w:p>
        </w:tc>
      </w:tr>
    </w:tbl>
    <w:p>
      <w:pPr>
        <w:sectPr>
          <w:pgSz w:w="11900" w:h="16838" w:orient="portrait"/>
          <w:cols w:equalWidth="0" w:num="1">
            <w:col w:w="11020"/>
          </w:cols>
          <w:pgMar w:left="440" w:top="121" w:right="439" w:bottom="1440" w:gutter="0" w:footer="0" w:header="0"/>
        </w:sectPr>
      </w:pPr>
    </w:p>
    <w:bookmarkStart w:id="55" w:name="page56"/>
    <w:bookmarkEnd w:id="5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Net loss and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-121920</wp:posOffset>
            </wp:positionV>
            <wp:extent cx="5314950" cy="1371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3">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Net loss per share,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5715</wp:posOffset>
            </wp:positionV>
            <wp:extent cx="5314950" cy="1371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4">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ind w:left="1320" w:right="960"/>
        <w:spacing w:after="0" w:line="260" w:lineRule="auto"/>
        <w:rPr>
          <w:sz w:val="20"/>
          <w:szCs w:val="20"/>
          <w:color w:val="auto"/>
        </w:rPr>
      </w:pPr>
      <w:r>
        <w:rPr>
          <w:rFonts w:ascii="Arial" w:cs="Arial" w:eastAsia="Arial" w:hAnsi="Arial"/>
          <w:sz w:val="18"/>
          <w:szCs w:val="18"/>
          <w:color w:val="auto"/>
        </w:rPr>
        <w:t>Weighted average common shares outstanding, basic and diluted Common shares outstanding at period 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Net loss and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-121920</wp:posOffset>
            </wp:positionV>
            <wp:extent cx="5314950" cy="1371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5">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Net loss per share,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5715</wp:posOffset>
            </wp:positionV>
            <wp:extent cx="5314950" cy="1371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6">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ind w:left="1320" w:right="960"/>
        <w:spacing w:after="0" w:line="260" w:lineRule="auto"/>
        <w:rPr>
          <w:sz w:val="20"/>
          <w:szCs w:val="20"/>
          <w:color w:val="auto"/>
        </w:rPr>
      </w:pPr>
      <w:r>
        <w:rPr>
          <w:rFonts w:ascii="Arial" w:cs="Arial" w:eastAsia="Arial" w:hAnsi="Arial"/>
          <w:sz w:val="18"/>
          <w:szCs w:val="18"/>
          <w:color w:val="auto"/>
        </w:rPr>
        <w:t>Weighted average common shares outstanding, basic and diluted Common shares outstanding at period 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Net loss and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-121920</wp:posOffset>
            </wp:positionV>
            <wp:extent cx="5314950" cy="1371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7">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Net loss per share,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5715</wp:posOffset>
            </wp:positionV>
            <wp:extent cx="5314950" cy="1371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8">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ind w:left="1320" w:right="960"/>
        <w:spacing w:after="0" w:line="260" w:lineRule="auto"/>
        <w:rPr>
          <w:sz w:val="20"/>
          <w:szCs w:val="20"/>
          <w:color w:val="auto"/>
        </w:rPr>
      </w:pPr>
      <w:r>
        <w:rPr>
          <w:rFonts w:ascii="Arial" w:cs="Arial" w:eastAsia="Arial" w:hAnsi="Arial"/>
          <w:sz w:val="18"/>
          <w:szCs w:val="18"/>
          <w:color w:val="auto"/>
        </w:rPr>
        <w:t>Weighted average common shares outstanding, basic and diluted Common shares outstanding at period end</w:t>
      </w:r>
    </w:p>
    <w:p>
      <w:pPr>
        <w:spacing w:after="0" w:line="20" w:lineRule="exact"/>
        <w:rPr>
          <w:sz w:val="20"/>
          <w:szCs w:val="20"/>
          <w:color w:val="auto"/>
        </w:rPr>
      </w:pPr>
      <w:r>
        <w:rPr>
          <w:sz w:val="20"/>
          <w:szCs w:val="20"/>
          <w:color w:val="auto"/>
        </w:rPr>
        <w:br w:type="column"/>
      </w:r>
    </w:p>
    <w:p>
      <w:pPr>
        <w:jc w:val="center"/>
        <w:ind w:right="399"/>
        <w:spacing w:after="0"/>
        <w:rPr>
          <w:sz w:val="20"/>
          <w:szCs w:val="20"/>
          <w:color w:val="auto"/>
        </w:rPr>
      </w:pPr>
      <w:r>
        <w:rPr>
          <w:rFonts w:ascii="Arial" w:cs="Arial" w:eastAsia="Arial" w:hAnsi="Arial"/>
          <w:sz w:val="14"/>
          <w:szCs w:val="14"/>
          <w:b w:val="1"/>
          <w:bCs w:val="1"/>
          <w:color w:val="auto"/>
        </w:rPr>
        <w:t>Six Months Ended</w:t>
      </w:r>
    </w:p>
    <w:p>
      <w:pPr>
        <w:jc w:val="center"/>
        <w:ind w:right="399"/>
        <w:spacing w:after="0" w:line="226" w:lineRule="auto"/>
        <w:rPr>
          <w:sz w:val="20"/>
          <w:szCs w:val="20"/>
          <w:color w:val="auto"/>
        </w:rPr>
      </w:pPr>
      <w:r>
        <w:rPr>
          <w:rFonts w:ascii="Arial" w:cs="Arial" w:eastAsia="Arial" w:hAnsi="Arial"/>
          <w:sz w:val="14"/>
          <w:szCs w:val="14"/>
          <w:b w:val="1"/>
          <w:bCs w:val="1"/>
          <w:color w:val="auto"/>
        </w:rPr>
        <w:t>June 30,</w:t>
      </w:r>
    </w:p>
    <w:tbl>
      <w:tblPr>
        <w:tblLayout w:type="fixed"/>
        <w:tblInd w:w="0" w:type="dxa"/>
        <w:tblCellMar>
          <w:top w:w="0" w:type="dxa"/>
          <w:left w:w="0" w:type="dxa"/>
          <w:bottom w:w="0" w:type="dxa"/>
          <w:right w:w="0" w:type="dxa"/>
        </w:tblCellMar>
      </w:tblPr>
      <w:tr>
        <w:trPr>
          <w:trHeight w:val="156"/>
        </w:trPr>
        <w:tc>
          <w:tcPr>
            <w:tcW w:w="1020" w:type="dxa"/>
            <w:vAlign w:val="bottom"/>
            <w:tcBorders>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2022</w:t>
            </w:r>
          </w:p>
        </w:tc>
        <w:tc>
          <w:tcPr>
            <w:tcW w:w="940" w:type="dxa"/>
            <w:vAlign w:val="bottom"/>
            <w:tcBorders>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3"/>
                <w:szCs w:val="13"/>
                <w:color w:val="auto"/>
              </w:rPr>
            </w:pPr>
          </w:p>
        </w:tc>
      </w:tr>
      <w:tr>
        <w:trPr>
          <w:trHeight w:val="128"/>
        </w:trPr>
        <w:tc>
          <w:tcPr>
            <w:tcW w:w="1960" w:type="dxa"/>
            <w:vAlign w:val="bottom"/>
            <w:gridSpan w:val="2"/>
          </w:tcPr>
          <w:p>
            <w:pPr>
              <w:jc w:val="right"/>
              <w:ind w:right="534"/>
              <w:spacing w:after="0" w:line="128" w:lineRule="exact"/>
              <w:rPr>
                <w:sz w:val="20"/>
                <w:szCs w:val="20"/>
                <w:color w:val="auto"/>
              </w:rPr>
            </w:pPr>
            <w:r>
              <w:rPr>
                <w:rFonts w:ascii="Arial" w:cs="Arial" w:eastAsia="Arial" w:hAnsi="Arial"/>
                <w:sz w:val="14"/>
                <w:szCs w:val="14"/>
                <w:color w:val="auto"/>
              </w:rPr>
              <w:t>(Unaudited)</w:t>
            </w:r>
          </w:p>
        </w:tc>
        <w:tc>
          <w:tcPr>
            <w:tcW w:w="20" w:type="dxa"/>
            <w:vAlign w:val="bottom"/>
          </w:tcPr>
          <w:p>
            <w:pPr>
              <w:spacing w:after="0"/>
              <w:rPr>
                <w:sz w:val="11"/>
                <w:szCs w:val="11"/>
                <w:color w:val="auto"/>
              </w:rPr>
            </w:pPr>
          </w:p>
        </w:tc>
      </w:tr>
      <w:tr>
        <w:trPr>
          <w:trHeight w:val="216"/>
        </w:trPr>
        <w:tc>
          <w:tcPr>
            <w:tcW w:w="1020" w:type="dxa"/>
            <w:vAlign w:val="bottom"/>
          </w:tcPr>
          <w:p>
            <w:pPr>
              <w:jc w:val="right"/>
              <w:ind w:right="76"/>
              <w:spacing w:after="0"/>
              <w:rPr>
                <w:sz w:val="20"/>
                <w:szCs w:val="20"/>
                <w:color w:val="auto"/>
              </w:rPr>
            </w:pPr>
            <w:r>
              <w:rPr>
                <w:rFonts w:ascii="Arial" w:cs="Arial" w:eastAsia="Arial" w:hAnsi="Arial"/>
                <w:sz w:val="18"/>
                <w:szCs w:val="18"/>
                <w:color w:val="auto"/>
              </w:rPr>
              <w:t>$ (22,321)</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 (35,495)</w:t>
            </w:r>
          </w:p>
        </w:tc>
      </w:tr>
      <w:tr>
        <w:trPr>
          <w:trHeight w:val="216"/>
        </w:trPr>
        <w:tc>
          <w:tcPr>
            <w:tcW w:w="1020" w:type="dxa"/>
            <w:vAlign w:val="bottom"/>
          </w:tcPr>
          <w:p>
            <w:pPr>
              <w:jc w:val="right"/>
              <w:ind w:right="76"/>
              <w:spacing w:after="0"/>
              <w:rPr>
                <w:sz w:val="20"/>
                <w:szCs w:val="20"/>
                <w:color w:val="auto"/>
              </w:rPr>
            </w:pPr>
            <w:r>
              <w:rPr>
                <w:rFonts w:ascii="Arial" w:cs="Arial" w:eastAsia="Arial" w:hAnsi="Arial"/>
                <w:sz w:val="18"/>
                <w:szCs w:val="18"/>
                <w:color w:val="auto"/>
              </w:rPr>
              <w:t>$ (0.52)</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 (0.94)</w:t>
            </w:r>
          </w:p>
        </w:tc>
      </w:tr>
      <w:tr>
        <w:trPr>
          <w:trHeight w:val="216"/>
        </w:trPr>
        <w:tc>
          <w:tcPr>
            <w:tcW w:w="1020" w:type="dxa"/>
            <w:vAlign w:val="bottom"/>
          </w:tcPr>
          <w:p>
            <w:pPr>
              <w:jc w:val="right"/>
              <w:ind w:right="76"/>
              <w:spacing w:after="0"/>
              <w:rPr>
                <w:sz w:val="20"/>
                <w:szCs w:val="20"/>
                <w:color w:val="auto"/>
              </w:rPr>
            </w:pPr>
            <w:r>
              <w:rPr>
                <w:rFonts w:ascii="Arial" w:cs="Arial" w:eastAsia="Arial" w:hAnsi="Arial"/>
                <w:sz w:val="18"/>
                <w:szCs w:val="18"/>
                <w:color w:val="auto"/>
                <w:w w:val="93"/>
              </w:rPr>
              <w:t>43,221,712</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37,564,936</w:t>
            </w:r>
          </w:p>
        </w:tc>
      </w:tr>
      <w:tr>
        <w:trPr>
          <w:trHeight w:val="230"/>
        </w:trPr>
        <w:tc>
          <w:tcPr>
            <w:tcW w:w="1020" w:type="dxa"/>
            <w:vAlign w:val="bottom"/>
          </w:tcPr>
          <w:p>
            <w:pPr>
              <w:jc w:val="right"/>
              <w:ind w:right="76"/>
              <w:spacing w:after="0"/>
              <w:rPr>
                <w:sz w:val="20"/>
                <w:szCs w:val="20"/>
                <w:color w:val="auto"/>
              </w:rPr>
            </w:pPr>
            <w:r>
              <w:rPr>
                <w:rFonts w:ascii="Arial" w:cs="Arial" w:eastAsia="Arial" w:hAnsi="Arial"/>
                <w:sz w:val="18"/>
                <w:szCs w:val="18"/>
                <w:color w:val="auto"/>
                <w:w w:val="93"/>
              </w:rPr>
              <w:t>43,244,453</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43,055,112</w:t>
            </w:r>
          </w:p>
        </w:tc>
      </w:tr>
    </w:tbl>
    <w:p>
      <w:pPr>
        <w:spacing w:after="0" w:line="220" w:lineRule="exact"/>
        <w:rPr>
          <w:sz w:val="20"/>
          <w:szCs w:val="20"/>
          <w:color w:val="auto"/>
        </w:rPr>
      </w:pPr>
    </w:p>
    <w:p>
      <w:pPr>
        <w:jc w:val="center"/>
        <w:ind w:right="399"/>
        <w:spacing w:after="0"/>
        <w:rPr>
          <w:sz w:val="20"/>
          <w:szCs w:val="20"/>
          <w:color w:val="auto"/>
        </w:rPr>
      </w:pPr>
      <w:r>
        <w:rPr>
          <w:rFonts w:ascii="Arial" w:cs="Arial" w:eastAsia="Arial" w:hAnsi="Arial"/>
          <w:sz w:val="14"/>
          <w:szCs w:val="14"/>
          <w:b w:val="1"/>
          <w:bCs w:val="1"/>
          <w:color w:val="auto"/>
        </w:rPr>
        <w:t>Three Months Ended</w:t>
      </w:r>
    </w:p>
    <w:p>
      <w:pPr>
        <w:jc w:val="center"/>
        <w:ind w:right="399"/>
        <w:spacing w:after="0" w:line="226" w:lineRule="auto"/>
        <w:rPr>
          <w:sz w:val="20"/>
          <w:szCs w:val="20"/>
          <w:color w:val="auto"/>
        </w:rPr>
      </w:pPr>
      <w:r>
        <w:rPr>
          <w:rFonts w:ascii="Arial" w:cs="Arial" w:eastAsia="Arial" w:hAnsi="Arial"/>
          <w:sz w:val="14"/>
          <w:szCs w:val="14"/>
          <w:b w:val="1"/>
          <w:bCs w:val="1"/>
          <w:color w:val="auto"/>
        </w:rPr>
        <w:t>September 30,</w:t>
      </w:r>
    </w:p>
    <w:tbl>
      <w:tblPr>
        <w:tblLayout w:type="fixed"/>
        <w:tblInd w:w="0" w:type="dxa"/>
        <w:tblCellMar>
          <w:top w:w="0" w:type="dxa"/>
          <w:left w:w="0" w:type="dxa"/>
          <w:bottom w:w="0" w:type="dxa"/>
          <w:right w:w="0" w:type="dxa"/>
        </w:tblCellMar>
      </w:tblPr>
      <w:tr>
        <w:trPr>
          <w:trHeight w:val="156"/>
        </w:trPr>
        <w:tc>
          <w:tcPr>
            <w:tcW w:w="1020" w:type="dxa"/>
            <w:vAlign w:val="bottom"/>
            <w:tcBorders>
              <w:bottom w:val="single" w:sz="8" w:color="auto"/>
            </w:tcBorders>
          </w:tcPr>
          <w:p>
            <w:pPr>
              <w:jc w:val="right"/>
              <w:ind w:right="356"/>
              <w:spacing w:after="0" w:line="156" w:lineRule="exact"/>
              <w:rPr>
                <w:sz w:val="20"/>
                <w:szCs w:val="20"/>
                <w:color w:val="auto"/>
              </w:rPr>
            </w:pPr>
            <w:r>
              <w:rPr>
                <w:rFonts w:ascii="Arial" w:cs="Arial" w:eastAsia="Arial" w:hAnsi="Arial"/>
                <w:sz w:val="14"/>
                <w:szCs w:val="14"/>
                <w:b w:val="1"/>
                <w:bCs w:val="1"/>
                <w:color w:val="auto"/>
              </w:rPr>
              <w:t>2022</w:t>
            </w:r>
          </w:p>
        </w:tc>
        <w:tc>
          <w:tcPr>
            <w:tcW w:w="940" w:type="dxa"/>
            <w:vAlign w:val="bottom"/>
            <w:tcBorders>
              <w:bottom w:val="single" w:sz="8" w:color="auto"/>
            </w:tcBorders>
          </w:tcPr>
          <w:p>
            <w:pPr>
              <w:jc w:val="right"/>
              <w:ind w:right="214"/>
              <w:spacing w:after="0" w:line="156" w:lineRule="exact"/>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3"/>
                <w:szCs w:val="13"/>
                <w:color w:val="auto"/>
              </w:rPr>
            </w:pPr>
          </w:p>
        </w:tc>
      </w:tr>
      <w:tr>
        <w:trPr>
          <w:trHeight w:val="128"/>
        </w:trPr>
        <w:tc>
          <w:tcPr>
            <w:tcW w:w="1960" w:type="dxa"/>
            <w:vAlign w:val="bottom"/>
            <w:gridSpan w:val="2"/>
          </w:tcPr>
          <w:p>
            <w:pPr>
              <w:jc w:val="right"/>
              <w:ind w:right="534"/>
              <w:spacing w:after="0" w:line="128" w:lineRule="exact"/>
              <w:rPr>
                <w:sz w:val="20"/>
                <w:szCs w:val="20"/>
                <w:color w:val="auto"/>
              </w:rPr>
            </w:pPr>
            <w:r>
              <w:rPr>
                <w:rFonts w:ascii="Arial" w:cs="Arial" w:eastAsia="Arial" w:hAnsi="Arial"/>
                <w:sz w:val="14"/>
                <w:szCs w:val="14"/>
                <w:color w:val="auto"/>
              </w:rPr>
              <w:t>(Unaudited)</w:t>
            </w:r>
          </w:p>
        </w:tc>
        <w:tc>
          <w:tcPr>
            <w:tcW w:w="20" w:type="dxa"/>
            <w:vAlign w:val="bottom"/>
          </w:tcPr>
          <w:p>
            <w:pPr>
              <w:spacing w:after="0"/>
              <w:rPr>
                <w:sz w:val="11"/>
                <w:szCs w:val="11"/>
                <w:color w:val="auto"/>
              </w:rPr>
            </w:pPr>
          </w:p>
        </w:tc>
      </w:tr>
      <w:tr>
        <w:trPr>
          <w:trHeight w:val="216"/>
        </w:trPr>
        <w:tc>
          <w:tcPr>
            <w:tcW w:w="1020" w:type="dxa"/>
            <w:vAlign w:val="bottom"/>
          </w:tcPr>
          <w:p>
            <w:pPr>
              <w:jc w:val="right"/>
              <w:ind w:right="76"/>
              <w:spacing w:after="0"/>
              <w:rPr>
                <w:sz w:val="20"/>
                <w:szCs w:val="20"/>
                <w:color w:val="auto"/>
              </w:rPr>
            </w:pPr>
            <w:r>
              <w:rPr>
                <w:rFonts w:ascii="Arial" w:cs="Arial" w:eastAsia="Arial" w:hAnsi="Arial"/>
                <w:sz w:val="18"/>
                <w:szCs w:val="18"/>
                <w:color w:val="auto"/>
              </w:rPr>
              <w:t>$ (3,277)</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 (18,551)</w:t>
            </w:r>
          </w:p>
        </w:tc>
      </w:tr>
      <w:tr>
        <w:trPr>
          <w:trHeight w:val="216"/>
        </w:trPr>
        <w:tc>
          <w:tcPr>
            <w:tcW w:w="1020" w:type="dxa"/>
            <w:vAlign w:val="bottom"/>
          </w:tcPr>
          <w:p>
            <w:pPr>
              <w:jc w:val="right"/>
              <w:ind w:right="76"/>
              <w:spacing w:after="0"/>
              <w:rPr>
                <w:sz w:val="20"/>
                <w:szCs w:val="20"/>
                <w:color w:val="auto"/>
              </w:rPr>
            </w:pPr>
            <w:r>
              <w:rPr>
                <w:rFonts w:ascii="Arial" w:cs="Arial" w:eastAsia="Arial" w:hAnsi="Arial"/>
                <w:sz w:val="18"/>
                <w:szCs w:val="18"/>
                <w:color w:val="auto"/>
              </w:rPr>
              <w:t>$ (0.08)</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 (0.43)</w:t>
            </w:r>
          </w:p>
        </w:tc>
      </w:tr>
      <w:tr>
        <w:trPr>
          <w:trHeight w:val="216"/>
        </w:trPr>
        <w:tc>
          <w:tcPr>
            <w:tcW w:w="1020" w:type="dxa"/>
            <w:vAlign w:val="bottom"/>
          </w:tcPr>
          <w:p>
            <w:pPr>
              <w:jc w:val="right"/>
              <w:ind w:right="76"/>
              <w:spacing w:after="0"/>
              <w:rPr>
                <w:sz w:val="20"/>
                <w:szCs w:val="20"/>
                <w:color w:val="auto"/>
              </w:rPr>
            </w:pPr>
            <w:r>
              <w:rPr>
                <w:rFonts w:ascii="Arial" w:cs="Arial" w:eastAsia="Arial" w:hAnsi="Arial"/>
                <w:sz w:val="18"/>
                <w:szCs w:val="18"/>
                <w:color w:val="auto"/>
                <w:w w:val="93"/>
              </w:rPr>
              <w:t>43,264,616</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43,091,822</w:t>
            </w:r>
          </w:p>
        </w:tc>
      </w:tr>
      <w:tr>
        <w:trPr>
          <w:trHeight w:val="230"/>
        </w:trPr>
        <w:tc>
          <w:tcPr>
            <w:tcW w:w="1020" w:type="dxa"/>
            <w:vAlign w:val="bottom"/>
          </w:tcPr>
          <w:p>
            <w:pPr>
              <w:jc w:val="right"/>
              <w:ind w:right="76"/>
              <w:spacing w:after="0"/>
              <w:rPr>
                <w:sz w:val="20"/>
                <w:szCs w:val="20"/>
                <w:color w:val="auto"/>
              </w:rPr>
            </w:pPr>
            <w:r>
              <w:rPr>
                <w:rFonts w:ascii="Arial" w:cs="Arial" w:eastAsia="Arial" w:hAnsi="Arial"/>
                <w:sz w:val="18"/>
                <w:szCs w:val="18"/>
                <w:color w:val="auto"/>
                <w:w w:val="93"/>
              </w:rPr>
              <w:t>43,299,453</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43,112,742</w:t>
            </w:r>
          </w:p>
        </w:tc>
      </w:tr>
    </w:tbl>
    <w:p>
      <w:pPr>
        <w:spacing w:after="0" w:line="220" w:lineRule="exact"/>
        <w:rPr>
          <w:sz w:val="20"/>
          <w:szCs w:val="20"/>
          <w:color w:val="auto"/>
        </w:rPr>
      </w:pPr>
    </w:p>
    <w:p>
      <w:pPr>
        <w:jc w:val="center"/>
        <w:ind w:right="399"/>
        <w:spacing w:after="0"/>
        <w:rPr>
          <w:sz w:val="20"/>
          <w:szCs w:val="20"/>
          <w:color w:val="auto"/>
        </w:rPr>
      </w:pPr>
      <w:r>
        <w:rPr>
          <w:rFonts w:ascii="Arial" w:cs="Arial" w:eastAsia="Arial" w:hAnsi="Arial"/>
          <w:sz w:val="14"/>
          <w:szCs w:val="14"/>
          <w:b w:val="1"/>
          <w:bCs w:val="1"/>
          <w:color w:val="auto"/>
        </w:rPr>
        <w:t>Nine Months Ended</w:t>
      </w:r>
    </w:p>
    <w:p>
      <w:pPr>
        <w:jc w:val="center"/>
        <w:ind w:right="399"/>
        <w:spacing w:after="0" w:line="226" w:lineRule="auto"/>
        <w:rPr>
          <w:sz w:val="20"/>
          <w:szCs w:val="20"/>
          <w:color w:val="auto"/>
        </w:rPr>
      </w:pPr>
      <w:r>
        <w:rPr>
          <w:rFonts w:ascii="Arial" w:cs="Arial" w:eastAsia="Arial" w:hAnsi="Arial"/>
          <w:sz w:val="14"/>
          <w:szCs w:val="14"/>
          <w:b w:val="1"/>
          <w:bCs w:val="1"/>
          <w:color w:val="auto"/>
        </w:rPr>
        <w:t>September 30,</w:t>
      </w:r>
    </w:p>
    <w:tbl>
      <w:tblPr>
        <w:tblLayout w:type="fixed"/>
        <w:tblInd w:w="0" w:type="dxa"/>
        <w:tblCellMar>
          <w:top w:w="0" w:type="dxa"/>
          <w:left w:w="0" w:type="dxa"/>
          <w:bottom w:w="0" w:type="dxa"/>
          <w:right w:w="0" w:type="dxa"/>
        </w:tblCellMar>
      </w:tblPr>
      <w:tr>
        <w:trPr>
          <w:trHeight w:val="156"/>
        </w:trPr>
        <w:tc>
          <w:tcPr>
            <w:tcW w:w="1020" w:type="dxa"/>
            <w:vAlign w:val="bottom"/>
            <w:tcBorders>
              <w:bottom w:val="single" w:sz="8" w:color="auto"/>
            </w:tcBorders>
          </w:tcPr>
          <w:p>
            <w:pPr>
              <w:jc w:val="right"/>
              <w:ind w:right="356"/>
              <w:spacing w:after="0" w:line="156" w:lineRule="exact"/>
              <w:rPr>
                <w:sz w:val="20"/>
                <w:szCs w:val="20"/>
                <w:color w:val="auto"/>
              </w:rPr>
            </w:pPr>
            <w:r>
              <w:rPr>
                <w:rFonts w:ascii="Arial" w:cs="Arial" w:eastAsia="Arial" w:hAnsi="Arial"/>
                <w:sz w:val="14"/>
                <w:szCs w:val="14"/>
                <w:b w:val="1"/>
                <w:bCs w:val="1"/>
                <w:color w:val="auto"/>
              </w:rPr>
              <w:t>2022</w:t>
            </w:r>
          </w:p>
        </w:tc>
        <w:tc>
          <w:tcPr>
            <w:tcW w:w="940" w:type="dxa"/>
            <w:vAlign w:val="bottom"/>
            <w:tcBorders>
              <w:bottom w:val="single" w:sz="8" w:color="auto"/>
            </w:tcBorders>
          </w:tcPr>
          <w:p>
            <w:pPr>
              <w:jc w:val="right"/>
              <w:ind w:right="214"/>
              <w:spacing w:after="0" w:line="156" w:lineRule="exact"/>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3"/>
                <w:szCs w:val="13"/>
                <w:color w:val="auto"/>
              </w:rPr>
            </w:pPr>
          </w:p>
        </w:tc>
      </w:tr>
      <w:tr>
        <w:trPr>
          <w:trHeight w:val="128"/>
        </w:trPr>
        <w:tc>
          <w:tcPr>
            <w:tcW w:w="1960" w:type="dxa"/>
            <w:vAlign w:val="bottom"/>
            <w:gridSpan w:val="2"/>
          </w:tcPr>
          <w:p>
            <w:pPr>
              <w:jc w:val="right"/>
              <w:ind w:right="534"/>
              <w:spacing w:after="0" w:line="128" w:lineRule="exact"/>
              <w:rPr>
                <w:sz w:val="20"/>
                <w:szCs w:val="20"/>
                <w:color w:val="auto"/>
              </w:rPr>
            </w:pPr>
            <w:r>
              <w:rPr>
                <w:rFonts w:ascii="Arial" w:cs="Arial" w:eastAsia="Arial" w:hAnsi="Arial"/>
                <w:sz w:val="14"/>
                <w:szCs w:val="14"/>
                <w:color w:val="auto"/>
              </w:rPr>
              <w:t>(Unaudited)</w:t>
            </w:r>
          </w:p>
        </w:tc>
        <w:tc>
          <w:tcPr>
            <w:tcW w:w="20" w:type="dxa"/>
            <w:vAlign w:val="bottom"/>
          </w:tcPr>
          <w:p>
            <w:pPr>
              <w:spacing w:after="0"/>
              <w:rPr>
                <w:sz w:val="11"/>
                <w:szCs w:val="11"/>
                <w:color w:val="auto"/>
              </w:rPr>
            </w:pPr>
          </w:p>
        </w:tc>
      </w:tr>
      <w:tr>
        <w:trPr>
          <w:trHeight w:val="216"/>
        </w:trPr>
        <w:tc>
          <w:tcPr>
            <w:tcW w:w="1020" w:type="dxa"/>
            <w:vAlign w:val="bottom"/>
          </w:tcPr>
          <w:p>
            <w:pPr>
              <w:jc w:val="right"/>
              <w:ind w:right="76"/>
              <w:spacing w:after="0"/>
              <w:rPr>
                <w:sz w:val="20"/>
                <w:szCs w:val="20"/>
                <w:color w:val="auto"/>
              </w:rPr>
            </w:pPr>
            <w:r>
              <w:rPr>
                <w:rFonts w:ascii="Arial" w:cs="Arial" w:eastAsia="Arial" w:hAnsi="Arial"/>
                <w:sz w:val="18"/>
                <w:szCs w:val="18"/>
                <w:color w:val="auto"/>
              </w:rPr>
              <w:t>$ (25,598)</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 (54,046)</w:t>
            </w:r>
          </w:p>
        </w:tc>
      </w:tr>
      <w:tr>
        <w:trPr>
          <w:trHeight w:val="216"/>
        </w:trPr>
        <w:tc>
          <w:tcPr>
            <w:tcW w:w="1020" w:type="dxa"/>
            <w:vAlign w:val="bottom"/>
          </w:tcPr>
          <w:p>
            <w:pPr>
              <w:jc w:val="right"/>
              <w:ind w:right="76"/>
              <w:spacing w:after="0"/>
              <w:rPr>
                <w:sz w:val="20"/>
                <w:szCs w:val="20"/>
                <w:color w:val="auto"/>
              </w:rPr>
            </w:pPr>
            <w:r>
              <w:rPr>
                <w:rFonts w:ascii="Arial" w:cs="Arial" w:eastAsia="Arial" w:hAnsi="Arial"/>
                <w:sz w:val="18"/>
                <w:szCs w:val="18"/>
                <w:color w:val="auto"/>
              </w:rPr>
              <w:t>$ (0.59)</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 (1.37)</w:t>
            </w:r>
          </w:p>
        </w:tc>
      </w:tr>
      <w:tr>
        <w:trPr>
          <w:trHeight w:val="216"/>
        </w:trPr>
        <w:tc>
          <w:tcPr>
            <w:tcW w:w="1020" w:type="dxa"/>
            <w:vAlign w:val="bottom"/>
          </w:tcPr>
          <w:p>
            <w:pPr>
              <w:jc w:val="right"/>
              <w:ind w:right="76"/>
              <w:spacing w:after="0"/>
              <w:rPr>
                <w:sz w:val="20"/>
                <w:szCs w:val="20"/>
                <w:color w:val="auto"/>
              </w:rPr>
            </w:pPr>
            <w:r>
              <w:rPr>
                <w:rFonts w:ascii="Arial" w:cs="Arial" w:eastAsia="Arial" w:hAnsi="Arial"/>
                <w:sz w:val="18"/>
                <w:szCs w:val="18"/>
                <w:color w:val="auto"/>
                <w:w w:val="93"/>
              </w:rPr>
              <w:t>43,236,171</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39,427,476</w:t>
            </w:r>
          </w:p>
        </w:tc>
      </w:tr>
      <w:tr>
        <w:trPr>
          <w:trHeight w:val="230"/>
        </w:trPr>
        <w:tc>
          <w:tcPr>
            <w:tcW w:w="1020" w:type="dxa"/>
            <w:vAlign w:val="bottom"/>
          </w:tcPr>
          <w:p>
            <w:pPr>
              <w:jc w:val="right"/>
              <w:ind w:right="76"/>
              <w:spacing w:after="0"/>
              <w:rPr>
                <w:sz w:val="20"/>
                <w:szCs w:val="20"/>
                <w:color w:val="auto"/>
              </w:rPr>
            </w:pPr>
            <w:r>
              <w:rPr>
                <w:rFonts w:ascii="Arial" w:cs="Arial" w:eastAsia="Arial" w:hAnsi="Arial"/>
                <w:sz w:val="18"/>
                <w:szCs w:val="18"/>
                <w:color w:val="auto"/>
                <w:w w:val="93"/>
              </w:rPr>
              <w:t>43,299,453</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43,112,742</w:t>
            </w:r>
          </w:p>
        </w:tc>
      </w:tr>
    </w:tbl>
    <w:p>
      <w:pPr>
        <w:spacing w:after="0" w:line="216" w:lineRule="exact"/>
        <w:rPr>
          <w:sz w:val="20"/>
          <w:szCs w:val="20"/>
          <w:color w:val="auto"/>
        </w:rPr>
      </w:pPr>
    </w:p>
    <w:p>
      <w:pPr>
        <w:sectPr>
          <w:pgSz w:w="11900" w:h="16838" w:orient="portrait"/>
          <w:cols w:equalWidth="0" w:num="2">
            <w:col w:w="6940" w:space="720"/>
            <w:col w:w="2359"/>
          </w:cols>
          <w:pgMar w:left="440" w:top="265" w:right="1440" w:bottom="1440" w:gutter="0" w:footer="0" w:header="0"/>
        </w:sectPr>
      </w:pP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 ADJUSTED FOR 1-FOR-10 REVERSE STOCK SPLIT (unaudited, in thousands, except per share amounts):</w:t>
      </w:r>
    </w:p>
    <w:p>
      <w:pPr>
        <w:sectPr>
          <w:pgSz w:w="11900" w:h="16838" w:orient="portrait"/>
          <w:cols w:equalWidth="0" w:num="1">
            <w:col w:w="10019"/>
          </w:cols>
          <w:pgMar w:left="440" w:top="26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Net loss and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-121920</wp:posOffset>
            </wp:positionV>
            <wp:extent cx="5314950" cy="1371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9">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Net loss per share,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5715</wp:posOffset>
            </wp:positionV>
            <wp:extent cx="5314950" cy="1371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0">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ind w:left="1320" w:right="1100"/>
        <w:spacing w:after="0" w:line="260" w:lineRule="auto"/>
        <w:rPr>
          <w:sz w:val="20"/>
          <w:szCs w:val="20"/>
          <w:color w:val="auto"/>
        </w:rPr>
      </w:pPr>
      <w:r>
        <w:rPr>
          <w:rFonts w:ascii="Arial" w:cs="Arial" w:eastAsia="Arial" w:hAnsi="Arial"/>
          <w:sz w:val="18"/>
          <w:szCs w:val="18"/>
          <w:color w:val="auto"/>
        </w:rPr>
        <w:t>Weighted average common shares outstanding, basic and diluted Common shares outstanding at year 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Net loss and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-121920</wp:posOffset>
            </wp:positionV>
            <wp:extent cx="5314950" cy="1371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1">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Net loss per share,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5715</wp:posOffset>
            </wp:positionV>
            <wp:extent cx="5314950" cy="1371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2">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ind w:left="1320" w:right="1100"/>
        <w:spacing w:after="0" w:line="260" w:lineRule="auto"/>
        <w:rPr>
          <w:sz w:val="20"/>
          <w:szCs w:val="20"/>
          <w:color w:val="auto"/>
        </w:rPr>
      </w:pPr>
      <w:r>
        <w:rPr>
          <w:rFonts w:ascii="Arial" w:cs="Arial" w:eastAsia="Arial" w:hAnsi="Arial"/>
          <w:sz w:val="18"/>
          <w:szCs w:val="18"/>
          <w:color w:val="auto"/>
        </w:rPr>
        <w:t>Weighted average common shares outstanding, basic and diluted Common shares outstanding at period 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Net loss and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-121920</wp:posOffset>
            </wp:positionV>
            <wp:extent cx="5314950" cy="1371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3">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Net loss per share,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5715</wp:posOffset>
            </wp:positionV>
            <wp:extent cx="5314950" cy="1371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4">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ind w:left="1320" w:right="1100"/>
        <w:spacing w:after="0" w:line="260" w:lineRule="auto"/>
        <w:rPr>
          <w:sz w:val="20"/>
          <w:szCs w:val="20"/>
          <w:color w:val="auto"/>
        </w:rPr>
      </w:pPr>
      <w:r>
        <w:rPr>
          <w:rFonts w:ascii="Arial" w:cs="Arial" w:eastAsia="Arial" w:hAnsi="Arial"/>
          <w:sz w:val="18"/>
          <w:szCs w:val="18"/>
          <w:color w:val="auto"/>
        </w:rPr>
        <w:t>Weighted average common shares outstanding, basic and diluted Common shares outstanding at period end</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Years Ended</w:t>
      </w:r>
    </w:p>
    <w:p>
      <w:pPr>
        <w:ind w:left="500"/>
        <w:spacing w:after="0" w:line="226"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56"/>
        </w:trPr>
        <w:tc>
          <w:tcPr>
            <w:tcW w:w="940" w:type="dxa"/>
            <w:vAlign w:val="bottom"/>
            <w:tcBorders>
              <w:bottom w:val="single" w:sz="8" w:color="auto"/>
            </w:tcBorders>
          </w:tcPr>
          <w:p>
            <w:pPr>
              <w:jc w:val="right"/>
              <w:ind w:right="316"/>
              <w:spacing w:after="0" w:line="156" w:lineRule="exact"/>
              <w:rPr>
                <w:sz w:val="20"/>
                <w:szCs w:val="20"/>
                <w:color w:val="auto"/>
              </w:rPr>
            </w:pPr>
            <w:r>
              <w:rPr>
                <w:rFonts w:ascii="Arial" w:cs="Arial" w:eastAsia="Arial" w:hAnsi="Arial"/>
                <w:sz w:val="14"/>
                <w:szCs w:val="14"/>
                <w:b w:val="1"/>
                <w:bCs w:val="1"/>
                <w:color w:val="auto"/>
              </w:rPr>
              <w:t>2021</w:t>
            </w:r>
          </w:p>
        </w:tc>
        <w:tc>
          <w:tcPr>
            <w:tcW w:w="900" w:type="dxa"/>
            <w:vAlign w:val="bottom"/>
            <w:tcBorders>
              <w:bottom w:val="single" w:sz="8" w:color="auto"/>
            </w:tcBorders>
          </w:tcPr>
          <w:p>
            <w:pPr>
              <w:jc w:val="right"/>
              <w:ind w:right="174"/>
              <w:spacing w:after="0" w:line="156"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3"/>
                <w:szCs w:val="13"/>
                <w:color w:val="auto"/>
              </w:rPr>
            </w:pPr>
          </w:p>
        </w:tc>
      </w:tr>
      <w:tr>
        <w:trPr>
          <w:trHeight w:val="128"/>
        </w:trPr>
        <w:tc>
          <w:tcPr>
            <w:tcW w:w="1840" w:type="dxa"/>
            <w:vAlign w:val="bottom"/>
            <w:gridSpan w:val="2"/>
          </w:tcPr>
          <w:p>
            <w:pPr>
              <w:jc w:val="right"/>
              <w:ind w:right="494"/>
              <w:spacing w:after="0" w:line="128" w:lineRule="exact"/>
              <w:rPr>
                <w:sz w:val="20"/>
                <w:szCs w:val="20"/>
                <w:color w:val="auto"/>
              </w:rPr>
            </w:pPr>
            <w:r>
              <w:rPr>
                <w:rFonts w:ascii="Arial" w:cs="Arial" w:eastAsia="Arial" w:hAnsi="Arial"/>
                <w:sz w:val="14"/>
                <w:szCs w:val="14"/>
                <w:color w:val="auto"/>
              </w:rPr>
              <w:t>(Unaudited)</w:t>
            </w:r>
          </w:p>
        </w:tc>
        <w:tc>
          <w:tcPr>
            <w:tcW w:w="20" w:type="dxa"/>
            <w:vAlign w:val="bottom"/>
          </w:tcPr>
          <w:p>
            <w:pPr>
              <w:spacing w:after="0"/>
              <w:rPr>
                <w:sz w:val="11"/>
                <w:szCs w:val="11"/>
                <w:color w:val="auto"/>
              </w:rPr>
            </w:pPr>
          </w:p>
        </w:tc>
      </w:tr>
      <w:tr>
        <w:trPr>
          <w:trHeight w:val="216"/>
        </w:trPr>
        <w:tc>
          <w:tcPr>
            <w:tcW w:w="940" w:type="dxa"/>
            <w:vAlign w:val="bottom"/>
          </w:tcPr>
          <w:p>
            <w:pPr>
              <w:jc w:val="right"/>
              <w:ind w:right="56"/>
              <w:spacing w:after="0"/>
              <w:rPr>
                <w:sz w:val="20"/>
                <w:szCs w:val="20"/>
                <w:color w:val="auto"/>
              </w:rPr>
            </w:pPr>
            <w:r>
              <w:rPr>
                <w:rFonts w:ascii="Arial" w:cs="Arial" w:eastAsia="Arial" w:hAnsi="Arial"/>
                <w:sz w:val="18"/>
                <w:szCs w:val="18"/>
                <w:color w:val="auto"/>
                <w:w w:val="95"/>
              </w:rPr>
              <w:t>$ (71,869)</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 (40,837)</w:t>
            </w:r>
          </w:p>
        </w:tc>
      </w:tr>
      <w:tr>
        <w:trPr>
          <w:trHeight w:val="216"/>
        </w:trPr>
        <w:tc>
          <w:tcPr>
            <w:tcW w:w="940" w:type="dxa"/>
            <w:vAlign w:val="bottom"/>
          </w:tcPr>
          <w:p>
            <w:pPr>
              <w:jc w:val="right"/>
              <w:ind w:right="56"/>
              <w:spacing w:after="0"/>
              <w:rPr>
                <w:sz w:val="20"/>
                <w:szCs w:val="20"/>
                <w:color w:val="auto"/>
              </w:rPr>
            </w:pPr>
            <w:r>
              <w:rPr>
                <w:rFonts w:ascii="Arial" w:cs="Arial" w:eastAsia="Arial" w:hAnsi="Arial"/>
                <w:sz w:val="18"/>
                <w:szCs w:val="18"/>
                <w:color w:val="auto"/>
              </w:rPr>
              <w:t>$ (17.81)</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 (27.02)</w:t>
            </w:r>
          </w:p>
        </w:tc>
      </w:tr>
      <w:tr>
        <w:trPr>
          <w:trHeight w:val="216"/>
        </w:trPr>
        <w:tc>
          <w:tcPr>
            <w:tcW w:w="940" w:type="dxa"/>
            <w:vAlign w:val="bottom"/>
          </w:tcPr>
          <w:p>
            <w:pPr>
              <w:jc w:val="right"/>
              <w:ind w:right="56"/>
              <w:spacing w:after="0"/>
              <w:rPr>
                <w:sz w:val="20"/>
                <w:szCs w:val="20"/>
                <w:color w:val="auto"/>
              </w:rPr>
            </w:pPr>
            <w:r>
              <w:rPr>
                <w:rFonts w:ascii="Arial" w:cs="Arial" w:eastAsia="Arial" w:hAnsi="Arial"/>
                <w:sz w:val="18"/>
                <w:szCs w:val="18"/>
                <w:color w:val="auto"/>
                <w:w w:val="97"/>
              </w:rPr>
              <w:t>4,036,230</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1,511,512</w:t>
            </w:r>
          </w:p>
        </w:tc>
      </w:tr>
      <w:tr>
        <w:trPr>
          <w:trHeight w:val="230"/>
        </w:trPr>
        <w:tc>
          <w:tcPr>
            <w:tcW w:w="940" w:type="dxa"/>
            <w:vAlign w:val="bottom"/>
          </w:tcPr>
          <w:p>
            <w:pPr>
              <w:jc w:val="right"/>
              <w:ind w:right="56"/>
              <w:spacing w:after="0"/>
              <w:rPr>
                <w:sz w:val="20"/>
                <w:szCs w:val="20"/>
                <w:color w:val="auto"/>
              </w:rPr>
            </w:pPr>
            <w:r>
              <w:rPr>
                <w:rFonts w:ascii="Arial" w:cs="Arial" w:eastAsia="Arial" w:hAnsi="Arial"/>
                <w:sz w:val="18"/>
                <w:szCs w:val="18"/>
                <w:color w:val="auto"/>
                <w:w w:val="97"/>
              </w:rPr>
              <w:t>4,320,815</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1,556,538</w:t>
            </w:r>
          </w:p>
        </w:tc>
      </w:tr>
    </w:tbl>
    <w:p>
      <w:pPr>
        <w:spacing w:after="0" w:line="220" w:lineRule="exact"/>
        <w:rPr>
          <w:sz w:val="20"/>
          <w:szCs w:val="20"/>
          <w:color w:val="auto"/>
        </w:rPr>
      </w:pPr>
    </w:p>
    <w:p>
      <w:pPr>
        <w:jc w:val="center"/>
        <w:ind w:right="379"/>
        <w:spacing w:after="0"/>
        <w:rPr>
          <w:sz w:val="20"/>
          <w:szCs w:val="20"/>
          <w:color w:val="auto"/>
        </w:rPr>
      </w:pPr>
      <w:r>
        <w:rPr>
          <w:rFonts w:ascii="Arial" w:cs="Arial" w:eastAsia="Arial" w:hAnsi="Arial"/>
          <w:sz w:val="14"/>
          <w:szCs w:val="14"/>
          <w:b w:val="1"/>
          <w:bCs w:val="1"/>
          <w:color w:val="auto"/>
        </w:rPr>
        <w:t>Three Months Ended</w:t>
      </w:r>
    </w:p>
    <w:p>
      <w:pPr>
        <w:jc w:val="center"/>
        <w:ind w:right="379"/>
        <w:spacing w:after="0" w:line="22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6"/>
        </w:trPr>
        <w:tc>
          <w:tcPr>
            <w:tcW w:w="940" w:type="dxa"/>
            <w:vAlign w:val="bottom"/>
            <w:tcBorders>
              <w:bottom w:val="single" w:sz="8" w:color="auto"/>
            </w:tcBorders>
          </w:tcPr>
          <w:p>
            <w:pPr>
              <w:jc w:val="right"/>
              <w:ind w:right="316"/>
              <w:spacing w:after="0" w:line="156" w:lineRule="exact"/>
              <w:rPr>
                <w:sz w:val="20"/>
                <w:szCs w:val="20"/>
                <w:color w:val="auto"/>
              </w:rPr>
            </w:pPr>
            <w:r>
              <w:rPr>
                <w:rFonts w:ascii="Arial" w:cs="Arial" w:eastAsia="Arial" w:hAnsi="Arial"/>
                <w:sz w:val="14"/>
                <w:szCs w:val="14"/>
                <w:b w:val="1"/>
                <w:bCs w:val="1"/>
                <w:color w:val="auto"/>
              </w:rPr>
              <w:t>2022</w:t>
            </w:r>
          </w:p>
        </w:tc>
        <w:tc>
          <w:tcPr>
            <w:tcW w:w="900" w:type="dxa"/>
            <w:vAlign w:val="bottom"/>
            <w:tcBorders>
              <w:bottom w:val="single" w:sz="8" w:color="auto"/>
            </w:tcBorders>
          </w:tcPr>
          <w:p>
            <w:pPr>
              <w:jc w:val="right"/>
              <w:ind w:right="174"/>
              <w:spacing w:after="0" w:line="156" w:lineRule="exact"/>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3"/>
                <w:szCs w:val="13"/>
                <w:color w:val="auto"/>
              </w:rPr>
            </w:pPr>
          </w:p>
        </w:tc>
      </w:tr>
      <w:tr>
        <w:trPr>
          <w:trHeight w:val="128"/>
        </w:trPr>
        <w:tc>
          <w:tcPr>
            <w:tcW w:w="1840" w:type="dxa"/>
            <w:vAlign w:val="bottom"/>
            <w:gridSpan w:val="2"/>
          </w:tcPr>
          <w:p>
            <w:pPr>
              <w:jc w:val="right"/>
              <w:ind w:right="494"/>
              <w:spacing w:after="0" w:line="128" w:lineRule="exact"/>
              <w:rPr>
                <w:sz w:val="20"/>
                <w:szCs w:val="20"/>
                <w:color w:val="auto"/>
              </w:rPr>
            </w:pPr>
            <w:r>
              <w:rPr>
                <w:rFonts w:ascii="Arial" w:cs="Arial" w:eastAsia="Arial" w:hAnsi="Arial"/>
                <w:sz w:val="14"/>
                <w:szCs w:val="14"/>
                <w:color w:val="auto"/>
              </w:rPr>
              <w:t>(Unaudited)</w:t>
            </w:r>
          </w:p>
        </w:tc>
        <w:tc>
          <w:tcPr>
            <w:tcW w:w="20" w:type="dxa"/>
            <w:vAlign w:val="bottom"/>
          </w:tcPr>
          <w:p>
            <w:pPr>
              <w:spacing w:after="0"/>
              <w:rPr>
                <w:sz w:val="11"/>
                <w:szCs w:val="11"/>
                <w:color w:val="auto"/>
              </w:rPr>
            </w:pPr>
          </w:p>
        </w:tc>
      </w:tr>
      <w:tr>
        <w:trPr>
          <w:trHeight w:val="216"/>
        </w:trPr>
        <w:tc>
          <w:tcPr>
            <w:tcW w:w="940" w:type="dxa"/>
            <w:vAlign w:val="bottom"/>
          </w:tcPr>
          <w:p>
            <w:pPr>
              <w:jc w:val="right"/>
              <w:ind w:right="56"/>
              <w:spacing w:after="0"/>
              <w:rPr>
                <w:sz w:val="20"/>
                <w:szCs w:val="20"/>
                <w:color w:val="auto"/>
              </w:rPr>
            </w:pPr>
            <w:r>
              <w:rPr>
                <w:rFonts w:ascii="Arial" w:cs="Arial" w:eastAsia="Arial" w:hAnsi="Arial"/>
                <w:sz w:val="18"/>
                <w:szCs w:val="18"/>
                <w:color w:val="auto"/>
                <w:w w:val="95"/>
              </w:rPr>
              <w:t>$ (15,231)</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 (19,048)</w:t>
            </w:r>
          </w:p>
        </w:tc>
      </w:tr>
      <w:tr>
        <w:trPr>
          <w:trHeight w:val="216"/>
        </w:trPr>
        <w:tc>
          <w:tcPr>
            <w:tcW w:w="940" w:type="dxa"/>
            <w:vAlign w:val="bottom"/>
          </w:tcPr>
          <w:p>
            <w:pPr>
              <w:jc w:val="right"/>
              <w:ind w:right="56"/>
              <w:spacing w:after="0"/>
              <w:rPr>
                <w:sz w:val="20"/>
                <w:szCs w:val="20"/>
                <w:color w:val="auto"/>
              </w:rPr>
            </w:pPr>
            <w:r>
              <w:rPr>
                <w:rFonts w:ascii="Arial" w:cs="Arial" w:eastAsia="Arial" w:hAnsi="Arial"/>
                <w:sz w:val="18"/>
                <w:szCs w:val="18"/>
                <w:color w:val="auto"/>
              </w:rPr>
              <w:t>$ (3.52)</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 (5.95)</w:t>
            </w:r>
          </w:p>
        </w:tc>
      </w:tr>
      <w:tr>
        <w:trPr>
          <w:trHeight w:val="216"/>
        </w:trPr>
        <w:tc>
          <w:tcPr>
            <w:tcW w:w="940" w:type="dxa"/>
            <w:vAlign w:val="bottom"/>
          </w:tcPr>
          <w:p>
            <w:pPr>
              <w:jc w:val="right"/>
              <w:ind w:right="56"/>
              <w:spacing w:after="0"/>
              <w:rPr>
                <w:sz w:val="20"/>
                <w:szCs w:val="20"/>
                <w:color w:val="auto"/>
              </w:rPr>
            </w:pPr>
            <w:r>
              <w:rPr>
                <w:rFonts w:ascii="Arial" w:cs="Arial" w:eastAsia="Arial" w:hAnsi="Arial"/>
                <w:sz w:val="18"/>
                <w:szCs w:val="18"/>
                <w:color w:val="auto"/>
                <w:w w:val="97"/>
              </w:rPr>
              <w:t>4,321,280</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3,202,716</w:t>
            </w:r>
          </w:p>
        </w:tc>
      </w:tr>
      <w:tr>
        <w:trPr>
          <w:trHeight w:val="230"/>
        </w:trPr>
        <w:tc>
          <w:tcPr>
            <w:tcW w:w="940" w:type="dxa"/>
            <w:vAlign w:val="bottom"/>
          </w:tcPr>
          <w:p>
            <w:pPr>
              <w:jc w:val="right"/>
              <w:ind w:right="56"/>
              <w:spacing w:after="0"/>
              <w:rPr>
                <w:sz w:val="20"/>
                <w:szCs w:val="20"/>
                <w:color w:val="auto"/>
              </w:rPr>
            </w:pPr>
            <w:r>
              <w:rPr>
                <w:rFonts w:ascii="Arial" w:cs="Arial" w:eastAsia="Arial" w:hAnsi="Arial"/>
                <w:sz w:val="18"/>
                <w:szCs w:val="18"/>
                <w:color w:val="auto"/>
                <w:w w:val="97"/>
              </w:rPr>
              <w:t>4,322,715</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4,300,214</w:t>
            </w:r>
          </w:p>
        </w:tc>
      </w:tr>
    </w:tbl>
    <w:p>
      <w:pPr>
        <w:spacing w:after="0" w:line="220" w:lineRule="exact"/>
        <w:rPr>
          <w:sz w:val="20"/>
          <w:szCs w:val="20"/>
          <w:color w:val="auto"/>
        </w:rPr>
      </w:pPr>
    </w:p>
    <w:p>
      <w:pPr>
        <w:jc w:val="center"/>
        <w:ind w:right="359"/>
        <w:spacing w:after="0"/>
        <w:rPr>
          <w:sz w:val="20"/>
          <w:szCs w:val="20"/>
          <w:color w:val="auto"/>
        </w:rPr>
      </w:pPr>
      <w:r>
        <w:rPr>
          <w:rFonts w:ascii="Arial" w:cs="Arial" w:eastAsia="Arial" w:hAnsi="Arial"/>
          <w:sz w:val="14"/>
          <w:szCs w:val="14"/>
          <w:b w:val="1"/>
          <w:bCs w:val="1"/>
          <w:color w:val="auto"/>
        </w:rPr>
        <w:t>Three Months Ended</w:t>
      </w:r>
    </w:p>
    <w:p>
      <w:pPr>
        <w:jc w:val="center"/>
        <w:ind w:right="359"/>
        <w:spacing w:after="0" w:line="226" w:lineRule="auto"/>
        <w:rPr>
          <w:sz w:val="20"/>
          <w:szCs w:val="20"/>
          <w:color w:val="auto"/>
        </w:rPr>
      </w:pPr>
      <w:r>
        <w:rPr>
          <w:rFonts w:ascii="Arial" w:cs="Arial" w:eastAsia="Arial" w:hAnsi="Arial"/>
          <w:sz w:val="14"/>
          <w:szCs w:val="14"/>
          <w:b w:val="1"/>
          <w:bCs w:val="1"/>
          <w:color w:val="auto"/>
        </w:rPr>
        <w:t>June 30,</w:t>
      </w:r>
    </w:p>
    <w:tbl>
      <w:tblPr>
        <w:tblLayout w:type="fixed"/>
        <w:tblInd w:w="20" w:type="dxa"/>
        <w:tblCellMar>
          <w:top w:w="0" w:type="dxa"/>
          <w:left w:w="0" w:type="dxa"/>
          <w:bottom w:w="0" w:type="dxa"/>
          <w:right w:w="0" w:type="dxa"/>
        </w:tblCellMar>
      </w:tblPr>
      <w:tr>
        <w:trPr>
          <w:trHeight w:val="156"/>
        </w:trPr>
        <w:tc>
          <w:tcPr>
            <w:tcW w:w="920" w:type="dxa"/>
            <w:vAlign w:val="bottom"/>
            <w:tcBorders>
              <w:bottom w:val="single" w:sz="8" w:color="auto"/>
            </w:tcBorders>
          </w:tcPr>
          <w:p>
            <w:pPr>
              <w:jc w:val="right"/>
              <w:ind w:right="296"/>
              <w:spacing w:after="0" w:line="156" w:lineRule="exact"/>
              <w:rPr>
                <w:sz w:val="20"/>
                <w:szCs w:val="20"/>
                <w:color w:val="auto"/>
              </w:rPr>
            </w:pPr>
            <w:r>
              <w:rPr>
                <w:rFonts w:ascii="Arial" w:cs="Arial" w:eastAsia="Arial" w:hAnsi="Arial"/>
                <w:sz w:val="14"/>
                <w:szCs w:val="14"/>
                <w:b w:val="1"/>
                <w:bCs w:val="1"/>
                <w:color w:val="auto"/>
              </w:rPr>
              <w:t>2022</w:t>
            </w:r>
          </w:p>
        </w:tc>
        <w:tc>
          <w:tcPr>
            <w:tcW w:w="900" w:type="dxa"/>
            <w:vAlign w:val="bottom"/>
            <w:tcBorders>
              <w:bottom w:val="single" w:sz="8" w:color="auto"/>
            </w:tcBorders>
          </w:tcPr>
          <w:p>
            <w:pPr>
              <w:jc w:val="right"/>
              <w:ind w:right="174"/>
              <w:spacing w:after="0" w:line="156" w:lineRule="exact"/>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3"/>
                <w:szCs w:val="13"/>
                <w:color w:val="auto"/>
              </w:rPr>
            </w:pPr>
          </w:p>
        </w:tc>
      </w:tr>
      <w:tr>
        <w:trPr>
          <w:trHeight w:val="128"/>
        </w:trPr>
        <w:tc>
          <w:tcPr>
            <w:tcW w:w="1820" w:type="dxa"/>
            <w:vAlign w:val="bottom"/>
            <w:gridSpan w:val="2"/>
          </w:tcPr>
          <w:p>
            <w:pPr>
              <w:jc w:val="right"/>
              <w:ind w:right="474"/>
              <w:spacing w:after="0" w:line="128" w:lineRule="exact"/>
              <w:rPr>
                <w:sz w:val="20"/>
                <w:szCs w:val="20"/>
                <w:color w:val="auto"/>
              </w:rPr>
            </w:pPr>
            <w:r>
              <w:rPr>
                <w:rFonts w:ascii="Arial" w:cs="Arial" w:eastAsia="Arial" w:hAnsi="Arial"/>
                <w:sz w:val="14"/>
                <w:szCs w:val="14"/>
                <w:color w:val="auto"/>
              </w:rPr>
              <w:t>(Unaudited)</w:t>
            </w:r>
          </w:p>
        </w:tc>
        <w:tc>
          <w:tcPr>
            <w:tcW w:w="20" w:type="dxa"/>
            <w:vAlign w:val="bottom"/>
          </w:tcPr>
          <w:p>
            <w:pPr>
              <w:spacing w:after="0"/>
              <w:rPr>
                <w:sz w:val="11"/>
                <w:szCs w:val="11"/>
                <w:color w:val="auto"/>
              </w:rPr>
            </w:pPr>
          </w:p>
        </w:tc>
      </w:tr>
      <w:tr>
        <w:trPr>
          <w:trHeight w:val="216"/>
        </w:trPr>
        <w:tc>
          <w:tcPr>
            <w:tcW w:w="920" w:type="dxa"/>
            <w:vAlign w:val="bottom"/>
          </w:tcPr>
          <w:p>
            <w:pPr>
              <w:jc w:val="right"/>
              <w:ind w:right="56"/>
              <w:spacing w:after="0"/>
              <w:rPr>
                <w:sz w:val="20"/>
                <w:szCs w:val="20"/>
                <w:color w:val="auto"/>
              </w:rPr>
            </w:pPr>
            <w:r>
              <w:rPr>
                <w:rFonts w:ascii="Arial" w:cs="Arial" w:eastAsia="Arial" w:hAnsi="Arial"/>
                <w:sz w:val="18"/>
                <w:szCs w:val="18"/>
                <w:color w:val="auto"/>
              </w:rPr>
              <w:t>$ (7,090)</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 (16,447)</w:t>
            </w:r>
          </w:p>
        </w:tc>
      </w:tr>
      <w:tr>
        <w:trPr>
          <w:trHeight w:val="216"/>
        </w:trPr>
        <w:tc>
          <w:tcPr>
            <w:tcW w:w="920" w:type="dxa"/>
            <w:vAlign w:val="bottom"/>
          </w:tcPr>
          <w:p>
            <w:pPr>
              <w:jc w:val="right"/>
              <w:ind w:right="56"/>
              <w:spacing w:after="0"/>
              <w:rPr>
                <w:sz w:val="20"/>
                <w:szCs w:val="20"/>
                <w:color w:val="auto"/>
              </w:rPr>
            </w:pPr>
            <w:r>
              <w:rPr>
                <w:rFonts w:ascii="Arial" w:cs="Arial" w:eastAsia="Arial" w:hAnsi="Arial"/>
                <w:sz w:val="18"/>
                <w:szCs w:val="18"/>
                <w:color w:val="auto"/>
              </w:rPr>
              <w:t>$ (1.64)</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 (3.82)</w:t>
            </w:r>
          </w:p>
        </w:tc>
      </w:tr>
      <w:tr>
        <w:trPr>
          <w:trHeight w:val="216"/>
        </w:trPr>
        <w:tc>
          <w:tcPr>
            <w:tcW w:w="920" w:type="dxa"/>
            <w:vAlign w:val="bottom"/>
          </w:tcPr>
          <w:p>
            <w:pPr>
              <w:jc w:val="right"/>
              <w:ind w:right="56"/>
              <w:spacing w:after="0"/>
              <w:rPr>
                <w:sz w:val="20"/>
                <w:szCs w:val="20"/>
                <w:color w:val="auto"/>
              </w:rPr>
            </w:pPr>
            <w:r>
              <w:rPr>
                <w:rFonts w:ascii="Arial" w:cs="Arial" w:eastAsia="Arial" w:hAnsi="Arial"/>
                <w:sz w:val="18"/>
                <w:szCs w:val="18"/>
                <w:color w:val="auto"/>
                <w:w w:val="94"/>
              </w:rPr>
              <w:t>4,323,052</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4,304,185</w:t>
            </w:r>
          </w:p>
        </w:tc>
      </w:tr>
      <w:tr>
        <w:trPr>
          <w:trHeight w:val="230"/>
        </w:trPr>
        <w:tc>
          <w:tcPr>
            <w:tcW w:w="920" w:type="dxa"/>
            <w:vAlign w:val="bottom"/>
          </w:tcPr>
          <w:p>
            <w:pPr>
              <w:jc w:val="right"/>
              <w:ind w:right="56"/>
              <w:spacing w:after="0"/>
              <w:rPr>
                <w:sz w:val="20"/>
                <w:szCs w:val="20"/>
                <w:color w:val="auto"/>
              </w:rPr>
            </w:pPr>
            <w:r>
              <w:rPr>
                <w:rFonts w:ascii="Arial" w:cs="Arial" w:eastAsia="Arial" w:hAnsi="Arial"/>
                <w:sz w:val="18"/>
                <w:szCs w:val="18"/>
                <w:color w:val="auto"/>
                <w:w w:val="94"/>
              </w:rPr>
              <w:t>4,324,445</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4,305,511</w:t>
            </w:r>
          </w:p>
        </w:tc>
      </w:tr>
    </w:tbl>
    <w:p>
      <w:pPr>
        <w:sectPr>
          <w:pgSz w:w="11900" w:h="16838" w:orient="portrait"/>
          <w:cols w:equalWidth="0" w:num="2">
            <w:col w:w="7080" w:space="720"/>
            <w:col w:w="2219"/>
          </w:cols>
          <w:pgMar w:left="440" w:top="265" w:right="1440" w:bottom="1440" w:gutter="0" w:footer="0" w:header="0"/>
          <w:type w:val="continuous"/>
        </w:sectPr>
      </w:pPr>
    </w:p>
    <w:bookmarkStart w:id="56" w:name="page57"/>
    <w:bookmarkEnd w:id="5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Net loss and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-121920</wp:posOffset>
            </wp:positionV>
            <wp:extent cx="5314950" cy="1371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6">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Net loss per share,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5715</wp:posOffset>
            </wp:positionV>
            <wp:extent cx="5314950" cy="1371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7">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ind w:left="320" w:right="1100"/>
        <w:spacing w:after="0" w:line="260" w:lineRule="auto"/>
        <w:rPr>
          <w:sz w:val="20"/>
          <w:szCs w:val="20"/>
          <w:color w:val="auto"/>
        </w:rPr>
      </w:pPr>
      <w:r>
        <w:rPr>
          <w:rFonts w:ascii="Arial" w:cs="Arial" w:eastAsia="Arial" w:hAnsi="Arial"/>
          <w:sz w:val="18"/>
          <w:szCs w:val="18"/>
          <w:color w:val="auto"/>
        </w:rPr>
        <w:t>Weighted average common shares outstanding, basic and diluted Common shares outstanding at period 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Net loss and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-121920</wp:posOffset>
            </wp:positionV>
            <wp:extent cx="5314950" cy="1371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8">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Net loss per share,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5715</wp:posOffset>
            </wp:positionV>
            <wp:extent cx="5314950" cy="1371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9">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ind w:left="320" w:right="1100"/>
        <w:spacing w:after="0" w:line="260" w:lineRule="auto"/>
        <w:rPr>
          <w:sz w:val="20"/>
          <w:szCs w:val="20"/>
          <w:color w:val="auto"/>
        </w:rPr>
      </w:pPr>
      <w:r>
        <w:rPr>
          <w:rFonts w:ascii="Arial" w:cs="Arial" w:eastAsia="Arial" w:hAnsi="Arial"/>
          <w:sz w:val="18"/>
          <w:szCs w:val="18"/>
          <w:color w:val="auto"/>
        </w:rPr>
        <w:t>Weighted average common shares outstanding, basic and diluted Common shares outstanding at period 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Net loss and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-121920</wp:posOffset>
            </wp:positionV>
            <wp:extent cx="5314950" cy="1371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0">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Net loss per share,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5715</wp:posOffset>
            </wp:positionV>
            <wp:extent cx="5314950" cy="1371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1">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ind w:left="320" w:right="1100"/>
        <w:spacing w:after="0" w:line="260" w:lineRule="auto"/>
        <w:rPr>
          <w:sz w:val="20"/>
          <w:szCs w:val="20"/>
          <w:color w:val="auto"/>
        </w:rPr>
      </w:pPr>
      <w:r>
        <w:rPr>
          <w:rFonts w:ascii="Arial" w:cs="Arial" w:eastAsia="Arial" w:hAnsi="Arial"/>
          <w:sz w:val="18"/>
          <w:szCs w:val="18"/>
          <w:color w:val="auto"/>
        </w:rPr>
        <w:t>Weighted average common shares outstanding, basic and diluted Common shares outstanding at period end</w:t>
      </w:r>
    </w:p>
    <w:p>
      <w:pPr>
        <w:spacing w:after="0" w:line="20" w:lineRule="exact"/>
        <w:rPr>
          <w:sz w:val="20"/>
          <w:szCs w:val="20"/>
          <w:color w:val="auto"/>
        </w:rPr>
      </w:pPr>
      <w:r>
        <w:rPr>
          <w:sz w:val="20"/>
          <w:szCs w:val="20"/>
          <w:color w:val="auto"/>
        </w:rPr>
        <w:br w:type="column"/>
      </w:r>
    </w:p>
    <w:p>
      <w:pPr>
        <w:jc w:val="center"/>
        <w:ind w:right="379"/>
        <w:spacing w:after="0"/>
        <w:rPr>
          <w:sz w:val="20"/>
          <w:szCs w:val="20"/>
          <w:color w:val="auto"/>
        </w:rPr>
      </w:pPr>
      <w:r>
        <w:rPr>
          <w:rFonts w:ascii="Arial" w:cs="Arial" w:eastAsia="Arial" w:hAnsi="Arial"/>
          <w:sz w:val="14"/>
          <w:szCs w:val="14"/>
          <w:b w:val="1"/>
          <w:bCs w:val="1"/>
          <w:color w:val="auto"/>
        </w:rPr>
        <w:t>Six Months Ended</w:t>
      </w:r>
    </w:p>
    <w:p>
      <w:pPr>
        <w:jc w:val="center"/>
        <w:ind w:right="379"/>
        <w:spacing w:after="0" w:line="226" w:lineRule="auto"/>
        <w:rPr>
          <w:sz w:val="20"/>
          <w:szCs w:val="20"/>
          <w:color w:val="auto"/>
        </w:rPr>
      </w:pPr>
      <w:r>
        <w:rPr>
          <w:rFonts w:ascii="Arial" w:cs="Arial" w:eastAsia="Arial" w:hAnsi="Arial"/>
          <w:sz w:val="14"/>
          <w:szCs w:val="14"/>
          <w:b w:val="1"/>
          <w:bCs w:val="1"/>
          <w:color w:val="auto"/>
        </w:rPr>
        <w:t>June 30,</w:t>
      </w:r>
    </w:p>
    <w:tbl>
      <w:tblPr>
        <w:tblLayout w:type="fixed"/>
        <w:tblInd w:w="0" w:type="dxa"/>
        <w:tblCellMar>
          <w:top w:w="0" w:type="dxa"/>
          <w:left w:w="0" w:type="dxa"/>
          <w:bottom w:w="0" w:type="dxa"/>
          <w:right w:w="0" w:type="dxa"/>
        </w:tblCellMar>
      </w:tblPr>
      <w:tr>
        <w:trPr>
          <w:trHeight w:val="156"/>
        </w:trPr>
        <w:tc>
          <w:tcPr>
            <w:tcW w:w="940" w:type="dxa"/>
            <w:vAlign w:val="bottom"/>
            <w:tcBorders>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2022</w:t>
            </w:r>
          </w:p>
        </w:tc>
        <w:tc>
          <w:tcPr>
            <w:tcW w:w="900" w:type="dxa"/>
            <w:vAlign w:val="bottom"/>
            <w:tcBorders>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3"/>
                <w:szCs w:val="13"/>
                <w:color w:val="auto"/>
              </w:rPr>
            </w:pPr>
          </w:p>
        </w:tc>
      </w:tr>
      <w:tr>
        <w:trPr>
          <w:trHeight w:val="128"/>
        </w:trPr>
        <w:tc>
          <w:tcPr>
            <w:tcW w:w="1840" w:type="dxa"/>
            <w:vAlign w:val="bottom"/>
            <w:gridSpan w:val="2"/>
          </w:tcPr>
          <w:p>
            <w:pPr>
              <w:jc w:val="right"/>
              <w:ind w:right="494"/>
              <w:spacing w:after="0" w:line="128" w:lineRule="exact"/>
              <w:rPr>
                <w:sz w:val="20"/>
                <w:szCs w:val="20"/>
                <w:color w:val="auto"/>
              </w:rPr>
            </w:pPr>
            <w:r>
              <w:rPr>
                <w:rFonts w:ascii="Arial" w:cs="Arial" w:eastAsia="Arial" w:hAnsi="Arial"/>
                <w:sz w:val="14"/>
                <w:szCs w:val="14"/>
                <w:color w:val="auto"/>
              </w:rPr>
              <w:t>(Unaudited)</w:t>
            </w:r>
          </w:p>
        </w:tc>
        <w:tc>
          <w:tcPr>
            <w:tcW w:w="20" w:type="dxa"/>
            <w:vAlign w:val="bottom"/>
          </w:tcPr>
          <w:p>
            <w:pPr>
              <w:spacing w:after="0"/>
              <w:rPr>
                <w:sz w:val="11"/>
                <w:szCs w:val="11"/>
                <w:color w:val="auto"/>
              </w:rPr>
            </w:pPr>
          </w:p>
        </w:tc>
      </w:tr>
      <w:tr>
        <w:trPr>
          <w:trHeight w:val="216"/>
        </w:trPr>
        <w:tc>
          <w:tcPr>
            <w:tcW w:w="940" w:type="dxa"/>
            <w:vAlign w:val="bottom"/>
          </w:tcPr>
          <w:p>
            <w:pPr>
              <w:jc w:val="right"/>
              <w:ind w:right="56"/>
              <w:spacing w:after="0"/>
              <w:rPr>
                <w:sz w:val="20"/>
                <w:szCs w:val="20"/>
                <w:color w:val="auto"/>
              </w:rPr>
            </w:pPr>
            <w:r>
              <w:rPr>
                <w:rFonts w:ascii="Arial" w:cs="Arial" w:eastAsia="Arial" w:hAnsi="Arial"/>
                <w:sz w:val="18"/>
                <w:szCs w:val="18"/>
                <w:color w:val="auto"/>
                <w:w w:val="95"/>
              </w:rPr>
              <w:t>$ (22,321)</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 (35,495)</w:t>
            </w:r>
          </w:p>
        </w:tc>
      </w:tr>
      <w:tr>
        <w:trPr>
          <w:trHeight w:val="216"/>
        </w:trPr>
        <w:tc>
          <w:tcPr>
            <w:tcW w:w="940" w:type="dxa"/>
            <w:vAlign w:val="bottom"/>
          </w:tcPr>
          <w:p>
            <w:pPr>
              <w:jc w:val="right"/>
              <w:ind w:right="56"/>
              <w:spacing w:after="0"/>
              <w:rPr>
                <w:sz w:val="20"/>
                <w:szCs w:val="20"/>
                <w:color w:val="auto"/>
              </w:rPr>
            </w:pPr>
            <w:r>
              <w:rPr>
                <w:rFonts w:ascii="Arial" w:cs="Arial" w:eastAsia="Arial" w:hAnsi="Arial"/>
                <w:sz w:val="18"/>
                <w:szCs w:val="18"/>
                <w:color w:val="auto"/>
              </w:rPr>
              <w:t>$ (5.16)</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 (9.45)</w:t>
            </w:r>
          </w:p>
        </w:tc>
      </w:tr>
      <w:tr>
        <w:trPr>
          <w:trHeight w:val="216"/>
        </w:trPr>
        <w:tc>
          <w:tcPr>
            <w:tcW w:w="940" w:type="dxa"/>
            <w:vAlign w:val="bottom"/>
          </w:tcPr>
          <w:p>
            <w:pPr>
              <w:jc w:val="right"/>
              <w:ind w:right="56"/>
              <w:spacing w:after="0"/>
              <w:rPr>
                <w:sz w:val="20"/>
                <w:szCs w:val="20"/>
                <w:color w:val="auto"/>
              </w:rPr>
            </w:pPr>
            <w:r>
              <w:rPr>
                <w:rFonts w:ascii="Arial" w:cs="Arial" w:eastAsia="Arial" w:hAnsi="Arial"/>
                <w:sz w:val="18"/>
                <w:szCs w:val="18"/>
                <w:color w:val="auto"/>
                <w:w w:val="97"/>
              </w:rPr>
              <w:t>4,322,171</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3,756,493</w:t>
            </w:r>
          </w:p>
        </w:tc>
      </w:tr>
      <w:tr>
        <w:trPr>
          <w:trHeight w:val="230"/>
        </w:trPr>
        <w:tc>
          <w:tcPr>
            <w:tcW w:w="940" w:type="dxa"/>
            <w:vAlign w:val="bottom"/>
          </w:tcPr>
          <w:p>
            <w:pPr>
              <w:jc w:val="right"/>
              <w:ind w:right="56"/>
              <w:spacing w:after="0"/>
              <w:rPr>
                <w:sz w:val="20"/>
                <w:szCs w:val="20"/>
                <w:color w:val="auto"/>
              </w:rPr>
            </w:pPr>
            <w:r>
              <w:rPr>
                <w:rFonts w:ascii="Arial" w:cs="Arial" w:eastAsia="Arial" w:hAnsi="Arial"/>
                <w:sz w:val="18"/>
                <w:szCs w:val="18"/>
                <w:color w:val="auto"/>
                <w:w w:val="97"/>
              </w:rPr>
              <w:t>4,324,445</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4,305,511</w:t>
            </w:r>
          </w:p>
        </w:tc>
      </w:tr>
    </w:tbl>
    <w:p>
      <w:pPr>
        <w:spacing w:after="0" w:line="220" w:lineRule="exact"/>
        <w:rPr>
          <w:sz w:val="20"/>
          <w:szCs w:val="20"/>
          <w:color w:val="auto"/>
        </w:rPr>
      </w:pPr>
    </w:p>
    <w:p>
      <w:pPr>
        <w:jc w:val="center"/>
        <w:ind w:right="359"/>
        <w:spacing w:after="0"/>
        <w:rPr>
          <w:sz w:val="20"/>
          <w:szCs w:val="20"/>
          <w:color w:val="auto"/>
        </w:rPr>
      </w:pPr>
      <w:r>
        <w:rPr>
          <w:rFonts w:ascii="Arial" w:cs="Arial" w:eastAsia="Arial" w:hAnsi="Arial"/>
          <w:sz w:val="14"/>
          <w:szCs w:val="14"/>
          <w:b w:val="1"/>
          <w:bCs w:val="1"/>
          <w:color w:val="auto"/>
        </w:rPr>
        <w:t>Three Months Ended</w:t>
      </w:r>
    </w:p>
    <w:p>
      <w:pPr>
        <w:jc w:val="center"/>
        <w:ind w:right="359"/>
        <w:spacing w:after="0" w:line="226" w:lineRule="auto"/>
        <w:rPr>
          <w:sz w:val="20"/>
          <w:szCs w:val="20"/>
          <w:color w:val="auto"/>
        </w:rPr>
      </w:pPr>
      <w:r>
        <w:rPr>
          <w:rFonts w:ascii="Arial" w:cs="Arial" w:eastAsia="Arial" w:hAnsi="Arial"/>
          <w:sz w:val="14"/>
          <w:szCs w:val="14"/>
          <w:b w:val="1"/>
          <w:bCs w:val="1"/>
          <w:color w:val="auto"/>
        </w:rPr>
        <w:t>September 30,</w:t>
      </w:r>
    </w:p>
    <w:tbl>
      <w:tblPr>
        <w:tblLayout w:type="fixed"/>
        <w:tblInd w:w="20" w:type="dxa"/>
        <w:tblCellMar>
          <w:top w:w="0" w:type="dxa"/>
          <w:left w:w="0" w:type="dxa"/>
          <w:bottom w:w="0" w:type="dxa"/>
          <w:right w:w="0" w:type="dxa"/>
        </w:tblCellMar>
      </w:tblPr>
      <w:tr>
        <w:trPr>
          <w:trHeight w:val="156"/>
        </w:trPr>
        <w:tc>
          <w:tcPr>
            <w:tcW w:w="920" w:type="dxa"/>
            <w:vAlign w:val="bottom"/>
            <w:tcBorders>
              <w:bottom w:val="single" w:sz="8" w:color="auto"/>
            </w:tcBorders>
          </w:tcPr>
          <w:p>
            <w:pPr>
              <w:jc w:val="right"/>
              <w:ind w:right="296"/>
              <w:spacing w:after="0" w:line="156" w:lineRule="exact"/>
              <w:rPr>
                <w:sz w:val="20"/>
                <w:szCs w:val="20"/>
                <w:color w:val="auto"/>
              </w:rPr>
            </w:pPr>
            <w:r>
              <w:rPr>
                <w:rFonts w:ascii="Arial" w:cs="Arial" w:eastAsia="Arial" w:hAnsi="Arial"/>
                <w:sz w:val="14"/>
                <w:szCs w:val="14"/>
                <w:b w:val="1"/>
                <w:bCs w:val="1"/>
                <w:color w:val="auto"/>
              </w:rPr>
              <w:t>2022</w:t>
            </w:r>
          </w:p>
        </w:tc>
        <w:tc>
          <w:tcPr>
            <w:tcW w:w="900" w:type="dxa"/>
            <w:vAlign w:val="bottom"/>
            <w:tcBorders>
              <w:bottom w:val="single" w:sz="8" w:color="auto"/>
            </w:tcBorders>
          </w:tcPr>
          <w:p>
            <w:pPr>
              <w:jc w:val="right"/>
              <w:ind w:right="174"/>
              <w:spacing w:after="0" w:line="156" w:lineRule="exact"/>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3"/>
                <w:szCs w:val="13"/>
                <w:color w:val="auto"/>
              </w:rPr>
            </w:pPr>
          </w:p>
        </w:tc>
      </w:tr>
      <w:tr>
        <w:trPr>
          <w:trHeight w:val="128"/>
        </w:trPr>
        <w:tc>
          <w:tcPr>
            <w:tcW w:w="1820" w:type="dxa"/>
            <w:vAlign w:val="bottom"/>
            <w:gridSpan w:val="2"/>
          </w:tcPr>
          <w:p>
            <w:pPr>
              <w:jc w:val="right"/>
              <w:ind w:right="474"/>
              <w:spacing w:after="0" w:line="128" w:lineRule="exact"/>
              <w:rPr>
                <w:sz w:val="20"/>
                <w:szCs w:val="20"/>
                <w:color w:val="auto"/>
              </w:rPr>
            </w:pPr>
            <w:r>
              <w:rPr>
                <w:rFonts w:ascii="Arial" w:cs="Arial" w:eastAsia="Arial" w:hAnsi="Arial"/>
                <w:sz w:val="14"/>
                <w:szCs w:val="14"/>
                <w:color w:val="auto"/>
              </w:rPr>
              <w:t>(Unaudited)</w:t>
            </w:r>
          </w:p>
        </w:tc>
        <w:tc>
          <w:tcPr>
            <w:tcW w:w="20" w:type="dxa"/>
            <w:vAlign w:val="bottom"/>
          </w:tcPr>
          <w:p>
            <w:pPr>
              <w:spacing w:after="0"/>
              <w:rPr>
                <w:sz w:val="11"/>
                <w:szCs w:val="11"/>
                <w:color w:val="auto"/>
              </w:rPr>
            </w:pPr>
          </w:p>
        </w:tc>
      </w:tr>
      <w:tr>
        <w:trPr>
          <w:trHeight w:val="216"/>
        </w:trPr>
        <w:tc>
          <w:tcPr>
            <w:tcW w:w="920" w:type="dxa"/>
            <w:vAlign w:val="bottom"/>
          </w:tcPr>
          <w:p>
            <w:pPr>
              <w:jc w:val="right"/>
              <w:ind w:right="56"/>
              <w:spacing w:after="0"/>
              <w:rPr>
                <w:sz w:val="20"/>
                <w:szCs w:val="20"/>
                <w:color w:val="auto"/>
              </w:rPr>
            </w:pPr>
            <w:r>
              <w:rPr>
                <w:rFonts w:ascii="Arial" w:cs="Arial" w:eastAsia="Arial" w:hAnsi="Arial"/>
                <w:sz w:val="18"/>
                <w:szCs w:val="18"/>
                <w:color w:val="auto"/>
              </w:rPr>
              <w:t>$ (3,277)</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 (18,551)</w:t>
            </w:r>
          </w:p>
        </w:tc>
      </w:tr>
      <w:tr>
        <w:trPr>
          <w:trHeight w:val="216"/>
        </w:trPr>
        <w:tc>
          <w:tcPr>
            <w:tcW w:w="920" w:type="dxa"/>
            <w:vAlign w:val="bottom"/>
          </w:tcPr>
          <w:p>
            <w:pPr>
              <w:jc w:val="right"/>
              <w:ind w:right="56"/>
              <w:spacing w:after="0"/>
              <w:rPr>
                <w:sz w:val="20"/>
                <w:szCs w:val="20"/>
                <w:color w:val="auto"/>
              </w:rPr>
            </w:pPr>
            <w:r>
              <w:rPr>
                <w:rFonts w:ascii="Arial" w:cs="Arial" w:eastAsia="Arial" w:hAnsi="Arial"/>
                <w:sz w:val="18"/>
                <w:szCs w:val="18"/>
                <w:color w:val="auto"/>
              </w:rPr>
              <w:t>$ (0.76)</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 (4.30)</w:t>
            </w:r>
          </w:p>
        </w:tc>
      </w:tr>
      <w:tr>
        <w:trPr>
          <w:trHeight w:val="216"/>
        </w:trPr>
        <w:tc>
          <w:tcPr>
            <w:tcW w:w="920" w:type="dxa"/>
            <w:vAlign w:val="bottom"/>
          </w:tcPr>
          <w:p>
            <w:pPr>
              <w:jc w:val="right"/>
              <w:ind w:right="56"/>
              <w:spacing w:after="0"/>
              <w:rPr>
                <w:sz w:val="20"/>
                <w:szCs w:val="20"/>
                <w:color w:val="auto"/>
              </w:rPr>
            </w:pPr>
            <w:r>
              <w:rPr>
                <w:rFonts w:ascii="Arial" w:cs="Arial" w:eastAsia="Arial" w:hAnsi="Arial"/>
                <w:sz w:val="18"/>
                <w:szCs w:val="18"/>
                <w:color w:val="auto"/>
                <w:w w:val="94"/>
              </w:rPr>
              <w:t>4,326,461</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4,309,182</w:t>
            </w:r>
          </w:p>
        </w:tc>
      </w:tr>
      <w:tr>
        <w:trPr>
          <w:trHeight w:val="230"/>
        </w:trPr>
        <w:tc>
          <w:tcPr>
            <w:tcW w:w="920" w:type="dxa"/>
            <w:vAlign w:val="bottom"/>
          </w:tcPr>
          <w:p>
            <w:pPr>
              <w:jc w:val="right"/>
              <w:ind w:right="56"/>
              <w:spacing w:after="0"/>
              <w:rPr>
                <w:sz w:val="20"/>
                <w:szCs w:val="20"/>
                <w:color w:val="auto"/>
              </w:rPr>
            </w:pPr>
            <w:r>
              <w:rPr>
                <w:rFonts w:ascii="Arial" w:cs="Arial" w:eastAsia="Arial" w:hAnsi="Arial"/>
                <w:sz w:val="18"/>
                <w:szCs w:val="18"/>
                <w:color w:val="auto"/>
                <w:w w:val="94"/>
              </w:rPr>
              <w:t>4,329,945</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4,311,274</w:t>
            </w:r>
          </w:p>
        </w:tc>
      </w:tr>
    </w:tbl>
    <w:p>
      <w:pPr>
        <w:spacing w:after="0" w:line="220" w:lineRule="exact"/>
        <w:rPr>
          <w:sz w:val="20"/>
          <w:szCs w:val="20"/>
          <w:color w:val="auto"/>
        </w:rPr>
      </w:pPr>
    </w:p>
    <w:p>
      <w:pPr>
        <w:jc w:val="center"/>
        <w:ind w:right="379"/>
        <w:spacing w:after="0"/>
        <w:rPr>
          <w:sz w:val="20"/>
          <w:szCs w:val="20"/>
          <w:color w:val="auto"/>
        </w:rPr>
      </w:pPr>
      <w:r>
        <w:rPr>
          <w:rFonts w:ascii="Arial" w:cs="Arial" w:eastAsia="Arial" w:hAnsi="Arial"/>
          <w:sz w:val="14"/>
          <w:szCs w:val="14"/>
          <w:b w:val="1"/>
          <w:bCs w:val="1"/>
          <w:color w:val="auto"/>
        </w:rPr>
        <w:t>Nine Months Ended</w:t>
      </w:r>
    </w:p>
    <w:p>
      <w:pPr>
        <w:jc w:val="center"/>
        <w:ind w:right="379"/>
        <w:spacing w:after="0" w:line="226" w:lineRule="auto"/>
        <w:rPr>
          <w:sz w:val="20"/>
          <w:szCs w:val="20"/>
          <w:color w:val="auto"/>
        </w:rPr>
      </w:pPr>
      <w:r>
        <w:rPr>
          <w:rFonts w:ascii="Arial" w:cs="Arial" w:eastAsia="Arial" w:hAnsi="Arial"/>
          <w:sz w:val="14"/>
          <w:szCs w:val="14"/>
          <w:b w:val="1"/>
          <w:bCs w:val="1"/>
          <w:color w:val="auto"/>
        </w:rPr>
        <w:t>September 30,</w:t>
      </w:r>
    </w:p>
    <w:tbl>
      <w:tblPr>
        <w:tblLayout w:type="fixed"/>
        <w:tblInd w:w="0" w:type="dxa"/>
        <w:tblCellMar>
          <w:top w:w="0" w:type="dxa"/>
          <w:left w:w="0" w:type="dxa"/>
          <w:bottom w:w="0" w:type="dxa"/>
          <w:right w:w="0" w:type="dxa"/>
        </w:tblCellMar>
      </w:tblPr>
      <w:tr>
        <w:trPr>
          <w:trHeight w:val="156"/>
        </w:trPr>
        <w:tc>
          <w:tcPr>
            <w:tcW w:w="940" w:type="dxa"/>
            <w:vAlign w:val="bottom"/>
            <w:tcBorders>
              <w:bottom w:val="single" w:sz="8" w:color="auto"/>
            </w:tcBorders>
          </w:tcPr>
          <w:p>
            <w:pPr>
              <w:jc w:val="right"/>
              <w:ind w:right="316"/>
              <w:spacing w:after="0" w:line="156" w:lineRule="exact"/>
              <w:rPr>
                <w:sz w:val="20"/>
                <w:szCs w:val="20"/>
                <w:color w:val="auto"/>
              </w:rPr>
            </w:pPr>
            <w:r>
              <w:rPr>
                <w:rFonts w:ascii="Arial" w:cs="Arial" w:eastAsia="Arial" w:hAnsi="Arial"/>
                <w:sz w:val="14"/>
                <w:szCs w:val="14"/>
                <w:b w:val="1"/>
                <w:bCs w:val="1"/>
                <w:color w:val="auto"/>
              </w:rPr>
              <w:t>2022</w:t>
            </w:r>
          </w:p>
        </w:tc>
        <w:tc>
          <w:tcPr>
            <w:tcW w:w="900" w:type="dxa"/>
            <w:vAlign w:val="bottom"/>
            <w:tcBorders>
              <w:bottom w:val="single" w:sz="8" w:color="auto"/>
            </w:tcBorders>
          </w:tcPr>
          <w:p>
            <w:pPr>
              <w:jc w:val="right"/>
              <w:ind w:right="174"/>
              <w:spacing w:after="0" w:line="156" w:lineRule="exact"/>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3"/>
                <w:szCs w:val="13"/>
                <w:color w:val="auto"/>
              </w:rPr>
            </w:pPr>
          </w:p>
        </w:tc>
      </w:tr>
      <w:tr>
        <w:trPr>
          <w:trHeight w:val="128"/>
        </w:trPr>
        <w:tc>
          <w:tcPr>
            <w:tcW w:w="1840" w:type="dxa"/>
            <w:vAlign w:val="bottom"/>
            <w:gridSpan w:val="2"/>
          </w:tcPr>
          <w:p>
            <w:pPr>
              <w:jc w:val="right"/>
              <w:ind w:right="494"/>
              <w:spacing w:after="0" w:line="128" w:lineRule="exact"/>
              <w:rPr>
                <w:sz w:val="20"/>
                <w:szCs w:val="20"/>
                <w:color w:val="auto"/>
              </w:rPr>
            </w:pPr>
            <w:r>
              <w:rPr>
                <w:rFonts w:ascii="Arial" w:cs="Arial" w:eastAsia="Arial" w:hAnsi="Arial"/>
                <w:sz w:val="14"/>
                <w:szCs w:val="14"/>
                <w:color w:val="auto"/>
              </w:rPr>
              <w:t>(Unaudited)</w:t>
            </w:r>
          </w:p>
        </w:tc>
        <w:tc>
          <w:tcPr>
            <w:tcW w:w="20" w:type="dxa"/>
            <w:vAlign w:val="bottom"/>
          </w:tcPr>
          <w:p>
            <w:pPr>
              <w:spacing w:after="0"/>
              <w:rPr>
                <w:sz w:val="11"/>
                <w:szCs w:val="11"/>
                <w:color w:val="auto"/>
              </w:rPr>
            </w:pPr>
          </w:p>
        </w:tc>
      </w:tr>
      <w:tr>
        <w:trPr>
          <w:trHeight w:val="216"/>
        </w:trPr>
        <w:tc>
          <w:tcPr>
            <w:tcW w:w="940" w:type="dxa"/>
            <w:vAlign w:val="bottom"/>
          </w:tcPr>
          <w:p>
            <w:pPr>
              <w:jc w:val="right"/>
              <w:ind w:right="56"/>
              <w:spacing w:after="0"/>
              <w:rPr>
                <w:sz w:val="20"/>
                <w:szCs w:val="20"/>
                <w:color w:val="auto"/>
              </w:rPr>
            </w:pPr>
            <w:r>
              <w:rPr>
                <w:rFonts w:ascii="Arial" w:cs="Arial" w:eastAsia="Arial" w:hAnsi="Arial"/>
                <w:sz w:val="18"/>
                <w:szCs w:val="18"/>
                <w:color w:val="auto"/>
                <w:w w:val="95"/>
              </w:rPr>
              <w:t>$ (25,598)</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 (54,046)</w:t>
            </w:r>
          </w:p>
        </w:tc>
      </w:tr>
      <w:tr>
        <w:trPr>
          <w:trHeight w:val="216"/>
        </w:trPr>
        <w:tc>
          <w:tcPr>
            <w:tcW w:w="940" w:type="dxa"/>
            <w:vAlign w:val="bottom"/>
          </w:tcPr>
          <w:p>
            <w:pPr>
              <w:jc w:val="right"/>
              <w:ind w:right="56"/>
              <w:spacing w:after="0"/>
              <w:rPr>
                <w:sz w:val="20"/>
                <w:szCs w:val="20"/>
                <w:color w:val="auto"/>
              </w:rPr>
            </w:pPr>
            <w:r>
              <w:rPr>
                <w:rFonts w:ascii="Arial" w:cs="Arial" w:eastAsia="Arial" w:hAnsi="Arial"/>
                <w:sz w:val="18"/>
                <w:szCs w:val="18"/>
                <w:color w:val="auto"/>
              </w:rPr>
              <w:t>$ (5.92)</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 (13.71)</w:t>
            </w:r>
          </w:p>
        </w:tc>
      </w:tr>
      <w:tr>
        <w:trPr>
          <w:trHeight w:val="216"/>
        </w:trPr>
        <w:tc>
          <w:tcPr>
            <w:tcW w:w="940" w:type="dxa"/>
            <w:vAlign w:val="bottom"/>
          </w:tcPr>
          <w:p>
            <w:pPr>
              <w:jc w:val="right"/>
              <w:ind w:right="56"/>
              <w:spacing w:after="0"/>
              <w:rPr>
                <w:sz w:val="20"/>
                <w:szCs w:val="20"/>
                <w:color w:val="auto"/>
              </w:rPr>
            </w:pPr>
            <w:r>
              <w:rPr>
                <w:rFonts w:ascii="Arial" w:cs="Arial" w:eastAsia="Arial" w:hAnsi="Arial"/>
                <w:sz w:val="18"/>
                <w:szCs w:val="18"/>
                <w:color w:val="auto"/>
                <w:w w:val="97"/>
              </w:rPr>
              <w:t>4,323,617</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3,942,747</w:t>
            </w:r>
          </w:p>
        </w:tc>
      </w:tr>
      <w:tr>
        <w:trPr>
          <w:trHeight w:val="230"/>
        </w:trPr>
        <w:tc>
          <w:tcPr>
            <w:tcW w:w="940" w:type="dxa"/>
            <w:vAlign w:val="bottom"/>
          </w:tcPr>
          <w:p>
            <w:pPr>
              <w:jc w:val="right"/>
              <w:ind w:right="56"/>
              <w:spacing w:after="0"/>
              <w:rPr>
                <w:sz w:val="20"/>
                <w:szCs w:val="20"/>
                <w:color w:val="auto"/>
              </w:rPr>
            </w:pPr>
            <w:r>
              <w:rPr>
                <w:rFonts w:ascii="Arial" w:cs="Arial" w:eastAsia="Arial" w:hAnsi="Arial"/>
                <w:sz w:val="18"/>
                <w:szCs w:val="18"/>
                <w:color w:val="auto"/>
                <w:w w:val="97"/>
              </w:rPr>
              <w:t>4,329,945</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4,311,274</w:t>
            </w:r>
          </w:p>
        </w:tc>
      </w:tr>
    </w:tbl>
    <w:p>
      <w:pPr>
        <w:sectPr>
          <w:pgSz w:w="11900" w:h="16838" w:orient="portrait"/>
          <w:cols w:equalWidth="0" w:num="2">
            <w:col w:w="6080" w:space="720"/>
            <w:col w:w="2219"/>
          </w:cols>
          <w:pgMar w:left="1440" w:top="265" w:right="1440"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107.1</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Calculation of Filing Fee Table</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Form S-8</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(Form Type)</w:t>
      </w:r>
    </w:p>
    <w:p>
      <w:pPr>
        <w:spacing w:after="0" w:line="20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Disc Medicine, Inc.</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Table 1—Newly Registered Securities</w:t>
      </w:r>
    </w:p>
    <w:p>
      <w:pPr>
        <w:spacing w:after="0" w:line="250" w:lineRule="exact"/>
        <w:rPr>
          <w:sz w:val="20"/>
          <w:szCs w:val="20"/>
          <w:color w:val="auto"/>
        </w:rPr>
      </w:pPr>
    </w:p>
    <w:tbl>
      <w:tblPr>
        <w:tblLayout w:type="fixed"/>
        <w:tblInd w:w="1194" w:type="dxa"/>
        <w:tblCellMar>
          <w:top w:w="0" w:type="dxa"/>
          <w:left w:w="0" w:type="dxa"/>
          <w:bottom w:w="0" w:type="dxa"/>
          <w:right w:w="0" w:type="dxa"/>
        </w:tblCellMar>
      </w:tblPr>
      <w:tr>
        <w:trPr>
          <w:trHeight w:val="148"/>
        </w:trPr>
        <w:tc>
          <w:tcPr>
            <w:tcW w:w="880" w:type="dxa"/>
            <w:vAlign w:val="bottom"/>
            <w:tcBorders>
              <w:top w:val="single" w:sz="8" w:color="auto"/>
              <w:left w:val="single" w:sz="8" w:color="auto"/>
              <w:right w:val="single" w:sz="8" w:color="auto"/>
            </w:tcBorders>
          </w:tcPr>
          <w:p>
            <w:pPr>
              <w:spacing w:after="0"/>
              <w:rPr>
                <w:sz w:val="12"/>
                <w:szCs w:val="12"/>
                <w:color w:val="auto"/>
              </w:rPr>
            </w:pPr>
          </w:p>
        </w:tc>
        <w:tc>
          <w:tcPr>
            <w:tcW w:w="1320" w:type="dxa"/>
            <w:vAlign w:val="bottom"/>
            <w:tcBorders>
              <w:top w:val="single" w:sz="8" w:color="auto"/>
              <w:right w:val="single" w:sz="8" w:color="auto"/>
            </w:tcBorders>
          </w:tcPr>
          <w:p>
            <w:pPr>
              <w:spacing w:after="0"/>
              <w:rPr>
                <w:sz w:val="12"/>
                <w:szCs w:val="12"/>
                <w:color w:val="auto"/>
              </w:rPr>
            </w:pPr>
          </w:p>
        </w:tc>
        <w:tc>
          <w:tcPr>
            <w:tcW w:w="1460" w:type="dxa"/>
            <w:vAlign w:val="bottom"/>
            <w:tcBorders>
              <w:top w:val="single" w:sz="8" w:color="auto"/>
              <w:right w:val="single" w:sz="8" w:color="auto"/>
            </w:tcBorders>
          </w:tcPr>
          <w:p>
            <w:pPr>
              <w:spacing w:after="0"/>
              <w:rPr>
                <w:sz w:val="12"/>
                <w:szCs w:val="12"/>
                <w:color w:val="auto"/>
              </w:rPr>
            </w:pPr>
          </w:p>
        </w:tc>
        <w:tc>
          <w:tcPr>
            <w:tcW w:w="1040" w:type="dxa"/>
            <w:vAlign w:val="bottom"/>
            <w:tcBorders>
              <w:top w:val="single" w:sz="8" w:color="auto"/>
              <w:right w:val="single" w:sz="8" w:color="auto"/>
            </w:tcBorders>
          </w:tcPr>
          <w:p>
            <w:pPr>
              <w:spacing w:after="0"/>
              <w:rPr>
                <w:sz w:val="12"/>
                <w:szCs w:val="12"/>
                <w:color w:val="auto"/>
              </w:rPr>
            </w:pPr>
          </w:p>
        </w:tc>
        <w:tc>
          <w:tcPr>
            <w:tcW w:w="780" w:type="dxa"/>
            <w:vAlign w:val="bottom"/>
            <w:tcBorders>
              <w:top w:val="single" w:sz="8" w:color="auto"/>
              <w:right w:val="single" w:sz="8" w:color="auto"/>
            </w:tcBorders>
          </w:tcPr>
          <w:p>
            <w:pPr>
              <w:jc w:val="center"/>
              <w:spacing w:after="0" w:line="148" w:lineRule="exact"/>
              <w:rPr>
                <w:sz w:val="20"/>
                <w:szCs w:val="20"/>
                <w:color w:val="auto"/>
              </w:rPr>
            </w:pPr>
            <w:r>
              <w:rPr>
                <w:rFonts w:ascii="Arial" w:cs="Arial" w:eastAsia="Arial" w:hAnsi="Arial"/>
                <w:sz w:val="13"/>
                <w:szCs w:val="13"/>
                <w:color w:val="auto"/>
                <w:w w:val="82"/>
              </w:rPr>
              <w:t>Proposed</w:t>
            </w:r>
          </w:p>
        </w:tc>
        <w:tc>
          <w:tcPr>
            <w:tcW w:w="1400" w:type="dxa"/>
            <w:vAlign w:val="bottom"/>
            <w:tcBorders>
              <w:top w:val="single" w:sz="8" w:color="auto"/>
              <w:right w:val="single" w:sz="8" w:color="auto"/>
            </w:tcBorders>
          </w:tcPr>
          <w:p>
            <w:pPr>
              <w:spacing w:after="0"/>
              <w:rPr>
                <w:sz w:val="12"/>
                <w:szCs w:val="12"/>
                <w:color w:val="auto"/>
              </w:rPr>
            </w:pPr>
          </w:p>
        </w:tc>
        <w:tc>
          <w:tcPr>
            <w:tcW w:w="980" w:type="dxa"/>
            <w:vAlign w:val="bottom"/>
            <w:tcBorders>
              <w:top w:val="single" w:sz="8" w:color="auto"/>
              <w:right w:val="single" w:sz="8" w:color="auto"/>
            </w:tcBorders>
          </w:tcPr>
          <w:p>
            <w:pPr>
              <w:spacing w:after="0"/>
              <w:rPr>
                <w:sz w:val="12"/>
                <w:szCs w:val="12"/>
                <w:color w:val="auto"/>
              </w:rPr>
            </w:pPr>
          </w:p>
        </w:tc>
        <w:tc>
          <w:tcPr>
            <w:tcW w:w="840" w:type="dxa"/>
            <w:vAlign w:val="bottom"/>
            <w:tcBorders>
              <w:top w:val="single" w:sz="8" w:color="auto"/>
              <w:right w:val="single" w:sz="8" w:color="auto"/>
            </w:tcBorders>
          </w:tcPr>
          <w:p>
            <w:pPr>
              <w:spacing w:after="0"/>
              <w:rPr>
                <w:sz w:val="12"/>
                <w:szCs w:val="12"/>
                <w:color w:val="auto"/>
              </w:rPr>
            </w:pPr>
          </w:p>
        </w:tc>
      </w:tr>
      <w:tr>
        <w:trPr>
          <w:trHeight w:val="135"/>
        </w:trPr>
        <w:tc>
          <w:tcPr>
            <w:tcW w:w="880" w:type="dxa"/>
            <w:vAlign w:val="bottom"/>
            <w:tcBorders>
              <w:left w:val="single" w:sz="8" w:color="auto"/>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146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2"/>
              </w:rPr>
              <w:t>Maximum</w:t>
            </w:r>
          </w:p>
        </w:tc>
        <w:tc>
          <w:tcPr>
            <w:tcW w:w="140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r>
      <w:tr>
        <w:trPr>
          <w:trHeight w:val="135"/>
        </w:trPr>
        <w:tc>
          <w:tcPr>
            <w:tcW w:w="880" w:type="dxa"/>
            <w:vAlign w:val="bottom"/>
            <w:tcBorders>
              <w:left w:val="single" w:sz="8" w:color="auto"/>
              <w:right w:val="single" w:sz="8" w:color="auto"/>
            </w:tcBorders>
          </w:tcPr>
          <w:p>
            <w:pPr>
              <w:spacing w:after="0"/>
              <w:rPr>
                <w:sz w:val="11"/>
                <w:szCs w:val="11"/>
                <w:color w:val="auto"/>
              </w:rPr>
            </w:pPr>
          </w:p>
        </w:tc>
        <w:tc>
          <w:tcPr>
            <w:tcW w:w="13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Security</w:t>
            </w:r>
          </w:p>
        </w:tc>
        <w:tc>
          <w:tcPr>
            <w:tcW w:w="1460" w:type="dxa"/>
            <w:vAlign w:val="bottom"/>
            <w:tcBorders>
              <w:right w:val="single" w:sz="8" w:color="auto"/>
            </w:tcBorders>
          </w:tcPr>
          <w:p>
            <w:pPr>
              <w:ind w:left="660"/>
              <w:spacing w:after="0" w:line="135" w:lineRule="exact"/>
              <w:rPr>
                <w:sz w:val="20"/>
                <w:szCs w:val="20"/>
                <w:color w:val="auto"/>
              </w:rPr>
            </w:pPr>
            <w:r>
              <w:rPr>
                <w:rFonts w:ascii="Arial" w:cs="Arial" w:eastAsia="Arial" w:hAnsi="Arial"/>
                <w:sz w:val="13"/>
                <w:szCs w:val="13"/>
                <w:color w:val="auto"/>
              </w:rPr>
              <w:t>Fee</w:t>
            </w:r>
          </w:p>
        </w:tc>
        <w:tc>
          <w:tcPr>
            <w:tcW w:w="10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Amount</w:t>
            </w:r>
          </w:p>
        </w:tc>
        <w:tc>
          <w:tcPr>
            <w:tcW w:w="7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0"/>
              </w:rPr>
              <w:t>Offering</w:t>
            </w:r>
          </w:p>
        </w:tc>
        <w:tc>
          <w:tcPr>
            <w:tcW w:w="14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5"/>
              </w:rPr>
              <w:t>Maximum</w:t>
            </w:r>
          </w:p>
        </w:tc>
        <w:tc>
          <w:tcPr>
            <w:tcW w:w="98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4"/>
              </w:rPr>
              <w:t>Amount of</w:t>
            </w:r>
          </w:p>
        </w:tc>
      </w:tr>
      <w:tr>
        <w:trPr>
          <w:trHeight w:val="135"/>
        </w:trPr>
        <w:tc>
          <w:tcPr>
            <w:tcW w:w="880" w:type="dxa"/>
            <w:vAlign w:val="bottom"/>
            <w:tcBorders>
              <w:left w:val="single" w:sz="8" w:color="auto"/>
              <w:right w:val="single" w:sz="8" w:color="auto"/>
            </w:tcBorders>
          </w:tcPr>
          <w:p>
            <w:pPr>
              <w:spacing w:after="0"/>
              <w:rPr>
                <w:sz w:val="11"/>
                <w:szCs w:val="11"/>
                <w:color w:val="auto"/>
              </w:rPr>
            </w:pPr>
          </w:p>
        </w:tc>
        <w:tc>
          <w:tcPr>
            <w:tcW w:w="13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6"/>
              </w:rPr>
              <w:t>Class</w:t>
            </w:r>
          </w:p>
        </w:tc>
        <w:tc>
          <w:tcPr>
            <w:tcW w:w="14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0"/>
              </w:rPr>
              <w:t>Calculation</w:t>
            </w:r>
          </w:p>
        </w:tc>
        <w:tc>
          <w:tcPr>
            <w:tcW w:w="10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5"/>
              </w:rPr>
              <w:t>Registered</w:t>
            </w:r>
          </w:p>
        </w:tc>
        <w:tc>
          <w:tcPr>
            <w:tcW w:w="7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5"/>
              </w:rPr>
              <w:t>Price Per</w:t>
            </w:r>
          </w:p>
        </w:tc>
        <w:tc>
          <w:tcPr>
            <w:tcW w:w="14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6"/>
              </w:rPr>
              <w:t>Aggregate</w:t>
            </w:r>
          </w:p>
        </w:tc>
        <w:tc>
          <w:tcPr>
            <w:tcW w:w="980" w:type="dxa"/>
            <w:vAlign w:val="bottom"/>
            <w:tcBorders>
              <w:right w:val="single" w:sz="8" w:color="auto"/>
            </w:tcBorders>
          </w:tcPr>
          <w:p>
            <w:pPr>
              <w:jc w:val="right"/>
              <w:ind w:right="321"/>
              <w:spacing w:after="0" w:line="135" w:lineRule="exact"/>
              <w:rPr>
                <w:sz w:val="20"/>
                <w:szCs w:val="20"/>
                <w:color w:val="auto"/>
              </w:rPr>
            </w:pPr>
            <w:r>
              <w:rPr>
                <w:rFonts w:ascii="Arial" w:cs="Arial" w:eastAsia="Arial" w:hAnsi="Arial"/>
                <w:sz w:val="13"/>
                <w:szCs w:val="13"/>
                <w:color w:val="auto"/>
              </w:rPr>
              <w:t>Fee</w:t>
            </w:r>
          </w:p>
        </w:tc>
        <w:tc>
          <w:tcPr>
            <w:tcW w:w="8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Registration</w:t>
            </w:r>
          </w:p>
        </w:tc>
      </w:tr>
      <w:tr>
        <w:trPr>
          <w:trHeight w:val="175"/>
        </w:trPr>
        <w:tc>
          <w:tcPr>
            <w:tcW w:w="880" w:type="dxa"/>
            <w:vAlign w:val="bottom"/>
            <w:tcBorders>
              <w:left w:val="single" w:sz="8" w:color="auto"/>
              <w:bottom w:val="single" w:sz="8" w:color="auto"/>
              <w:right w:val="single" w:sz="8" w:color="auto"/>
            </w:tcBorders>
          </w:tcPr>
          <w:p>
            <w:pPr>
              <w:jc w:val="center"/>
              <w:ind w:left="17"/>
              <w:spacing w:after="0"/>
              <w:rPr>
                <w:sz w:val="20"/>
                <w:szCs w:val="20"/>
                <w:color w:val="auto"/>
              </w:rPr>
            </w:pPr>
            <w:r>
              <w:rPr>
                <w:rFonts w:ascii="Arial" w:cs="Arial" w:eastAsia="Arial" w:hAnsi="Arial"/>
                <w:sz w:val="13"/>
                <w:szCs w:val="13"/>
                <w:color w:val="auto"/>
                <w:w w:val="88"/>
              </w:rPr>
              <w:t>Security Type</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Title</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9"/>
              </w:rPr>
              <w:t>Rule</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(1)</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4"/>
              </w:rPr>
              <w:t>Unit</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0"/>
              </w:rPr>
              <w:t>Offering Price</w:t>
            </w:r>
          </w:p>
        </w:tc>
        <w:tc>
          <w:tcPr>
            <w:tcW w:w="980" w:type="dxa"/>
            <w:vAlign w:val="bottom"/>
            <w:tcBorders>
              <w:bottom w:val="single" w:sz="8" w:color="auto"/>
              <w:right w:val="single" w:sz="8" w:color="auto"/>
            </w:tcBorders>
          </w:tcPr>
          <w:p>
            <w:pPr>
              <w:jc w:val="right"/>
              <w:ind w:right="281"/>
              <w:spacing w:after="0"/>
              <w:rPr>
                <w:sz w:val="20"/>
                <w:szCs w:val="20"/>
                <w:color w:val="auto"/>
              </w:rPr>
            </w:pPr>
            <w:r>
              <w:rPr>
                <w:rFonts w:ascii="Arial" w:cs="Arial" w:eastAsia="Arial" w:hAnsi="Arial"/>
                <w:sz w:val="13"/>
                <w:szCs w:val="13"/>
                <w:color w:val="auto"/>
              </w:rPr>
              <w:t>Rate</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0"/>
              </w:rPr>
              <w:t>Fee</w:t>
            </w:r>
          </w:p>
        </w:tc>
      </w:tr>
      <w:tr>
        <w:trPr>
          <w:trHeight w:val="210"/>
        </w:trPr>
        <w:tc>
          <w:tcPr>
            <w:tcW w:w="880" w:type="dxa"/>
            <w:vAlign w:val="bottom"/>
            <w:tcBorders>
              <w:left w:val="single" w:sz="8" w:color="auto"/>
              <w:right w:val="single" w:sz="8" w:color="auto"/>
            </w:tcBorders>
          </w:tcPr>
          <w:p>
            <w:pPr>
              <w:jc w:val="center"/>
              <w:ind w:left="37"/>
              <w:spacing w:after="0"/>
              <w:rPr>
                <w:sz w:val="20"/>
                <w:szCs w:val="20"/>
                <w:color w:val="auto"/>
              </w:rPr>
            </w:pPr>
            <w:r>
              <w:rPr>
                <w:rFonts w:ascii="Arial" w:cs="Arial" w:eastAsia="Arial" w:hAnsi="Arial"/>
                <w:sz w:val="18"/>
                <w:szCs w:val="18"/>
                <w:color w:val="auto"/>
                <w:w w:val="95"/>
              </w:rPr>
              <w:t>Equity</w:t>
            </w:r>
          </w:p>
        </w:tc>
        <w:tc>
          <w:tcPr>
            <w:tcW w:w="13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3"/>
              </w:rPr>
              <w:t>Common Stock,</w:t>
            </w:r>
          </w:p>
        </w:tc>
        <w:tc>
          <w:tcPr>
            <w:tcW w:w="146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r>
      <w:tr>
        <w:trPr>
          <w:trHeight w:val="216"/>
        </w:trPr>
        <w:tc>
          <w:tcPr>
            <w:tcW w:w="880" w:type="dxa"/>
            <w:vAlign w:val="bottom"/>
            <w:tcBorders>
              <w:left w:val="single" w:sz="8" w:color="auto"/>
              <w:right w:val="single" w:sz="8" w:color="auto"/>
            </w:tcBorders>
          </w:tcPr>
          <w:p>
            <w:pPr>
              <w:spacing w:after="0"/>
              <w:rPr>
                <w:sz w:val="18"/>
                <w:szCs w:val="18"/>
                <w:color w:val="auto"/>
              </w:rPr>
            </w:pP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$0.0001</w:t>
            </w:r>
          </w:p>
        </w:tc>
        <w:tc>
          <w:tcPr>
            <w:tcW w:w="146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r>
      <w:tr>
        <w:trPr>
          <w:trHeight w:val="216"/>
        </w:trPr>
        <w:tc>
          <w:tcPr>
            <w:tcW w:w="880" w:type="dxa"/>
            <w:vAlign w:val="bottom"/>
            <w:tcBorders>
              <w:left w:val="single" w:sz="8" w:color="auto"/>
              <w:right w:val="single" w:sz="8" w:color="auto"/>
            </w:tcBorders>
          </w:tcPr>
          <w:p>
            <w:pPr>
              <w:spacing w:after="0"/>
              <w:rPr>
                <w:sz w:val="18"/>
                <w:szCs w:val="18"/>
                <w:color w:val="auto"/>
              </w:rPr>
            </w:pP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par value per</w:t>
            </w:r>
          </w:p>
        </w:tc>
        <w:tc>
          <w:tcPr>
            <w:tcW w:w="146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r>
      <w:tr>
        <w:trPr>
          <w:trHeight w:val="237"/>
        </w:trPr>
        <w:tc>
          <w:tcPr>
            <w:tcW w:w="880" w:type="dxa"/>
            <w:vAlign w:val="bottom"/>
            <w:tcBorders>
              <w:left w:val="single" w:sz="8" w:color="auto"/>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4"/>
              </w:rPr>
              <w:t>share</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457(c) and 457(h)</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1,672,599(2)</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$7.20(3)</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$12,042,712.80(3)</w:t>
            </w:r>
          </w:p>
        </w:tc>
        <w:tc>
          <w:tcPr>
            <w:tcW w:w="980" w:type="dxa"/>
            <w:vAlign w:val="bottom"/>
            <w:tcBorders>
              <w:bottom w:val="single" w:sz="8" w:color="auto"/>
              <w:right w:val="single" w:sz="8" w:color="auto"/>
            </w:tcBorders>
          </w:tcPr>
          <w:p>
            <w:pPr>
              <w:jc w:val="right"/>
              <w:ind w:right="1"/>
              <w:spacing w:after="0"/>
              <w:rPr>
                <w:sz w:val="20"/>
                <w:szCs w:val="20"/>
                <w:color w:val="auto"/>
              </w:rPr>
            </w:pPr>
            <w:r>
              <w:rPr>
                <w:rFonts w:ascii="Arial" w:cs="Arial" w:eastAsia="Arial" w:hAnsi="Arial"/>
                <w:sz w:val="18"/>
                <w:szCs w:val="18"/>
                <w:color w:val="auto"/>
                <w:w w:val="92"/>
              </w:rPr>
              <w:t>$0.0001102</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$1,327.11</w:t>
            </w:r>
          </w:p>
        </w:tc>
      </w:tr>
      <w:tr>
        <w:trPr>
          <w:trHeight w:val="215"/>
        </w:trPr>
        <w:tc>
          <w:tcPr>
            <w:tcW w:w="880" w:type="dxa"/>
            <w:vAlign w:val="bottom"/>
            <w:tcBorders>
              <w:left w:val="single" w:sz="8" w:color="auto"/>
              <w:right w:val="single" w:sz="8" w:color="auto"/>
            </w:tcBorders>
          </w:tcPr>
          <w:p>
            <w:pPr>
              <w:jc w:val="center"/>
              <w:ind w:left="37"/>
              <w:spacing w:after="0"/>
              <w:rPr>
                <w:sz w:val="20"/>
                <w:szCs w:val="20"/>
                <w:color w:val="auto"/>
              </w:rPr>
            </w:pPr>
            <w:r>
              <w:rPr>
                <w:rFonts w:ascii="Arial" w:cs="Arial" w:eastAsia="Arial" w:hAnsi="Arial"/>
                <w:sz w:val="18"/>
                <w:szCs w:val="18"/>
                <w:color w:val="auto"/>
                <w:w w:val="95"/>
              </w:rPr>
              <w:t>Equity</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146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r>
      <w:tr>
        <w:trPr>
          <w:trHeight w:val="216"/>
        </w:trPr>
        <w:tc>
          <w:tcPr>
            <w:tcW w:w="880" w:type="dxa"/>
            <w:vAlign w:val="bottom"/>
            <w:tcBorders>
              <w:left w:val="single" w:sz="8" w:color="auto"/>
              <w:right w:val="single" w:sz="8" w:color="auto"/>
            </w:tcBorders>
          </w:tcPr>
          <w:p>
            <w:pPr>
              <w:spacing w:after="0"/>
              <w:rPr>
                <w:sz w:val="18"/>
                <w:szCs w:val="18"/>
                <w:color w:val="auto"/>
              </w:rPr>
            </w:pP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$0.0001</w:t>
            </w:r>
          </w:p>
        </w:tc>
        <w:tc>
          <w:tcPr>
            <w:tcW w:w="146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r>
      <w:tr>
        <w:trPr>
          <w:trHeight w:val="216"/>
        </w:trPr>
        <w:tc>
          <w:tcPr>
            <w:tcW w:w="880" w:type="dxa"/>
            <w:vAlign w:val="bottom"/>
            <w:tcBorders>
              <w:left w:val="single" w:sz="8" w:color="auto"/>
              <w:right w:val="single" w:sz="8" w:color="auto"/>
            </w:tcBorders>
          </w:tcPr>
          <w:p>
            <w:pPr>
              <w:spacing w:after="0"/>
              <w:rPr>
                <w:sz w:val="18"/>
                <w:szCs w:val="18"/>
                <w:color w:val="auto"/>
              </w:rPr>
            </w:pP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par value per</w:t>
            </w:r>
          </w:p>
        </w:tc>
        <w:tc>
          <w:tcPr>
            <w:tcW w:w="146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r>
      <w:tr>
        <w:trPr>
          <w:trHeight w:val="237"/>
        </w:trPr>
        <w:tc>
          <w:tcPr>
            <w:tcW w:w="880" w:type="dxa"/>
            <w:vAlign w:val="bottom"/>
            <w:tcBorders>
              <w:left w:val="single" w:sz="8" w:color="auto"/>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4"/>
              </w:rPr>
              <w:t>share</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457(c) and 457(h)</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2,035,103(4)</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$18.78(5)</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$38,209,058.83(5)</w:t>
            </w:r>
          </w:p>
        </w:tc>
        <w:tc>
          <w:tcPr>
            <w:tcW w:w="980" w:type="dxa"/>
            <w:vAlign w:val="bottom"/>
            <w:tcBorders>
              <w:bottom w:val="single" w:sz="8" w:color="auto"/>
              <w:right w:val="single" w:sz="8" w:color="auto"/>
            </w:tcBorders>
          </w:tcPr>
          <w:p>
            <w:pPr>
              <w:jc w:val="right"/>
              <w:ind w:right="1"/>
              <w:spacing w:after="0"/>
              <w:rPr>
                <w:sz w:val="20"/>
                <w:szCs w:val="20"/>
                <w:color w:val="auto"/>
              </w:rPr>
            </w:pPr>
            <w:r>
              <w:rPr>
                <w:rFonts w:ascii="Arial" w:cs="Arial" w:eastAsia="Arial" w:hAnsi="Arial"/>
                <w:sz w:val="18"/>
                <w:szCs w:val="18"/>
                <w:color w:val="auto"/>
                <w:w w:val="92"/>
              </w:rPr>
              <w:t>$0.0001102</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$4,210.64</w:t>
            </w:r>
          </w:p>
        </w:tc>
      </w:tr>
      <w:tr>
        <w:trPr>
          <w:trHeight w:val="215"/>
        </w:trPr>
        <w:tc>
          <w:tcPr>
            <w:tcW w:w="880" w:type="dxa"/>
            <w:vAlign w:val="bottom"/>
            <w:tcBorders>
              <w:left w:val="single" w:sz="8" w:color="auto"/>
              <w:right w:val="single" w:sz="8" w:color="auto"/>
            </w:tcBorders>
          </w:tcPr>
          <w:p>
            <w:pPr>
              <w:jc w:val="center"/>
              <w:ind w:left="37"/>
              <w:spacing w:after="0"/>
              <w:rPr>
                <w:sz w:val="20"/>
                <w:szCs w:val="20"/>
                <w:color w:val="auto"/>
              </w:rPr>
            </w:pPr>
            <w:r>
              <w:rPr>
                <w:rFonts w:ascii="Arial" w:cs="Arial" w:eastAsia="Arial" w:hAnsi="Arial"/>
                <w:sz w:val="18"/>
                <w:szCs w:val="18"/>
                <w:color w:val="auto"/>
                <w:w w:val="95"/>
              </w:rPr>
              <w:t>Equity</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146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r>
      <w:tr>
        <w:trPr>
          <w:trHeight w:val="216"/>
        </w:trPr>
        <w:tc>
          <w:tcPr>
            <w:tcW w:w="880" w:type="dxa"/>
            <w:vAlign w:val="bottom"/>
            <w:tcBorders>
              <w:left w:val="single" w:sz="8" w:color="auto"/>
              <w:right w:val="single" w:sz="8" w:color="auto"/>
            </w:tcBorders>
          </w:tcPr>
          <w:p>
            <w:pPr>
              <w:spacing w:after="0"/>
              <w:rPr>
                <w:sz w:val="18"/>
                <w:szCs w:val="18"/>
                <w:color w:val="auto"/>
              </w:rPr>
            </w:pP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$0.0001</w:t>
            </w:r>
          </w:p>
        </w:tc>
        <w:tc>
          <w:tcPr>
            <w:tcW w:w="146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r>
      <w:tr>
        <w:trPr>
          <w:trHeight w:val="216"/>
        </w:trPr>
        <w:tc>
          <w:tcPr>
            <w:tcW w:w="880" w:type="dxa"/>
            <w:vAlign w:val="bottom"/>
            <w:tcBorders>
              <w:left w:val="single" w:sz="8" w:color="auto"/>
              <w:right w:val="single" w:sz="8" w:color="auto"/>
            </w:tcBorders>
          </w:tcPr>
          <w:p>
            <w:pPr>
              <w:spacing w:after="0"/>
              <w:rPr>
                <w:sz w:val="18"/>
                <w:szCs w:val="18"/>
                <w:color w:val="auto"/>
              </w:rPr>
            </w:pP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par value per</w:t>
            </w:r>
          </w:p>
        </w:tc>
        <w:tc>
          <w:tcPr>
            <w:tcW w:w="146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r>
      <w:tr>
        <w:trPr>
          <w:trHeight w:val="237"/>
        </w:trPr>
        <w:tc>
          <w:tcPr>
            <w:tcW w:w="880" w:type="dxa"/>
            <w:vAlign w:val="bottom"/>
            <w:tcBorders>
              <w:left w:val="single" w:sz="8" w:color="auto"/>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4"/>
              </w:rPr>
              <w:t>share</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457(c) and 457(h)</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180,894(6)</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$18.78(5)</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$3,396,284.85(5)</w:t>
            </w:r>
          </w:p>
        </w:tc>
        <w:tc>
          <w:tcPr>
            <w:tcW w:w="980" w:type="dxa"/>
            <w:vAlign w:val="bottom"/>
            <w:tcBorders>
              <w:bottom w:val="single" w:sz="8" w:color="auto"/>
              <w:right w:val="single" w:sz="8" w:color="auto"/>
            </w:tcBorders>
          </w:tcPr>
          <w:p>
            <w:pPr>
              <w:jc w:val="right"/>
              <w:ind w:right="1"/>
              <w:spacing w:after="0"/>
              <w:rPr>
                <w:sz w:val="20"/>
                <w:szCs w:val="20"/>
                <w:color w:val="auto"/>
              </w:rPr>
            </w:pPr>
            <w:r>
              <w:rPr>
                <w:rFonts w:ascii="Arial" w:cs="Arial" w:eastAsia="Arial" w:hAnsi="Arial"/>
                <w:sz w:val="18"/>
                <w:szCs w:val="18"/>
                <w:color w:val="auto"/>
                <w:w w:val="92"/>
              </w:rPr>
              <w:t>$0.0001102</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$374.27</w:t>
            </w:r>
          </w:p>
        </w:tc>
      </w:tr>
      <w:tr>
        <w:trPr>
          <w:trHeight w:val="250"/>
        </w:trPr>
        <w:tc>
          <w:tcPr>
            <w:tcW w:w="880" w:type="dxa"/>
            <w:vAlign w:val="bottom"/>
            <w:tcBorders>
              <w:left w:val="single" w:sz="8" w:color="auto"/>
              <w:bottom w:val="single" w:sz="8" w:color="auto"/>
            </w:tcBorders>
          </w:tcPr>
          <w:p>
            <w:pPr>
              <w:spacing w:after="0"/>
              <w:rPr>
                <w:sz w:val="21"/>
                <w:szCs w:val="21"/>
                <w:color w:val="auto"/>
              </w:rPr>
            </w:pPr>
          </w:p>
        </w:tc>
        <w:tc>
          <w:tcPr>
            <w:tcW w:w="2780" w:type="dxa"/>
            <w:vAlign w:val="bottom"/>
            <w:tcBorders>
              <w:bottom w:val="single" w:sz="8" w:color="auto"/>
            </w:tcBorders>
            <w:gridSpan w:val="2"/>
          </w:tcPr>
          <w:p>
            <w:pPr>
              <w:jc w:val="center"/>
              <w:ind w:left="175"/>
              <w:spacing w:after="0"/>
              <w:rPr>
                <w:sz w:val="20"/>
                <w:szCs w:val="20"/>
                <w:color w:val="auto"/>
              </w:rPr>
            </w:pPr>
            <w:r>
              <w:rPr>
                <w:rFonts w:ascii="Arial" w:cs="Arial" w:eastAsia="Arial" w:hAnsi="Arial"/>
                <w:sz w:val="18"/>
                <w:szCs w:val="18"/>
                <w:color w:val="auto"/>
                <w:w w:val="92"/>
              </w:rPr>
              <w:t>Total Offering Amounts</w:t>
            </w:r>
          </w:p>
        </w:tc>
        <w:tc>
          <w:tcPr>
            <w:tcW w:w="1040" w:type="dxa"/>
            <w:vAlign w:val="bottom"/>
            <w:tcBorders>
              <w:bottom w:val="single" w:sz="8" w:color="auto"/>
              <w:right w:val="single" w:sz="8" w:color="auto"/>
            </w:tcBorders>
          </w:tcPr>
          <w:p>
            <w:pPr>
              <w:spacing w:after="0"/>
              <w:rPr>
                <w:sz w:val="21"/>
                <w:szCs w:val="21"/>
                <w:color w:val="auto"/>
              </w:rPr>
            </w:pPr>
          </w:p>
        </w:tc>
        <w:tc>
          <w:tcPr>
            <w:tcW w:w="780" w:type="dxa"/>
            <w:vAlign w:val="bottom"/>
            <w:tcBorders>
              <w:bottom w:val="single" w:sz="8" w:color="auto"/>
              <w:right w:val="single" w:sz="8" w:color="auto"/>
            </w:tcBorders>
          </w:tcPr>
          <w:p>
            <w:pPr>
              <w:spacing w:after="0"/>
              <w:rPr>
                <w:sz w:val="21"/>
                <w:szCs w:val="21"/>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$53,648,056.48</w:t>
            </w:r>
          </w:p>
        </w:tc>
        <w:tc>
          <w:tcPr>
            <w:tcW w:w="980" w:type="dxa"/>
            <w:vAlign w:val="bottom"/>
            <w:tcBorders>
              <w:bottom w:val="single" w:sz="8" w:color="auto"/>
              <w:right w:val="single" w:sz="8" w:color="auto"/>
            </w:tcBorders>
          </w:tcPr>
          <w:p>
            <w:pPr>
              <w:spacing w:after="0"/>
              <w:rPr>
                <w:sz w:val="21"/>
                <w:szCs w:val="21"/>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$5,912.02</w:t>
            </w:r>
          </w:p>
        </w:tc>
      </w:tr>
      <w:tr>
        <w:trPr>
          <w:trHeight w:val="250"/>
        </w:trPr>
        <w:tc>
          <w:tcPr>
            <w:tcW w:w="880" w:type="dxa"/>
            <w:vAlign w:val="bottom"/>
            <w:tcBorders>
              <w:left w:val="single" w:sz="8" w:color="auto"/>
              <w:bottom w:val="single" w:sz="8" w:color="auto"/>
            </w:tcBorders>
          </w:tcPr>
          <w:p>
            <w:pPr>
              <w:spacing w:after="0"/>
              <w:rPr>
                <w:sz w:val="21"/>
                <w:szCs w:val="21"/>
                <w:color w:val="auto"/>
              </w:rPr>
            </w:pPr>
          </w:p>
        </w:tc>
        <w:tc>
          <w:tcPr>
            <w:tcW w:w="2780" w:type="dxa"/>
            <w:vAlign w:val="bottom"/>
            <w:tcBorders>
              <w:bottom w:val="single" w:sz="8" w:color="auto"/>
            </w:tcBorders>
            <w:gridSpan w:val="2"/>
          </w:tcPr>
          <w:p>
            <w:pPr>
              <w:jc w:val="center"/>
              <w:ind w:left="175"/>
              <w:spacing w:after="0"/>
              <w:rPr>
                <w:sz w:val="20"/>
                <w:szCs w:val="20"/>
                <w:color w:val="auto"/>
              </w:rPr>
            </w:pPr>
            <w:r>
              <w:rPr>
                <w:rFonts w:ascii="Arial" w:cs="Arial" w:eastAsia="Arial" w:hAnsi="Arial"/>
                <w:sz w:val="18"/>
                <w:szCs w:val="18"/>
                <w:color w:val="auto"/>
                <w:w w:val="89"/>
              </w:rPr>
              <w:t>Total Fee Offsets</w:t>
            </w:r>
          </w:p>
        </w:tc>
        <w:tc>
          <w:tcPr>
            <w:tcW w:w="1040" w:type="dxa"/>
            <w:vAlign w:val="bottom"/>
            <w:tcBorders>
              <w:bottom w:val="single" w:sz="8" w:color="auto"/>
              <w:right w:val="single" w:sz="8" w:color="auto"/>
            </w:tcBorders>
          </w:tcPr>
          <w:p>
            <w:pPr>
              <w:spacing w:after="0"/>
              <w:rPr>
                <w:sz w:val="21"/>
                <w:szCs w:val="21"/>
                <w:color w:val="auto"/>
              </w:rPr>
            </w:pPr>
          </w:p>
        </w:tc>
        <w:tc>
          <w:tcPr>
            <w:tcW w:w="780" w:type="dxa"/>
            <w:vAlign w:val="bottom"/>
            <w:tcBorders>
              <w:bottom w:val="single" w:sz="8" w:color="auto"/>
              <w:right w:val="single" w:sz="8" w:color="auto"/>
            </w:tcBorders>
          </w:tcPr>
          <w:p>
            <w:pPr>
              <w:spacing w:after="0"/>
              <w:rPr>
                <w:sz w:val="21"/>
                <w:szCs w:val="21"/>
                <w:color w:val="auto"/>
              </w:rPr>
            </w:pPr>
          </w:p>
        </w:tc>
        <w:tc>
          <w:tcPr>
            <w:tcW w:w="1400" w:type="dxa"/>
            <w:vAlign w:val="bottom"/>
            <w:tcBorders>
              <w:bottom w:val="single" w:sz="8" w:color="auto"/>
              <w:right w:val="single" w:sz="8" w:color="auto"/>
            </w:tcBorders>
          </w:tcPr>
          <w:p>
            <w:pPr>
              <w:spacing w:after="0"/>
              <w:rPr>
                <w:sz w:val="21"/>
                <w:szCs w:val="21"/>
                <w:color w:val="auto"/>
              </w:rPr>
            </w:pPr>
          </w:p>
        </w:tc>
        <w:tc>
          <w:tcPr>
            <w:tcW w:w="980" w:type="dxa"/>
            <w:vAlign w:val="bottom"/>
            <w:tcBorders>
              <w:bottom w:val="single" w:sz="8" w:color="auto"/>
              <w:right w:val="single" w:sz="8" w:color="auto"/>
            </w:tcBorders>
          </w:tcPr>
          <w:p>
            <w:pPr>
              <w:spacing w:after="0"/>
              <w:rPr>
                <w:sz w:val="21"/>
                <w:szCs w:val="21"/>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50"/>
        </w:trPr>
        <w:tc>
          <w:tcPr>
            <w:tcW w:w="880" w:type="dxa"/>
            <w:vAlign w:val="bottom"/>
            <w:tcBorders>
              <w:left w:val="single" w:sz="8" w:color="auto"/>
              <w:bottom w:val="single" w:sz="8" w:color="auto"/>
            </w:tcBorders>
          </w:tcPr>
          <w:p>
            <w:pPr>
              <w:spacing w:after="0"/>
              <w:rPr>
                <w:sz w:val="21"/>
                <w:szCs w:val="21"/>
                <w:color w:val="auto"/>
              </w:rPr>
            </w:pPr>
          </w:p>
        </w:tc>
        <w:tc>
          <w:tcPr>
            <w:tcW w:w="2780" w:type="dxa"/>
            <w:vAlign w:val="bottom"/>
            <w:tcBorders>
              <w:bottom w:val="single" w:sz="8" w:color="auto"/>
            </w:tcBorders>
            <w:gridSpan w:val="2"/>
          </w:tcPr>
          <w:p>
            <w:pPr>
              <w:jc w:val="center"/>
              <w:ind w:left="195"/>
              <w:spacing w:after="0"/>
              <w:rPr>
                <w:sz w:val="20"/>
                <w:szCs w:val="20"/>
                <w:color w:val="auto"/>
              </w:rPr>
            </w:pPr>
            <w:r>
              <w:rPr>
                <w:rFonts w:ascii="Arial" w:cs="Arial" w:eastAsia="Arial" w:hAnsi="Arial"/>
                <w:sz w:val="18"/>
                <w:szCs w:val="18"/>
                <w:color w:val="auto"/>
                <w:w w:val="88"/>
              </w:rPr>
              <w:t>Net Fee Due</w:t>
            </w:r>
          </w:p>
        </w:tc>
        <w:tc>
          <w:tcPr>
            <w:tcW w:w="1040" w:type="dxa"/>
            <w:vAlign w:val="bottom"/>
            <w:tcBorders>
              <w:bottom w:val="single" w:sz="8" w:color="auto"/>
              <w:right w:val="single" w:sz="8" w:color="auto"/>
            </w:tcBorders>
          </w:tcPr>
          <w:p>
            <w:pPr>
              <w:spacing w:after="0"/>
              <w:rPr>
                <w:sz w:val="21"/>
                <w:szCs w:val="21"/>
                <w:color w:val="auto"/>
              </w:rPr>
            </w:pPr>
          </w:p>
        </w:tc>
        <w:tc>
          <w:tcPr>
            <w:tcW w:w="780" w:type="dxa"/>
            <w:vAlign w:val="bottom"/>
            <w:tcBorders>
              <w:bottom w:val="single" w:sz="8" w:color="auto"/>
              <w:right w:val="single" w:sz="8" w:color="auto"/>
            </w:tcBorders>
          </w:tcPr>
          <w:p>
            <w:pPr>
              <w:spacing w:after="0"/>
              <w:rPr>
                <w:sz w:val="21"/>
                <w:szCs w:val="21"/>
                <w:color w:val="auto"/>
              </w:rPr>
            </w:pPr>
          </w:p>
        </w:tc>
        <w:tc>
          <w:tcPr>
            <w:tcW w:w="1400" w:type="dxa"/>
            <w:vAlign w:val="bottom"/>
            <w:tcBorders>
              <w:bottom w:val="single" w:sz="8" w:color="auto"/>
              <w:right w:val="single" w:sz="8" w:color="auto"/>
            </w:tcBorders>
          </w:tcPr>
          <w:p>
            <w:pPr>
              <w:spacing w:after="0"/>
              <w:rPr>
                <w:sz w:val="21"/>
                <w:szCs w:val="21"/>
                <w:color w:val="auto"/>
              </w:rPr>
            </w:pPr>
          </w:p>
        </w:tc>
        <w:tc>
          <w:tcPr>
            <w:tcW w:w="980" w:type="dxa"/>
            <w:vAlign w:val="bottom"/>
            <w:tcBorders>
              <w:bottom w:val="single" w:sz="8" w:color="auto"/>
              <w:right w:val="single" w:sz="8" w:color="auto"/>
            </w:tcBorders>
          </w:tcPr>
          <w:p>
            <w:pPr>
              <w:spacing w:after="0"/>
              <w:rPr>
                <w:sz w:val="21"/>
                <w:szCs w:val="21"/>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$5,912.02</w:t>
            </w:r>
          </w:p>
        </w:tc>
      </w:tr>
    </w:tbl>
    <w:p>
      <w:pPr>
        <w:spacing w:after="0" w:line="229" w:lineRule="exact"/>
        <w:rPr>
          <w:sz w:val="20"/>
          <w:szCs w:val="20"/>
          <w:color w:val="auto"/>
        </w:rPr>
      </w:pPr>
    </w:p>
    <w:p>
      <w:pPr>
        <w:ind w:left="424" w:hanging="424"/>
        <w:spacing w:after="0" w:line="285" w:lineRule="auto"/>
        <w:tabs>
          <w:tab w:leader="none" w:pos="424" w:val="left"/>
        </w:tabs>
        <w:numPr>
          <w:ilvl w:val="0"/>
          <w:numId w:val="86"/>
        </w:numPr>
        <w:rPr>
          <w:rFonts w:ascii="Arial" w:cs="Arial" w:eastAsia="Arial" w:hAnsi="Arial"/>
          <w:sz w:val="16"/>
          <w:szCs w:val="16"/>
          <w:color w:val="auto"/>
        </w:rPr>
      </w:pPr>
      <w:r>
        <w:rPr>
          <w:rFonts w:ascii="Arial" w:cs="Arial" w:eastAsia="Arial" w:hAnsi="Arial"/>
          <w:sz w:val="16"/>
          <w:szCs w:val="16"/>
          <w:color w:val="auto"/>
        </w:rPr>
        <w:t>Pursuant to Rule 416 under the Securities Act of 1933, as amended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this Registration Statement shall also cover any additional shares of Common Stock, par value $0.0001 per share (the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which become issuable under the Registrant’s 2021 Stock Option and Incentive Plan (the “</w:t>
      </w:r>
      <w:r>
        <w:rPr>
          <w:rFonts w:ascii="Arial" w:cs="Arial" w:eastAsia="Arial" w:hAnsi="Arial"/>
          <w:sz w:val="16"/>
          <w:szCs w:val="16"/>
          <w:b w:val="1"/>
          <w:bCs w:val="1"/>
          <w:i w:val="1"/>
          <w:iCs w:val="1"/>
          <w:color w:val="auto"/>
        </w:rPr>
        <w:t>2021 Plan</w:t>
      </w:r>
      <w:r>
        <w:rPr>
          <w:rFonts w:ascii="Arial" w:cs="Arial" w:eastAsia="Arial" w:hAnsi="Arial"/>
          <w:sz w:val="16"/>
          <w:szCs w:val="16"/>
          <w:color w:val="auto"/>
        </w:rPr>
        <w:t>”), the Registrant’s 2021 Employee Stock Purchase Plan (the “</w:t>
      </w:r>
      <w:r>
        <w:rPr>
          <w:rFonts w:ascii="Arial" w:cs="Arial" w:eastAsia="Arial" w:hAnsi="Arial"/>
          <w:sz w:val="16"/>
          <w:szCs w:val="16"/>
          <w:b w:val="1"/>
          <w:bCs w:val="1"/>
          <w:i w:val="1"/>
          <w:iCs w:val="1"/>
          <w:color w:val="auto"/>
        </w:rPr>
        <w:t>2021 ESPP</w:t>
      </w:r>
      <w:r>
        <w:rPr>
          <w:rFonts w:ascii="Arial" w:cs="Arial" w:eastAsia="Arial" w:hAnsi="Arial"/>
          <w:sz w:val="16"/>
          <w:szCs w:val="16"/>
          <w:color w:val="auto"/>
        </w:rPr>
        <w:t>”) or the Disc Medicine, Inc. 2017 Stock Option and Grant Plan (the “</w:t>
      </w:r>
      <w:r>
        <w:rPr>
          <w:rFonts w:ascii="Arial" w:cs="Arial" w:eastAsia="Arial" w:hAnsi="Arial"/>
          <w:sz w:val="16"/>
          <w:szCs w:val="16"/>
          <w:b w:val="1"/>
          <w:bCs w:val="1"/>
          <w:i w:val="1"/>
          <w:iCs w:val="1"/>
          <w:color w:val="auto"/>
        </w:rPr>
        <w:t>Disc 2017 Plan</w:t>
      </w:r>
      <w:r>
        <w:rPr>
          <w:rFonts w:ascii="Arial" w:cs="Arial" w:eastAsia="Arial" w:hAnsi="Arial"/>
          <w:sz w:val="16"/>
          <w:szCs w:val="16"/>
          <w:color w:val="auto"/>
        </w:rPr>
        <w:t>”) by reason of any stock dividend, stock split, recapitalization or any other similar transaction effected without the receipt of consideration which results in an increase in the number of outstanding shares of Common Stock.</w:t>
      </w:r>
    </w:p>
    <w:p>
      <w:pPr>
        <w:spacing w:after="0" w:line="1" w:lineRule="exact"/>
        <w:rPr>
          <w:rFonts w:ascii="Arial" w:cs="Arial" w:eastAsia="Arial" w:hAnsi="Arial"/>
          <w:sz w:val="16"/>
          <w:szCs w:val="16"/>
          <w:color w:val="auto"/>
        </w:rPr>
      </w:pPr>
    </w:p>
    <w:p>
      <w:pPr>
        <w:ind w:left="424" w:right="60" w:hanging="424"/>
        <w:spacing w:after="0" w:line="281" w:lineRule="auto"/>
        <w:tabs>
          <w:tab w:leader="none" w:pos="424" w:val="left"/>
        </w:tabs>
        <w:numPr>
          <w:ilvl w:val="0"/>
          <w:numId w:val="86"/>
        </w:numPr>
        <w:rPr>
          <w:rFonts w:ascii="Arial" w:cs="Arial" w:eastAsia="Arial" w:hAnsi="Arial"/>
          <w:sz w:val="16"/>
          <w:szCs w:val="16"/>
          <w:color w:val="auto"/>
        </w:rPr>
      </w:pPr>
      <w:r>
        <w:rPr>
          <w:rFonts w:ascii="Arial" w:cs="Arial" w:eastAsia="Arial" w:hAnsi="Arial"/>
          <w:sz w:val="16"/>
          <w:szCs w:val="16"/>
          <w:color w:val="auto"/>
        </w:rPr>
        <w:t>Represents 1,672,599 shares of Common Stock issuable with respect to Disc (as defined below) options assumed by the Registrant pursuant to the Agreement and Plan of Merger, dated as of August 9, 2022, by and among the Registrant, Disc Medicine Opco, Inc. (formerly known as Disc Medicine, Inc.) (“</w:t>
      </w:r>
      <w:r>
        <w:rPr>
          <w:rFonts w:ascii="Arial" w:cs="Arial" w:eastAsia="Arial" w:hAnsi="Arial"/>
          <w:sz w:val="16"/>
          <w:szCs w:val="16"/>
          <w:b w:val="1"/>
          <w:bCs w:val="1"/>
          <w:i w:val="1"/>
          <w:iCs w:val="1"/>
          <w:color w:val="auto"/>
        </w:rPr>
        <w:t>Disc</w:t>
      </w:r>
      <w:r>
        <w:rPr>
          <w:rFonts w:ascii="Arial" w:cs="Arial" w:eastAsia="Arial" w:hAnsi="Arial"/>
          <w:sz w:val="16"/>
          <w:szCs w:val="16"/>
          <w:color w:val="auto"/>
        </w:rPr>
        <w:t>”) and Gemstone Merger Sub, Inc. (such Disc options were previously granted pursuant to the Disc 2017 Plan).</w:t>
      </w:r>
    </w:p>
    <w:p>
      <w:pPr>
        <w:spacing w:after="0" w:line="1" w:lineRule="exact"/>
        <w:rPr>
          <w:rFonts w:ascii="Arial" w:cs="Arial" w:eastAsia="Arial" w:hAnsi="Arial"/>
          <w:sz w:val="16"/>
          <w:szCs w:val="16"/>
          <w:color w:val="auto"/>
        </w:rPr>
      </w:pPr>
    </w:p>
    <w:p>
      <w:pPr>
        <w:ind w:left="424" w:right="60" w:hanging="424"/>
        <w:spacing w:after="0" w:line="250" w:lineRule="auto"/>
        <w:tabs>
          <w:tab w:leader="none" w:pos="424" w:val="left"/>
        </w:tabs>
        <w:numPr>
          <w:ilvl w:val="0"/>
          <w:numId w:val="86"/>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 457(h) of the Securities Act, and based on weighted average exercise price of $7.20 per share, the weighted average exercise price (rounded to the nearest cent) of the outstanding option awards granted under the Disc 2017 Plan.</w:t>
      </w:r>
    </w:p>
    <w:p>
      <w:pPr>
        <w:spacing w:after="0" w:line="1" w:lineRule="exact"/>
        <w:rPr>
          <w:rFonts w:ascii="Arial" w:cs="Arial" w:eastAsia="Arial" w:hAnsi="Arial"/>
          <w:sz w:val="18"/>
          <w:szCs w:val="18"/>
          <w:color w:val="auto"/>
        </w:rPr>
      </w:pPr>
    </w:p>
    <w:p>
      <w:pPr>
        <w:ind w:left="424" w:hanging="424"/>
        <w:spacing w:after="0"/>
        <w:tabs>
          <w:tab w:leader="none" w:pos="424" w:val="left"/>
        </w:tabs>
        <w:numPr>
          <w:ilvl w:val="0"/>
          <w:numId w:val="86"/>
        </w:numPr>
        <w:rPr>
          <w:rFonts w:ascii="Arial" w:cs="Arial" w:eastAsia="Arial" w:hAnsi="Arial"/>
          <w:sz w:val="16"/>
          <w:szCs w:val="16"/>
          <w:color w:val="auto"/>
        </w:rPr>
      </w:pPr>
      <w:r>
        <w:rPr>
          <w:rFonts w:ascii="Arial" w:cs="Arial" w:eastAsia="Arial" w:hAnsi="Arial"/>
          <w:sz w:val="16"/>
          <w:szCs w:val="16"/>
          <w:color w:val="auto"/>
        </w:rPr>
        <w:t>Represents an increase of 2,035,103 shares of Common Stock to the number of shares reserved for issuance under the 2021 Plan, which includes</w:t>
      </w:r>
    </w:p>
    <w:p>
      <w:pPr>
        <w:spacing w:after="0" w:line="32" w:lineRule="exact"/>
        <w:rPr>
          <w:rFonts w:ascii="Arial" w:cs="Arial" w:eastAsia="Arial" w:hAnsi="Arial"/>
          <w:sz w:val="16"/>
          <w:szCs w:val="16"/>
          <w:color w:val="auto"/>
        </w:rPr>
      </w:pPr>
    </w:p>
    <w:p>
      <w:pPr>
        <w:ind w:left="424" w:right="180" w:firstLine="8"/>
        <w:spacing w:after="0" w:line="250" w:lineRule="auto"/>
        <w:tabs>
          <w:tab w:leader="none" w:pos="639" w:val="left"/>
        </w:tabs>
        <w:numPr>
          <w:ilvl w:val="1"/>
          <w:numId w:val="86"/>
        </w:numPr>
        <w:rPr>
          <w:rFonts w:ascii="Arial" w:cs="Arial" w:eastAsia="Arial" w:hAnsi="Arial"/>
          <w:sz w:val="18"/>
          <w:szCs w:val="18"/>
          <w:color w:val="auto"/>
        </w:rPr>
      </w:pPr>
      <w:r>
        <w:rPr>
          <w:rFonts w:ascii="Arial" w:cs="Arial" w:eastAsia="Arial" w:hAnsi="Arial"/>
          <w:sz w:val="18"/>
          <w:szCs w:val="18"/>
          <w:color w:val="auto"/>
        </w:rPr>
        <w:t>an automatic increase of 696,224 shares of Common Stock, effective January 1, 2023 and (ii) an increase of 1,338,879 shares of Common Stock approved by the Registrant’s stockholders on December 28, 2022. Shares available for issuance under the 2021 Plan were previously registered on Registration Statements on Form S-8 filed with the United States Securities and Exchange Commission (“</w:t>
      </w:r>
      <w:r>
        <w:rPr>
          <w:rFonts w:ascii="Arial" w:cs="Arial" w:eastAsia="Arial" w:hAnsi="Arial"/>
          <w:sz w:val="18"/>
          <w:szCs w:val="18"/>
          <w:b w:val="1"/>
          <w:bCs w:val="1"/>
          <w:i w:val="1"/>
          <w:iCs w:val="1"/>
          <w:color w:val="auto"/>
        </w:rPr>
        <w:t>SEC</w:t>
      </w:r>
      <w:r>
        <w:rPr>
          <w:rFonts w:ascii="Arial" w:cs="Arial" w:eastAsia="Arial" w:hAnsi="Arial"/>
          <w:sz w:val="18"/>
          <w:szCs w:val="18"/>
          <w:color w:val="auto"/>
        </w:rPr>
        <w:t>”) on April 12, 2021 (File No. 333-255194) and March 10, 2022 (File No. 333-263410).</w:t>
      </w:r>
    </w:p>
    <w:p>
      <w:pPr>
        <w:spacing w:after="0" w:line="1" w:lineRule="exact"/>
        <w:rPr>
          <w:rFonts w:ascii="Arial" w:cs="Arial" w:eastAsia="Arial" w:hAnsi="Arial"/>
          <w:sz w:val="18"/>
          <w:szCs w:val="18"/>
          <w:color w:val="auto"/>
        </w:rPr>
      </w:pPr>
    </w:p>
    <w:p>
      <w:pPr>
        <w:ind w:left="424" w:right="140" w:hanging="424"/>
        <w:spacing w:after="0" w:line="250" w:lineRule="auto"/>
        <w:tabs>
          <w:tab w:leader="none" w:pos="424" w:val="left"/>
        </w:tabs>
        <w:numPr>
          <w:ilvl w:val="0"/>
          <w:numId w:val="86"/>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 457(c) and (h) of the Securities Act, and based on $18.78, the average of the high and low sale prices of the Common Stock as reported on Nasdaq on January 12, 2023 (such date being within five business days of the date that this Registration Statement was filed with the Commission).</w:t>
      </w:r>
    </w:p>
    <w:p>
      <w:pPr>
        <w:spacing w:after="0" w:line="1" w:lineRule="exact"/>
        <w:rPr>
          <w:rFonts w:ascii="Arial" w:cs="Arial" w:eastAsia="Arial" w:hAnsi="Arial"/>
          <w:sz w:val="18"/>
          <w:szCs w:val="18"/>
          <w:color w:val="auto"/>
        </w:rPr>
      </w:pPr>
    </w:p>
    <w:p>
      <w:pPr>
        <w:ind w:left="424" w:hanging="424"/>
        <w:spacing w:after="0"/>
        <w:tabs>
          <w:tab w:leader="none" w:pos="424" w:val="left"/>
        </w:tabs>
        <w:numPr>
          <w:ilvl w:val="0"/>
          <w:numId w:val="86"/>
        </w:numPr>
        <w:rPr>
          <w:rFonts w:ascii="Arial" w:cs="Arial" w:eastAsia="Arial" w:hAnsi="Arial"/>
          <w:sz w:val="16"/>
          <w:szCs w:val="16"/>
          <w:color w:val="auto"/>
        </w:rPr>
      </w:pPr>
      <w:r>
        <w:rPr>
          <w:rFonts w:ascii="Arial" w:cs="Arial" w:eastAsia="Arial" w:hAnsi="Arial"/>
          <w:sz w:val="16"/>
          <w:szCs w:val="16"/>
          <w:color w:val="auto"/>
        </w:rPr>
        <w:t>Represents an increase of 180,894 shares of Common Stock to the number of shares reserved for issuance under the 2021 ESPP, which includes</w:t>
      </w:r>
    </w:p>
    <w:p>
      <w:pPr>
        <w:spacing w:after="0" w:line="32" w:lineRule="exact"/>
        <w:rPr>
          <w:rFonts w:ascii="Arial" w:cs="Arial" w:eastAsia="Arial" w:hAnsi="Arial"/>
          <w:sz w:val="16"/>
          <w:szCs w:val="16"/>
          <w:color w:val="auto"/>
        </w:rPr>
      </w:pPr>
    </w:p>
    <w:p>
      <w:pPr>
        <w:jc w:val="both"/>
        <w:ind w:left="424" w:right="180" w:firstLine="8"/>
        <w:spacing w:after="0" w:line="277" w:lineRule="auto"/>
        <w:tabs>
          <w:tab w:leader="none" w:pos="639" w:val="left"/>
        </w:tabs>
        <w:numPr>
          <w:ilvl w:val="1"/>
          <w:numId w:val="86"/>
        </w:numPr>
        <w:rPr>
          <w:rFonts w:ascii="Arial" w:cs="Arial" w:eastAsia="Arial" w:hAnsi="Arial"/>
          <w:sz w:val="17"/>
          <w:szCs w:val="17"/>
          <w:color w:val="auto"/>
        </w:rPr>
      </w:pPr>
      <w:r>
        <w:rPr>
          <w:rFonts w:ascii="Arial" w:cs="Arial" w:eastAsia="Arial" w:hAnsi="Arial"/>
          <w:sz w:val="17"/>
          <w:szCs w:val="17"/>
          <w:color w:val="auto"/>
        </w:rPr>
        <w:t>an automatic increase of 43,055 shares of Common Stock, effective January 1, 2023 and (ii) an increase of 137,839 shares of Common Stock approved by the Registrant’s stockholders on December 28, 2022. Shares available for issuance under the 2021 ESPP were previously registered on a Registration Statement on Form S-8 filed with the SEC on October 14, 2022 (File No. 333-260243).</w:t>
      </w:r>
    </w:p>
    <w:sectPr>
      <w:pgSz w:w="11900" w:h="16838" w:orient="portrait"/>
      <w:cols w:equalWidth="0" w:num="1">
        <w:col w:w="11024"/>
      </w:cols>
      <w:pgMar w:left="436"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4ED43B"/>
    <w:multiLevelType w:val="hybridMultilevel"/>
    <w:lvl w:ilvl="0">
      <w:lvlJc w:val="left"/>
      <w:lvlText w:val="•"/>
      <w:numFmt w:val="bullet"/>
      <w:start w:val="1"/>
    </w:lvl>
  </w:abstractNum>
  <w:abstractNum w:abstractNumId="1">
    <w:nsid w:val="725A06FB"/>
    <w:multiLevelType w:val="hybridMultilevel"/>
    <w:lvl w:ilvl="0">
      <w:lvlJc w:val="left"/>
      <w:lvlText w:val="•"/>
      <w:numFmt w:val="bullet"/>
      <w:start w:val="1"/>
    </w:lvl>
  </w:abstractNum>
  <w:abstractNum w:abstractNumId="2">
    <w:nsid w:val="2CD89A32"/>
    <w:multiLevelType w:val="hybridMultilevel"/>
    <w:lvl w:ilvl="0">
      <w:lvlJc w:val="left"/>
      <w:lvlText w:val="•"/>
      <w:numFmt w:val="bullet"/>
      <w:start w:val="1"/>
    </w:lvl>
  </w:abstractNum>
  <w:abstractNum w:abstractNumId="3">
    <w:nsid w:val="57E4CCAF"/>
    <w:multiLevelType w:val="hybridMultilevel"/>
    <w:lvl w:ilvl="0">
      <w:lvlJc w:val="left"/>
      <w:lvlText w:val="•"/>
      <w:numFmt w:val="bullet"/>
      <w:start w:val="1"/>
    </w:lvl>
  </w:abstractNum>
  <w:abstractNum w:abstractNumId="4">
    <w:nsid w:val="7A6D8D3C"/>
    <w:multiLevelType w:val="hybridMultilevel"/>
    <w:lvl w:ilvl="0">
      <w:lvlJc w:val="left"/>
      <w:lvlText w:val="*"/>
      <w:numFmt w:val="bullet"/>
      <w:start w:val="1"/>
    </w:lvl>
  </w:abstractNum>
  <w:abstractNum w:abstractNumId="5">
    <w:nsid w:val="4B588F54"/>
    <w:multiLevelType w:val="hybridMultilevel"/>
    <w:lvl w:ilvl="0">
      <w:lvlJc w:val="left"/>
      <w:lvlText w:val="(%1)"/>
      <w:numFmt w:val="decimal"/>
      <w:start w:val="1"/>
    </w:lvl>
  </w:abstractNum>
  <w:abstractNum w:abstractNumId="6">
    <w:nsid w:val="542289EC"/>
    <w:multiLevelType w:val="hybridMultilevel"/>
    <w:lvl w:ilvl="0">
      <w:lvlJc w:val="left"/>
      <w:lvlText w:val="(%1)"/>
      <w:numFmt w:val="lowerRoman"/>
      <w:start w:val="2"/>
    </w:lvl>
  </w:abstractNum>
  <w:abstractNum w:abstractNumId="7">
    <w:nsid w:val="6DE91B18"/>
    <w:multiLevelType w:val="hybridMultilevel"/>
    <w:lvl w:ilvl="0">
      <w:lvlJc w:val="left"/>
      <w:lvlText w:val="(%1)"/>
      <w:numFmt w:val="lowerRoman"/>
      <w:start w:val="3"/>
    </w:lvl>
  </w:abstractNum>
  <w:abstractNum w:abstractNumId="8">
    <w:nsid w:val="38437FDB"/>
    <w:multiLevelType w:val="hybridMultilevel"/>
    <w:lvl w:ilvl="0">
      <w:lvlJc w:val="left"/>
      <w:lvlText w:val="(%1)"/>
      <w:numFmt w:val="decimal"/>
      <w:start w:val="2"/>
    </w:lvl>
  </w:abstractNum>
  <w:abstractNum w:abstractNumId="9">
    <w:nsid w:val="7644A45C"/>
    <w:multiLevelType w:val="hybridMultilevel"/>
    <w:lvl w:ilvl="0">
      <w:lvlJc w:val="left"/>
      <w:lvlText w:val="(%1)"/>
      <w:numFmt w:val="lowerLetter"/>
      <w:start w:val="2"/>
    </w:lvl>
  </w:abstractNum>
  <w:abstractNum w:abstractNumId="10">
    <w:nsid w:val="32FFF902"/>
    <w:multiLevelType w:val="hybridMultilevel"/>
    <w:lvl w:ilvl="0">
      <w:lvlJc w:val="left"/>
      <w:lvlText w:val="(%1)"/>
      <w:numFmt w:val="lowerRoman"/>
      <w:start w:val="2"/>
    </w:lvl>
  </w:abstractNum>
  <w:abstractNum w:abstractNumId="11">
    <w:nsid w:val="684A481A"/>
    <w:multiLevelType w:val="hybridMultilevel"/>
    <w:lvl w:ilvl="0">
      <w:lvlJc w:val="left"/>
      <w:lvlText w:val="(%1)"/>
      <w:numFmt w:val="lowerLetter"/>
      <w:start w:val="1"/>
    </w:lvl>
    <w:lvl w:ilvl="1">
      <w:lvlJc w:val="left"/>
      <w:lvlText w:val="(%2)"/>
      <w:numFmt w:val="lowerRoman"/>
      <w:start w:val="1"/>
    </w:lvl>
  </w:abstractNum>
  <w:abstractNum w:abstractNumId="12">
    <w:nsid w:val="579478FE"/>
    <w:multiLevelType w:val="hybridMultilevel"/>
    <w:lvl w:ilvl="0">
      <w:lvlJc w:val="left"/>
      <w:lvlText w:val="%1"/>
      <w:numFmt w:val="lowerLetter"/>
      <w:start w:val="1"/>
    </w:lvl>
    <w:lvl w:ilvl="1">
      <w:lvlJc w:val="left"/>
      <w:lvlText w:val="(%2)"/>
      <w:numFmt w:val="lowerLetter"/>
      <w:start w:val="3"/>
    </w:lvl>
  </w:abstractNum>
  <w:abstractNum w:abstractNumId="13">
    <w:nsid w:val="749ABB43"/>
    <w:multiLevelType w:val="hybridMultilevel"/>
    <w:lvl w:ilvl="0">
      <w:lvlJc w:val="left"/>
      <w:lvlText w:val="(%1)"/>
      <w:numFmt w:val="lowerLetter"/>
      <w:start w:val="35"/>
    </w:lvl>
    <w:lvl w:ilvl="1">
      <w:lvlJc w:val="left"/>
      <w:lvlText w:val="(%2)"/>
      <w:numFmt w:val="lowerLetter"/>
      <w:start w:val="4"/>
    </w:lvl>
  </w:abstractNum>
  <w:abstractNum w:abstractNumId="14">
    <w:nsid w:val="3DC240FB"/>
    <w:multiLevelType w:val="hybridMultilevel"/>
    <w:lvl w:ilvl="0">
      <w:lvlJc w:val="left"/>
      <w:lvlText w:val="(%1)"/>
      <w:numFmt w:val="lowerLetter"/>
      <w:start w:val="22"/>
    </w:lvl>
    <w:lvl w:ilvl="1">
      <w:lvlJc w:val="left"/>
      <w:lvlText w:val="%2"/>
      <w:numFmt w:val="lowerLetter"/>
      <w:start w:val="1"/>
    </w:lvl>
  </w:abstractNum>
  <w:abstractNum w:abstractNumId="15">
    <w:nsid w:val="1BA026FA"/>
    <w:multiLevelType w:val="hybridMultilevel"/>
    <w:lvl w:ilvl="0">
      <w:lvlJc w:val="left"/>
      <w:lvlText w:val="(%1)"/>
      <w:numFmt w:val="lowerLetter"/>
      <w:start w:val="1"/>
    </w:lvl>
  </w:abstractNum>
  <w:abstractNum w:abstractNumId="16">
    <w:nsid w:val="79A1DEAA"/>
    <w:multiLevelType w:val="hybridMultilevel"/>
    <w:lvl w:ilvl="0">
      <w:lvlJc w:val="left"/>
      <w:lvlText w:val="%1"/>
      <w:numFmt w:val="lowerLetter"/>
      <w:start w:val="1"/>
    </w:lvl>
    <w:lvl w:ilvl="1">
      <w:lvlJc w:val="left"/>
      <w:lvlText w:val="(%2)"/>
      <w:numFmt w:val="lowerLetter"/>
      <w:start w:val="2"/>
    </w:lvl>
  </w:abstractNum>
  <w:abstractNum w:abstractNumId="17">
    <w:nsid w:val="75C6C33A"/>
    <w:multiLevelType w:val="hybridMultilevel"/>
    <w:lvl w:ilvl="0">
      <w:lvlJc w:val="left"/>
      <w:lvlText w:val="(%1)"/>
      <w:numFmt w:val="lowerLetter"/>
      <w:start w:val="9"/>
    </w:lvl>
    <w:lvl w:ilvl="1">
      <w:lvlJc w:val="left"/>
      <w:lvlText w:val="(%2)"/>
      <w:numFmt w:val="lowerLetter"/>
      <w:start w:val="3"/>
    </w:lvl>
  </w:abstractNum>
  <w:abstractNum w:abstractNumId="18">
    <w:nsid w:val="12E685FB"/>
    <w:multiLevelType w:val="hybridMultilevel"/>
    <w:lvl w:ilvl="0">
      <w:lvlJc w:val="left"/>
      <w:lvlText w:val="(%1)"/>
      <w:numFmt w:val="lowerLetter"/>
      <w:start w:val="4"/>
    </w:lvl>
  </w:abstractNum>
  <w:abstractNum w:abstractNumId="19">
    <w:nsid w:val="70C6A529"/>
    <w:multiLevelType w:val="hybridMultilevel"/>
    <w:lvl w:ilvl="0">
      <w:lvlJc w:val="left"/>
      <w:lvlText w:val="(%1)"/>
      <w:numFmt w:val="lowerLetter"/>
      <w:start w:val="1"/>
    </w:lvl>
  </w:abstractNum>
  <w:abstractNum w:abstractNumId="20">
    <w:nsid w:val="520EEDD1"/>
    <w:multiLevelType w:val="hybridMultilevel"/>
    <w:lvl w:ilvl="0">
      <w:lvlJc w:val="left"/>
      <w:lvlText w:val="(%1)"/>
      <w:numFmt w:val="lowerLetter"/>
      <w:start w:val="2"/>
    </w:lvl>
    <w:lvl w:ilvl="1">
      <w:lvlJc w:val="left"/>
      <w:lvlText w:val="(%2)"/>
      <w:numFmt w:val="lowerRoman"/>
      <w:start w:val="1"/>
    </w:lvl>
  </w:abstractNum>
  <w:abstractNum w:abstractNumId="21">
    <w:nsid w:val="374A3FE6"/>
    <w:multiLevelType w:val="hybridMultilevel"/>
    <w:lvl w:ilvl="0">
      <w:lvlJc w:val="left"/>
      <w:lvlText w:val="(%1)"/>
      <w:numFmt w:val="lowerLetter"/>
      <w:start w:val="6"/>
    </w:lvl>
  </w:abstractNum>
  <w:abstractNum w:abstractNumId="22">
    <w:nsid w:val="4F4EF005"/>
    <w:multiLevelType w:val="hybridMultilevel"/>
    <w:lvl w:ilvl="0">
      <w:lvlJc w:val="left"/>
      <w:lvlText w:val="(%1)"/>
      <w:numFmt w:val="lowerLetter"/>
      <w:start w:val="1"/>
    </w:lvl>
  </w:abstractNum>
  <w:abstractNum w:abstractNumId="23">
    <w:nsid w:val="23F9C13C"/>
    <w:multiLevelType w:val="hybridMultilevel"/>
    <w:lvl w:ilvl="0">
      <w:lvlJc w:val="left"/>
      <w:lvlText w:val="%1"/>
      <w:numFmt w:val="lowerLetter"/>
      <w:start w:val="1"/>
    </w:lvl>
    <w:lvl w:ilvl="1">
      <w:lvlJc w:val="left"/>
      <w:lvlText w:val="(%2)"/>
      <w:numFmt w:val="lowerLetter"/>
      <w:start w:val="1"/>
    </w:lvl>
  </w:abstractNum>
  <w:abstractNum w:abstractNumId="24">
    <w:nsid w:val="649BB77C"/>
    <w:multiLevelType w:val="hybridMultilevel"/>
    <w:lvl w:ilvl="0">
      <w:lvlJc w:val="left"/>
      <w:lvlText w:val="(%1)"/>
      <w:numFmt w:val="lowerLetter"/>
      <w:start w:val="35"/>
    </w:lvl>
    <w:lvl w:ilvl="1">
      <w:lvlJc w:val="left"/>
      <w:lvlText w:val="%2"/>
      <w:numFmt w:val="lowerLetter"/>
      <w:start w:val="1"/>
    </w:lvl>
  </w:abstractNum>
  <w:abstractNum w:abstractNumId="25">
    <w:nsid w:val="275AC794"/>
    <w:multiLevelType w:val="hybridMultilevel"/>
    <w:lvl w:ilvl="0">
      <w:lvlJc w:val="left"/>
      <w:lvlText w:val="(%1)"/>
      <w:numFmt w:val="lowerLetter"/>
      <w:start w:val="3"/>
    </w:lvl>
  </w:abstractNum>
  <w:abstractNum w:abstractNumId="26">
    <w:nsid w:val="39386575"/>
    <w:multiLevelType w:val="hybridMultilevel"/>
    <w:lvl w:ilvl="0">
      <w:lvlJc w:val="left"/>
      <w:lvlText w:val="(%1)"/>
      <w:numFmt w:val="lowerLetter"/>
      <w:start w:val="1"/>
    </w:lvl>
  </w:abstractNum>
  <w:abstractNum w:abstractNumId="27">
    <w:nsid w:val="1CF10FD8"/>
    <w:multiLevelType w:val="hybridMultilevel"/>
    <w:lvl w:ilvl="0">
      <w:lvlJc w:val="left"/>
      <w:lvlText w:val="(%1)"/>
      <w:numFmt w:val="lowerLetter"/>
      <w:start w:val="3"/>
    </w:lvl>
  </w:abstractNum>
  <w:abstractNum w:abstractNumId="28">
    <w:nsid w:val="180115BE"/>
    <w:multiLevelType w:val="hybridMultilevel"/>
    <w:lvl w:ilvl="0">
      <w:lvlJc w:val="left"/>
      <w:lvlText w:val="(%1)"/>
      <w:numFmt w:val="lowerLetter"/>
      <w:start w:val="1"/>
    </w:lvl>
  </w:abstractNum>
  <w:abstractNum w:abstractNumId="29">
    <w:nsid w:val="235BA861"/>
    <w:multiLevelType w:val="hybridMultilevel"/>
    <w:lvl w:ilvl="0">
      <w:lvlJc w:val="left"/>
      <w:lvlText w:val="(%1)"/>
      <w:numFmt w:val="lowerLetter"/>
      <w:start w:val="2"/>
    </w:lvl>
  </w:abstractNum>
  <w:abstractNum w:abstractNumId="30">
    <w:nsid w:val="47398C89"/>
    <w:multiLevelType w:val="hybridMultilevel"/>
    <w:lvl w:ilvl="0">
      <w:lvlJc w:val="left"/>
      <w:lvlText w:val="(%1)"/>
      <w:numFmt w:val="lowerLetter"/>
      <w:start w:val="1"/>
    </w:lvl>
  </w:abstractNum>
  <w:abstractNum w:abstractNumId="31">
    <w:nsid w:val="354FE9F9"/>
    <w:multiLevelType w:val="hybridMultilevel"/>
    <w:lvl w:ilvl="0">
      <w:lvlJc w:val="left"/>
      <w:lvlText w:val="(%1)"/>
      <w:numFmt w:val="lowerLetter"/>
      <w:start w:val="1"/>
    </w:lvl>
  </w:abstractNum>
  <w:abstractNum w:abstractNumId="32">
    <w:nsid w:val="15B5AF5C"/>
    <w:multiLevelType w:val="hybridMultilevel"/>
    <w:lvl w:ilvl="0">
      <w:lvlJc w:val="left"/>
      <w:lvlText w:val="(%1)"/>
      <w:numFmt w:val="lowerLetter"/>
      <w:start w:val="1"/>
    </w:lvl>
    <w:lvl w:ilvl="1">
      <w:lvlJc w:val="left"/>
      <w:lvlText w:val="(%2)"/>
      <w:numFmt w:val="lowerRoman"/>
      <w:start w:val="1"/>
    </w:lvl>
  </w:abstractNum>
  <w:abstractNum w:abstractNumId="33">
    <w:nsid w:val="741226BB"/>
    <w:multiLevelType w:val="hybridMultilevel"/>
    <w:lvl w:ilvl="0">
      <w:lvlJc w:val="left"/>
      <w:lvlText w:val="(%1)"/>
      <w:numFmt w:val="lowerLetter"/>
      <w:start w:val="1"/>
    </w:lvl>
  </w:abstractNum>
  <w:abstractNum w:abstractNumId="34">
    <w:nsid w:val="D34B6A8"/>
    <w:multiLevelType w:val="hybridMultilevel"/>
    <w:lvl w:ilvl="0">
      <w:lvlJc w:val="left"/>
      <w:lvlText w:val="(%1)"/>
      <w:numFmt w:val="lowerLetter"/>
      <w:start w:val="5"/>
    </w:lvl>
  </w:abstractNum>
  <w:abstractNum w:abstractNumId="35">
    <w:nsid w:val="10233C99"/>
    <w:multiLevelType w:val="hybridMultilevel"/>
    <w:lvl w:ilvl="0">
      <w:lvlJc w:val="left"/>
      <w:lvlText w:val="%1."/>
      <w:numFmt w:val="decimal"/>
      <w:start w:val="1"/>
    </w:lvl>
  </w:abstractNum>
  <w:abstractNum w:abstractNumId="36">
    <w:nsid w:val="3F6AB60F"/>
    <w:multiLevelType w:val="hybridMultilevel"/>
    <w:lvl w:ilvl="0">
      <w:lvlJc w:val="left"/>
      <w:lvlText w:val="%1."/>
      <w:numFmt w:val="decimal"/>
      <w:start w:val="2"/>
    </w:lvl>
    <w:lvl w:ilvl="1">
      <w:lvlJc w:val="left"/>
      <w:lvlText w:val="(%2)"/>
      <w:numFmt w:val="lowerLetter"/>
      <w:start w:val="1"/>
    </w:lvl>
  </w:abstractNum>
  <w:abstractNum w:abstractNumId="37">
    <w:nsid w:val="61574095"/>
    <w:multiLevelType w:val="hybridMultilevel"/>
    <w:lvl w:ilvl="0">
      <w:lvlJc w:val="left"/>
      <w:lvlText w:val="1"/>
      <w:numFmt w:val="bullet"/>
      <w:start w:val="1"/>
    </w:lvl>
  </w:abstractNum>
  <w:abstractNum w:abstractNumId="38">
    <w:nsid w:val="7E0C57B1"/>
    <w:multiLevelType w:val="hybridMultilevel"/>
    <w:lvl w:ilvl="0">
      <w:lvlJc w:val="left"/>
      <w:lvlText w:val="(%1)"/>
      <w:numFmt w:val="lowerLetter"/>
      <w:start w:val="2"/>
    </w:lvl>
  </w:abstractNum>
  <w:abstractNum w:abstractNumId="39">
    <w:nsid w:val="77AE35EB"/>
    <w:multiLevelType w:val="hybridMultilevel"/>
    <w:lvl w:ilvl="0">
      <w:lvlJc w:val="left"/>
      <w:lvlText w:val="%1."/>
      <w:numFmt w:val="decimal"/>
      <w:start w:val="3"/>
    </w:lvl>
    <w:lvl w:ilvl="1">
      <w:lvlJc w:val="left"/>
      <w:lvlText w:val="(%2)"/>
      <w:numFmt w:val="lowerLetter"/>
      <w:start w:val="1"/>
    </w:lvl>
  </w:abstractNum>
  <w:abstractNum w:abstractNumId="40">
    <w:nsid w:val="579BE4F1"/>
    <w:multiLevelType w:val="hybridMultilevel"/>
    <w:lvl w:ilvl="0">
      <w:lvlJc w:val="left"/>
      <w:lvlText w:val="%1."/>
      <w:numFmt w:val="decimal"/>
      <w:start w:val="4"/>
    </w:lvl>
  </w:abstractNum>
  <w:abstractNum w:abstractNumId="41">
    <w:nsid w:val="310C50B3"/>
    <w:multiLevelType w:val="hybridMultilevel"/>
    <w:lvl w:ilvl="0">
      <w:lvlJc w:val="left"/>
      <w:lvlText w:val="%1."/>
      <w:numFmt w:val="decimal"/>
      <w:start w:val="10"/>
    </w:lvl>
  </w:abstractNum>
  <w:abstractNum w:abstractNumId="42">
    <w:nsid w:val="5FF87E05"/>
    <w:multiLevelType w:val="hybridMultilevel"/>
    <w:lvl w:ilvl="0">
      <w:lvlJc w:val="left"/>
      <w:lvlText w:val="%1."/>
      <w:numFmt w:val="decimal"/>
      <w:start w:val="11"/>
    </w:lvl>
  </w:abstractNum>
  <w:abstractNum w:abstractNumId="43">
    <w:nsid w:val="2F305DEF"/>
    <w:multiLevelType w:val="hybridMultilevel"/>
    <w:lvl w:ilvl="0">
      <w:lvlJc w:val="left"/>
      <w:lvlText w:val="%1."/>
      <w:numFmt w:val="decimal"/>
      <w:start w:val="1"/>
    </w:lvl>
  </w:abstractNum>
  <w:abstractNum w:abstractNumId="44">
    <w:nsid w:val="25A70BF7"/>
    <w:multiLevelType w:val="hybridMultilevel"/>
    <w:lvl w:ilvl="0">
      <w:lvlJc w:val="left"/>
      <w:lvlText w:val="%1."/>
      <w:numFmt w:val="decimal"/>
      <w:start w:val="2"/>
    </w:lvl>
    <w:lvl w:ilvl="1">
      <w:lvlJc w:val="left"/>
      <w:lvlText w:val="(%2)"/>
      <w:numFmt w:val="lowerLetter"/>
      <w:start w:val="1"/>
    </w:lvl>
  </w:abstractNum>
  <w:abstractNum w:abstractNumId="45">
    <w:nsid w:val="1DBABF00"/>
    <w:multiLevelType w:val="hybridMultilevel"/>
    <w:lvl w:ilvl="0">
      <w:lvlJc w:val="left"/>
      <w:lvlText w:val="(%1)"/>
      <w:numFmt w:val="lowerLetter"/>
      <w:start w:val="2"/>
    </w:lvl>
  </w:abstractNum>
  <w:abstractNum w:abstractNumId="46">
    <w:nsid w:val="4AD084E9"/>
    <w:multiLevelType w:val="hybridMultilevel"/>
    <w:lvl w:ilvl="0">
      <w:lvlJc w:val="left"/>
      <w:lvlText w:val="%1"/>
      <w:numFmt w:val="decimal"/>
      <w:start w:val="1"/>
    </w:lvl>
    <w:lvl w:ilvl="1">
      <w:lvlJc w:val="left"/>
      <w:lvlText w:val="(%2)"/>
      <w:numFmt w:val="lowerLetter"/>
      <w:start w:val="3"/>
    </w:lvl>
  </w:abstractNum>
  <w:abstractNum w:abstractNumId="47">
    <w:nsid w:val="1F48EAA1"/>
    <w:multiLevelType w:val="hybridMultilevel"/>
    <w:lvl w:ilvl="0">
      <w:lvlJc w:val="left"/>
      <w:lvlText w:val="%1."/>
      <w:numFmt w:val="decimal"/>
      <w:start w:val="3"/>
    </w:lvl>
    <w:lvl w:ilvl="1">
      <w:lvlJc w:val="left"/>
      <w:lvlText w:val="(%2)"/>
      <w:numFmt w:val="lowerLetter"/>
      <w:start w:val="1"/>
    </w:lvl>
  </w:abstractNum>
  <w:abstractNum w:abstractNumId="48">
    <w:nsid w:val="1381823A"/>
    <w:multiLevelType w:val="hybridMultilevel"/>
    <w:lvl w:ilvl="0">
      <w:lvlJc w:val="left"/>
      <w:lvlText w:val="%1."/>
      <w:numFmt w:val="decimal"/>
      <w:start w:val="7"/>
    </w:lvl>
  </w:abstractNum>
  <w:abstractNum w:abstractNumId="49">
    <w:nsid w:val="5DB70AE5"/>
    <w:multiLevelType w:val="hybridMultilevel"/>
    <w:lvl w:ilvl="0">
      <w:lvlJc w:val="left"/>
      <w:lvlText w:val="%1."/>
      <w:numFmt w:val="decimal"/>
      <w:start w:val="1"/>
    </w:lvl>
  </w:abstractNum>
  <w:abstractNum w:abstractNumId="50">
    <w:nsid w:val="100F8FCA"/>
    <w:multiLevelType w:val="hybridMultilevel"/>
    <w:lvl w:ilvl="0">
      <w:lvlJc w:val="left"/>
      <w:lvlText w:val="("/>
      <w:numFmt w:val="bullet"/>
      <w:start w:val="1"/>
    </w:lvl>
  </w:abstractNum>
  <w:abstractNum w:abstractNumId="51">
    <w:nsid w:val="6590700B"/>
    <w:multiLevelType w:val="hybridMultilevel"/>
    <w:lvl w:ilvl="0">
      <w:lvlJc w:val="left"/>
      <w:lvlText w:val="("/>
      <w:numFmt w:val="bullet"/>
      <w:start w:val="1"/>
    </w:lvl>
  </w:abstractNum>
  <w:abstractNum w:abstractNumId="52">
    <w:nsid w:val="15014ACB"/>
    <w:multiLevelType w:val="hybridMultilevel"/>
    <w:lvl w:ilvl="0">
      <w:lvlJc w:val="left"/>
      <w:lvlText w:val="("/>
      <w:numFmt w:val="bullet"/>
      <w:start w:val="1"/>
    </w:lvl>
  </w:abstractNum>
  <w:abstractNum w:abstractNumId="53">
    <w:nsid w:val="5F5E7FD0"/>
    <w:multiLevelType w:val="hybridMultilevel"/>
    <w:lvl w:ilvl="0">
      <w:lvlJc w:val="left"/>
      <w:lvlText w:val="%1."/>
      <w:numFmt w:val="decimal"/>
      <w:start w:val="2"/>
    </w:lvl>
    <w:lvl w:ilvl="1">
      <w:lvlJc w:val="left"/>
      <w:lvlText w:val="(%2)"/>
      <w:numFmt w:val="lowerLetter"/>
      <w:start w:val="1"/>
    </w:lvl>
  </w:abstractNum>
  <w:abstractNum w:abstractNumId="54">
    <w:nsid w:val="98A3148"/>
    <w:multiLevelType w:val="hybridMultilevel"/>
    <w:lvl w:ilvl="0">
      <w:lvlJc w:val="left"/>
      <w:lvlText w:val="(%1)"/>
      <w:numFmt w:val="lowerLetter"/>
      <w:start w:val="2"/>
    </w:lvl>
  </w:abstractNum>
  <w:abstractNum w:abstractNumId="55">
    <w:nsid w:val="799D0247"/>
    <w:multiLevelType w:val="hybridMultilevel"/>
    <w:lvl w:ilvl="0">
      <w:lvlJc w:val="left"/>
      <w:lvlText w:val="%1"/>
      <w:numFmt w:val="decimal"/>
      <w:start w:val="1"/>
    </w:lvl>
    <w:lvl w:ilvl="1">
      <w:lvlJc w:val="left"/>
      <w:lvlText w:val="(%2)"/>
      <w:numFmt w:val="lowerLetter"/>
      <w:start w:val="3"/>
    </w:lvl>
  </w:abstractNum>
  <w:abstractNum w:abstractNumId="56">
    <w:nsid w:val="6B94764"/>
    <w:multiLevelType w:val="hybridMultilevel"/>
    <w:lvl w:ilvl="0">
      <w:lvlJc w:val="left"/>
      <w:lvlText w:val="%1."/>
      <w:numFmt w:val="decimal"/>
      <w:start w:val="3"/>
    </w:lvl>
    <w:lvl w:ilvl="1">
      <w:lvlJc w:val="left"/>
      <w:lvlText w:val="(%2)"/>
      <w:numFmt w:val="lowerLetter"/>
      <w:start w:val="1"/>
    </w:lvl>
  </w:abstractNum>
  <w:abstractNum w:abstractNumId="57">
    <w:nsid w:val="42C296BD"/>
    <w:multiLevelType w:val="hybridMultilevel"/>
    <w:lvl w:ilvl="0">
      <w:lvlJc w:val="left"/>
      <w:lvlText w:val="(%1)"/>
      <w:numFmt w:val="lowerLetter"/>
      <w:start w:val="4"/>
    </w:lvl>
  </w:abstractNum>
  <w:abstractNum w:abstractNumId="58">
    <w:nsid w:val="168E121F"/>
    <w:multiLevelType w:val="hybridMultilevel"/>
    <w:lvl w:ilvl="0">
      <w:lvlJc w:val="left"/>
      <w:lvlText w:val="%1."/>
      <w:numFmt w:val="decimal"/>
      <w:start w:val="4"/>
    </w:lvl>
  </w:abstractNum>
  <w:abstractNum w:abstractNumId="59">
    <w:nsid w:val="1EBA5D23"/>
    <w:multiLevelType w:val="hybridMultilevel"/>
    <w:lvl w:ilvl="0">
      <w:lvlJc w:val="left"/>
      <w:lvlText w:val="%1."/>
      <w:numFmt w:val="decimal"/>
      <w:start w:val="10"/>
    </w:lvl>
  </w:abstractNum>
  <w:abstractNum w:abstractNumId="60">
    <w:nsid w:val="661E3F1E"/>
    <w:multiLevelType w:val="hybridMultilevel"/>
    <w:lvl w:ilvl="0">
      <w:lvlJc w:val="left"/>
      <w:lvlText w:val="%1."/>
      <w:numFmt w:val="decimal"/>
      <w:start w:val="12"/>
    </w:lvl>
  </w:abstractNum>
  <w:abstractNum w:abstractNumId="61">
    <w:nsid w:val="5DC79EA8"/>
    <w:multiLevelType w:val="hybridMultilevel"/>
    <w:lvl w:ilvl="0">
      <w:lvlJc w:val="left"/>
      <w:lvlText w:val="("/>
      <w:numFmt w:val="bullet"/>
      <w:start w:val="1"/>
    </w:lvl>
  </w:abstractNum>
  <w:abstractNum w:abstractNumId="62">
    <w:nsid w:val="540A471C"/>
    <w:multiLevelType w:val="hybridMultilevel"/>
    <w:lvl w:ilvl="0">
      <w:lvlJc w:val="left"/>
      <w:lvlText w:val="("/>
      <w:numFmt w:val="bullet"/>
      <w:start w:val="1"/>
    </w:lvl>
  </w:abstractNum>
  <w:abstractNum w:abstractNumId="63">
    <w:nsid w:val="7BD3EE7B"/>
    <w:multiLevelType w:val="hybridMultilevel"/>
    <w:lvl w:ilvl="0">
      <w:lvlJc w:val="left"/>
      <w:lvlText w:val="("/>
      <w:numFmt w:val="bullet"/>
      <w:start w:val="1"/>
    </w:lvl>
  </w:abstractNum>
  <w:abstractNum w:abstractNumId="64">
    <w:nsid w:val="51D9C564"/>
    <w:multiLevelType w:val="hybridMultilevel"/>
    <w:lvl w:ilvl="0">
      <w:lvlJc w:val="left"/>
      <w:lvlText w:val="%1."/>
      <w:numFmt w:val="decimal"/>
      <w:start w:val="14"/>
    </w:lvl>
  </w:abstractNum>
  <w:abstractNum w:abstractNumId="65">
    <w:nsid w:val="613EFDC5"/>
    <w:multiLevelType w:val="hybridMultilevel"/>
    <w:lvl w:ilvl="0">
      <w:lvlJc w:val="left"/>
      <w:lvlText w:val="%1."/>
      <w:numFmt w:val="decimal"/>
      <w:start w:val="15"/>
    </w:lvl>
  </w:abstractNum>
  <w:abstractNum w:abstractNumId="66">
    <w:nsid w:val="BF72B14"/>
    <w:multiLevelType w:val="hybridMultilevel"/>
    <w:lvl w:ilvl="0">
      <w:lvlJc w:val="left"/>
      <w:lvlText w:val="%1."/>
      <w:numFmt w:val="decimal"/>
      <w:start w:val="22"/>
    </w:lvl>
  </w:abstractNum>
  <w:abstractNum w:abstractNumId="67">
    <w:nsid w:val="11447B73"/>
    <w:multiLevelType w:val="hybridMultilevel"/>
    <w:lvl w:ilvl="0">
      <w:lvlJc w:val="left"/>
      <w:lvlText w:val="("/>
      <w:numFmt w:val="bullet"/>
      <w:start w:val="1"/>
    </w:lvl>
  </w:abstractNum>
  <w:abstractNum w:abstractNumId="68">
    <w:nsid w:val="42963E5A"/>
    <w:multiLevelType w:val="hybridMultilevel"/>
    <w:lvl w:ilvl="0">
      <w:lvlJc w:val="left"/>
      <w:lvlText w:val="("/>
      <w:numFmt w:val="bullet"/>
      <w:start w:val="1"/>
    </w:lvl>
  </w:abstractNum>
  <w:abstractNum w:abstractNumId="69">
    <w:nsid w:val="A0382C5"/>
    <w:multiLevelType w:val="hybridMultilevel"/>
    <w:lvl w:ilvl="0">
      <w:lvlJc w:val="left"/>
      <w:lvlText w:val="("/>
      <w:numFmt w:val="bullet"/>
      <w:start w:val="1"/>
    </w:lvl>
  </w:abstractNum>
  <w:abstractNum w:abstractNumId="70">
    <w:nsid w:val="8F2B15E"/>
    <w:multiLevelType w:val="hybridMultilevel"/>
    <w:lvl w:ilvl="0">
      <w:lvlJc w:val="left"/>
      <w:lvlText w:val="%1."/>
      <w:numFmt w:val="decimal"/>
      <w:start w:val="24"/>
    </w:lvl>
  </w:abstractNum>
  <w:abstractNum w:abstractNumId="71">
    <w:nsid w:val="1A32234B"/>
    <w:multiLevelType w:val="hybridMultilevel"/>
    <w:lvl w:ilvl="0">
      <w:lvlJc w:val="left"/>
      <w:lvlText w:val="%1."/>
      <w:numFmt w:val="decimal"/>
      <w:start w:val="25"/>
    </w:lvl>
  </w:abstractNum>
  <w:abstractNum w:abstractNumId="72">
    <w:nsid w:val="3B0FD379"/>
    <w:multiLevelType w:val="hybridMultilevel"/>
    <w:lvl w:ilvl="0">
      <w:lvlJc w:val="left"/>
      <w:lvlText w:val="%1."/>
      <w:numFmt w:val="decimal"/>
      <w:start w:val="32"/>
    </w:lvl>
  </w:abstractNum>
  <w:abstractNum w:abstractNumId="73">
    <w:nsid w:val="68EB2F63"/>
    <w:multiLevelType w:val="hybridMultilevel"/>
    <w:lvl w:ilvl="0">
      <w:lvlJc w:val="left"/>
      <w:lvlText w:val="(%1)"/>
      <w:numFmt w:val="lowerRoman"/>
      <w:start w:val="1"/>
    </w:lvl>
  </w:abstractNum>
  <w:abstractNum w:abstractNumId="74">
    <w:nsid w:val="4962813B"/>
    <w:multiLevelType w:val="hybridMultilevel"/>
    <w:lvl w:ilvl="0">
      <w:lvlJc w:val="left"/>
      <w:lvlText w:val="%1."/>
      <w:numFmt w:val="decimal"/>
      <w:start w:val="1"/>
    </w:lvl>
  </w:abstractNum>
  <w:abstractNum w:abstractNumId="75">
    <w:nsid w:val="60B6DF70"/>
    <w:multiLevelType w:val="hybridMultilevel"/>
    <w:lvl w:ilvl="0">
      <w:lvlJc w:val="left"/>
      <w:lvlText w:val="%1."/>
      <w:numFmt w:val="decimal"/>
      <w:start w:val="3"/>
    </w:lvl>
  </w:abstractNum>
  <w:abstractNum w:abstractNumId="76">
    <w:nsid w:val="6A5EE64"/>
    <w:multiLevelType w:val="hybridMultilevel"/>
    <w:lvl w:ilvl="0">
      <w:lvlJc w:val="left"/>
      <w:lvlText w:val="%1"/>
      <w:numFmt w:val="lowerLetter"/>
      <w:start w:val="1"/>
    </w:lvl>
    <w:lvl w:ilvl="1">
      <w:lvlJc w:val="left"/>
      <w:lvlText w:val="(%2)"/>
      <w:numFmt w:val="lowerLetter"/>
      <w:start w:val="1"/>
    </w:lvl>
  </w:abstractNum>
  <w:abstractNum w:abstractNumId="77">
    <w:nsid w:val="14330624"/>
    <w:multiLevelType w:val="hybridMultilevel"/>
    <w:lvl w:ilvl="0">
      <w:lvlJc w:val="left"/>
      <w:lvlText w:val="(%1)"/>
      <w:numFmt w:val="lowerLetter"/>
      <w:start w:val="3"/>
    </w:lvl>
    <w:lvl w:ilvl="1">
      <w:lvlJc w:val="left"/>
      <w:lvlText w:val="(%2)"/>
      <w:numFmt w:val="lowerLetter"/>
      <w:start w:val="3"/>
    </w:lvl>
  </w:abstractNum>
  <w:abstractNum w:abstractNumId="78">
    <w:nsid w:val="7FFFCA11"/>
    <w:multiLevelType w:val="hybridMultilevel"/>
    <w:lvl w:ilvl="0">
      <w:lvlJc w:val="left"/>
      <w:lvlText w:val="%1."/>
      <w:numFmt w:val="decimal"/>
      <w:start w:val="5"/>
    </w:lvl>
  </w:abstractNum>
  <w:abstractNum w:abstractNumId="79">
    <w:nsid w:val="1A27709E"/>
    <w:multiLevelType w:val="hybridMultilevel"/>
    <w:lvl w:ilvl="0">
      <w:lvlJc w:val="left"/>
      <w:lvlText w:val="%1."/>
      <w:numFmt w:val="decimal"/>
      <w:start w:val="7"/>
    </w:lvl>
  </w:abstractNum>
  <w:abstractNum w:abstractNumId="80">
    <w:nsid w:val="71EA1109"/>
    <w:multiLevelType w:val="hybridMultilevel"/>
    <w:lvl w:ilvl="0">
      <w:lvlJc w:val="left"/>
      <w:lvlText w:val="%1."/>
      <w:numFmt w:val="decimal"/>
      <w:start w:val="9"/>
    </w:lvl>
  </w:abstractNum>
  <w:abstractNum w:abstractNumId="81">
    <w:nsid w:val="100F59DC"/>
    <w:multiLevelType w:val="hybridMultilevel"/>
    <w:lvl w:ilvl="0">
      <w:lvlJc w:val="left"/>
      <w:lvlText w:val="%1."/>
      <w:numFmt w:val="decimal"/>
      <w:start w:val="11"/>
    </w:lvl>
  </w:abstractNum>
  <w:abstractNum w:abstractNumId="82">
    <w:nsid w:val="7FB7E0AA"/>
    <w:multiLevelType w:val="hybridMultilevel"/>
    <w:lvl w:ilvl="0">
      <w:lvlJc w:val="left"/>
      <w:lvlText w:val="%1."/>
      <w:numFmt w:val="decimal"/>
      <w:start w:val="12"/>
    </w:lvl>
  </w:abstractNum>
  <w:abstractNum w:abstractNumId="83">
    <w:nsid w:val="6EB5BD4"/>
    <w:multiLevelType w:val="hybridMultilevel"/>
    <w:lvl w:ilvl="0">
      <w:lvlJc w:val="left"/>
      <w:lvlText w:val="%1."/>
      <w:numFmt w:val="decimal"/>
      <w:start w:val="13"/>
    </w:lvl>
  </w:abstractNum>
  <w:abstractNum w:abstractNumId="84">
    <w:nsid w:val="6F6DD9AC"/>
    <w:multiLevelType w:val="hybridMultilevel"/>
    <w:lvl w:ilvl="0">
      <w:lvlJc w:val="left"/>
      <w:lvlText w:val="%1."/>
      <w:numFmt w:val="decimal"/>
      <w:start w:val="23"/>
    </w:lvl>
  </w:abstractNum>
  <w:abstractNum w:abstractNumId="85">
    <w:nsid w:val="94211F2"/>
    <w:multiLevelType w:val="hybridMultilevel"/>
    <w:lvl w:ilvl="0">
      <w:lvlJc w:val="left"/>
      <w:lvlText w:val="(%1)"/>
      <w:numFmt w:val="decimal"/>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34" Type="http://schemas.openxmlformats.org/officeDocument/2006/relationships/image" Target="media/image13.png"/><Relationship Id="rId35" Type="http://schemas.openxmlformats.org/officeDocument/2006/relationships/image" Target="media/image14.png"/><Relationship Id="rId42" Type="http://schemas.openxmlformats.org/officeDocument/2006/relationships/image" Target="media/image15.png"/><Relationship Id="rId43" Type="http://schemas.openxmlformats.org/officeDocument/2006/relationships/image" Target="media/image16.png"/><Relationship Id="rId44" Type="http://schemas.openxmlformats.org/officeDocument/2006/relationships/image" Target="media/image17.png"/><Relationship Id="rId45" Type="http://schemas.openxmlformats.org/officeDocument/2006/relationships/image" Target="media/image18.png"/><Relationship Id="rId46" Type="http://schemas.openxmlformats.org/officeDocument/2006/relationships/image" Target="media/image19.png"/><Relationship Id="rId47" Type="http://schemas.openxmlformats.org/officeDocument/2006/relationships/image" Target="media/image20.png"/><Relationship Id="rId48" Type="http://schemas.openxmlformats.org/officeDocument/2006/relationships/image" Target="media/image21.png"/><Relationship Id="rId49" Type="http://schemas.openxmlformats.org/officeDocument/2006/relationships/image" Target="media/image22.png"/><Relationship Id="rId50" Type="http://schemas.openxmlformats.org/officeDocument/2006/relationships/image" Target="media/image23.png"/><Relationship Id="rId51" Type="http://schemas.openxmlformats.org/officeDocument/2006/relationships/image" Target="media/image24.png"/><Relationship Id="rId52" Type="http://schemas.openxmlformats.org/officeDocument/2006/relationships/image" Target="media/image25.png"/><Relationship Id="rId53" Type="http://schemas.openxmlformats.org/officeDocument/2006/relationships/image" Target="media/image26.png"/><Relationship Id="rId54" Type="http://schemas.openxmlformats.org/officeDocument/2006/relationships/image" Target="media/image27.png"/><Relationship Id="rId55" Type="http://schemas.openxmlformats.org/officeDocument/2006/relationships/image" Target="media/image28.png"/><Relationship Id="rId56" Type="http://schemas.openxmlformats.org/officeDocument/2006/relationships/image" Target="media/image29.png"/><Relationship Id="rId57" Type="http://schemas.openxmlformats.org/officeDocument/2006/relationships/image" Target="media/image30.png"/><Relationship Id="rId58" Type="http://schemas.openxmlformats.org/officeDocument/2006/relationships/image" Target="media/image31.png"/><Relationship Id="rId59" Type="http://schemas.openxmlformats.org/officeDocument/2006/relationships/image" Target="media/image32.png"/><Relationship Id="rId60" Type="http://schemas.openxmlformats.org/officeDocument/2006/relationships/image" Target="media/image33.png"/><Relationship Id="rId61" Type="http://schemas.openxmlformats.org/officeDocument/2006/relationships/image" Target="media/image34.png"/><Relationship Id="rId62" Type="http://schemas.openxmlformats.org/officeDocument/2006/relationships/image" Target="media/image35.png"/><Relationship Id="rId63" Type="http://schemas.openxmlformats.org/officeDocument/2006/relationships/image" Target="media/image36.png"/><Relationship Id="rId64" Type="http://schemas.openxmlformats.org/officeDocument/2006/relationships/image" Target="media/image37.png"/><Relationship Id="rId65" Type="http://schemas.openxmlformats.org/officeDocument/2006/relationships/image" Target="media/image38.png"/><Relationship Id="rId66" Type="http://schemas.openxmlformats.org/officeDocument/2006/relationships/image" Target="media/image39.png"/><Relationship Id="rId67" Type="http://schemas.openxmlformats.org/officeDocument/2006/relationships/image" Target="media/image40.png"/><Relationship Id="rId68" Type="http://schemas.openxmlformats.org/officeDocument/2006/relationships/image" Target="media/image41.png"/><Relationship Id="rId69" Type="http://schemas.openxmlformats.org/officeDocument/2006/relationships/image" Target="media/image42.png"/><Relationship Id="rId70" Type="http://schemas.openxmlformats.org/officeDocument/2006/relationships/image" Target="media/image43.png"/><Relationship Id="rId71" Type="http://schemas.openxmlformats.org/officeDocument/2006/relationships/image" Target="media/image44.png"/><Relationship Id="rId72" Type="http://schemas.openxmlformats.org/officeDocument/2006/relationships/image" Target="media/image45.png"/><Relationship Id="rId73" Type="http://schemas.openxmlformats.org/officeDocument/2006/relationships/image" Target="media/image46.png"/><Relationship Id="rId74" Type="http://schemas.openxmlformats.org/officeDocument/2006/relationships/image" Target="media/image47.png"/><Relationship Id="rId75" Type="http://schemas.openxmlformats.org/officeDocument/2006/relationships/image" Target="media/image48.png"/><Relationship Id="rId76" Type="http://schemas.openxmlformats.org/officeDocument/2006/relationships/image" Target="media/image49.png"/><Relationship Id="rId77" Type="http://schemas.openxmlformats.org/officeDocument/2006/relationships/image" Target="media/image50.png"/><Relationship Id="rId78" Type="http://schemas.openxmlformats.org/officeDocument/2006/relationships/image" Target="media/image51.png"/><Relationship Id="rId79" Type="http://schemas.openxmlformats.org/officeDocument/2006/relationships/image" Target="media/image52.png"/><Relationship Id="rId80" Type="http://schemas.openxmlformats.org/officeDocument/2006/relationships/image" Target="media/image53.png"/><Relationship Id="rId81" Type="http://schemas.openxmlformats.org/officeDocument/2006/relationships/image" Target="media/image54.png"/><Relationship Id="rId82" Type="http://schemas.openxmlformats.org/officeDocument/2006/relationships/image" Target="media/image55.png"/><Relationship Id="rId83" Type="http://schemas.openxmlformats.org/officeDocument/2006/relationships/image" Target="media/image56.png"/><Relationship Id="rId84" Type="http://schemas.openxmlformats.org/officeDocument/2006/relationships/image" Target="media/image57.png"/><Relationship Id="rId85" Type="http://schemas.openxmlformats.org/officeDocument/2006/relationships/image" Target="media/image58.png"/><Relationship Id="rId86" Type="http://schemas.openxmlformats.org/officeDocument/2006/relationships/image" Target="media/image59.png"/><Relationship Id="rId87" Type="http://schemas.openxmlformats.org/officeDocument/2006/relationships/image" Target="media/image60.png"/><Relationship Id="rId88" Type="http://schemas.openxmlformats.org/officeDocument/2006/relationships/image" Target="media/image61.png"/><Relationship Id="rId89" Type="http://schemas.openxmlformats.org/officeDocument/2006/relationships/image" Target="media/image62.png"/><Relationship Id="rId90" Type="http://schemas.openxmlformats.org/officeDocument/2006/relationships/image" Target="media/image63.png"/><Relationship Id="rId91" Type="http://schemas.openxmlformats.org/officeDocument/2006/relationships/image" Target="media/image64.png"/><Relationship Id="rId92" Type="http://schemas.openxmlformats.org/officeDocument/2006/relationships/image" Target="media/image65.png"/><Relationship Id="rId93" Type="http://schemas.openxmlformats.org/officeDocument/2006/relationships/image" Target="media/image66.png"/><Relationship Id="rId94" Type="http://schemas.openxmlformats.org/officeDocument/2006/relationships/image" Target="media/image67.png"/><Relationship Id="rId95" Type="http://schemas.openxmlformats.org/officeDocument/2006/relationships/image" Target="media/image68.png"/><Relationship Id="rId96" Type="http://schemas.openxmlformats.org/officeDocument/2006/relationships/image" Target="media/image69.png"/><Relationship Id="rId97" Type="http://schemas.openxmlformats.org/officeDocument/2006/relationships/image" Target="media/image70.png"/><Relationship Id="rId98" Type="http://schemas.openxmlformats.org/officeDocument/2006/relationships/image" Target="media/image71.png"/><Relationship Id="rId99" Type="http://schemas.openxmlformats.org/officeDocument/2006/relationships/image" Target="media/image72.png"/><Relationship Id="rId100" Type="http://schemas.openxmlformats.org/officeDocument/2006/relationships/image" Target="media/image73.png"/><Relationship Id="rId101" Type="http://schemas.openxmlformats.org/officeDocument/2006/relationships/image" Target="media/image74.png"/><Relationship Id="rId102" Type="http://schemas.openxmlformats.org/officeDocument/2006/relationships/image" Target="media/image75.png"/><Relationship Id="rId103" Type="http://schemas.openxmlformats.org/officeDocument/2006/relationships/image" Target="media/image76.png"/><Relationship Id="rId104" Type="http://schemas.openxmlformats.org/officeDocument/2006/relationships/image" Target="media/image77.png"/><Relationship Id="rId105" Type="http://schemas.openxmlformats.org/officeDocument/2006/relationships/image" Target="media/image78.png"/><Relationship Id="rId106" Type="http://schemas.openxmlformats.org/officeDocument/2006/relationships/image" Target="media/image79.png"/><Relationship Id="rId107" Type="http://schemas.openxmlformats.org/officeDocument/2006/relationships/image" Target="media/image80.png"/><Relationship Id="rId108" Type="http://schemas.openxmlformats.org/officeDocument/2006/relationships/image" Target="media/image81.png"/><Relationship Id="rId109" Type="http://schemas.openxmlformats.org/officeDocument/2006/relationships/image" Target="media/image82.png"/><Relationship Id="rId110" Type="http://schemas.openxmlformats.org/officeDocument/2006/relationships/image" Target="media/image83.png"/><Relationship Id="rId111" Type="http://schemas.openxmlformats.org/officeDocument/2006/relationships/image" Target="media/image84.png"/><Relationship Id="rId112" Type="http://schemas.openxmlformats.org/officeDocument/2006/relationships/image" Target="media/image85.png"/><Relationship Id="rId113" Type="http://schemas.openxmlformats.org/officeDocument/2006/relationships/image" Target="media/image86.png"/><Relationship Id="rId114" Type="http://schemas.openxmlformats.org/officeDocument/2006/relationships/image" Target="media/image87.png"/><Relationship Id="rId115" Type="http://schemas.openxmlformats.org/officeDocument/2006/relationships/image" Target="media/image88.png"/><Relationship Id="rId116" Type="http://schemas.openxmlformats.org/officeDocument/2006/relationships/image" Target="media/image89.png"/><Relationship Id="rId117" Type="http://schemas.openxmlformats.org/officeDocument/2006/relationships/image" Target="media/image90.png"/><Relationship Id="rId118" Type="http://schemas.openxmlformats.org/officeDocument/2006/relationships/image" Target="media/image91.png"/><Relationship Id="rId119" Type="http://schemas.openxmlformats.org/officeDocument/2006/relationships/image" Target="media/image92.png"/><Relationship Id="rId120" Type="http://schemas.openxmlformats.org/officeDocument/2006/relationships/image" Target="media/image93.png"/><Relationship Id="rId121" Type="http://schemas.openxmlformats.org/officeDocument/2006/relationships/image" Target="media/image94.png"/><Relationship Id="rId122" Type="http://schemas.openxmlformats.org/officeDocument/2006/relationships/image" Target="media/image95.png"/><Relationship Id="rId123" Type="http://schemas.openxmlformats.org/officeDocument/2006/relationships/image" Target="media/image96.png"/><Relationship Id="rId124" Type="http://schemas.openxmlformats.org/officeDocument/2006/relationships/image" Target="media/image97.png"/><Relationship Id="rId125" Type="http://schemas.openxmlformats.org/officeDocument/2006/relationships/image" Target="media/image98.png"/><Relationship Id="rId126" Type="http://schemas.openxmlformats.org/officeDocument/2006/relationships/image" Target="media/image99.png"/><Relationship Id="rId127" Type="http://schemas.openxmlformats.org/officeDocument/2006/relationships/image" Target="media/image100.png"/><Relationship Id="rId128" Type="http://schemas.openxmlformats.org/officeDocument/2006/relationships/image" Target="media/image101.png"/><Relationship Id="rId129" Type="http://schemas.openxmlformats.org/officeDocument/2006/relationships/image" Target="media/image102.png"/><Relationship Id="rId130" Type="http://schemas.openxmlformats.org/officeDocument/2006/relationships/image" Target="media/image103.png"/><Relationship Id="rId131" Type="http://schemas.openxmlformats.org/officeDocument/2006/relationships/image" Target="media/image104.png"/><Relationship Id="rId132" Type="http://schemas.openxmlformats.org/officeDocument/2006/relationships/image" Target="media/image105.png"/><Relationship Id="rId133" Type="http://schemas.openxmlformats.org/officeDocument/2006/relationships/image" Target="media/image106.png"/><Relationship Id="rId134" Type="http://schemas.openxmlformats.org/officeDocument/2006/relationships/image" Target="media/image107.png"/><Relationship Id="rId135" Type="http://schemas.openxmlformats.org/officeDocument/2006/relationships/image" Target="media/image108.png"/><Relationship Id="rId136" Type="http://schemas.openxmlformats.org/officeDocument/2006/relationships/image" Target="media/image109.png"/><Relationship Id="rId137" Type="http://schemas.openxmlformats.org/officeDocument/2006/relationships/image" Target="media/image110.png"/><Relationship Id="rId138" Type="http://schemas.openxmlformats.org/officeDocument/2006/relationships/image" Target="media/image111.png"/><Relationship Id="rId139" Type="http://schemas.openxmlformats.org/officeDocument/2006/relationships/image" Target="media/image112.png"/><Relationship Id="rId140" Type="http://schemas.openxmlformats.org/officeDocument/2006/relationships/image" Target="media/image113.png"/><Relationship Id="rId141" Type="http://schemas.openxmlformats.org/officeDocument/2006/relationships/image" Target="media/image114.png"/><Relationship Id="rId142" Type="http://schemas.openxmlformats.org/officeDocument/2006/relationships/image" Target="media/image115.png"/><Relationship Id="rId143" Type="http://schemas.openxmlformats.org/officeDocument/2006/relationships/image" Target="media/image116.png"/><Relationship Id="rId144" Type="http://schemas.openxmlformats.org/officeDocument/2006/relationships/image" Target="media/image117.png"/><Relationship Id="rId145" Type="http://schemas.openxmlformats.org/officeDocument/2006/relationships/image" Target="media/image118.png"/><Relationship Id="rId146" Type="http://schemas.openxmlformats.org/officeDocument/2006/relationships/image" Target="media/image119.png"/><Relationship Id="rId147" Type="http://schemas.openxmlformats.org/officeDocument/2006/relationships/image" Target="media/image120.png"/><Relationship Id="rId148" Type="http://schemas.openxmlformats.org/officeDocument/2006/relationships/image" Target="media/image121.png"/><Relationship Id="rId149" Type="http://schemas.openxmlformats.org/officeDocument/2006/relationships/image" Target="media/image122.png"/><Relationship Id="rId150" Type="http://schemas.openxmlformats.org/officeDocument/2006/relationships/image" Target="media/image123.png"/><Relationship Id="rId151" Type="http://schemas.openxmlformats.org/officeDocument/2006/relationships/image" Target="media/image124.png"/><Relationship Id="rId152" Type="http://schemas.openxmlformats.org/officeDocument/2006/relationships/image" Target="media/image125.png"/><Relationship Id="rId153" Type="http://schemas.openxmlformats.org/officeDocument/2006/relationships/image" Target="media/image126.png"/><Relationship Id="rId154" Type="http://schemas.openxmlformats.org/officeDocument/2006/relationships/image" Target="media/image127.png"/><Relationship Id="rId155" Type="http://schemas.openxmlformats.org/officeDocument/2006/relationships/image" Target="media/image128.png"/><Relationship Id="rId156" Type="http://schemas.openxmlformats.org/officeDocument/2006/relationships/image" Target="media/image129.png"/><Relationship Id="rId157" Type="http://schemas.openxmlformats.org/officeDocument/2006/relationships/image" Target="media/image130.png"/><Relationship Id="rId158" Type="http://schemas.openxmlformats.org/officeDocument/2006/relationships/image" Target="media/image131.png"/><Relationship Id="rId159" Type="http://schemas.openxmlformats.org/officeDocument/2006/relationships/image" Target="media/image132.png"/><Relationship Id="rId160" Type="http://schemas.openxmlformats.org/officeDocument/2006/relationships/image" Target="media/image133.png"/><Relationship Id="rId161" Type="http://schemas.openxmlformats.org/officeDocument/2006/relationships/image" Target="media/image134.png"/><Relationship Id="rId162" Type="http://schemas.openxmlformats.org/officeDocument/2006/relationships/image" Target="media/image135.png"/><Relationship Id="rId163" Type="http://schemas.openxmlformats.org/officeDocument/2006/relationships/image" Target="media/image136.png"/><Relationship Id="rId164" Type="http://schemas.openxmlformats.org/officeDocument/2006/relationships/image" Target="media/image137.png"/><Relationship Id="rId165" Type="http://schemas.openxmlformats.org/officeDocument/2006/relationships/image" Target="media/image138.png"/><Relationship Id="rId166" Type="http://schemas.openxmlformats.org/officeDocument/2006/relationships/image" Target="media/image139.png"/><Relationship Id="rId167" Type="http://schemas.openxmlformats.org/officeDocument/2006/relationships/image" Target="media/image140.png"/><Relationship Id="rId168" Type="http://schemas.openxmlformats.org/officeDocument/2006/relationships/image" Target="media/image141.png"/><Relationship Id="rId169" Type="http://schemas.openxmlformats.org/officeDocument/2006/relationships/image" Target="media/image142.png"/><Relationship Id="rId170" Type="http://schemas.openxmlformats.org/officeDocument/2006/relationships/image" Target="media/image143.png"/><Relationship Id="rId171" Type="http://schemas.openxmlformats.org/officeDocument/2006/relationships/image" Target="media/image144.png"/><Relationship Id="rId18" Type="http://schemas.openxmlformats.org/officeDocument/2006/relationships/hyperlink" Target="http://www.sec.gov/Archives/edgar/data/1816736/000121390021021222/ea139346-s8_gemini.htm" TargetMode="External"/><Relationship Id="rId19" Type="http://schemas.openxmlformats.org/officeDocument/2006/relationships/hyperlink" Target="http://www.sec.gov/Archives/edgar/data/1816736/000119312521298746/d242333ds8.htm" TargetMode="External"/><Relationship Id="rId20" Type="http://schemas.openxmlformats.org/officeDocument/2006/relationships/hyperlink" Target="http://www.sec.gov/Archives/edgar/data/1816736/000119312522071297/d200548ds8.htm" TargetMode="External"/><Relationship Id="rId23" Type="http://schemas.openxmlformats.org/officeDocument/2006/relationships/hyperlink" Target="http://www.sec.gov/ix?doc=/Archives/edgar/data/1816736/000095017022003288/gmtx-20211231.htm" TargetMode="External"/><Relationship Id="rId24" Type="http://schemas.openxmlformats.org/officeDocument/2006/relationships/hyperlink" Target="http://www.sec.gov/ix?doc=/Archives/edgar/data/1816736/000095017022008015/gmtx-20220331.htm" TargetMode="External"/><Relationship Id="rId25" Type="http://schemas.openxmlformats.org/officeDocument/2006/relationships/hyperlink" Target="http://www.sec.gov/ix?doc=/Archives/edgar/data/1816736/000095017022016671/gmtx-20220630.htm" TargetMode="External"/><Relationship Id="rId26" Type="http://schemas.openxmlformats.org/officeDocument/2006/relationships/hyperlink" Target="http://www.sec.gov/Archives/edgar/data/1816736/000095017022024195/gmtx-20220930.htm" TargetMode="External"/><Relationship Id="rId27" Type="http://schemas.openxmlformats.org/officeDocument/2006/relationships/hyperlink" Target="http://www.sec.gov/Archives/edgar/data/1816736/000119312522216814/d94880d8k.htm" TargetMode="External"/><Relationship Id="rId28" Type="http://schemas.openxmlformats.org/officeDocument/2006/relationships/hyperlink" Target="http://www.sec.gov/Archives/edgar/data/1816736/000119312522301064/d425106d8k.htm" TargetMode="External"/><Relationship Id="rId29" Type="http://schemas.openxmlformats.org/officeDocument/2006/relationships/hyperlink" Target="http://www.sec.gov/Archives/edgar/data/1816736/000114036122047153/brhc10045909_8k.htm" TargetMode="External"/><Relationship Id="rId30" Type="http://schemas.openxmlformats.org/officeDocument/2006/relationships/hyperlink" Target="http://www.sec.gov/Archives/edgar/data/1816736/000114036122047453/brhc10045896_8k.htm" TargetMode="External"/><Relationship Id="rId31" Type="http://schemas.openxmlformats.org/officeDocument/2006/relationships/hyperlink" Target="http://www.sec.gov/Archives/edgar/data/1816736/000121390020021145/ea125295-8a12b_fsdevelop.htm" TargetMode="External"/><Relationship Id="rId32" Type="http://schemas.openxmlformats.org/officeDocument/2006/relationships/hyperlink" Target="http://www.sec.gov/Archives/edgar/data/1816736/000095017022003288/gmtx-ex4_4.htm" TargetMode="External"/><Relationship Id="rId33" Type="http://schemas.openxmlformats.org/officeDocument/2006/relationships/hyperlink" Target="http://www.sec.gov/Archives/edgar/data/1816736/000114036122043943/ny20005172x8_s4a.htm" TargetMode="External"/><Relationship Id="rId36" Type="http://schemas.openxmlformats.org/officeDocument/2006/relationships/hyperlink" Target="http://www.sec.gov/Archives/edgar/data/1816736/000121390021002636/fs42021a5ex4-1_fsdevelop.htm" TargetMode="External"/><Relationship Id="rId37" Type="http://schemas.openxmlformats.org/officeDocument/2006/relationships/hyperlink" Target="http://www.sec.gov/Archives/edgar/data/1816736/000121390021008478/ea135023ex3-1_gemini.htm" TargetMode="External"/><Relationship Id="rId38" Type="http://schemas.openxmlformats.org/officeDocument/2006/relationships/hyperlink" Target="http://www.sec.gov/Archives/edgar/data/1816736/000114036122047453/brhc10045896_ex3-1.htm" TargetMode="External"/><Relationship Id="rId39" Type="http://schemas.openxmlformats.org/officeDocument/2006/relationships/hyperlink" Target="http://www.sec.gov/Archives/edgar/data/1816736/000114036122047453/brhc10045896_ex3-2.htm" TargetMode="External"/><Relationship Id="rId40" Type="http://schemas.openxmlformats.org/officeDocument/2006/relationships/hyperlink" Target="http://www.sec.gov/Archives/edgar/data/1816736/000121390021002636/fs42021a5_fsdevelopment.htm#T53" TargetMode="External"/><Relationship Id="rId41" Type="http://schemas.openxmlformats.org/officeDocument/2006/relationships/hyperlink" Target="http://www.sec.gov/Archives/edgar/data/1816736/000114036122047453/brhc10045896_ex10-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2023-01-18T05:10:40Z</dcterms:created>
  <dcterms:modified xsi:type="dcterms:W3CDTF">2023-01-18T05:10:40Z</dcterms:modified>
</cp:coreProperties>
</file>