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36870G105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34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5"/>
          <w:szCs w:val="15"/>
          <w:color w:val="auto"/>
        </w:rPr>
        <w:t>Rule 13d-1(c)</w:t>
      </w:r>
      <w:r>
        <w:rPr>
          <w:rFonts w:ascii="Arial" w:cs="Arial" w:eastAsia="Arial" w:hAnsi="Arial"/>
          <w:sz w:val="19"/>
          <w:szCs w:val="19"/>
          <w:color w:val="auto"/>
        </w:rPr>
        <w:t xml:space="preserve"> o </w:t>
      </w:r>
      <w:r>
        <w:rPr>
          <w:rFonts w:ascii="Arial" w:cs="Arial" w:eastAsia="Arial" w:hAnsi="Arial"/>
          <w:sz w:val="15"/>
          <w:szCs w:val="15"/>
          <w:color w:val="auto"/>
        </w:rPr>
        <w:t>Rule 13d-1(d)</w:t>
      </w:r>
    </w:p>
    <w:p>
      <w:pPr>
        <w:spacing w:after="0" w:line="39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363855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36870G105</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Alyeska Investment Group,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6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CUSIP No. 36870G105</w:t>
            </w:r>
          </w:p>
        </w:tc>
        <w:tc>
          <w:tcPr>
            <w:tcW w:w="52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Alyeska Fund GP, LLC</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w w:val="85"/>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360" w:type="dxa"/>
            <w:vAlign w:val="bottom"/>
          </w:tcPr>
          <w:p>
            <w:pPr>
              <w:spacing w:after="0"/>
              <w:rPr>
                <w:sz w:val="18"/>
                <w:szCs w:val="18"/>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w w:val="85"/>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360" w:type="dxa"/>
            <w:vAlign w:val="bottom"/>
          </w:tcPr>
          <w:p>
            <w:pPr>
              <w:spacing w:after="0"/>
              <w:rPr>
                <w:sz w:val="17"/>
                <w:szCs w:val="17"/>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w w:val="85"/>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3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w w:val="85"/>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72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0"/>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360" w:type="dxa"/>
            <w:vAlign w:val="bottom"/>
            <w:shd w:val="clear" w:color="auto" w:fill="808080"/>
          </w:tcPr>
          <w:p>
            <w:pPr>
              <w:spacing w:after="0"/>
              <w:rPr>
                <w:sz w:val="7"/>
                <w:szCs w:val="7"/>
                <w:color w:val="auto"/>
              </w:rPr>
            </w:pPr>
          </w:p>
        </w:tc>
        <w:tc>
          <w:tcPr>
            <w:tcW w:w="52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36870G105</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Anand Parekh</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2</w:t>
            </w:r>
          </w:p>
        </w:tc>
        <w:tc>
          <w:tcPr>
            <w:tcW w:w="320" w:type="dxa"/>
            <w:vAlign w:val="bottom"/>
            <w:tcBorders>
              <w:right w:val="single" w:sz="8" w:color="auto"/>
            </w:tcBorders>
          </w:tcPr>
          <w:p>
            <w:pPr>
              <w:spacing w:after="0"/>
              <w:rPr>
                <w:sz w:val="21"/>
                <w:szCs w:val="21"/>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Arial" w:cs="Arial" w:eastAsia="Arial" w:hAnsi="Arial"/>
                <w:sz w:val="18"/>
                <w:szCs w:val="18"/>
                <w:color w:val="auto"/>
                <w:w w:val="96"/>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Arial" w:cs="Arial" w:eastAsia="Arial" w:hAnsi="Arial"/>
                <w:sz w:val="18"/>
                <w:szCs w:val="18"/>
                <w:color w:val="auto"/>
              </w:rPr>
              <w:t>United States of America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5</w:t>
            </w:r>
          </w:p>
        </w:tc>
        <w:tc>
          <w:tcPr>
            <w:tcW w:w="474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5"/>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7</w:t>
            </w:r>
          </w:p>
        </w:tc>
        <w:tc>
          <w:tcPr>
            <w:tcW w:w="4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Arial" w:cs="Arial" w:eastAsia="Arial" w:hAnsi="Arial"/>
                <w:sz w:val="25"/>
                <w:szCs w:val="25"/>
                <w:color w:val="auto"/>
              </w:rPr>
              <w:t>8</w:t>
            </w:r>
          </w:p>
        </w:tc>
        <w:tc>
          <w:tcPr>
            <w:tcW w:w="474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w w:val="99"/>
              </w:rPr>
              <w:t>CHECK IF THE AGGREGATE AMOUNT IN ROW (9) EXCLUDES CERTAIN SHARES</w:t>
            </w:r>
          </w:p>
        </w:tc>
        <w:tc>
          <w:tcPr>
            <w:tcW w:w="3360" w:type="dxa"/>
            <w:vAlign w:val="bottom"/>
            <w:tcBorders>
              <w:right w:val="single" w:sz="8" w:color="auto"/>
            </w:tcBorders>
          </w:tcPr>
          <w:p>
            <w:pPr>
              <w:ind w:left="29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Arial" w:cs="Arial" w:eastAsia="Arial" w:hAnsi="Arial"/>
                <w:sz w:val="25"/>
                <w:szCs w:val="25"/>
                <w:color w:val="auto"/>
                <w:w w:val="86"/>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Arial" w:cs="Arial" w:eastAsia="Arial" w:hAnsi="Arial"/>
                <w:sz w:val="18"/>
                <w:szCs w:val="18"/>
                <w:color w:val="auto"/>
              </w:rPr>
              <w:t>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spacing w:after="0" w:line="62"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36870G105</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Gemini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300 One Kendall Square, 3rd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Cambridge, MA 02139</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Names of Person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Alyeska Investment Group, L.P.</w:t>
      </w:r>
    </w:p>
    <w:p>
      <w:pPr>
        <w:spacing w:after="0" w:line="225" w:lineRule="exact"/>
        <w:rPr>
          <w:rFonts w:ascii="Arial" w:cs="Arial" w:eastAsia="Arial" w:hAnsi="Arial"/>
          <w:sz w:val="18"/>
          <w:szCs w:val="18"/>
          <w:color w:val="auto"/>
        </w:rPr>
      </w:pPr>
    </w:p>
    <w:p>
      <w:pPr>
        <w:ind w:left="1060" w:hanging="26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Alyeska Fund GP, LLC</w:t>
      </w:r>
    </w:p>
    <w:p>
      <w:pPr>
        <w:spacing w:after="0" w:line="225" w:lineRule="exact"/>
        <w:rPr>
          <w:rFonts w:ascii="Arial" w:cs="Arial" w:eastAsia="Arial" w:hAnsi="Arial"/>
          <w:sz w:val="18"/>
          <w:szCs w:val="18"/>
          <w:color w:val="auto"/>
        </w:rPr>
      </w:pPr>
    </w:p>
    <w:p>
      <w:pPr>
        <w:ind w:left="1120" w:hanging="320"/>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Anand Parekh</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(b) Address of Principal Business Office:</w:t>
      </w:r>
    </w:p>
    <w:p>
      <w:pPr>
        <w:spacing w:after="0" w:line="121" w:lineRule="exact"/>
        <w:rPr>
          <w:sz w:val="20"/>
          <w:szCs w:val="20"/>
          <w:color w:val="auto"/>
        </w:rPr>
      </w:pPr>
    </w:p>
    <w:p>
      <w:pPr>
        <w:ind w:left="1020" w:right="7840" w:hanging="220"/>
        <w:spacing w:after="0" w:line="277" w:lineRule="auto"/>
        <w:tabs>
          <w:tab w:leader="none" w:pos="1019" w:val="left"/>
        </w:tabs>
        <w:numPr>
          <w:ilvl w:val="0"/>
          <w:numId w:val="3"/>
        </w:numPr>
        <w:rPr>
          <w:rFonts w:ascii="Arial" w:cs="Arial" w:eastAsia="Arial" w:hAnsi="Arial"/>
          <w:sz w:val="18"/>
          <w:szCs w:val="18"/>
          <w:color w:val="auto"/>
        </w:rPr>
      </w:pPr>
      <w:r>
        <w:rPr>
          <w:rFonts w:ascii="Arial" w:cs="Arial" w:eastAsia="Arial" w:hAnsi="Arial"/>
          <w:sz w:val="18"/>
          <w:szCs w:val="18"/>
          <w:color w:val="auto"/>
        </w:rPr>
        <w:t>77 West Wacker Drive, 7th Floor Chicago, IL 60601</w:t>
      </w:r>
    </w:p>
    <w:p>
      <w:pPr>
        <w:spacing w:after="0" w:line="170" w:lineRule="exact"/>
        <w:rPr>
          <w:rFonts w:ascii="Arial" w:cs="Arial" w:eastAsia="Arial" w:hAnsi="Arial"/>
          <w:sz w:val="18"/>
          <w:szCs w:val="18"/>
          <w:color w:val="auto"/>
        </w:rPr>
      </w:pPr>
    </w:p>
    <w:p>
      <w:pPr>
        <w:ind w:left="1040" w:right="7800" w:hanging="240"/>
        <w:spacing w:after="0" w:line="277" w:lineRule="auto"/>
        <w:tabs>
          <w:tab w:leader="none" w:pos="1071" w:val="left"/>
        </w:tabs>
        <w:numPr>
          <w:ilvl w:val="0"/>
          <w:numId w:val="3"/>
        </w:numPr>
        <w:rPr>
          <w:rFonts w:ascii="Arial" w:cs="Arial" w:eastAsia="Arial" w:hAnsi="Arial"/>
          <w:sz w:val="18"/>
          <w:szCs w:val="18"/>
          <w:color w:val="auto"/>
        </w:rPr>
      </w:pPr>
      <w:r>
        <w:rPr>
          <w:rFonts w:ascii="Arial" w:cs="Arial" w:eastAsia="Arial" w:hAnsi="Arial"/>
          <w:sz w:val="18"/>
          <w:szCs w:val="18"/>
          <w:color w:val="auto"/>
        </w:rPr>
        <w:t>77 West Wacker Drive, 7th Floor Chicago, IL 60601</w:t>
      </w:r>
    </w:p>
    <w:p>
      <w:pPr>
        <w:spacing w:after="0" w:line="170" w:lineRule="exact"/>
        <w:rPr>
          <w:rFonts w:ascii="Arial" w:cs="Arial" w:eastAsia="Arial" w:hAnsi="Arial"/>
          <w:sz w:val="18"/>
          <w:szCs w:val="18"/>
          <w:color w:val="auto"/>
        </w:rPr>
      </w:pPr>
    </w:p>
    <w:p>
      <w:pPr>
        <w:ind w:left="1060" w:right="7740" w:hanging="260"/>
        <w:spacing w:after="0" w:line="277" w:lineRule="auto"/>
        <w:tabs>
          <w:tab w:leader="none" w:pos="1123" w:val="left"/>
        </w:tabs>
        <w:numPr>
          <w:ilvl w:val="0"/>
          <w:numId w:val="3"/>
        </w:numPr>
        <w:rPr>
          <w:rFonts w:ascii="Arial" w:cs="Arial" w:eastAsia="Arial" w:hAnsi="Arial"/>
          <w:sz w:val="18"/>
          <w:szCs w:val="18"/>
          <w:color w:val="auto"/>
        </w:rPr>
      </w:pPr>
      <w:r>
        <w:rPr>
          <w:rFonts w:ascii="Arial" w:cs="Arial" w:eastAsia="Arial" w:hAnsi="Arial"/>
          <w:sz w:val="18"/>
          <w:szCs w:val="18"/>
          <w:color w:val="auto"/>
        </w:rPr>
        <w:t>77 West Wacker Drive, 7th Floor Chicago, IL 60601</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 Citizenship:</w:t>
      </w:r>
    </w:p>
    <w:p>
      <w:pPr>
        <w:spacing w:after="0" w:line="121" w:lineRule="exact"/>
        <w:rPr>
          <w:sz w:val="20"/>
          <w:szCs w:val="20"/>
          <w:color w:val="auto"/>
        </w:rPr>
      </w:pPr>
    </w:p>
    <w:p>
      <w:pPr>
        <w:ind w:left="1000" w:hanging="20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Alyeska Investment Group, L.P. - Delaware</w:t>
      </w:r>
    </w:p>
    <w:p>
      <w:pPr>
        <w:spacing w:after="0" w:line="225"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Alyeska Fund GP, LLC - Delaware</w:t>
      </w:r>
    </w:p>
    <w:p>
      <w:pPr>
        <w:spacing w:after="0" w:line="225" w:lineRule="exact"/>
        <w:rPr>
          <w:rFonts w:ascii="Arial" w:cs="Arial" w:eastAsia="Arial" w:hAnsi="Arial"/>
          <w:sz w:val="18"/>
          <w:szCs w:val="18"/>
          <w:color w:val="auto"/>
        </w:rPr>
      </w:pPr>
    </w:p>
    <w:p>
      <w:pPr>
        <w:ind w:left="1100" w:hanging="300"/>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Anand Parekh - United States of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36870G105</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36870G105</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8" w:lineRule="exact"/>
        <w:rPr>
          <w:sz w:val="20"/>
          <w:szCs w:val="20"/>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An investment adviser in accordance with §240.13d-1(b)(1)(ii)(E);</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7"/>
          <w:szCs w:val="17"/>
          <w:color w:val="auto"/>
        </w:rPr>
        <w:t>A parent holding company or control person in accordance with §240.13d-1(b)(1)(ii)(G);</w:t>
      </w:r>
    </w:p>
    <w:p>
      <w:pPr>
        <w:spacing w:after="0" w:line="103"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20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460" w:hanging="595"/>
        <w:spacing w:after="0" w:line="237" w:lineRule="exact"/>
        <w:tabs>
          <w:tab w:leader="none" w:pos="603" w:val="left"/>
        </w:tabs>
        <w:numPr>
          <w:ilvl w:val="0"/>
          <w:numId w:val="5"/>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30" w:type="dxa"/>
        <w:tblCellMar>
          <w:top w:w="0" w:type="dxa"/>
          <w:left w:w="0" w:type="dxa"/>
          <w:bottom w:w="0" w:type="dxa"/>
          <w:right w:w="0" w:type="dxa"/>
        </w:tblCellMar>
      </w:tblPr>
      <w:tr>
        <w:trPr>
          <w:trHeight w:val="343"/>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36870G105</w:t>
            </w:r>
          </w:p>
        </w:tc>
        <w:tc>
          <w:tcPr>
            <w:tcW w:w="4520" w:type="dxa"/>
            <w:vAlign w:val="bottom"/>
            <w:tcBorders>
              <w:right w:val="single" w:sz="8" w:color="auto"/>
            </w:tcBorders>
          </w:tcPr>
          <w:p>
            <w:pPr>
              <w:ind w:left="150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9 Pages</w:t>
            </w:r>
          </w:p>
        </w:tc>
      </w:tr>
    </w:tbl>
    <w:p>
      <w:pPr>
        <w:sectPr>
          <w:pgSz w:w="11900" w:h="16900" w:orient="portrait"/>
          <w:cols w:equalWidth="0" w:num="1">
            <w:col w:w="11240"/>
          </w:cols>
          <w:pgMar w:left="320" w:top="663"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88900</wp:posOffset>
            </wp:positionV>
            <wp:extent cx="2138680" cy="74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8680" cy="74930"/>
                    </a:xfrm>
                    <a:prstGeom prst="rect">
                      <a:avLst/>
                    </a:prstGeom>
                    <a:noFill/>
                  </pic:spPr>
                </pic:pic>
              </a:graphicData>
            </a:graphic>
          </wp:anchor>
        </w:drawing>
        <w:drawing>
          <wp:anchor simplePos="0" relativeHeight="251657728" behindDoc="1" locked="0" layoutInCell="0" allowOverlap="1">
            <wp:simplePos x="0" y="0"/>
            <wp:positionH relativeFrom="page">
              <wp:posOffset>5208270</wp:posOffset>
            </wp:positionH>
            <wp:positionV relativeFrom="page">
              <wp:posOffset>88900</wp:posOffset>
            </wp:positionV>
            <wp:extent cx="2130425" cy="74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0425" cy="74930"/>
                    </a:xfrm>
                    <a:prstGeom prst="rect">
                      <a:avLst/>
                    </a:prstGeom>
                    <a:noFill/>
                  </pic:spPr>
                </pic:pic>
              </a:graphicData>
            </a:graphic>
          </wp:anchor>
        </w:drawing>
        <w:t>Item 4. Ownership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40" w:lineRule="exact"/>
        <w:rPr>
          <w:sz w:val="20"/>
          <w:szCs w:val="20"/>
          <w:color w:val="auto"/>
        </w:rPr>
      </w:pPr>
    </w:p>
    <w:p>
      <w:pPr>
        <w:ind w:left="1400" w:hanging="240"/>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Please refer to items 5-9 of the cover pages attached hereto</w:t>
      </w:r>
    </w:p>
    <w:p>
      <w:pPr>
        <w:spacing w:after="0" w:line="117" w:lineRule="exact"/>
        <w:rPr>
          <w:rFonts w:ascii="Arial" w:cs="Arial" w:eastAsia="Arial" w:hAnsi="Arial"/>
          <w:sz w:val="18"/>
          <w:szCs w:val="18"/>
          <w:color w:val="auto"/>
        </w:rPr>
      </w:pPr>
    </w:p>
    <w:p>
      <w:pPr>
        <w:ind w:left="1420" w:hanging="260"/>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Please refer to item 11 of the cover pages attached hereto</w:t>
      </w:r>
    </w:p>
    <w:p>
      <w:pPr>
        <w:spacing w:after="0" w:line="117" w:lineRule="exact"/>
        <w:rPr>
          <w:rFonts w:ascii="Arial" w:cs="Arial" w:eastAsia="Arial" w:hAnsi="Arial"/>
          <w:sz w:val="18"/>
          <w:szCs w:val="18"/>
          <w:color w:val="auto"/>
        </w:rPr>
      </w:pPr>
    </w:p>
    <w:p>
      <w:pPr>
        <w:ind w:left="1400" w:hanging="240"/>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 Please refer to items 5-8 of the cover pages attached 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ind w:left="400" w:firstLine="396"/>
        <w:spacing w:after="0" w:line="260"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5"/>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jc w:val="both"/>
        <w:ind w:left="80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675"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36870G105</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Alyeska Investment Group, L.P.</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Jason Bragg, Chief Financial Officer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Alyeska Fund GP,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Jason Bragg, Chief Financial Officer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Anand Parekh</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Entity and Description</w:t>
      </w:r>
    </w:p>
    <w:p>
      <w:pPr>
        <w:spacing w:after="0" w:line="211"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Anand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Anand Parekh, Individually</w:t>
      </w:r>
    </w:p>
    <w:p>
      <w:pPr>
        <w:sectPr>
          <w:pgSz w:w="11900" w:h="16838" w:orient="portrait"/>
          <w:cols w:equalWidth="0" w:num="1">
            <w:col w:w="11240"/>
          </w:cols>
          <w:pgMar w:left="320" w:top="447"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36870G105</w:t>
            </w:r>
          </w:p>
        </w:tc>
        <w:tc>
          <w:tcPr>
            <w:tcW w:w="45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88"/>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Alyeska Investment Group, L.P.</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Jason Bragg, Chief Financial Officer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Alyeska Fund GP, LLC</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Jason Bragg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Jason Bragg, Chief Financial Officer</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Anand Parekh</w:t>
      </w:r>
    </w:p>
    <w:p>
      <w:pPr>
        <w:spacing w:after="0" w:line="229"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Anand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Anand Parekh, Individually</w:t>
      </w:r>
    </w:p>
    <w:sectPr>
      <w:pgSz w:w="11900" w:h="16838" w:orient="portrait"/>
      <w:cols w:equalWidth="0" w:num="1">
        <w:col w:w="11240"/>
      </w:cols>
      <w:pgMar w:left="320" w:top="4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2022-02-14T16:49:10Z</dcterms:created>
  <dcterms:modified xsi:type="dcterms:W3CDTF">2022-02-14T16:49:10Z</dcterms:modified>
</cp:coreProperties>
</file>