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FS Development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303020101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October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32" w:lineRule="auto"/>
        <w:tabs>
          <w:tab w:leader="none" w:pos="186"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13d-1(b) [X] Rule 13d-1(c)</w:t>
      </w:r>
    </w:p>
    <w:p>
      <w:pPr>
        <w:spacing w:after="0" w:line="2" w:lineRule="exact"/>
        <w:rPr>
          <w:rFonts w:ascii="Times New Roman" w:cs="Times New Roman" w:eastAsia="Times New Roman" w:hAnsi="Times New Roman"/>
          <w:sz w:val="22"/>
          <w:szCs w:val="22"/>
          <w:color w:val="auto"/>
        </w:rPr>
      </w:pPr>
    </w:p>
    <w:p>
      <w:pPr>
        <w:ind w:left="180" w:hanging="118"/>
        <w:spacing w:after="0"/>
        <w:tabs>
          <w:tab w:leader="none" w:pos="180"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13d-1(d)</w:t>
      </w:r>
    </w:p>
    <w:p>
      <w:pPr>
        <w:spacing w:after="0" w:line="269" w:lineRule="exact"/>
        <w:rPr>
          <w:rFonts w:ascii="Times New Roman" w:cs="Times New Roman" w:eastAsia="Times New Roman" w:hAnsi="Times New Roman"/>
          <w:sz w:val="22"/>
          <w:szCs w:val="22"/>
          <w:color w:val="auto"/>
        </w:rPr>
      </w:pPr>
    </w:p>
    <w:p>
      <w:pPr>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303020101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Hawkes Bay Master Investors (Cayman) 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Cayman Islands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5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629,300</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42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629,300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629,300</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5.03%</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FS Development Corp.</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600 Montgomery Street, Suite 4500</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San Francisco, CA 94111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Hawkes Bay Master Investors (Cayman) L.P.</w:t>
      </w:r>
    </w:p>
    <w:p>
      <w:pPr>
        <w:spacing w:after="0" w:line="97"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Group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right="79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Cayman Islands</w:t>
      </w:r>
    </w:p>
    <w:p>
      <w:pPr>
        <w:spacing w:after="0" w:line="45" w:lineRule="exact"/>
        <w:rPr>
          <w:rFonts w:ascii="Times New Roman" w:cs="Times New Roman" w:eastAsia="Times New Roman" w:hAnsi="Times New Roman"/>
          <w:sz w:val="21"/>
          <w:szCs w:val="21"/>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303020101</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[X]</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right="6720" w:hanging="401"/>
        <w:spacing w:after="0" w:line="358" w:lineRule="auto"/>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629,300</w:t>
      </w:r>
    </w:p>
    <w:p>
      <w:pPr>
        <w:spacing w:after="0" w:line="1"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5.03%</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tbl>
      <w:tblPr>
        <w:tblLayout w:type="fixed"/>
        <w:tblInd w:w="1760" w:type="dxa"/>
        <w:tblCellMar>
          <w:top w:w="0" w:type="dxa"/>
          <w:left w:w="0" w:type="dxa"/>
          <w:bottom w:w="0" w:type="dxa"/>
          <w:right w:w="0" w:type="dxa"/>
        </w:tblCellMar>
      </w:tblPr>
      <w:tr>
        <w:trPr>
          <w:trHeight w:val="282"/>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power to vote or to direct the vote</w:t>
            </w:r>
          </w:p>
        </w:tc>
        <w:tc>
          <w:tcPr>
            <w:tcW w:w="222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power to vote or to direct the vote</w:t>
            </w:r>
          </w:p>
        </w:tc>
        <w:tc>
          <w:tcPr>
            <w:tcW w:w="222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5"/>
              </w:rPr>
              <w:t>629,300</w:t>
            </w:r>
          </w:p>
        </w:tc>
      </w:tr>
      <w:tr>
        <w:trPr>
          <w:trHeight w:val="378"/>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power to dispose or to direct the disposition of</w:t>
            </w:r>
          </w:p>
        </w:tc>
        <w:tc>
          <w:tcPr>
            <w:tcW w:w="222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power to dispose or to direct the disposition of</w:t>
            </w:r>
          </w:p>
        </w:tc>
        <w:tc>
          <w:tcPr>
            <w:tcW w:w="222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5"/>
              </w:rPr>
              <w:t>629,300</w:t>
            </w:r>
          </w:p>
        </w:tc>
      </w:tr>
    </w:tbl>
    <w:p>
      <w:pPr>
        <w:spacing w:after="0" w:line="9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ectPr>
          <w:pgSz w:w="11900" w:h="16838" w:orient="portrait"/>
          <w:cols w:equalWidth="0" w:num="1">
            <w:col w:w="11040"/>
          </w:cols>
          <w:pgMar w:left="400" w:top="405" w:right="45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2"/>
                <w:szCs w:val="22"/>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78"/>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By signing below I certify that, to the best of my knowledge and belief, the securities referred to above were not</w:t>
            </w:r>
          </w:p>
        </w:tc>
      </w:tr>
      <w:tr>
        <w:trPr>
          <w:trHeight w:val="243"/>
        </w:trPr>
        <w:tc>
          <w:tcPr>
            <w:tcW w:w="940" w:type="dxa"/>
            <w:vAlign w:val="bottom"/>
          </w:tcPr>
          <w:p>
            <w:pPr>
              <w:spacing w:after="0"/>
              <w:rPr>
                <w:sz w:val="21"/>
                <w:szCs w:val="21"/>
                <w:color w:val="auto"/>
              </w:rPr>
            </w:pPr>
          </w:p>
        </w:tc>
        <w:tc>
          <w:tcPr>
            <w:tcW w:w="1012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acquired and are not held for the purpose of or with the effect of changing or influencing the control of the</w:t>
            </w:r>
          </w:p>
        </w:tc>
      </w:tr>
      <w:tr>
        <w:trPr>
          <w:trHeight w:val="243"/>
        </w:trPr>
        <w:tc>
          <w:tcPr>
            <w:tcW w:w="940" w:type="dxa"/>
            <w:vAlign w:val="bottom"/>
          </w:tcPr>
          <w:p>
            <w:pPr>
              <w:spacing w:after="0"/>
              <w:rPr>
                <w:sz w:val="21"/>
                <w:szCs w:val="21"/>
                <w:color w:val="auto"/>
              </w:rPr>
            </w:pPr>
          </w:p>
        </w:tc>
        <w:tc>
          <w:tcPr>
            <w:tcW w:w="1012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issuer of the securities and were not acquired and are not held in connection with or as a participant in any</w:t>
            </w:r>
          </w:p>
        </w:tc>
      </w:tr>
      <w:tr>
        <w:trPr>
          <w:trHeight w:val="282"/>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transaction having that purpose or effect.</w:t>
            </w:r>
          </w:p>
        </w:tc>
      </w:tr>
      <w:tr>
        <w:trPr>
          <w:trHeight w:val="608"/>
        </w:trPr>
        <w:tc>
          <w:tcPr>
            <w:tcW w:w="940" w:type="dxa"/>
            <w:vAlign w:val="bottom"/>
          </w:tcPr>
          <w:p>
            <w:pPr>
              <w:spacing w:after="0"/>
              <w:rPr>
                <w:sz w:val="24"/>
                <w:szCs w:val="24"/>
                <w:color w:val="auto"/>
              </w:rPr>
            </w:pPr>
          </w:p>
        </w:tc>
        <w:tc>
          <w:tcPr>
            <w:tcW w:w="10120" w:type="dxa"/>
            <w:vAlign w:val="bottom"/>
            <w:gridSpan w:val="3"/>
          </w:tcPr>
          <w:p>
            <w:pPr>
              <w:ind w:left="39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1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1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120" w:type="dxa"/>
            <w:vAlign w:val="bottom"/>
            <w:gridSpan w:val="3"/>
          </w:tcPr>
          <w:p>
            <w:pPr>
              <w:ind w:left="5500"/>
              <w:spacing w:after="0"/>
              <w:rPr>
                <w:sz w:val="20"/>
                <w:szCs w:val="20"/>
                <w:color w:val="auto"/>
              </w:rPr>
            </w:pPr>
            <w:r>
              <w:rPr>
                <w:rFonts w:ascii="Times New Roman" w:cs="Times New Roman" w:eastAsia="Times New Roman" w:hAnsi="Times New Roman"/>
                <w:sz w:val="22"/>
                <w:szCs w:val="22"/>
                <w:color w:val="auto"/>
              </w:rPr>
              <w:t>By: Hawkes Bay Master Investors (Cayman) L.P.</w:t>
            </w:r>
          </w:p>
        </w:tc>
      </w:tr>
      <w:tr>
        <w:trPr>
          <w:trHeight w:val="555"/>
        </w:trPr>
        <w:tc>
          <w:tcPr>
            <w:tcW w:w="940" w:type="dxa"/>
            <w:vAlign w:val="bottom"/>
          </w:tcPr>
          <w:p>
            <w:pPr>
              <w:spacing w:after="0"/>
              <w:rPr>
                <w:sz w:val="24"/>
                <w:szCs w:val="24"/>
                <w:color w:val="auto"/>
              </w:rPr>
            </w:pPr>
          </w:p>
        </w:tc>
        <w:tc>
          <w:tcPr>
            <w:tcW w:w="10120" w:type="dxa"/>
            <w:vAlign w:val="bottom"/>
            <w:gridSpan w:val="3"/>
          </w:tcPr>
          <w:p>
            <w:pPr>
              <w:ind w:left="5500"/>
              <w:spacing w:after="0"/>
              <w:rPr>
                <w:sz w:val="20"/>
                <w:szCs w:val="20"/>
                <w:color w:val="auto"/>
              </w:rPr>
            </w:pPr>
            <w:r>
              <w:rPr>
                <w:rFonts w:ascii="Times New Roman" w:cs="Times New Roman" w:eastAsia="Times New Roman" w:hAnsi="Times New Roman"/>
                <w:sz w:val="22"/>
                <w:szCs w:val="22"/>
                <w:color w:val="auto"/>
              </w:rPr>
              <w:t>By: Wellington Alternative Investments LLC</w:t>
            </w:r>
          </w:p>
        </w:tc>
      </w:tr>
      <w:tr>
        <w:trPr>
          <w:trHeight w:val="282"/>
        </w:trPr>
        <w:tc>
          <w:tcPr>
            <w:tcW w:w="940" w:type="dxa"/>
            <w:vAlign w:val="bottom"/>
          </w:tcPr>
          <w:p>
            <w:pPr>
              <w:spacing w:after="0"/>
              <w:rPr>
                <w:sz w:val="24"/>
                <w:szCs w:val="24"/>
                <w:color w:val="auto"/>
              </w:rPr>
            </w:pPr>
          </w:p>
        </w:tc>
        <w:tc>
          <w:tcPr>
            <w:tcW w:w="10120" w:type="dxa"/>
            <w:vAlign w:val="bottom"/>
            <w:gridSpan w:val="3"/>
          </w:tcPr>
          <w:p>
            <w:pPr>
              <w:ind w:left="5500"/>
              <w:spacing w:after="0"/>
              <w:rPr>
                <w:sz w:val="20"/>
                <w:szCs w:val="20"/>
                <w:color w:val="auto"/>
              </w:rPr>
            </w:pPr>
            <w:r>
              <w:rPr>
                <w:rFonts w:ascii="Times New Roman" w:cs="Times New Roman" w:eastAsia="Times New Roman" w:hAnsi="Times New Roman"/>
                <w:sz w:val="22"/>
                <w:szCs w:val="22"/>
                <w:color w:val="auto"/>
              </w:rPr>
              <w:t>Its General Partner</w:t>
            </w:r>
          </w:p>
        </w:tc>
      </w:tr>
      <w:tr>
        <w:trPr>
          <w:trHeight w:val="245"/>
        </w:trPr>
        <w:tc>
          <w:tcPr>
            <w:tcW w:w="940" w:type="dxa"/>
            <w:vAlign w:val="bottom"/>
          </w:tcPr>
          <w:p>
            <w:pPr>
              <w:spacing w:after="0"/>
              <w:rPr>
                <w:sz w:val="21"/>
                <w:szCs w:val="21"/>
                <w:color w:val="auto"/>
              </w:rPr>
            </w:pPr>
          </w:p>
        </w:tc>
        <w:tc>
          <w:tcPr>
            <w:tcW w:w="10120" w:type="dxa"/>
            <w:vAlign w:val="bottom"/>
            <w:gridSpan w:val="3"/>
          </w:tcPr>
          <w:p>
            <w:pPr>
              <w:ind w:left="5500"/>
              <w:spacing w:after="0" w:line="244" w:lineRule="exact"/>
              <w:rPr>
                <w:sz w:val="20"/>
                <w:szCs w:val="20"/>
                <w:color w:val="auto"/>
              </w:rPr>
            </w:pPr>
            <w:r>
              <w:rPr>
                <w:rFonts w:ascii="Times New Roman" w:cs="Times New Roman" w:eastAsia="Times New Roman" w:hAnsi="Times New Roman"/>
                <w:sz w:val="22"/>
                <w:szCs w:val="22"/>
                <w:color w:val="auto"/>
              </w:rPr>
              <w:t>By: /s/ Matthew N. Shea</w:t>
            </w:r>
          </w:p>
        </w:tc>
      </w:tr>
      <w:tr>
        <w:trPr>
          <w:trHeight w:val="20"/>
        </w:trPr>
        <w:tc>
          <w:tcPr>
            <w:tcW w:w="9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120" w:type="dxa"/>
            <w:vAlign w:val="bottom"/>
            <w:gridSpan w:val="3"/>
          </w:tcPr>
          <w:p>
            <w:pPr>
              <w:ind w:left="5500"/>
              <w:spacing w:after="0"/>
              <w:rPr>
                <w:sz w:val="20"/>
                <w:szCs w:val="20"/>
                <w:color w:val="auto"/>
              </w:rPr>
            </w:pPr>
            <w:r>
              <w:rPr>
                <w:rFonts w:ascii="Times New Roman" w:cs="Times New Roman" w:eastAsia="Times New Roman" w:hAnsi="Times New Roman"/>
                <w:sz w:val="22"/>
                <w:szCs w:val="22"/>
                <w:color w:val="auto"/>
              </w:rPr>
              <w:t>Name: Matthew N. Shea</w:t>
            </w:r>
          </w:p>
        </w:tc>
      </w:tr>
      <w:tr>
        <w:trPr>
          <w:trHeight w:val="297"/>
        </w:trPr>
        <w:tc>
          <w:tcPr>
            <w:tcW w:w="940" w:type="dxa"/>
            <w:vAlign w:val="bottom"/>
          </w:tcPr>
          <w:p>
            <w:pPr>
              <w:spacing w:after="0"/>
              <w:rPr>
                <w:sz w:val="24"/>
                <w:szCs w:val="24"/>
                <w:color w:val="auto"/>
              </w:rPr>
            </w:pPr>
          </w:p>
        </w:tc>
        <w:tc>
          <w:tcPr>
            <w:tcW w:w="10120" w:type="dxa"/>
            <w:vAlign w:val="bottom"/>
            <w:gridSpan w:val="3"/>
          </w:tcPr>
          <w:p>
            <w:pPr>
              <w:ind w:left="5500"/>
              <w:spacing w:after="0"/>
              <w:rPr>
                <w:sz w:val="20"/>
                <w:szCs w:val="20"/>
                <w:color w:val="auto"/>
              </w:rPr>
            </w:pPr>
            <w:r>
              <w:rPr>
                <w:rFonts w:ascii="Times New Roman" w:cs="Times New Roman" w:eastAsia="Times New Roman" w:hAnsi="Times New Roman"/>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120" w:type="dxa"/>
            <w:vAlign w:val="bottom"/>
            <w:gridSpan w:val="3"/>
          </w:tcPr>
          <w:p>
            <w:pPr>
              <w:ind w:left="5500"/>
              <w:spacing w:after="0"/>
              <w:rPr>
                <w:sz w:val="20"/>
                <w:szCs w:val="20"/>
                <w:color w:val="auto"/>
              </w:rPr>
            </w:pPr>
            <w:r>
              <w:rPr>
                <w:rFonts w:ascii="Times New Roman" w:cs="Times New Roman" w:eastAsia="Times New Roman" w:hAnsi="Times New Roman"/>
                <w:sz w:val="22"/>
                <w:szCs w:val="22"/>
                <w:color w:val="auto"/>
              </w:rPr>
              <w:t>Date: November 2, 2020</w:t>
            </w:r>
          </w:p>
        </w:tc>
      </w:tr>
    </w:tbl>
    <w:p>
      <w:pPr>
        <w:spacing w:after="0" w:line="1" w:lineRule="exact"/>
        <w:rPr>
          <w:sz w:val="20"/>
          <w:szCs w:val="20"/>
          <w:color w:val="auto"/>
        </w:rPr>
      </w:pPr>
    </w:p>
    <w:sectPr>
      <w:pgSz w:w="11900" w:h="16838" w:orient="portrait"/>
      <w:cols w:equalWidth="0" w:num="1">
        <w:col w:w="11060"/>
      </w:cols>
      <w:pgMar w:left="400" w:top="10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2020-11-02T08:31:58Z</dcterms:created>
  <dcterms:modified xsi:type="dcterms:W3CDTF">2020-11-02T08:31:58Z</dcterms:modified>
</cp:coreProperties>
</file>