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13G</w:t>
      </w:r>
    </w:p>
    <w:p>
      <w:pPr>
        <w:spacing w:after="0" w:line="22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(Amendment No.)*</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FS Development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303020101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October 15,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4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[_] Rule 13d-1(b)</w:t>
      </w:r>
    </w:p>
    <w:p>
      <w:pPr>
        <w:spacing w:after="0" w:line="225" w:lineRule="exact"/>
        <w:rPr>
          <w:sz w:val="24"/>
          <w:szCs w:val="24"/>
          <w:color w:val="auto"/>
        </w:rPr>
      </w:pPr>
    </w:p>
    <w:p>
      <w:pPr>
        <w:jc w:val="both"/>
        <w:ind w:left="1300" w:right="8560" w:firstLine="4"/>
        <w:spacing w:after="0" w:line="563" w:lineRule="auto"/>
        <w:tabs>
          <w:tab w:leader="none" w:pos="15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13d-1(c) [_] Rule 13d-1(d)</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4"/>
          <w:szCs w:val="24"/>
          <w:color w:val="auto"/>
        </w:rPr>
      </w:pPr>
    </w:p>
    <w:p>
      <w:pPr>
        <w:spacing w:after="0" w:line="260"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01" w:lineRule="exact"/>
        <w:rPr>
          <w:sz w:val="24"/>
          <w:szCs w:val="24"/>
          <w:color w:val="auto"/>
        </w:rPr>
      </w:pPr>
    </w:p>
    <w:p>
      <w:pPr>
        <w:ind w:right="380" w:firstLine="648"/>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445" w:right="4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CUSIP No.</w:t>
            </w:r>
          </w:p>
        </w:tc>
        <w:tc>
          <w:tcPr>
            <w:tcW w:w="2820" w:type="dxa"/>
            <w:vAlign w:val="bottom"/>
            <w:tcBorders>
              <w:bottom w:val="single" w:sz="8" w:color="auto"/>
            </w:tcBorders>
          </w:tcPr>
          <w:p>
            <w:pPr>
              <w:jc w:val="right"/>
              <w:ind w:right="1930"/>
              <w:spacing w:after="0"/>
              <w:rPr>
                <w:sz w:val="20"/>
                <w:szCs w:val="20"/>
                <w:color w:val="auto"/>
              </w:rPr>
            </w:pPr>
            <w:r>
              <w:rPr>
                <w:rFonts w:ascii="Arial" w:cs="Arial" w:eastAsia="Arial" w:hAnsi="Arial"/>
                <w:sz w:val="18"/>
                <w:szCs w:val="18"/>
                <w:color w:val="auto"/>
                <w:w w:val="86"/>
              </w:rPr>
              <w:t>303020101</w:t>
            </w:r>
          </w:p>
        </w:tc>
      </w:tr>
    </w:tbl>
    <w:p>
      <w:pPr>
        <w:spacing w:after="0" w:line="202" w:lineRule="exact"/>
        <w:rPr>
          <w:sz w:val="20"/>
          <w:szCs w:val="20"/>
          <w:color w:val="auto"/>
        </w:rPr>
      </w:pPr>
    </w:p>
    <w:p>
      <w:pPr>
        <w:ind w:left="1140" w:hanging="1132"/>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140" w:right="390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Suvretta Capital Management, LLC</w:t>
      </w:r>
    </w:p>
    <w:p>
      <w:pPr>
        <w:spacing w:after="0" w:line="1" w:lineRule="exact"/>
        <w:rPr>
          <w:rFonts w:ascii="Arial" w:cs="Arial" w:eastAsia="Arial" w:hAnsi="Arial"/>
          <w:sz w:val="18"/>
          <w:szCs w:val="18"/>
          <w:color w:val="auto"/>
        </w:rPr>
      </w:pPr>
    </w:p>
    <w:p>
      <w:pPr>
        <w:ind w:left="1140" w:hanging="1132"/>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1140" w:hanging="113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140" w:hanging="113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140" w:right="7620" w:hanging="1132"/>
        <w:spacing w:after="0" w:line="50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1140" w:right="7340" w:hanging="1132"/>
        <w:spacing w:after="0" w:line="50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899,457</w:t>
      </w:r>
    </w:p>
    <w:p>
      <w:pPr>
        <w:spacing w:after="0" w:line="1" w:lineRule="exact"/>
        <w:rPr>
          <w:rFonts w:ascii="Arial" w:cs="Arial" w:eastAsia="Arial" w:hAnsi="Arial"/>
          <w:sz w:val="18"/>
          <w:szCs w:val="18"/>
          <w:color w:val="auto"/>
        </w:rPr>
      </w:pPr>
    </w:p>
    <w:p>
      <w:pPr>
        <w:ind w:left="1140" w:right="7220" w:hanging="1132"/>
        <w:spacing w:after="0" w:line="50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1140" w:right="6940" w:hanging="1132"/>
        <w:spacing w:after="0" w:line="50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899,457</w:t>
      </w:r>
    </w:p>
    <w:p>
      <w:pPr>
        <w:spacing w:after="0" w:line="1" w:lineRule="exact"/>
        <w:rPr>
          <w:rFonts w:ascii="Arial" w:cs="Arial" w:eastAsia="Arial" w:hAnsi="Arial"/>
          <w:sz w:val="18"/>
          <w:szCs w:val="18"/>
          <w:color w:val="auto"/>
        </w:rPr>
      </w:pPr>
    </w:p>
    <w:p>
      <w:pPr>
        <w:ind w:left="1140" w:right="2920" w:hanging="1132"/>
        <w:spacing w:after="0" w:line="50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899,457</w:t>
      </w:r>
    </w:p>
    <w:p>
      <w:pPr>
        <w:spacing w:after="0" w:line="1" w:lineRule="exact"/>
        <w:rPr>
          <w:rFonts w:ascii="Arial" w:cs="Arial" w:eastAsia="Arial" w:hAnsi="Arial"/>
          <w:sz w:val="18"/>
          <w:szCs w:val="18"/>
          <w:color w:val="auto"/>
        </w:rPr>
      </w:pPr>
    </w:p>
    <w:p>
      <w:pPr>
        <w:ind w:left="1140" w:hanging="1132"/>
        <w:spacing w:after="0"/>
        <w:tabs>
          <w:tab w:leader="none" w:pos="11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(SEE INSTRUCTIONS) [_]</w:t>
      </w:r>
    </w:p>
    <w:p>
      <w:pPr>
        <w:spacing w:after="0" w:line="236" w:lineRule="exact"/>
        <w:rPr>
          <w:rFonts w:ascii="Arial" w:cs="Arial" w:eastAsia="Arial" w:hAnsi="Arial"/>
          <w:sz w:val="17"/>
          <w:szCs w:val="17"/>
          <w:color w:val="auto"/>
        </w:rPr>
      </w:pPr>
    </w:p>
    <w:p>
      <w:pPr>
        <w:ind w:left="1140" w:right="4420" w:hanging="1132"/>
        <w:spacing w:after="0" w:line="50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7.2%</w:t>
      </w:r>
    </w:p>
    <w:p>
      <w:pPr>
        <w:spacing w:after="0" w:line="1" w:lineRule="exact"/>
        <w:rPr>
          <w:rFonts w:ascii="Arial" w:cs="Arial" w:eastAsia="Arial" w:hAnsi="Arial"/>
          <w:sz w:val="18"/>
          <w:szCs w:val="18"/>
          <w:color w:val="auto"/>
        </w:rPr>
      </w:pPr>
    </w:p>
    <w:p>
      <w:pPr>
        <w:ind w:left="1140" w:right="5140" w:hanging="1132"/>
        <w:spacing w:after="0" w:line="527"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 IA,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20"/>
          </w:cols>
          <w:pgMar w:left="320" w:top="584" w:right="9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CUSIP No.</w:t>
            </w:r>
          </w:p>
        </w:tc>
        <w:tc>
          <w:tcPr>
            <w:tcW w:w="2800" w:type="dxa"/>
            <w:vAlign w:val="bottom"/>
            <w:tcBorders>
              <w:bottom w:val="single" w:sz="8" w:color="auto"/>
            </w:tcBorders>
          </w:tcPr>
          <w:p>
            <w:pPr>
              <w:jc w:val="right"/>
              <w:ind w:right="1910"/>
              <w:spacing w:after="0"/>
              <w:rPr>
                <w:sz w:val="20"/>
                <w:szCs w:val="20"/>
                <w:color w:val="auto"/>
              </w:rPr>
            </w:pPr>
            <w:r>
              <w:rPr>
                <w:rFonts w:ascii="Arial" w:cs="Arial" w:eastAsia="Arial" w:hAnsi="Arial"/>
                <w:sz w:val="18"/>
                <w:szCs w:val="18"/>
                <w:color w:val="auto"/>
                <w:w w:val="86"/>
              </w:rPr>
              <w:t>303020101</w:t>
            </w:r>
          </w:p>
        </w:tc>
      </w:tr>
    </w:tbl>
    <w:p>
      <w:pPr>
        <w:spacing w:after="0" w:line="202" w:lineRule="exact"/>
        <w:rPr>
          <w:sz w:val="20"/>
          <w:szCs w:val="20"/>
          <w:color w:val="auto"/>
        </w:rPr>
      </w:pPr>
    </w:p>
    <w:p>
      <w:pPr>
        <w:ind w:left="1140" w:hanging="113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140" w:right="452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Averill Master Fund, Ltd.</w:t>
      </w:r>
    </w:p>
    <w:p>
      <w:pPr>
        <w:spacing w:after="0" w:line="1" w:lineRule="exact"/>
        <w:rPr>
          <w:rFonts w:ascii="Arial" w:cs="Arial" w:eastAsia="Arial" w:hAnsi="Arial"/>
          <w:sz w:val="18"/>
          <w:szCs w:val="18"/>
          <w:color w:val="auto"/>
        </w:rPr>
      </w:pPr>
    </w:p>
    <w:p>
      <w:pPr>
        <w:ind w:left="1140" w:hanging="113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[_]</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1140" w:hanging="113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140" w:right="6420" w:hanging="1132"/>
        <w:spacing w:after="0" w:line="527"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387" w:lineRule="exact"/>
        <w:rPr>
          <w:sz w:val="20"/>
          <w:szCs w:val="20"/>
          <w:color w:val="auto"/>
        </w:rPr>
      </w:pPr>
    </w:p>
    <w:p>
      <w:pPr>
        <w:ind w:left="1140" w:right="8240" w:hanging="1132"/>
        <w:spacing w:after="0" w:line="500"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1140" w:right="7960" w:hanging="1132"/>
        <w:spacing w:after="0" w:line="500"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VOTING POWER 899,457</w:t>
      </w:r>
    </w:p>
    <w:p>
      <w:pPr>
        <w:spacing w:after="0" w:line="1" w:lineRule="exact"/>
        <w:rPr>
          <w:rFonts w:ascii="Arial" w:cs="Arial" w:eastAsia="Arial" w:hAnsi="Arial"/>
          <w:sz w:val="18"/>
          <w:szCs w:val="18"/>
          <w:color w:val="auto"/>
        </w:rPr>
      </w:pPr>
    </w:p>
    <w:p>
      <w:pPr>
        <w:ind w:left="1140" w:right="7840" w:hanging="1132"/>
        <w:spacing w:after="0" w:line="500"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1140" w:right="7560" w:hanging="1132"/>
        <w:spacing w:after="0" w:line="500"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DISPOSITIVE POWER 899,457</w:t>
      </w:r>
    </w:p>
    <w:p>
      <w:pPr>
        <w:spacing w:after="0" w:line="1" w:lineRule="exact"/>
        <w:rPr>
          <w:rFonts w:ascii="Arial" w:cs="Arial" w:eastAsia="Arial" w:hAnsi="Arial"/>
          <w:sz w:val="18"/>
          <w:szCs w:val="18"/>
          <w:color w:val="auto"/>
        </w:rPr>
      </w:pPr>
    </w:p>
    <w:p>
      <w:pPr>
        <w:ind w:left="1140" w:right="3540" w:hanging="1132"/>
        <w:spacing w:after="0" w:line="500"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899,457</w:t>
      </w:r>
    </w:p>
    <w:p>
      <w:pPr>
        <w:spacing w:after="0" w:line="1" w:lineRule="exact"/>
        <w:rPr>
          <w:rFonts w:ascii="Arial" w:cs="Arial" w:eastAsia="Arial" w:hAnsi="Arial"/>
          <w:sz w:val="18"/>
          <w:szCs w:val="18"/>
          <w:color w:val="auto"/>
        </w:rPr>
      </w:pPr>
    </w:p>
    <w:p>
      <w:pPr>
        <w:ind w:left="1140" w:hanging="113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[_]</w:t>
      </w:r>
    </w:p>
    <w:p>
      <w:pPr>
        <w:spacing w:after="0" w:line="211" w:lineRule="exact"/>
        <w:rPr>
          <w:sz w:val="20"/>
          <w:szCs w:val="20"/>
          <w:color w:val="auto"/>
        </w:rPr>
      </w:pPr>
    </w:p>
    <w:p>
      <w:pPr>
        <w:ind w:left="1140" w:right="5040" w:hanging="1132"/>
        <w:spacing w:after="0" w:line="500"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7.2%</w:t>
      </w:r>
    </w:p>
    <w:p>
      <w:pPr>
        <w:spacing w:after="0" w:line="1" w:lineRule="exact"/>
        <w:rPr>
          <w:rFonts w:ascii="Arial" w:cs="Arial" w:eastAsia="Arial" w:hAnsi="Arial"/>
          <w:sz w:val="18"/>
          <w:szCs w:val="18"/>
          <w:color w:val="auto"/>
        </w:rPr>
      </w:pPr>
    </w:p>
    <w:p>
      <w:pPr>
        <w:ind w:left="1140" w:right="5760" w:hanging="1132"/>
        <w:spacing w:after="0" w:line="527"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CUSIP No.</w:t>
            </w:r>
          </w:p>
        </w:tc>
        <w:tc>
          <w:tcPr>
            <w:tcW w:w="2820" w:type="dxa"/>
            <w:vAlign w:val="bottom"/>
            <w:tcBorders>
              <w:bottom w:val="single" w:sz="8" w:color="auto"/>
            </w:tcBorders>
          </w:tcPr>
          <w:p>
            <w:pPr>
              <w:jc w:val="right"/>
              <w:ind w:right="1930"/>
              <w:spacing w:after="0"/>
              <w:rPr>
                <w:sz w:val="20"/>
                <w:szCs w:val="20"/>
                <w:color w:val="auto"/>
              </w:rPr>
            </w:pPr>
            <w:r>
              <w:rPr>
                <w:rFonts w:ascii="Arial" w:cs="Arial" w:eastAsia="Arial" w:hAnsi="Arial"/>
                <w:sz w:val="18"/>
                <w:szCs w:val="18"/>
                <w:color w:val="auto"/>
                <w:w w:val="86"/>
              </w:rPr>
              <w:t>303020101</w:t>
            </w:r>
          </w:p>
        </w:tc>
      </w:tr>
    </w:tbl>
    <w:p>
      <w:pPr>
        <w:spacing w:after="0" w:line="202" w:lineRule="exact"/>
        <w:rPr>
          <w:sz w:val="20"/>
          <w:szCs w:val="20"/>
          <w:color w:val="auto"/>
        </w:rPr>
      </w:pPr>
    </w:p>
    <w:p>
      <w:pPr>
        <w:ind w:left="1140" w:hanging="113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140" w:right="390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Aaron Cowen</w:t>
      </w:r>
    </w:p>
    <w:p>
      <w:pPr>
        <w:spacing w:after="0" w:line="1" w:lineRule="exact"/>
        <w:rPr>
          <w:rFonts w:ascii="Arial" w:cs="Arial" w:eastAsia="Arial" w:hAnsi="Arial"/>
          <w:sz w:val="18"/>
          <w:szCs w:val="18"/>
          <w:color w:val="auto"/>
        </w:rPr>
      </w:pPr>
    </w:p>
    <w:p>
      <w:pPr>
        <w:ind w:left="1140" w:hanging="113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1140" w:hanging="1132"/>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140" w:hanging="1132"/>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140" w:right="7620" w:hanging="1132"/>
        <w:spacing w:after="0" w:line="500"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1140" w:right="7340" w:hanging="1132"/>
        <w:spacing w:after="0" w:line="500"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VOTING POWER 899,457</w:t>
      </w:r>
    </w:p>
    <w:p>
      <w:pPr>
        <w:spacing w:after="0" w:line="1" w:lineRule="exact"/>
        <w:rPr>
          <w:rFonts w:ascii="Arial" w:cs="Arial" w:eastAsia="Arial" w:hAnsi="Arial"/>
          <w:sz w:val="18"/>
          <w:szCs w:val="18"/>
          <w:color w:val="auto"/>
        </w:rPr>
      </w:pPr>
    </w:p>
    <w:p>
      <w:pPr>
        <w:ind w:left="1140" w:right="7220" w:hanging="1132"/>
        <w:spacing w:after="0" w:line="500"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1140" w:right="6940" w:hanging="1132"/>
        <w:spacing w:after="0" w:line="500"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DISPOSITIVE POWER 899,457</w:t>
      </w:r>
    </w:p>
    <w:p>
      <w:pPr>
        <w:spacing w:after="0" w:line="1" w:lineRule="exact"/>
        <w:rPr>
          <w:rFonts w:ascii="Arial" w:cs="Arial" w:eastAsia="Arial" w:hAnsi="Arial"/>
          <w:sz w:val="18"/>
          <w:szCs w:val="18"/>
          <w:color w:val="auto"/>
        </w:rPr>
      </w:pPr>
    </w:p>
    <w:p>
      <w:pPr>
        <w:ind w:left="1140" w:right="2920" w:hanging="1132"/>
        <w:spacing w:after="0" w:line="500"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899,457</w:t>
      </w:r>
    </w:p>
    <w:p>
      <w:pPr>
        <w:spacing w:after="0" w:line="1" w:lineRule="exact"/>
        <w:rPr>
          <w:rFonts w:ascii="Arial" w:cs="Arial" w:eastAsia="Arial" w:hAnsi="Arial"/>
          <w:sz w:val="18"/>
          <w:szCs w:val="18"/>
          <w:color w:val="auto"/>
        </w:rPr>
      </w:pPr>
    </w:p>
    <w:p>
      <w:pPr>
        <w:ind w:left="1140" w:hanging="1132"/>
        <w:spacing w:after="0"/>
        <w:tabs>
          <w:tab w:leader="none" w:pos="11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(SEE INSTRUCTIONS) [_]</w:t>
      </w:r>
    </w:p>
    <w:p>
      <w:pPr>
        <w:spacing w:after="0" w:line="236" w:lineRule="exact"/>
        <w:rPr>
          <w:rFonts w:ascii="Arial" w:cs="Arial" w:eastAsia="Arial" w:hAnsi="Arial"/>
          <w:sz w:val="17"/>
          <w:szCs w:val="17"/>
          <w:color w:val="auto"/>
        </w:rPr>
      </w:pPr>
    </w:p>
    <w:p>
      <w:pPr>
        <w:ind w:left="1140" w:right="4420" w:hanging="1132"/>
        <w:spacing w:after="0" w:line="500"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 REPRESENTED BY AMOUNT IN ROW (9) 7.2%</w:t>
      </w:r>
    </w:p>
    <w:p>
      <w:pPr>
        <w:spacing w:after="0" w:line="1" w:lineRule="exact"/>
        <w:rPr>
          <w:rFonts w:ascii="Arial" w:cs="Arial" w:eastAsia="Arial" w:hAnsi="Arial"/>
          <w:sz w:val="18"/>
          <w:szCs w:val="18"/>
          <w:color w:val="auto"/>
        </w:rPr>
      </w:pPr>
    </w:p>
    <w:p>
      <w:pPr>
        <w:ind w:left="1140" w:right="5140" w:hanging="1132"/>
        <w:spacing w:after="0" w:line="527"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20"/>
          </w:cols>
          <w:pgMar w:left="320" w:top="584" w:right="9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CUSIP No.</w:t>
            </w:r>
          </w:p>
        </w:tc>
        <w:tc>
          <w:tcPr>
            <w:tcW w:w="560" w:type="dxa"/>
            <w:vAlign w:val="bottom"/>
          </w:tcPr>
          <w:p>
            <w:pPr>
              <w:spacing w:after="0"/>
              <w:rPr>
                <w:sz w:val="20"/>
                <w:szCs w:val="20"/>
                <w:color w:val="auto"/>
              </w:rPr>
            </w:pPr>
          </w:p>
        </w:tc>
        <w:tc>
          <w:tcPr>
            <w:tcW w:w="2960" w:type="dxa"/>
            <w:vAlign w:val="bottom"/>
            <w:gridSpan w:val="3"/>
          </w:tcPr>
          <w:p>
            <w:pPr>
              <w:jc w:val="right"/>
              <w:ind w:right="1910"/>
              <w:spacing w:after="0"/>
              <w:rPr>
                <w:sz w:val="20"/>
                <w:szCs w:val="20"/>
                <w:color w:val="auto"/>
              </w:rPr>
            </w:pPr>
            <w:r>
              <w:rPr>
                <w:rFonts w:ascii="Arial" w:cs="Arial" w:eastAsia="Arial" w:hAnsi="Arial"/>
                <w:sz w:val="18"/>
                <w:szCs w:val="18"/>
                <w:color w:val="auto"/>
              </w:rPr>
              <w:t>303020101</w:t>
            </w:r>
          </w:p>
        </w:tc>
        <w:tc>
          <w:tcPr>
            <w:tcW w:w="6740" w:type="dxa"/>
            <w:vAlign w:val="bottom"/>
          </w:tcPr>
          <w:p>
            <w:pPr>
              <w:spacing w:after="0"/>
              <w:rPr>
                <w:sz w:val="20"/>
                <w:szCs w:val="20"/>
                <w:color w:val="auto"/>
              </w:rPr>
            </w:pPr>
          </w:p>
        </w:tc>
      </w:tr>
      <w:tr>
        <w:trPr>
          <w:trHeight w:val="426"/>
        </w:trPr>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560" w:type="dxa"/>
            <w:vAlign w:val="bottom"/>
          </w:tcPr>
          <w:p>
            <w:pPr>
              <w:ind w:left="160"/>
              <w:spacing w:after="0"/>
              <w:rPr>
                <w:sz w:val="20"/>
                <w:szCs w:val="20"/>
                <w:color w:val="auto"/>
              </w:rPr>
            </w:pPr>
            <w:r>
              <w:rPr>
                <w:rFonts w:ascii="Arial" w:cs="Arial" w:eastAsia="Arial" w:hAnsi="Arial"/>
                <w:sz w:val="18"/>
                <w:szCs w:val="18"/>
                <w:color w:val="auto"/>
              </w:rPr>
              <w:t>(a).</w:t>
            </w:r>
          </w:p>
        </w:tc>
        <w:tc>
          <w:tcPr>
            <w:tcW w:w="1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of Issuer:</w:t>
            </w:r>
          </w:p>
        </w:tc>
        <w:tc>
          <w:tcPr>
            <w:tcW w:w="6740" w:type="dxa"/>
            <w:vAlign w:val="bottom"/>
          </w:tcPr>
          <w:p>
            <w:pPr>
              <w:spacing w:after="0"/>
              <w:rPr>
                <w:sz w:val="24"/>
                <w:szCs w:val="24"/>
                <w:color w:val="auto"/>
              </w:rPr>
            </w:pPr>
          </w:p>
        </w:tc>
      </w:tr>
      <w:tr>
        <w:trPr>
          <w:trHeight w:val="432"/>
        </w:trPr>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FS Development Corp.</w:t>
            </w:r>
          </w:p>
        </w:tc>
      </w:tr>
      <w:tr>
        <w:trPr>
          <w:trHeight w:val="426"/>
        </w:trPr>
        <w:tc>
          <w:tcPr>
            <w:tcW w:w="980" w:type="dxa"/>
            <w:vAlign w:val="bottom"/>
          </w:tcPr>
          <w:p>
            <w:pPr>
              <w:spacing w:after="0"/>
              <w:rPr>
                <w:sz w:val="24"/>
                <w:szCs w:val="24"/>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auto"/>
              </w:rPr>
              <w:t>(b).</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Address of Issuer's Principal Executive Offices:</w:t>
            </w:r>
          </w:p>
        </w:tc>
      </w:tr>
      <w:tr>
        <w:trPr>
          <w:trHeight w:val="418"/>
        </w:trPr>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600 Montgomery Street, Suite 4500</w:t>
            </w:r>
          </w:p>
        </w:tc>
      </w:tr>
      <w:tr>
        <w:trPr>
          <w:trHeight w:val="230"/>
        </w:trPr>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San Francisco, California 94111</w:t>
            </w:r>
          </w:p>
        </w:tc>
      </w:tr>
      <w:tr>
        <w:trPr>
          <w:trHeight w:val="216"/>
        </w:trPr>
        <w:tc>
          <w:tcPr>
            <w:tcW w:w="980" w:type="dxa"/>
            <w:vAlign w:val="bottom"/>
          </w:tcPr>
          <w:p>
            <w:pPr>
              <w:spacing w:after="0"/>
              <w:rPr>
                <w:sz w:val="18"/>
                <w:szCs w:val="18"/>
                <w:color w:val="auto"/>
              </w:rPr>
            </w:pPr>
          </w:p>
        </w:tc>
        <w:tc>
          <w:tcPr>
            <w:tcW w:w="940" w:type="dxa"/>
            <w:vAlign w:val="bottom"/>
            <w:gridSpan w:val="3"/>
          </w:tcPr>
          <w:p>
            <w:pPr>
              <w:spacing w:after="0"/>
              <w:rPr>
                <w:sz w:val="18"/>
                <w:szCs w:val="18"/>
                <w:color w:val="auto"/>
              </w:rPr>
            </w:pPr>
          </w:p>
        </w:tc>
        <w:tc>
          <w:tcPr>
            <w:tcW w:w="9320" w:type="dxa"/>
            <w:vAlign w:val="bottom"/>
            <w:tcBorders>
              <w:bottom w:val="single" w:sz="8" w:color="auto"/>
            </w:tcBorders>
            <w:gridSpan w:val="2"/>
          </w:tcPr>
          <w:p>
            <w:pPr>
              <w:spacing w:after="0"/>
              <w:rPr>
                <w:sz w:val="18"/>
                <w:szCs w:val="18"/>
                <w:color w:val="auto"/>
              </w:rPr>
            </w:pPr>
          </w:p>
        </w:tc>
      </w:tr>
      <w:tr>
        <w:trPr>
          <w:trHeight w:val="425"/>
        </w:trPr>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10260" w:type="dxa"/>
            <w:vAlign w:val="bottom"/>
            <w:gridSpan w:val="5"/>
          </w:tcPr>
          <w:p>
            <w:pPr>
              <w:ind w:left="160"/>
              <w:spacing w:after="0"/>
              <w:rPr>
                <w:sz w:val="20"/>
                <w:szCs w:val="20"/>
                <w:color w:val="auto"/>
              </w:rPr>
            </w:pPr>
            <w:r>
              <w:rPr>
                <w:rFonts w:ascii="Arial" w:cs="Arial" w:eastAsia="Arial" w:hAnsi="Arial"/>
                <w:sz w:val="18"/>
                <w:szCs w:val="18"/>
                <w:color w:val="auto"/>
              </w:rPr>
              <w:t>(a) – (c)   Name, Principal Business Address, and Citizenship of Persons Filing:</w:t>
            </w:r>
          </w:p>
        </w:tc>
      </w:tr>
      <w:tr>
        <w:trPr>
          <w:trHeight w:val="418"/>
        </w:trPr>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Suvretta Capital Management, LLC – Delaware</w:t>
            </w:r>
          </w:p>
        </w:tc>
      </w:tr>
      <w:tr>
        <w:trPr>
          <w:trHeight w:val="216"/>
        </w:trPr>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Averill Master Fund, Ltd. – Cayman Islands</w:t>
            </w:r>
          </w:p>
        </w:tc>
      </w:tr>
      <w:tr>
        <w:trPr>
          <w:trHeight w:val="230"/>
        </w:trPr>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Aaron Cowen – U.S.A.</w:t>
            </w:r>
          </w:p>
        </w:tc>
      </w:tr>
      <w:tr>
        <w:trPr>
          <w:trHeight w:val="411"/>
        </w:trPr>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Suvretta Capital Management, LLC:</w:t>
            </w:r>
          </w:p>
        </w:tc>
      </w:tr>
      <w:tr>
        <w:trPr>
          <w:trHeight w:val="216"/>
        </w:trPr>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540 Madison Avenue, 7th Floor</w:t>
            </w:r>
          </w:p>
        </w:tc>
      </w:tr>
      <w:tr>
        <w:trPr>
          <w:trHeight w:val="216"/>
        </w:trPr>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New York, New York 10022</w:t>
            </w:r>
          </w:p>
        </w:tc>
      </w:tr>
      <w:tr>
        <w:trPr>
          <w:trHeight w:val="230"/>
        </w:trPr>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r>
      <w:tr>
        <w:trPr>
          <w:trHeight w:val="418"/>
        </w:trPr>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Averill Master Fund, Ltd.:</w:t>
            </w:r>
          </w:p>
        </w:tc>
      </w:tr>
      <w:tr>
        <w:trPr>
          <w:trHeight w:val="216"/>
        </w:trPr>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c/o Maples Corporate Services Limited</w:t>
            </w:r>
          </w:p>
        </w:tc>
      </w:tr>
      <w:tr>
        <w:trPr>
          <w:trHeight w:val="216"/>
        </w:trPr>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P.O. Box 309</w:t>
            </w:r>
          </w:p>
        </w:tc>
      </w:tr>
      <w:tr>
        <w:trPr>
          <w:trHeight w:val="216"/>
        </w:trPr>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Ugland House</w:t>
            </w:r>
          </w:p>
        </w:tc>
      </w:tr>
      <w:tr>
        <w:trPr>
          <w:trHeight w:val="216"/>
        </w:trPr>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Grand Cayman KY1-1104</w:t>
            </w:r>
          </w:p>
        </w:tc>
      </w:tr>
      <w:tr>
        <w:trPr>
          <w:trHeight w:val="230"/>
        </w:trPr>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Cayman Islands</w:t>
            </w:r>
          </w:p>
        </w:tc>
      </w:tr>
      <w:tr>
        <w:trPr>
          <w:trHeight w:val="418"/>
        </w:trPr>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Aaron Cowen:</w:t>
            </w:r>
          </w:p>
        </w:tc>
      </w:tr>
      <w:tr>
        <w:trPr>
          <w:trHeight w:val="216"/>
        </w:trPr>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c/o Suvretta Capital Management, LLC</w:t>
            </w:r>
          </w:p>
        </w:tc>
      </w:tr>
      <w:tr>
        <w:trPr>
          <w:trHeight w:val="216"/>
        </w:trPr>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540 Madison Avenue, 7th Floor</w:t>
            </w:r>
          </w:p>
        </w:tc>
      </w:tr>
      <w:tr>
        <w:trPr>
          <w:trHeight w:val="230"/>
        </w:trPr>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New York, New York 10022</w:t>
            </w:r>
          </w:p>
        </w:tc>
      </w:tr>
      <w:tr>
        <w:trPr>
          <w:trHeight w:val="426"/>
        </w:trPr>
        <w:tc>
          <w:tcPr>
            <w:tcW w:w="980" w:type="dxa"/>
            <w:vAlign w:val="bottom"/>
          </w:tcPr>
          <w:p>
            <w:pPr>
              <w:spacing w:after="0"/>
              <w:rPr>
                <w:sz w:val="24"/>
                <w:szCs w:val="24"/>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auto"/>
              </w:rPr>
              <w:t>(d).</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Title of Class of Securities:</w:t>
            </w:r>
          </w:p>
        </w:tc>
      </w:tr>
      <w:tr>
        <w:trPr>
          <w:trHeight w:val="432"/>
        </w:trPr>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Class A common stock, par value $0.0001 per share (“Class A Common Stock”)</w:t>
            </w:r>
          </w:p>
        </w:tc>
      </w:tr>
      <w:tr>
        <w:trPr>
          <w:trHeight w:val="426"/>
        </w:trPr>
        <w:tc>
          <w:tcPr>
            <w:tcW w:w="980" w:type="dxa"/>
            <w:vAlign w:val="bottom"/>
          </w:tcPr>
          <w:p>
            <w:pPr>
              <w:spacing w:after="0"/>
              <w:rPr>
                <w:sz w:val="24"/>
                <w:szCs w:val="24"/>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auto"/>
              </w:rPr>
              <w:t>(e).</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CUSIP Number:</w:t>
            </w:r>
          </w:p>
        </w:tc>
      </w:tr>
      <w:tr>
        <w:trPr>
          <w:trHeight w:val="432"/>
        </w:trPr>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60" w:type="dxa"/>
            <w:vAlign w:val="bottom"/>
            <w:gridSpan w:val="3"/>
          </w:tcPr>
          <w:p>
            <w:pPr>
              <w:ind w:left="380"/>
              <w:spacing w:after="0"/>
              <w:rPr>
                <w:sz w:val="20"/>
                <w:szCs w:val="20"/>
                <w:color w:val="auto"/>
              </w:rPr>
            </w:pPr>
            <w:r>
              <w:rPr>
                <w:rFonts w:ascii="Arial" w:cs="Arial" w:eastAsia="Arial" w:hAnsi="Arial"/>
                <w:sz w:val="18"/>
                <w:szCs w:val="18"/>
                <w:color w:val="auto"/>
              </w:rPr>
              <w:t>303020101</w:t>
            </w:r>
          </w:p>
        </w:tc>
        <w:tc>
          <w:tcPr>
            <w:tcW w:w="6740" w:type="dxa"/>
            <w:vAlign w:val="bottom"/>
          </w:tcPr>
          <w:p>
            <w:pPr>
              <w:spacing w:after="0"/>
              <w:rPr>
                <w:sz w:val="24"/>
                <w:szCs w:val="24"/>
                <w:color w:val="auto"/>
              </w:rPr>
            </w:pPr>
          </w:p>
        </w:tc>
      </w:tr>
      <w:tr>
        <w:trPr>
          <w:trHeight w:val="560"/>
        </w:trPr>
        <w:tc>
          <w:tcPr>
            <w:tcW w:w="9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top w:val="single" w:sz="8" w:color="auto"/>
              <w:bottom w:val="single" w:sz="8" w:color="auto"/>
            </w:tcBorders>
          </w:tcPr>
          <w:p>
            <w:pPr>
              <w:spacing w:after="0"/>
              <w:rPr>
                <w:sz w:val="24"/>
                <w:szCs w:val="24"/>
                <w:color w:val="auto"/>
              </w:rPr>
            </w:pPr>
          </w:p>
        </w:tc>
        <w:tc>
          <w:tcPr>
            <w:tcW w:w="674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5" w:name="page6"/>
    <w:bookmarkEnd w:id="5"/>
    <w:p>
      <w:pPr>
        <w:spacing w:after="0"/>
        <w:tabs>
          <w:tab w:leader="none" w:pos="16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ss.240.13d-1(b) or 240.13d-2(b), or (c), check whether the person filing is a</w:t>
      </w:r>
    </w:p>
    <w:p>
      <w:pPr>
        <w:spacing w:after="0" w:line="225" w:lineRule="exact"/>
        <w:rPr>
          <w:sz w:val="20"/>
          <w:szCs w:val="20"/>
          <w:color w:val="auto"/>
        </w:rPr>
      </w:pPr>
    </w:p>
    <w:p>
      <w:pPr>
        <w:ind w:left="1700" w:hanging="558"/>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Broker or dealer registered under Section 15 of the Exchange Act (15 U.S.C. 78c).</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Bank as defined in Section 3(a)(6) of the Exchange Act (15 U.S.C. 78c).</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Insurance company as defined in Section 3(a)(19) of the Exchange Act (15 U.S.C. 78c).</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investment adviser in accordance with § 240.13d-1(b)(1)(ii)(E);</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employee benefit plan or endowment fund in accordance with § 240.13d-1(b)(1)(ii)(F);</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parent holding company or control person in accordance with Rule 13d-1(b)(1)(ii)(G);</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savings association as defined in Section 3(b) of the Federal Deposit Insurance Act (12 U.S.C.1813);</w:t>
      </w:r>
    </w:p>
    <w:p>
      <w:pPr>
        <w:spacing w:after="0" w:line="225" w:lineRule="exact"/>
        <w:rPr>
          <w:rFonts w:ascii="Arial" w:cs="Arial" w:eastAsia="Arial" w:hAnsi="Arial"/>
          <w:sz w:val="18"/>
          <w:szCs w:val="18"/>
          <w:color w:val="auto"/>
        </w:rPr>
      </w:pPr>
    </w:p>
    <w:p>
      <w:pPr>
        <w:ind w:left="2260" w:right="60" w:hanging="1118"/>
        <w:spacing w:after="0" w:line="277" w:lineRule="auto"/>
        <w:tabs>
          <w:tab w:leader="none" w:pos="1707" w:val="left"/>
        </w:tabs>
        <w:numPr>
          <w:ilvl w:val="0"/>
          <w:numId w:val="12"/>
        </w:numPr>
        <w:rPr>
          <w:rFonts w:ascii="Arial" w:cs="Arial" w:eastAsia="Arial" w:hAnsi="Arial"/>
          <w:sz w:val="18"/>
          <w:szCs w:val="18"/>
          <w:color w:val="auto"/>
        </w:rPr>
      </w:pPr>
      <w:r>
        <w:rPr>
          <w:rFonts w:ascii="Arial" w:cs="Arial" w:eastAsia="Arial" w:hAnsi="Arial"/>
          <w:sz w:val="18"/>
          <w:szCs w:val="18"/>
          <w:color w:val="auto"/>
        </w:rPr>
        <w:t>[_]A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700" w:hanging="558"/>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Group, in accordance with s.240.13d-1(b)(1)(ii)(J).</w:t>
      </w:r>
    </w:p>
    <w:p>
      <w:pPr>
        <w:spacing w:after="0" w:line="200" w:lineRule="exact"/>
        <w:rPr>
          <w:sz w:val="20"/>
          <w:szCs w:val="20"/>
          <w:color w:val="auto"/>
        </w:rPr>
      </w:pPr>
    </w:p>
    <w:p>
      <w:pPr>
        <w:spacing w:after="0" w:line="24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48" w:lineRule="exact"/>
        <w:rPr>
          <w:sz w:val="20"/>
          <w:szCs w:val="20"/>
          <w:color w:val="auto"/>
        </w:rPr>
      </w:pPr>
    </w:p>
    <w:p>
      <w:pPr>
        <w:ind w:left="1700" w:hanging="558"/>
        <w:spacing w:after="0"/>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700" w:right="5780"/>
        <w:spacing w:after="0" w:line="282" w:lineRule="auto"/>
        <w:rPr>
          <w:rFonts w:ascii="Arial" w:cs="Arial" w:eastAsia="Arial" w:hAnsi="Arial"/>
          <w:sz w:val="18"/>
          <w:szCs w:val="18"/>
          <w:color w:val="auto"/>
        </w:rPr>
      </w:pPr>
      <w:r>
        <w:rPr>
          <w:rFonts w:ascii="Arial" w:cs="Arial" w:eastAsia="Arial" w:hAnsi="Arial"/>
          <w:sz w:val="17"/>
          <w:szCs w:val="17"/>
          <w:color w:val="auto"/>
        </w:rPr>
        <w:t>Suvretta Capital Management, LLC – 899,457 Averill Master Fund, Ltd. – 899,457</w:t>
      </w:r>
    </w:p>
    <w:p>
      <w:pPr>
        <w:ind w:left="1700"/>
        <w:spacing w:after="0"/>
        <w:rPr>
          <w:rFonts w:ascii="Arial" w:cs="Arial" w:eastAsia="Arial" w:hAnsi="Arial"/>
          <w:sz w:val="18"/>
          <w:szCs w:val="18"/>
          <w:color w:val="auto"/>
        </w:rPr>
      </w:pPr>
      <w:r>
        <w:rPr>
          <w:rFonts w:ascii="Arial" w:cs="Arial" w:eastAsia="Arial" w:hAnsi="Arial"/>
          <w:sz w:val="18"/>
          <w:szCs w:val="18"/>
          <w:color w:val="auto"/>
        </w:rPr>
        <w:t>Aaron Cowen – 899,457</w:t>
      </w:r>
    </w:p>
    <w:p>
      <w:pPr>
        <w:spacing w:after="0" w:line="237" w:lineRule="exact"/>
        <w:rPr>
          <w:rFonts w:ascii="Arial" w:cs="Arial" w:eastAsia="Arial" w:hAnsi="Arial"/>
          <w:sz w:val="18"/>
          <w:szCs w:val="18"/>
          <w:color w:val="auto"/>
        </w:rPr>
      </w:pPr>
    </w:p>
    <w:p>
      <w:pPr>
        <w:ind w:left="1700" w:hanging="558"/>
        <w:spacing w:after="0"/>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700" w:right="6000"/>
        <w:spacing w:after="0" w:line="266" w:lineRule="auto"/>
        <w:rPr>
          <w:rFonts w:ascii="Arial" w:cs="Arial" w:eastAsia="Arial" w:hAnsi="Arial"/>
          <w:sz w:val="18"/>
          <w:szCs w:val="18"/>
          <w:color w:val="auto"/>
        </w:rPr>
      </w:pPr>
      <w:r>
        <w:rPr>
          <w:rFonts w:ascii="Arial" w:cs="Arial" w:eastAsia="Arial" w:hAnsi="Arial"/>
          <w:sz w:val="18"/>
          <w:szCs w:val="18"/>
          <w:color w:val="auto"/>
        </w:rPr>
        <w:t>Suvretta Capital Management, LLC – 7.2% Averill Master Fund, Ltd. – 7.2%</w:t>
      </w:r>
    </w:p>
    <w:p>
      <w:pPr>
        <w:spacing w:after="0" w:line="1"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Aaron Cowen – 7.2%</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700" w:hanging="558"/>
        <w:spacing w:after="0"/>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2260" w:hanging="551"/>
        <w:spacing w:after="0"/>
        <w:tabs>
          <w:tab w:leader="none" w:pos="22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2260" w:right="5720"/>
        <w:spacing w:after="0" w:line="266" w:lineRule="auto"/>
        <w:rPr>
          <w:rFonts w:ascii="Arial" w:cs="Arial" w:eastAsia="Arial" w:hAnsi="Arial"/>
          <w:sz w:val="18"/>
          <w:szCs w:val="18"/>
          <w:color w:val="auto"/>
        </w:rPr>
      </w:pPr>
      <w:r>
        <w:rPr>
          <w:rFonts w:ascii="Arial" w:cs="Arial" w:eastAsia="Arial" w:hAnsi="Arial"/>
          <w:sz w:val="18"/>
          <w:szCs w:val="18"/>
          <w:color w:val="auto"/>
        </w:rPr>
        <w:t>Suvretta Capital Management, LLC – 0 Averill Master Fund, Ltd. – 0</w:t>
      </w:r>
    </w:p>
    <w:p>
      <w:pPr>
        <w:spacing w:after="0" w:line="1" w:lineRule="exact"/>
        <w:rPr>
          <w:rFonts w:ascii="Arial" w:cs="Arial" w:eastAsia="Arial" w:hAnsi="Arial"/>
          <w:sz w:val="18"/>
          <w:szCs w:val="18"/>
          <w:color w:val="auto"/>
        </w:rPr>
      </w:pPr>
    </w:p>
    <w:p>
      <w:pPr>
        <w:ind w:left="2260"/>
        <w:spacing w:after="0"/>
        <w:rPr>
          <w:rFonts w:ascii="Arial" w:cs="Arial" w:eastAsia="Arial" w:hAnsi="Arial"/>
          <w:sz w:val="18"/>
          <w:szCs w:val="18"/>
          <w:color w:val="auto"/>
        </w:rPr>
      </w:pPr>
      <w:r>
        <w:rPr>
          <w:rFonts w:ascii="Arial" w:cs="Arial" w:eastAsia="Arial" w:hAnsi="Arial"/>
          <w:sz w:val="18"/>
          <w:szCs w:val="18"/>
          <w:color w:val="auto"/>
        </w:rPr>
        <w:t>Aaron Cowen – 0</w:t>
      </w:r>
    </w:p>
    <w:p>
      <w:pPr>
        <w:spacing w:after="0" w:line="237" w:lineRule="exact"/>
        <w:rPr>
          <w:rFonts w:ascii="Arial" w:cs="Arial" w:eastAsia="Arial" w:hAnsi="Arial"/>
          <w:sz w:val="18"/>
          <w:szCs w:val="18"/>
          <w:color w:val="auto"/>
        </w:rPr>
      </w:pPr>
    </w:p>
    <w:p>
      <w:pPr>
        <w:ind w:left="2260" w:hanging="551"/>
        <w:spacing w:after="0"/>
        <w:tabs>
          <w:tab w:leader="none" w:pos="22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2260" w:right="5240"/>
        <w:spacing w:after="0" w:line="282" w:lineRule="auto"/>
        <w:rPr>
          <w:rFonts w:ascii="Arial" w:cs="Arial" w:eastAsia="Arial" w:hAnsi="Arial"/>
          <w:sz w:val="18"/>
          <w:szCs w:val="18"/>
          <w:color w:val="auto"/>
        </w:rPr>
      </w:pPr>
      <w:r>
        <w:rPr>
          <w:rFonts w:ascii="Arial" w:cs="Arial" w:eastAsia="Arial" w:hAnsi="Arial"/>
          <w:sz w:val="17"/>
          <w:szCs w:val="17"/>
          <w:color w:val="auto"/>
        </w:rPr>
        <w:t>Suvretta Capital Management, LLC – 899,457 Averill Master Fund, Ltd. – 899,457</w:t>
      </w:r>
    </w:p>
    <w:p>
      <w:pPr>
        <w:ind w:left="2260"/>
        <w:spacing w:after="0"/>
        <w:rPr>
          <w:rFonts w:ascii="Arial" w:cs="Arial" w:eastAsia="Arial" w:hAnsi="Arial"/>
          <w:sz w:val="18"/>
          <w:szCs w:val="18"/>
          <w:color w:val="auto"/>
        </w:rPr>
      </w:pPr>
      <w:r>
        <w:rPr>
          <w:rFonts w:ascii="Arial" w:cs="Arial" w:eastAsia="Arial" w:hAnsi="Arial"/>
          <w:sz w:val="18"/>
          <w:szCs w:val="18"/>
          <w:color w:val="auto"/>
        </w:rPr>
        <w:t>Aaron Cowen – 899,457</w:t>
      </w:r>
    </w:p>
    <w:p>
      <w:pPr>
        <w:spacing w:after="0" w:line="237" w:lineRule="exact"/>
        <w:rPr>
          <w:rFonts w:ascii="Arial" w:cs="Arial" w:eastAsia="Arial" w:hAnsi="Arial"/>
          <w:sz w:val="18"/>
          <w:szCs w:val="18"/>
          <w:color w:val="auto"/>
        </w:rPr>
      </w:pPr>
    </w:p>
    <w:p>
      <w:pPr>
        <w:ind w:left="2260" w:hanging="551"/>
        <w:spacing w:after="0"/>
        <w:tabs>
          <w:tab w:leader="none" w:pos="22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rFonts w:ascii="Arial" w:cs="Arial" w:eastAsia="Arial" w:hAnsi="Arial"/>
          <w:sz w:val="18"/>
          <w:szCs w:val="18"/>
          <w:color w:val="auto"/>
        </w:rPr>
      </w:pPr>
    </w:p>
    <w:p>
      <w:pPr>
        <w:ind w:left="2260" w:right="5720"/>
        <w:spacing w:after="0" w:line="266" w:lineRule="auto"/>
        <w:rPr>
          <w:rFonts w:ascii="Arial" w:cs="Arial" w:eastAsia="Arial" w:hAnsi="Arial"/>
          <w:sz w:val="18"/>
          <w:szCs w:val="18"/>
          <w:color w:val="auto"/>
        </w:rPr>
      </w:pPr>
      <w:r>
        <w:rPr>
          <w:rFonts w:ascii="Arial" w:cs="Arial" w:eastAsia="Arial" w:hAnsi="Arial"/>
          <w:sz w:val="18"/>
          <w:szCs w:val="18"/>
          <w:color w:val="auto"/>
        </w:rPr>
        <w:t>Suvretta Capital Management, LLC – 0 Averill Master Fund, Ltd. – 0</w:t>
      </w:r>
    </w:p>
    <w:p>
      <w:pPr>
        <w:spacing w:after="0" w:line="1" w:lineRule="exact"/>
        <w:rPr>
          <w:rFonts w:ascii="Arial" w:cs="Arial" w:eastAsia="Arial" w:hAnsi="Arial"/>
          <w:sz w:val="18"/>
          <w:szCs w:val="18"/>
          <w:color w:val="auto"/>
        </w:rPr>
      </w:pPr>
    </w:p>
    <w:p>
      <w:pPr>
        <w:ind w:left="2260"/>
        <w:spacing w:after="0"/>
        <w:rPr>
          <w:rFonts w:ascii="Arial" w:cs="Arial" w:eastAsia="Arial" w:hAnsi="Arial"/>
          <w:sz w:val="18"/>
          <w:szCs w:val="18"/>
          <w:color w:val="auto"/>
        </w:rPr>
      </w:pPr>
      <w:r>
        <w:rPr>
          <w:rFonts w:ascii="Arial" w:cs="Arial" w:eastAsia="Arial" w:hAnsi="Arial"/>
          <w:sz w:val="18"/>
          <w:szCs w:val="18"/>
          <w:color w:val="auto"/>
        </w:rPr>
        <w:t>Aaron Cowen – 0</w:t>
      </w:r>
    </w:p>
    <w:p>
      <w:pPr>
        <w:spacing w:after="0" w:line="237" w:lineRule="exact"/>
        <w:rPr>
          <w:rFonts w:ascii="Arial" w:cs="Arial" w:eastAsia="Arial" w:hAnsi="Arial"/>
          <w:sz w:val="18"/>
          <w:szCs w:val="18"/>
          <w:color w:val="auto"/>
        </w:rPr>
      </w:pPr>
    </w:p>
    <w:p>
      <w:pPr>
        <w:ind w:left="2260" w:hanging="551"/>
        <w:spacing w:after="0"/>
        <w:tabs>
          <w:tab w:leader="none" w:pos="22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rFonts w:ascii="Arial" w:cs="Arial" w:eastAsia="Arial" w:hAnsi="Arial"/>
          <w:sz w:val="18"/>
          <w:szCs w:val="18"/>
          <w:color w:val="auto"/>
        </w:rPr>
      </w:pPr>
    </w:p>
    <w:p>
      <w:pPr>
        <w:ind w:left="2260" w:right="5240"/>
        <w:spacing w:after="0" w:line="282" w:lineRule="auto"/>
        <w:rPr>
          <w:rFonts w:ascii="Arial" w:cs="Arial" w:eastAsia="Arial" w:hAnsi="Arial"/>
          <w:sz w:val="18"/>
          <w:szCs w:val="18"/>
          <w:color w:val="auto"/>
        </w:rPr>
      </w:pPr>
      <w:r>
        <w:rPr>
          <w:rFonts w:ascii="Arial" w:cs="Arial" w:eastAsia="Arial" w:hAnsi="Arial"/>
          <w:sz w:val="17"/>
          <w:szCs w:val="17"/>
          <w:color w:val="auto"/>
        </w:rPr>
        <w:t>Suvretta Capital Management, LLC – 899,457 Averill Master Fund, Ltd. – 899,457</w:t>
      </w:r>
    </w:p>
    <w:p>
      <w:pPr>
        <w:ind w:left="2260"/>
        <w:spacing w:after="0"/>
        <w:rPr>
          <w:rFonts w:ascii="Arial" w:cs="Arial" w:eastAsia="Arial" w:hAnsi="Arial"/>
          <w:sz w:val="18"/>
          <w:szCs w:val="18"/>
          <w:color w:val="auto"/>
        </w:rPr>
      </w:pPr>
      <w:r>
        <w:rPr>
          <w:rFonts w:ascii="Arial" w:cs="Arial" w:eastAsia="Arial" w:hAnsi="Arial"/>
          <w:sz w:val="18"/>
          <w:szCs w:val="18"/>
          <w:color w:val="auto"/>
        </w:rPr>
        <w:t>Aaron Cowen – 899,457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57003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00395" cy="8890"/>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-130810</wp:posOffset>
            </wp:positionV>
            <wp:extent cx="57003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00395" cy="8890"/>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-276225</wp:posOffset>
            </wp:positionV>
            <wp:extent cx="57003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00395" cy="8890"/>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-833755</wp:posOffset>
            </wp:positionV>
            <wp:extent cx="57003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00395" cy="8890"/>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-979170</wp:posOffset>
            </wp:positionV>
            <wp:extent cx="57003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00395" cy="8890"/>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-1125220</wp:posOffset>
            </wp:positionV>
            <wp:extent cx="57003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00395" cy="8890"/>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-1682115</wp:posOffset>
            </wp:positionV>
            <wp:extent cx="57003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-1828165</wp:posOffset>
            </wp:positionV>
            <wp:extent cx="57003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00395" cy="8890"/>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-1973580</wp:posOffset>
            </wp:positionV>
            <wp:extent cx="57003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-2531110</wp:posOffset>
            </wp:positionV>
            <wp:extent cx="57003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00395" cy="8890"/>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-2676525</wp:posOffset>
            </wp:positionV>
            <wp:extent cx="57003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-2822575</wp:posOffset>
            </wp:positionV>
            <wp:extent cx="57003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-3782695</wp:posOffset>
            </wp:positionV>
            <wp:extent cx="60521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-3928110</wp:posOffset>
            </wp:positionV>
            <wp:extent cx="60521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-4074160</wp:posOffset>
            </wp:positionV>
            <wp:extent cx="60521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-4631055</wp:posOffset>
            </wp:positionV>
            <wp:extent cx="60521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-4777105</wp:posOffset>
            </wp:positionV>
            <wp:extent cx="60521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-4922520</wp:posOffset>
            </wp:positionV>
            <wp:extent cx="605218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40"/>
          </w:cols>
          <w:pgMar w:left="320" w:top="584" w:right="739" w:bottom="1440" w:gutter="0" w:footer="0" w:header="0"/>
        </w:sectPr>
      </w:pPr>
    </w:p>
    <w:bookmarkStart w:id="6" w:name="page7"/>
    <w:bookmarkEnd w:id="6"/>
    <w:p>
      <w:pPr>
        <w:spacing w:after="0"/>
        <w:tabs>
          <w:tab w:leader="none" w:pos="11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right="120" w:firstLine="737"/>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17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64122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right="100" w:firstLine="725"/>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7" w:lineRule="exact"/>
        <w:rPr>
          <w:sz w:val="20"/>
          <w:szCs w:val="20"/>
          <w:color w:val="auto"/>
        </w:rPr>
      </w:pPr>
    </w:p>
    <w:p>
      <w:pPr>
        <w:jc w:val="both"/>
        <w:ind w:left="1140"/>
        <w:spacing w:after="0" w:line="263" w:lineRule="auto"/>
        <w:rPr>
          <w:sz w:val="20"/>
          <w:szCs w:val="20"/>
          <w:color w:val="auto"/>
        </w:rPr>
      </w:pPr>
      <w:r>
        <w:rPr>
          <w:rFonts w:ascii="Arial" w:cs="Arial" w:eastAsia="Arial" w:hAnsi="Arial"/>
          <w:sz w:val="18"/>
          <w:szCs w:val="18"/>
          <w:color w:val="auto"/>
        </w:rPr>
        <w:t>All securities reported in this Schedule 13G are owned by advisory clients of Suvretta Capital Management, LLC. None of the advisory clients, with the exception of Averill Master Fund, Ltd., individually owns more than 5% of the outstanding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-10795</wp:posOffset>
            </wp:positionV>
            <wp:extent cx="64122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3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Identification and Classification of the Subsidiary Which Acquired the Security Being Reported on by the Parent Holding Company.</w:t>
      </w:r>
    </w:p>
    <w:p>
      <w:pPr>
        <w:spacing w:after="0" w:line="225" w:lineRule="exact"/>
        <w:rPr>
          <w:sz w:val="20"/>
          <w:szCs w:val="20"/>
          <w:color w:val="auto"/>
        </w:rPr>
      </w:pPr>
    </w:p>
    <w:p>
      <w:pPr>
        <w:ind w:right="100" w:firstLine="725"/>
        <w:spacing w:after="0" w:line="263" w:lineRule="auto"/>
        <w:rPr>
          <w:sz w:val="20"/>
          <w:szCs w:val="20"/>
          <w:color w:val="auto"/>
        </w:rPr>
      </w:pPr>
      <w:r>
        <w:rPr>
          <w:rFonts w:ascii="Arial" w:cs="Arial" w:eastAsia="Arial" w:hAnsi="Arial"/>
          <w:sz w:val="18"/>
          <w:szCs w:val="18"/>
          <w:color w:val="auto"/>
        </w:rPr>
        <w:t>If a parent holding company has filed this schedule, pursuant to Rule 13d-1(b)(1)(ii)(G),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18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See Exhibit B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64122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ind w:firstLine="725"/>
        <w:spacing w:after="0" w:line="263"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18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64122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right="540" w:firstLine="725"/>
        <w:spacing w:after="0" w:line="308" w:lineRule="auto"/>
        <w:rPr>
          <w:sz w:val="20"/>
          <w:szCs w:val="20"/>
          <w:color w:val="auto"/>
        </w:rPr>
      </w:pPr>
      <w:r>
        <w:rPr>
          <w:rFonts w:ascii="Arial" w:cs="Arial" w:eastAsia="Arial" w:hAnsi="Arial"/>
          <w:sz w:val="17"/>
          <w:szCs w:val="17"/>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4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64122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225" w:lineRule="exact"/>
        <w:rPr>
          <w:sz w:val="20"/>
          <w:szCs w:val="20"/>
          <w:color w:val="auto"/>
        </w:rPr>
      </w:pPr>
    </w:p>
    <w:p>
      <w:pPr>
        <w:ind w:left="1700" w:hanging="558"/>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225" w:lineRule="exact"/>
        <w:rPr>
          <w:rFonts w:ascii="Arial" w:cs="Arial" w:eastAsia="Arial" w:hAnsi="Arial"/>
          <w:sz w:val="18"/>
          <w:szCs w:val="18"/>
          <w:color w:val="auto"/>
        </w:rPr>
      </w:pPr>
    </w:p>
    <w:p>
      <w:pPr>
        <w:ind w:left="1700" w:right="60"/>
        <w:spacing w:after="0" w:line="259" w:lineRule="auto"/>
        <w:rPr>
          <w:rFonts w:ascii="Arial" w:cs="Arial" w:eastAsia="Arial" w:hAnsi="Arial"/>
          <w:sz w:val="18"/>
          <w:szCs w:val="18"/>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27"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October 26,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(Date)</w:t>
      </w:r>
    </w:p>
    <w:p>
      <w:pPr>
        <w:spacing w:after="0" w:line="22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Suvretta Capital Management, LLC*</w:t>
      </w:r>
    </w:p>
    <w:p>
      <w:pPr>
        <w:spacing w:after="0" w:line="225"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By: /s/ Aaron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(Name/Title)</w:t>
      </w:r>
    </w:p>
    <w:p>
      <w:pPr>
        <w:spacing w:after="0" w:line="22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Averill Master Fund, Ltd.*</w:t>
      </w:r>
    </w:p>
    <w:p>
      <w:pPr>
        <w:spacing w:after="0" w:line="225"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By: /s/ Aaron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(Name/Title)</w:t>
      </w:r>
    </w:p>
    <w:p>
      <w:pPr>
        <w:spacing w:after="0" w:line="22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Aaron Cowen*</w:t>
      </w:r>
    </w:p>
    <w:p>
      <w:pPr>
        <w:spacing w:after="0" w:line="225"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 Aaron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Reporting Persons disclaim beneficial ownership over the securities reported herein except to the extent of the Reporting Persons’ pecuniary interest therein.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undersigned agree that this Schedule 13G dated October 26, 2020 relating to the Class A common stock, par value $0.0001 per share of FS Development Corp. shall be filed on behalf of the undersigned.</w:t>
      </w:r>
    </w:p>
    <w:p>
      <w:pPr>
        <w:spacing w:after="0" w:line="170"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October 26,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(Date)</w:t>
      </w:r>
    </w:p>
    <w:p>
      <w:pPr>
        <w:spacing w:after="0" w:line="22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Suvretta Capital Management, LLC</w:t>
      </w:r>
    </w:p>
    <w:p>
      <w:pPr>
        <w:spacing w:after="0" w:line="225"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By: /s/ Aaron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(Name/Title)</w:t>
      </w:r>
    </w:p>
    <w:p>
      <w:pPr>
        <w:spacing w:after="0" w:line="22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Averill Master Fund, Ltd.</w:t>
      </w:r>
    </w:p>
    <w:p>
      <w:pPr>
        <w:spacing w:after="0" w:line="225"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By: /s/ Aaron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(Name/Title)</w:t>
      </w:r>
    </w:p>
    <w:p>
      <w:pPr>
        <w:spacing w:after="0" w:line="22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Aaron Cowen</w:t>
      </w:r>
    </w:p>
    <w:p>
      <w:pPr>
        <w:spacing w:after="0" w:line="225"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 Aaron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648970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Aaron Cowen has beneficial ownership by virtue of his role as a control person of Suvretta Capital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1060450</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8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3"/>
    </w:lvl>
  </w:abstractNum>
  <w:abstractNum w:abstractNumId="3">
    <w:nsid w:val="5BD062C2"/>
    <w:multiLevelType w:val="hybridMultilevel"/>
    <w:lvl w:ilvl="0">
      <w:lvlJc w:val="left"/>
      <w:lvlText w:val="%1."/>
      <w:numFmt w:val="decimal"/>
      <w:start w:val="5"/>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3"/>
    </w:lvl>
  </w:abstractNum>
  <w:abstractNum w:abstractNumId="6">
    <w:nsid w:val="216231B"/>
    <w:multiLevelType w:val="hybridMultilevel"/>
    <w:lvl w:ilvl="0">
      <w:lvlJc w:val="left"/>
      <w:lvlText w:val="%1."/>
      <w:numFmt w:val="decimal"/>
      <w:start w:val="5"/>
    </w:lvl>
  </w:abstractNum>
  <w:abstractNum w:abstractNumId="7">
    <w:nsid w:val="1F16E9E8"/>
    <w:multiLevelType w:val="hybridMultilevel"/>
    <w:lvl w:ilvl="0">
      <w:lvlJc w:val="left"/>
      <w:lvlText w:val="%1."/>
      <w:numFmt w:val="decimal"/>
      <w:start w:val="1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3"/>
    </w:lvl>
  </w:abstractNum>
  <w:abstractNum w:abstractNumId="10">
    <w:nsid w:val="140E0F76"/>
    <w:multiLevelType w:val="hybridMultilevel"/>
    <w:lvl w:ilvl="0">
      <w:lvlJc w:val="left"/>
      <w:lvlText w:val="%1."/>
      <w:numFmt w:val="decimal"/>
      <w:start w:val="5"/>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lvl w:ilvl="1">
      <w:lvlJc w:val="left"/>
      <w:lvlText w:val="(%2)"/>
      <w:numFmt w:val="lowerRoman"/>
      <w:start w:val="1"/>
    </w:lvl>
  </w:abstractNum>
  <w:abstractNum w:abstractNumId="13">
    <w:nsid w:val="DED7263"/>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2020-10-26T13:41:32Z</dcterms:created>
  <dcterms:modified xsi:type="dcterms:W3CDTF">2020-10-26T13:41:32Z</dcterms:modified>
</cp:coreProperties>
</file>