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Disc Medicine,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254604 101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June 28, 2023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31" w:lineRule="exact"/>
        <w:rPr>
          <w:sz w:val="24"/>
          <w:szCs w:val="24"/>
          <w:color w:val="auto"/>
        </w:rPr>
      </w:pPr>
    </w:p>
    <w:p>
      <w:pPr>
        <w:ind w:left="980" w:hanging="54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86"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175" w:lineRule="exact"/>
        <w:rPr>
          <w:sz w:val="24"/>
          <w:szCs w:val="24"/>
          <w:color w:val="auto"/>
        </w:rPr>
      </w:pPr>
    </w:p>
    <w:p>
      <w:pPr>
        <w:ind w:left="440" w:hanging="440"/>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382" w:right="49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CUSIP No.: 254604 101</w:t>
      </w:r>
    </w:p>
    <w:p>
      <w:pPr>
        <w:spacing w:after="0" w:line="266" w:lineRule="exact"/>
        <w:rPr>
          <w:sz w:val="20"/>
          <w:szCs w:val="20"/>
          <w:color w:val="auto"/>
        </w:rPr>
      </w:pPr>
    </w:p>
    <w:p>
      <w:pPr>
        <w:ind w:left="684" w:right="8260" w:hanging="437"/>
        <w:spacing w:after="0" w:line="457" w:lineRule="auto"/>
        <w:tabs>
          <w:tab w:leader="none" w:pos="684"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Reporting Person: Novo Holdings A/S</w:t>
      </w:r>
    </w:p>
    <w:p>
      <w:pPr>
        <w:spacing w:after="0" w:line="1" w:lineRule="exact"/>
        <w:rPr>
          <w:rFonts w:ascii="Arial" w:cs="Arial" w:eastAsia="Arial" w:hAnsi="Arial"/>
          <w:sz w:val="16"/>
          <w:szCs w:val="16"/>
          <w:color w:val="auto"/>
        </w:rPr>
      </w:pPr>
    </w:p>
    <w:p>
      <w:pPr>
        <w:ind w:left="684" w:hanging="437"/>
        <w:spacing w:after="0"/>
        <w:tabs>
          <w:tab w:leader="none" w:pos="68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5254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54625"/>
                    </a:xfrm>
                    <a:prstGeom prst="rect">
                      <a:avLst/>
                    </a:prstGeom>
                    <a:noFill/>
                  </pic:spPr>
                </pic:pic>
              </a:graphicData>
            </a:graphic>
          </wp:anchor>
        </w:drawing>
      </w:r>
    </w:p>
    <w:p>
      <w:pPr>
        <w:spacing w:after="0" w:line="187" w:lineRule="exact"/>
        <w:rPr>
          <w:sz w:val="20"/>
          <w:szCs w:val="20"/>
          <w:color w:val="auto"/>
        </w:rPr>
      </w:pPr>
    </w:p>
    <w:p>
      <w:pPr>
        <w:ind w:left="684"/>
        <w:spacing w:after="0" w:line="207" w:lineRule="exact"/>
        <w:tabs>
          <w:tab w:leader="none" w:pos="146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84" w:hanging="437"/>
        <w:spacing w:after="0"/>
        <w:tabs>
          <w:tab w:leader="none" w:pos="68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7" w:lineRule="exact"/>
        <w:rPr>
          <w:rFonts w:ascii="Arial" w:cs="Arial" w:eastAsia="Arial" w:hAnsi="Arial"/>
          <w:sz w:val="18"/>
          <w:szCs w:val="18"/>
          <w:color w:val="auto"/>
        </w:rPr>
      </w:pPr>
    </w:p>
    <w:p>
      <w:pPr>
        <w:ind w:left="684" w:right="7560" w:hanging="437"/>
        <w:spacing w:after="0" w:line="406" w:lineRule="auto"/>
        <w:tabs>
          <w:tab w:leader="none" w:pos="684"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Denmark</w:t>
      </w:r>
    </w:p>
    <w:p>
      <w:pPr>
        <w:spacing w:after="0" w:line="1" w:lineRule="exact"/>
        <w:rPr>
          <w:rFonts w:ascii="Arial" w:cs="Arial" w:eastAsia="Arial" w:hAnsi="Arial"/>
          <w:sz w:val="18"/>
          <w:szCs w:val="18"/>
          <w:color w:val="auto"/>
        </w:rPr>
      </w:pPr>
    </w:p>
    <w:p>
      <w:pPr>
        <w:ind w:left="1664" w:hanging="422"/>
        <w:spacing w:after="0"/>
        <w:tabs>
          <w:tab w:leader="none" w:pos="1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400" w:type="dxa"/>
            <w:vAlign w:val="bottom"/>
          </w:tcPr>
          <w:p>
            <w:pPr>
              <w:spacing w:after="0"/>
              <w:rPr>
                <w:sz w:val="20"/>
                <w:szCs w:val="20"/>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1,090,772</w:t>
            </w:r>
          </w:p>
        </w:tc>
        <w:tc>
          <w:tcPr>
            <w:tcW w:w="0" w:type="dxa"/>
            <w:vAlign w:val="bottom"/>
          </w:tcPr>
          <w:p>
            <w:pPr>
              <w:spacing w:after="0"/>
              <w:rPr>
                <w:sz w:val="1"/>
                <w:szCs w:val="1"/>
                <w:color w:val="auto"/>
              </w:rPr>
            </w:pPr>
          </w:p>
        </w:tc>
      </w:tr>
      <w:tr>
        <w:trPr>
          <w:trHeight w:val="27"/>
        </w:trPr>
        <w:tc>
          <w:tcPr>
            <w:tcW w:w="920" w:type="dxa"/>
            <w:vAlign w:val="bottom"/>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38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400" w:type="dxa"/>
            <w:vAlign w:val="bottom"/>
          </w:tcPr>
          <w:p>
            <w:pPr>
              <w:spacing w:after="0"/>
              <w:rPr>
                <w:sz w:val="18"/>
                <w:szCs w:val="18"/>
                <w:color w:val="auto"/>
              </w:rPr>
            </w:pPr>
          </w:p>
        </w:tc>
        <w:tc>
          <w:tcPr>
            <w:tcW w:w="938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00" w:type="dxa"/>
            <w:vAlign w:val="bottom"/>
            <w:tcBorders>
              <w:bottom w:val="single" w:sz="8" w:color="auto"/>
            </w:tcBorders>
          </w:tcPr>
          <w:p>
            <w:pPr>
              <w:spacing w:after="0"/>
              <w:rPr>
                <w:sz w:val="20"/>
                <w:szCs w:val="20"/>
                <w:color w:val="auto"/>
              </w:rPr>
            </w:pPr>
          </w:p>
        </w:tc>
        <w:tc>
          <w:tcPr>
            <w:tcW w:w="9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40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38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4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00" w:type="dxa"/>
            <w:vAlign w:val="bottom"/>
          </w:tcPr>
          <w:p>
            <w:pPr>
              <w:spacing w:after="0"/>
              <w:rPr>
                <w:sz w:val="18"/>
                <w:szCs w:val="18"/>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1,090,772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400" w:type="dxa"/>
            <w:vAlign w:val="bottom"/>
            <w:tcBorders>
              <w:bottom w:val="single" w:sz="8" w:color="auto"/>
            </w:tcBorders>
          </w:tcPr>
          <w:p>
            <w:pPr>
              <w:spacing w:after="0"/>
              <w:rPr>
                <w:sz w:val="5"/>
                <w:szCs w:val="5"/>
                <w:color w:val="auto"/>
              </w:rPr>
            </w:pPr>
          </w:p>
        </w:tc>
        <w:tc>
          <w:tcPr>
            <w:tcW w:w="9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40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38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64"/>
        <w:spacing w:after="0"/>
        <w:rPr>
          <w:sz w:val="20"/>
          <w:szCs w:val="20"/>
          <w:color w:val="auto"/>
        </w:rPr>
      </w:pPr>
      <w:r>
        <w:rPr>
          <w:rFonts w:ascii="Arial" w:cs="Arial" w:eastAsia="Arial" w:hAnsi="Arial"/>
          <w:sz w:val="18"/>
          <w:szCs w:val="18"/>
          <w:color w:val="auto"/>
        </w:rPr>
        <w:t>0</w:t>
      </w:r>
    </w:p>
    <w:p>
      <w:pPr>
        <w:spacing w:after="0" w:line="50" w:lineRule="exact"/>
        <w:rPr>
          <w:sz w:val="20"/>
          <w:szCs w:val="20"/>
          <w:color w:val="auto"/>
        </w:rPr>
      </w:pPr>
    </w:p>
    <w:p>
      <w:pPr>
        <w:ind w:left="684" w:right="5380" w:hanging="437"/>
        <w:spacing w:after="0" w:line="406" w:lineRule="auto"/>
        <w:tabs>
          <w:tab w:leader="none" w:pos="684" w:val="left"/>
        </w:tabs>
        <w:numPr>
          <w:ilvl w:val="1"/>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1,090,772</w:t>
      </w:r>
    </w:p>
    <w:p>
      <w:pPr>
        <w:spacing w:after="0" w:line="1" w:lineRule="exact"/>
        <w:rPr>
          <w:rFonts w:ascii="Arial" w:cs="Arial" w:eastAsia="Arial" w:hAnsi="Arial"/>
          <w:sz w:val="18"/>
          <w:szCs w:val="18"/>
          <w:color w:val="auto"/>
        </w:rPr>
      </w:pPr>
    </w:p>
    <w:p>
      <w:pPr>
        <w:ind w:left="684" w:hanging="527"/>
        <w:spacing w:after="0"/>
        <w:tabs>
          <w:tab w:leader="none" w:pos="684"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07" w:lineRule="exact"/>
        <w:rPr>
          <w:rFonts w:ascii="Arial" w:cs="Arial" w:eastAsia="Arial" w:hAnsi="Arial"/>
          <w:sz w:val="18"/>
          <w:szCs w:val="18"/>
          <w:color w:val="auto"/>
        </w:rPr>
      </w:pPr>
    </w:p>
    <w:p>
      <w:pPr>
        <w:ind w:left="68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84" w:hanging="527"/>
        <w:spacing w:after="0"/>
        <w:tabs>
          <w:tab w:leader="none" w:pos="684"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6" w:lineRule="exact"/>
        <w:rPr>
          <w:rFonts w:ascii="Arial" w:cs="Arial" w:eastAsia="Arial" w:hAnsi="Arial"/>
          <w:sz w:val="18"/>
          <w:szCs w:val="18"/>
          <w:color w:val="auto"/>
        </w:rPr>
      </w:pPr>
    </w:p>
    <w:p>
      <w:pPr>
        <w:ind w:left="684"/>
        <w:spacing w:after="0"/>
        <w:rPr>
          <w:rFonts w:ascii="Arial" w:cs="Arial" w:eastAsia="Arial" w:hAnsi="Arial"/>
          <w:sz w:val="18"/>
          <w:szCs w:val="18"/>
          <w:color w:val="auto"/>
        </w:rPr>
      </w:pPr>
      <w:r>
        <w:rPr>
          <w:rFonts w:ascii="Arial" w:cs="Arial" w:eastAsia="Arial" w:hAnsi="Arial"/>
          <w:sz w:val="18"/>
          <w:szCs w:val="18"/>
          <w:color w:val="auto"/>
        </w:rPr>
        <w:t>4.8% (1)</w:t>
      </w:r>
    </w:p>
    <w:p>
      <w:pPr>
        <w:spacing w:after="0" w:line="49" w:lineRule="exact"/>
        <w:rPr>
          <w:rFonts w:ascii="Arial" w:cs="Arial" w:eastAsia="Arial" w:hAnsi="Arial"/>
          <w:sz w:val="18"/>
          <w:szCs w:val="18"/>
          <w:color w:val="auto"/>
        </w:rPr>
      </w:pPr>
    </w:p>
    <w:p>
      <w:pPr>
        <w:ind w:left="684" w:hanging="527"/>
        <w:spacing w:after="0"/>
        <w:tabs>
          <w:tab w:leader="none" w:pos="684"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84"/>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79" w:lineRule="exact"/>
        <w:rPr>
          <w:rFonts w:ascii="Arial" w:cs="Arial" w:eastAsia="Arial" w:hAnsi="Arial"/>
          <w:sz w:val="18"/>
          <w:szCs w:val="18"/>
          <w:color w:val="auto"/>
        </w:rPr>
      </w:pPr>
    </w:p>
    <w:p>
      <w:pPr>
        <w:ind w:left="444" w:right="80" w:hanging="444"/>
        <w:spacing w:after="0" w:line="277"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upon 22,591,161 shares of the Issuer’s Common Stock outstanding as of June 22, 2023, as reported in the Issuer’s Form 424B5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June 15, 2023.</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4"/>
          </w:cols>
          <w:pgMar w:left="436" w:top="490" w:right="55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This Amendment No. 1 amends the Schedule 13G filed with the SEC on December 29, 2022 to report and reflect that Novo Holdings A/S ceased to be a beneficial owner of more than five percent of the Issuer’s Common Stock.</w:t>
      </w:r>
    </w:p>
    <w:p>
      <w:pPr>
        <w:spacing w:after="0" w:line="315" w:lineRule="exact"/>
        <w:rPr>
          <w:sz w:val="20"/>
          <w:szCs w:val="20"/>
          <w:color w:val="auto"/>
        </w:rPr>
      </w:pPr>
    </w:p>
    <w:p>
      <w:pPr>
        <w:spacing w:after="0"/>
        <w:tabs>
          <w:tab w:leader="none" w:pos="880" w:val="left"/>
          <w:tab w:leader="none" w:pos="15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Name of Issuer:</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Disc Medicine, Inc.</w:t>
      </w:r>
    </w:p>
    <w:p>
      <w:pPr>
        <w:spacing w:after="0" w:line="131" w:lineRule="exact"/>
        <w:rPr>
          <w:sz w:val="20"/>
          <w:szCs w:val="20"/>
          <w:color w:val="auto"/>
        </w:rPr>
      </w:pPr>
    </w:p>
    <w:p>
      <w:pPr>
        <w:ind w:left="1420" w:hanging="543"/>
        <w:spacing w:after="0"/>
        <w:tabs>
          <w:tab w:leader="none" w:pos="1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Address of Issuer’s Principal Executive Offices:</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321 Arsenal St. Suite 101</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Watertown, MA 02472</w:t>
      </w:r>
    </w:p>
    <w:p>
      <w:pPr>
        <w:spacing w:after="0" w:line="355" w:lineRule="exact"/>
        <w:rPr>
          <w:sz w:val="20"/>
          <w:szCs w:val="20"/>
          <w:color w:val="auto"/>
        </w:rPr>
      </w:pPr>
    </w:p>
    <w:p>
      <w:pPr>
        <w:spacing w:after="0"/>
        <w:tabs>
          <w:tab w:leader="none" w:pos="880" w:val="left"/>
          <w:tab w:leader="none" w:pos="14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420" w:right="40"/>
        <w:spacing w:after="0" w:line="296" w:lineRule="auto"/>
        <w:rPr>
          <w:sz w:val="20"/>
          <w:szCs w:val="20"/>
          <w:color w:val="auto"/>
        </w:rPr>
      </w:pPr>
      <w:r>
        <w:rPr>
          <w:rFonts w:ascii="Arial" w:cs="Arial" w:eastAsia="Arial" w:hAnsi="Arial"/>
          <w:sz w:val="16"/>
          <w:szCs w:val="16"/>
          <w:color w:val="auto"/>
        </w:rPr>
        <w:t>Novo Holdings A/S, a Danish corporation, is an investment firm focused on life sciences and finance that is wholly owned by Novo Nordisk Foundation (the “Foundation”), a Danish commercial foundation. Novo Holdings A/S is the holding company in the group of Novo companies (currently comprised of Novo Nordisk A/S and Novozymes A/S) and is responsible for managing the Foundation’s assets, including its financial assets. Based on the governance structure of Novo Holdings A/S and the Foundation, the Foundation is not deemed to have any beneficial ownership of the securities of the Issuer held by Novo Holdings A/S.</w:t>
      </w:r>
    </w:p>
    <w:p>
      <w:pPr>
        <w:spacing w:after="0" w:line="67" w:lineRule="exact"/>
        <w:rPr>
          <w:sz w:val="20"/>
          <w:szCs w:val="20"/>
          <w:color w:val="auto"/>
        </w:rPr>
      </w:pPr>
    </w:p>
    <w:p>
      <w:pPr>
        <w:ind w:left="1420" w:right="5080" w:hanging="433"/>
        <w:spacing w:after="0" w:line="375"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Address or Principal Business Office or, if none, Residence: </w:t>
      </w:r>
      <w:r>
        <w:rPr>
          <w:rFonts w:ascii="Arial" w:cs="Arial" w:eastAsia="Arial" w:hAnsi="Arial"/>
          <w:sz w:val="18"/>
          <w:szCs w:val="18"/>
          <w:color w:val="auto"/>
        </w:rPr>
        <w:t>Tuborg Havnevej 19</w:t>
      </w:r>
    </w:p>
    <w:p>
      <w:pPr>
        <w:spacing w:after="0" w:line="1" w:lineRule="exact"/>
        <w:rPr>
          <w:rFonts w:ascii="Arial" w:cs="Arial" w:eastAsia="Arial" w:hAnsi="Arial"/>
          <w:sz w:val="18"/>
          <w:szCs w:val="18"/>
          <w:b w:val="1"/>
          <w:bCs w:val="1"/>
          <w:color w:val="auto"/>
        </w:rPr>
      </w:pPr>
    </w:p>
    <w:p>
      <w:pPr>
        <w:ind w:left="1420"/>
        <w:spacing w:after="0"/>
        <w:rPr>
          <w:rFonts w:ascii="Arial" w:cs="Arial" w:eastAsia="Arial" w:hAnsi="Arial"/>
          <w:sz w:val="18"/>
          <w:szCs w:val="18"/>
          <w:b w:val="1"/>
          <w:bCs w:val="1"/>
          <w:color w:val="auto"/>
        </w:rPr>
      </w:pPr>
      <w:r>
        <w:rPr>
          <w:rFonts w:ascii="Arial" w:cs="Arial" w:eastAsia="Arial" w:hAnsi="Arial"/>
          <w:sz w:val="18"/>
          <w:szCs w:val="18"/>
          <w:color w:val="auto"/>
        </w:rPr>
        <w:t>2900 Hellerup, Denmark</w:t>
      </w:r>
    </w:p>
    <w:p>
      <w:pPr>
        <w:spacing w:after="0" w:line="130" w:lineRule="exact"/>
        <w:rPr>
          <w:rFonts w:ascii="Arial" w:cs="Arial" w:eastAsia="Arial" w:hAnsi="Arial"/>
          <w:sz w:val="18"/>
          <w:szCs w:val="18"/>
          <w:b w:val="1"/>
          <w:bCs w:val="1"/>
          <w:color w:val="auto"/>
        </w:rPr>
      </w:pPr>
    </w:p>
    <w:p>
      <w:pPr>
        <w:ind w:left="1420" w:right="6760" w:hanging="433"/>
        <w:spacing w:after="0" w:line="381" w:lineRule="auto"/>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Citizenship or Place of Organization: </w:t>
      </w:r>
      <w:r>
        <w:rPr>
          <w:rFonts w:ascii="Arial" w:cs="Arial" w:eastAsia="Arial" w:hAnsi="Arial"/>
          <w:sz w:val="18"/>
          <w:szCs w:val="18"/>
          <w:color w:val="auto"/>
        </w:rPr>
        <w:t>Denmark</w:t>
      </w:r>
    </w:p>
    <w:p>
      <w:pPr>
        <w:spacing w:after="0" w:line="4" w:lineRule="exact"/>
        <w:rPr>
          <w:rFonts w:ascii="Arial" w:cs="Arial" w:eastAsia="Arial" w:hAnsi="Arial"/>
          <w:sz w:val="18"/>
          <w:szCs w:val="18"/>
          <w:b w:val="1"/>
          <w:bCs w:val="1"/>
          <w:color w:val="auto"/>
        </w:rPr>
      </w:pPr>
    </w:p>
    <w:p>
      <w:pPr>
        <w:ind w:left="1420" w:right="7520" w:hanging="433"/>
        <w:spacing w:after="0" w:line="428" w:lineRule="auto"/>
        <w:tabs>
          <w:tab w:leader="none" w:pos="14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Title of Class of Securities: </w:t>
      </w:r>
      <w:r>
        <w:rPr>
          <w:rFonts w:ascii="Arial" w:cs="Arial" w:eastAsia="Arial" w:hAnsi="Arial"/>
          <w:sz w:val="16"/>
          <w:szCs w:val="16"/>
          <w:color w:val="auto"/>
        </w:rPr>
        <w:t>Common Stock</w:t>
      </w:r>
    </w:p>
    <w:p>
      <w:pPr>
        <w:spacing w:after="0" w:line="5" w:lineRule="exact"/>
        <w:rPr>
          <w:rFonts w:ascii="Arial" w:cs="Arial" w:eastAsia="Arial" w:hAnsi="Arial"/>
          <w:sz w:val="16"/>
          <w:szCs w:val="16"/>
          <w:b w:val="1"/>
          <w:bCs w:val="1"/>
          <w:color w:val="auto"/>
        </w:rPr>
      </w:pPr>
    </w:p>
    <w:p>
      <w:pPr>
        <w:ind w:left="1420" w:right="8300" w:hanging="433"/>
        <w:spacing w:after="0" w:line="483" w:lineRule="auto"/>
        <w:tabs>
          <w:tab w:leader="none" w:pos="14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CUSIP Number: </w:t>
      </w:r>
      <w:r>
        <w:rPr>
          <w:rFonts w:ascii="Arial" w:cs="Arial" w:eastAsia="Arial" w:hAnsi="Arial"/>
          <w:sz w:val="16"/>
          <w:szCs w:val="16"/>
          <w:color w:val="auto"/>
        </w:rPr>
        <w:t>254604 101</w:t>
      </w:r>
    </w:p>
    <w:p>
      <w:pPr>
        <w:spacing w:after="0" w:line="16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490" w:right="499" w:bottom="1440" w:gutter="0" w:footer="0" w:header="0"/>
        </w:sectPr>
      </w:pPr>
    </w:p>
    <w:bookmarkStart w:id="3" w:name="page4"/>
    <w:bookmarkEnd w:id="3"/>
    <w:p>
      <w:pPr>
        <w:ind w:left="4"/>
        <w:spacing w:after="0"/>
        <w:tabs>
          <w:tab w:leader="none" w:pos="10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78" w:lineRule="exact"/>
        <w:rPr>
          <w:sz w:val="20"/>
          <w:szCs w:val="20"/>
          <w:color w:val="auto"/>
        </w:rPr>
      </w:pPr>
    </w:p>
    <w:tbl>
      <w:tblPr>
        <w:tblLayout w:type="fixed"/>
        <w:tblInd w:w="444" w:type="dxa"/>
        <w:tblCellMar>
          <w:top w:w="0" w:type="dxa"/>
          <w:left w:w="0" w:type="dxa"/>
          <w:bottom w:w="0" w:type="dxa"/>
          <w:right w:w="0" w:type="dxa"/>
        </w:tblCellMar>
      </w:tblP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6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 beneficially owned:</w:t>
            </w:r>
          </w:p>
        </w:tc>
        <w:tc>
          <w:tcPr>
            <w:tcW w:w="3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1,090,772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6440" w:type="dxa"/>
            <w:vAlign w:val="bottom"/>
          </w:tcPr>
          <w:p>
            <w:pPr>
              <w:ind w:left="100"/>
              <w:spacing w:after="0"/>
              <w:rPr>
                <w:sz w:val="20"/>
                <w:szCs w:val="20"/>
                <w:color w:val="auto"/>
              </w:rPr>
            </w:pPr>
            <w:r>
              <w:rPr>
                <w:rFonts w:ascii="Arial" w:cs="Arial" w:eastAsia="Arial" w:hAnsi="Arial"/>
                <w:sz w:val="18"/>
                <w:szCs w:val="18"/>
                <w:color w:val="auto"/>
              </w:rPr>
              <w:t>Percent of class:</w:t>
            </w:r>
          </w:p>
        </w:tc>
        <w:tc>
          <w:tcPr>
            <w:tcW w:w="30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6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Number of shares as to which such person has:</w:t>
            </w:r>
          </w:p>
        </w:tc>
        <w:tc>
          <w:tcPr>
            <w:tcW w:w="3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440" w:type="dxa"/>
            <w:vAlign w:val="bottom"/>
          </w:tcPr>
          <w:p>
            <w:pPr>
              <w:ind w:left="100"/>
              <w:spacing w:after="0"/>
              <w:rPr>
                <w:sz w:val="20"/>
                <w:szCs w:val="20"/>
                <w:color w:val="auto"/>
              </w:rPr>
            </w:pPr>
            <w:r>
              <w:rPr>
                <w:rFonts w:ascii="Arial" w:cs="Arial" w:eastAsia="Arial" w:hAnsi="Arial"/>
                <w:sz w:val="18"/>
                <w:szCs w:val="18"/>
                <w:color w:val="auto"/>
              </w:rPr>
              <w:t>(i) Sole power to vote or to direct the vote:</w:t>
            </w:r>
          </w:p>
        </w:tc>
        <w:tc>
          <w:tcPr>
            <w:tcW w:w="3040" w:type="dxa"/>
            <w:vAlign w:val="bottom"/>
          </w:tcPr>
          <w:p>
            <w:pPr>
              <w:jc w:val="right"/>
              <w:ind w:right="150"/>
              <w:spacing w:after="0"/>
              <w:rPr>
                <w:sz w:val="20"/>
                <w:szCs w:val="20"/>
                <w:color w:val="auto"/>
              </w:rPr>
            </w:pPr>
            <w:r>
              <w:rPr>
                <w:rFonts w:ascii="Arial" w:cs="Arial" w:eastAsia="Arial" w:hAnsi="Arial"/>
                <w:sz w:val="18"/>
                <w:szCs w:val="18"/>
                <w:color w:val="auto"/>
              </w:rPr>
              <w:t>1,090,772</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00" w:type="dxa"/>
            <w:vAlign w:val="bottom"/>
            <w:shd w:val="clear" w:color="auto" w:fill="CCEEFF"/>
          </w:tcPr>
          <w:p>
            <w:pPr>
              <w:spacing w:after="0"/>
              <w:rPr>
                <w:sz w:val="18"/>
                <w:szCs w:val="18"/>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(ii) Shared power to vote or to direct the vote:</w:t>
            </w:r>
          </w:p>
        </w:tc>
        <w:tc>
          <w:tcPr>
            <w:tcW w:w="3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440" w:type="dxa"/>
            <w:vAlign w:val="bottom"/>
          </w:tcPr>
          <w:p>
            <w:pPr>
              <w:ind w:left="100"/>
              <w:spacing w:after="0"/>
              <w:rPr>
                <w:sz w:val="20"/>
                <w:szCs w:val="20"/>
                <w:color w:val="auto"/>
              </w:rPr>
            </w:pPr>
            <w:r>
              <w:rPr>
                <w:rFonts w:ascii="Arial" w:cs="Arial" w:eastAsia="Arial" w:hAnsi="Arial"/>
                <w:sz w:val="18"/>
                <w:szCs w:val="18"/>
                <w:color w:val="auto"/>
              </w:rPr>
              <w:t>(iii) Sole power to dispose or to direct the disposition of:</w:t>
            </w:r>
          </w:p>
        </w:tc>
        <w:tc>
          <w:tcPr>
            <w:tcW w:w="3040" w:type="dxa"/>
            <w:vAlign w:val="bottom"/>
          </w:tcPr>
          <w:p>
            <w:pPr>
              <w:jc w:val="right"/>
              <w:ind w:right="150"/>
              <w:spacing w:after="0"/>
              <w:rPr>
                <w:sz w:val="20"/>
                <w:szCs w:val="20"/>
                <w:color w:val="auto"/>
              </w:rPr>
            </w:pPr>
            <w:r>
              <w:rPr>
                <w:rFonts w:ascii="Arial" w:cs="Arial" w:eastAsia="Arial" w:hAnsi="Arial"/>
                <w:sz w:val="18"/>
                <w:szCs w:val="18"/>
                <w:color w:val="auto"/>
              </w:rPr>
              <w:t>1,090,772</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00" w:type="dxa"/>
            <w:vAlign w:val="bottom"/>
            <w:shd w:val="clear" w:color="auto" w:fill="CCEEFF"/>
          </w:tcPr>
          <w:p>
            <w:pPr>
              <w:spacing w:after="0"/>
              <w:rPr>
                <w:sz w:val="18"/>
                <w:szCs w:val="18"/>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(iv) Shared power to dispose or to direct the disposition of:</w:t>
            </w:r>
          </w:p>
        </w:tc>
        <w:tc>
          <w:tcPr>
            <w:tcW w:w="3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444" w:right="600" w:hanging="444"/>
        <w:spacing w:after="0" w:line="277" w:lineRule="auto"/>
        <w:tabs>
          <w:tab w:leader="none" w:pos="4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Novo Holdings A/S has the sole power to vote and dispose of the shares, and no individual or other entity is deemed to hold any beneficial ownership in the shares.</w:t>
      </w:r>
    </w:p>
    <w:p>
      <w:pPr>
        <w:spacing w:after="0" w:line="75" w:lineRule="exact"/>
        <w:rPr>
          <w:rFonts w:ascii="Arial" w:cs="Arial" w:eastAsia="Arial" w:hAnsi="Arial"/>
          <w:sz w:val="18"/>
          <w:szCs w:val="18"/>
          <w:color w:val="auto"/>
        </w:rPr>
      </w:pPr>
    </w:p>
    <w:p>
      <w:pPr>
        <w:ind w:left="444" w:right="200" w:hanging="444"/>
        <w:spacing w:after="0" w:line="277" w:lineRule="auto"/>
        <w:tabs>
          <w:tab w:leader="none" w:pos="4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22,591,161 shares of the Issuer’s Common Stock outstanding as of June 22, 2023, as reported in the Issuer’s Form 424B5 filed with the SEC on June 15, 2023.</w:t>
      </w:r>
    </w:p>
    <w:p>
      <w:pPr>
        <w:spacing w:after="0" w:line="315"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left="1424" w:right="180"/>
        <w:spacing w:after="0" w:line="238"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18"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04" w:right="600" w:hanging="1101"/>
        <w:spacing w:after="0" w:line="282" w:lineRule="auto"/>
        <w:tabs>
          <w:tab w:leader="none" w:pos="108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1424"/>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486" w:right="4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 June 28, 2023</w:t>
      </w:r>
      <w:r>
        <w:rPr>
          <w:sz w:val="20"/>
          <w:szCs w:val="20"/>
          <w:color w:val="auto"/>
        </w:rPr>
        <w:tab/>
      </w:r>
      <w:r>
        <w:rPr>
          <w:rFonts w:ascii="Arial" w:cs="Arial" w:eastAsia="Arial" w:hAnsi="Arial"/>
          <w:sz w:val="16"/>
          <w:szCs w:val="16"/>
          <w:color w:val="auto"/>
        </w:rPr>
        <w:t>Novo Holdings A/S</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Barbara Fiorini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50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Barbara Fiorini Due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Counsel, Finance &amp; Operations</w:t>
      </w:r>
    </w:p>
    <w:sectPr>
      <w:pgSz w:w="11900" w:h="16838" w:orient="portrait"/>
      <w:cols w:equalWidth="0" w:num="1">
        <w:col w:w="10900"/>
      </w:cols>
      <w:pgMar w:left="440" w:top="48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3"/>
    </w:lvl>
    <w:lvl w:ilvl="1">
      <w:lvlJc w:val="left"/>
      <w:lvlText w:val="%2."/>
      <w:numFmt w:val="decimal"/>
      <w:start w:val="5"/>
    </w:lvl>
  </w:abstractNum>
  <w:abstractNum w:abstractNumId="5">
    <w:nsid w:val="7545E146"/>
    <w:multiLevelType w:val="hybridMultilevel"/>
    <w:lvl w:ilvl="0">
      <w:lvlJc w:val="left"/>
      <w:lvlText w:val="%1"/>
      <w:numFmt w:val="decimal"/>
      <w:start w:val="1"/>
    </w:lvl>
    <w:lvl w:ilvl="1">
      <w:lvlJc w:val="left"/>
      <w:lvlText w:val="%2."/>
      <w:numFmt w:val="decimal"/>
      <w:start w:val="9"/>
    </w:lvl>
  </w:abstractNum>
  <w:abstractNum w:abstractNumId="6">
    <w:nsid w:val="515F007C"/>
    <w:multiLevelType w:val="hybridMultilevel"/>
    <w:lvl w:ilvl="0">
      <w:lvlJc w:val="left"/>
      <w:lvlText w:val="(%1)"/>
      <w:numFmt w:val="decimal"/>
      <w:start w:val="1"/>
    </w:lvl>
    <w:lvl w:ilvl="1">
      <w:lvlJc w:val="left"/>
      <w:lvlText w:val="%2"/>
      <w:numFmt w:val="decimal"/>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2023-06-28T16:55:27Z</dcterms:created>
  <dcterms:modified xsi:type="dcterms:W3CDTF">2023-06-28T16:55:27Z</dcterms:modified>
</cp:coreProperties>
</file>