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8"/>
        </w:trPr>
        <w:tc>
          <w:tcPr>
            <w:tcW w:w="3520" w:type="dxa"/>
            <w:vAlign w:val="bottom"/>
          </w:tcPr>
          <w:p>
            <w:pPr>
              <w:jc w:val="center"/>
              <w:ind w:right="97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20" w:type="dxa"/>
            <w:vAlign w:val="bottom"/>
          </w:tcPr>
          <w:p>
            <w:pPr>
              <w:jc w:val="center"/>
              <w:ind w:right="978"/>
              <w:spacing w:after="0"/>
              <w:rPr>
                <w:sz w:val="20"/>
                <w:szCs w:val="20"/>
                <w:color w:val="auto"/>
              </w:rPr>
            </w:pPr>
            <w:r>
              <w:rPr>
                <w:rFonts w:ascii="Times New Roman" w:cs="Times New Roman" w:eastAsia="Times New Roman" w:hAnsi="Times New Roman"/>
                <w:sz w:val="18"/>
                <w:szCs w:val="18"/>
                <w:b w:val="1"/>
                <w:bCs w:val="1"/>
                <w:color w:val="auto"/>
                <w:w w:val="99"/>
              </w:rPr>
              <w:t>321 Arsenal Street</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30"/>
        </w:trPr>
        <w:tc>
          <w:tcPr>
            <w:tcW w:w="3520" w:type="dxa"/>
            <w:vAlign w:val="bottom"/>
          </w:tcPr>
          <w:p>
            <w:pPr>
              <w:jc w:val="center"/>
              <w:ind w:right="978"/>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32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214"/>
        </w:trPr>
        <w:tc>
          <w:tcPr>
            <w:tcW w:w="3520" w:type="dxa"/>
            <w:vAlign w:val="bottom"/>
          </w:tcPr>
          <w:p>
            <w:pPr>
              <w:jc w:val="center"/>
              <w:ind w:right="978"/>
              <w:spacing w:after="0"/>
              <w:rPr>
                <w:sz w:val="20"/>
                <w:szCs w:val="20"/>
                <w:color w:val="auto"/>
              </w:rPr>
            </w:pPr>
            <w:r>
              <w:rPr>
                <w:rFonts w:ascii="Times New Roman" w:cs="Times New Roman" w:eastAsia="Times New Roman" w:hAnsi="Times New Roman"/>
                <w:sz w:val="18"/>
                <w:szCs w:val="18"/>
                <w:b w:val="1"/>
                <w:bCs w:val="1"/>
                <w:color w:val="auto"/>
                <w:w w:val="99"/>
              </w:rPr>
              <w:t>Watertown, Massachusetts</w:t>
            </w:r>
          </w:p>
        </w:tc>
        <w:tc>
          <w:tcPr>
            <w:tcW w:w="32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3520" w:type="dxa"/>
            <w:vAlign w:val="bottom"/>
          </w:tcPr>
          <w:p>
            <w:pPr>
              <w:jc w:val="center"/>
              <w:ind w:right="9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21, 2025, Disc Medicine, Inc. (the “Company”) issued a press release outlining positive feedback from the Company’s Type C meeting with the U.S. Food &amp; Drug Administration (the “FDA”) to discuss the APOLLO post-marketing confirmatory trial for bitopertin in erythropoietic protoporphyria (“EPP”) and X-linked protoporphyria (“XLP”). A copy of the press release is attached as Exhibit 99.1 to this Current Report on Form 8-K.</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filing. The Company undertakes no obligation to update, supplement or amend the material attached hereto as Exhibit 99.1.</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January 21, 2025, the Company announced positive feedback from its Type C meeting with the FDA to discuss the APOLLO post-marketing confirmatory trial for bitopertin in EPP and XLP. The meeting resulted in alignment on the design of the APOLLO post-marketing confirmatory trial. Key features include:</w:t>
      </w:r>
    </w:p>
    <w:p>
      <w:pPr>
        <w:spacing w:after="0" w:line="81" w:lineRule="exact"/>
        <w:rPr>
          <w:sz w:val="20"/>
          <w:szCs w:val="20"/>
          <w:color w:val="auto"/>
        </w:rPr>
      </w:pPr>
    </w:p>
    <w:p>
      <w:pPr>
        <w:ind w:left="960" w:right="38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Co-primary endpoints of average monthly total time in sunlight without pain between 10:00 and 18:00 during the last month of the 6-month treatment period and percent change from baseline in whole blood metal-free protoporphyrin IX (“PPIX”) after 6 months of treatment;</w:t>
      </w:r>
    </w:p>
    <w:p>
      <w:pPr>
        <w:spacing w:after="0" w:line="81" w:lineRule="exact"/>
        <w:rPr>
          <w:rFonts w:ascii="Times New Roman" w:cs="Times New Roman" w:eastAsia="Times New Roman" w:hAnsi="Times New Roman"/>
          <w:sz w:val="18"/>
          <w:szCs w:val="18"/>
          <w:color w:val="auto"/>
        </w:rPr>
      </w:pPr>
    </w:p>
    <w:p>
      <w:pPr>
        <w:ind w:left="960" w:right="7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measures of efficacy such as occurrence of phototoxic reactions, cumulative total pain-free time in sunlight, patient global impression of change (“PGIC”) and time to prodome;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60 mg dose of bitopertin and 6-month treatment duration;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of patients aged 12+ with EPP, including XLP;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Double-blind, placebo-controlled study with ~150 patients randomized 1:1.</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plans to initiate the APOLLO trial by mid-2025 and will include sites in the United States, Canada, Europe and Australia. The Company anticipates submitting a New Drug Application (“NDA”) for bitopertin in EPP and XLP in the second half of 2025 under the Accelerated Approval Program. Based on the anticipated timing of the NDA submission, the Company expects enrollment for the APOLLO trial to be well underway by the Prescription Drug User Fee Act date for accelerated approval, if granted.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including, but not limited to, express or implied statements regarding the Company’s expectations with respect to its potential APOLLO confirmatory clinical study of bitopertin in EPP and XLP patients, including the proposed study design, the anticipated timeline, and the results thereof; and the possible regulatory path forward for bitopertin in EPP, including whether the FDA will determine that the accelerated approval pathway continues to be appropriate, the treatment of the APOLLO clinical study as a post-marketing confirmatory trial and the timeline for a potential NDA submission and accelerated approval, if granted, and whether the NDA submission will meet the standards of accelerated approval. The use of words such as, but not limited to, “believe,” “expect,” “estimate,” “project,” “intend,” “future,” “potential,” “continue,” “may,” “might,” “plan,” “will,” “should,” “seek,” “anticipate,” or “could” or the negative of these terms and other similar words or expressions are intended to identify forward-looking statements. Forward-looking statements are neither historical facts nor assurances of future performance. Instead, they are based on the Company’s current beliefs, expectations and assumptions regarding the future of the Company’s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ectPr>
          <w:pgSz w:w="11900" w:h="16838" w:orient="portrait"/>
          <w:cols w:equalWidth="0" w:num="1">
            <w:col w:w="10960"/>
          </w:cols>
          <w:pgMar w:left="440" w:top="293" w:right="49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Company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nature, strategy and focus of the Company; the Company’s plans to research, develop and commercialize its current and future product candidates; the timing of the availability of data from the Company’s clinical trials; the timing and anticipated results of the Company’s preclinical studies and clinical trials and the risk that the results of the Company’s clinical trials may not be predictive of future results in connection with future studies or clinical trials and may not support further development and marketing approval; and the other risks and uncertainties described in the Company’s filings with the Securities and Exchange Commission, including in the “Risk Factors” section of the Company’s Annual Report on Form 10-K for the year ended December 31, 2023 and in the Company’s Quarterly Report on Form 10-Q for the quarterly period ended September 30, 2024. Any forward-looking statement speaks only as of the date on which it was made. None of the Company, nor its affiliates, advisors or representatives, undertake any obligation to publicly update or revise any forward-looking statement, whether as result of new information, future events or otherwise, except as required by law.</w:t>
      </w:r>
    </w:p>
    <w:p>
      <w:pPr>
        <w:spacing w:after="0" w:line="33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00"/>
        <w:spacing w:after="0"/>
        <w:tabs>
          <w:tab w:leader="none" w:pos="8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74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issued by Disc Medicine, Inc. on January 21, 2025, furnished herewith</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60"/>
          </w:cols>
          <w:pgMar w:left="440" w:top="297" w:right="49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January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John Quisel, J.D., Ph.D.</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65747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74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Disc Medicine Announces Successful Type C Meeting with FDA for Bitopertin in Erythropoietic Protoporphyria (EPP) and Shares Plans for NDA Submission</w:t>
      </w:r>
    </w:p>
    <w:p>
      <w:pPr>
        <w:spacing w:after="0" w:line="158" w:lineRule="exact"/>
        <w:rPr>
          <w:sz w:val="20"/>
          <w:szCs w:val="20"/>
          <w:color w:val="auto"/>
        </w:rPr>
      </w:pPr>
    </w:p>
    <w:p>
      <w:pPr>
        <w:ind w:left="420" w:hanging="316"/>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Pursuing accelerated approval for bitopertin in EPP with protoporphyrin IX (PPIX) reduction as the surrogate endpoint</w:t>
      </w:r>
    </w:p>
    <w:p>
      <w:pPr>
        <w:spacing w:after="0" w:line="130" w:lineRule="exact"/>
        <w:rPr>
          <w:rFonts w:ascii="Times New Roman" w:cs="Times New Roman" w:eastAsia="Times New Roman" w:hAnsi="Times New Roman"/>
          <w:sz w:val="18"/>
          <w:szCs w:val="18"/>
          <w:color w:val="auto"/>
        </w:rPr>
      </w:pPr>
    </w:p>
    <w:p>
      <w:pPr>
        <w:ind w:left="420" w:right="300" w:hanging="316"/>
        <w:spacing w:after="0" w:line="284"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Planning to submit NDA under accelerated approval pathway in H2 2025 based on existing clinical data, including results from BEACON and AURORA Phase 2 trials</w:t>
      </w:r>
    </w:p>
    <w:p>
      <w:pPr>
        <w:spacing w:after="0" w:line="63"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Achieved regulatory alignment on APOLLO post-marketing confirmatory trial design and on track to initiate trial by mid-year 2025</w:t>
      </w:r>
    </w:p>
    <w:p>
      <w:pPr>
        <w:spacing w:after="0" w:line="130" w:lineRule="exact"/>
        <w:rPr>
          <w:rFonts w:ascii="Times New Roman" w:cs="Times New Roman" w:eastAsia="Times New Roman" w:hAnsi="Times New Roman"/>
          <w:sz w:val="18"/>
          <w:szCs w:val="18"/>
          <w:color w:val="auto"/>
        </w:rPr>
      </w:pPr>
    </w:p>
    <w:p>
      <w:pPr>
        <w:ind w:left="420" w:right="100" w:hanging="316"/>
        <w:spacing w:after="0" w:line="284"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Aligned on average monthly time in light without pain during the last month of the 6-month treatment period and percent change from baseline in whole-blood metal-free PPIX after 6 months of treatment as coprimary endpoints for confirmatory trial</w:t>
      </w:r>
    </w:p>
    <w:p>
      <w:pPr>
        <w:spacing w:after="0" w:line="63"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will host a conference call on Tuesday, January 21 at 8:00 am EST.</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WATERTOWN, Mass. January 21, 2025 — Disc Medicine, Inc. (NASDAQ:IRON), a clinical-stage biopharmaceutical company focused on the discovery, development, and commercialization of novel treatments for patients suffering from serious hematologic diseases, today announced positive feedback from its Type C meeting with the U.S. Food and Drug Administration (FDA) to discuss the APOLLO post-marketing confirmatory trial for bitopertin in EPP.</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recent FDA interaction marks another step toward delivering a potentially life-altering therapy for EPP patients, and we appreciate the collaboration with regulators, our investigators, and the EPP patient community which has brought us to this point,” said John Quisel, J.D., Ph.D., President and Chief Executive Officer of Disc. “Last year, we aligned with the FDA on PPIX reduction as a surrogate endpoint for potential accelerated approval of bitopertin, and we are actively pursuing that path with plans to submit an NDA in the second half of 2025. As part of that process, the Type C meeting has provided further clarity on our plans for the APOLLO post-marketing confirmatory trial, which will kick off by the middle of this year and could eventually be the basis for converting an accelerated approval, if granted, to a full approval.”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meeting resulted in alignment on the design of the APOLLO post-marketing confirmatory trial. Key features include:</w:t>
      </w:r>
    </w:p>
    <w:p>
      <w:pPr>
        <w:spacing w:after="0" w:line="131" w:lineRule="exact"/>
        <w:rPr>
          <w:sz w:val="20"/>
          <w:szCs w:val="20"/>
          <w:color w:val="auto"/>
        </w:rPr>
      </w:pPr>
    </w:p>
    <w:p>
      <w:pPr>
        <w:ind w:left="960" w:right="64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Co-primary endpoints of average monthly total time in sunlight without pain between 10:00 and 18:00 during the last month of the 6-month treatment period and percent change from baseline in whole blood metal-free PPIX after 6 months of treatment;</w:t>
      </w:r>
    </w:p>
    <w:p>
      <w:pPr>
        <w:spacing w:after="0" w:line="67" w:lineRule="exact"/>
        <w:rPr>
          <w:rFonts w:ascii="Times New Roman" w:cs="Times New Roman" w:eastAsia="Times New Roman" w:hAnsi="Times New Roman"/>
          <w:sz w:val="18"/>
          <w:szCs w:val="18"/>
          <w:color w:val="auto"/>
        </w:rPr>
      </w:pPr>
    </w:p>
    <w:p>
      <w:pPr>
        <w:ind w:left="960" w:right="80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measures of efficacy such as occurrence of phototoxic reactions, cumulative total pain-free time in sunlight, patient global impression of change (PGIC), and time to prodrome;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60 mg dose of bitopertin and 6-month treatment duration;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of patients aged 12+ with EPP including X-linked protoporphyria (XLP);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Double-blind, placebo-controlled study with ~150 patients randomized 1:1.</w:t>
      </w:r>
    </w:p>
    <w:p>
      <w:pPr>
        <w:spacing w:after="0" w:line="225" w:lineRule="exact"/>
        <w:rPr>
          <w:sz w:val="20"/>
          <w:szCs w:val="20"/>
          <w:color w:val="auto"/>
        </w:rPr>
      </w:pPr>
    </w:p>
    <w:p>
      <w:pPr>
        <w:jc w:val="both"/>
        <w:ind w:right="420"/>
        <w:spacing w:after="0" w:line="312" w:lineRule="auto"/>
        <w:rPr>
          <w:sz w:val="20"/>
          <w:szCs w:val="20"/>
          <w:color w:val="auto"/>
        </w:rPr>
      </w:pPr>
      <w:r>
        <w:rPr>
          <w:rFonts w:ascii="Times New Roman" w:cs="Times New Roman" w:eastAsia="Times New Roman" w:hAnsi="Times New Roman"/>
          <w:sz w:val="17"/>
          <w:szCs w:val="17"/>
          <w:color w:val="auto"/>
        </w:rPr>
        <w:t>Disc plans to initiate the APOLLO trial by mid-2025 and will include sites in the US, Canada, Europe, and Australia. Based on guidance toward an NDA submission in H2 2025, Disc expects enrollment of the APOLLO trial to be well underway by the time of an accelerated approval, if granted.</w:t>
      </w:r>
    </w:p>
    <w:p>
      <w:pPr>
        <w:sectPr>
          <w:pgSz w:w="11900" w:h="16838" w:orient="portrait"/>
          <w:cols w:equalWidth="0" w:num="1">
            <w:col w:w="11020"/>
          </w:cols>
          <w:pgMar w:left="440" w:top="117" w:right="439" w:bottom="1440" w:gutter="0" w:footer="0" w:header="0"/>
        </w:sectPr>
      </w:pPr>
    </w:p>
    <w:bookmarkStart w:id="5" w:name="page6"/>
    <w:bookmarkEnd w:id="5"/>
    <w:p>
      <w:pPr>
        <w:ind w:right="8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70002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700020" cy="488315"/>
                    </a:xfrm>
                    <a:prstGeom prst="rect">
                      <a:avLst/>
                    </a:prstGeom>
                    <a:noFill/>
                  </pic:spPr>
                </pic:pic>
              </a:graphicData>
            </a:graphic>
          </wp:anchor>
        </w:drawing>
        <w:t>Management will host a call to discuss these updates on Tuesday, January 21 at 8:00 am EST. Please register for the event on the Events and Presentations page of Disc’s website (https://ir.discmedicine.com/).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Bitopertin</w:t>
      </w:r>
    </w:p>
    <w:p>
      <w:pPr>
        <w:spacing w:after="0" w:line="12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Bitopertin is an investigational, clinical-stage, orally administered inhibitor of glycine transporter 1 (GlyT1) that is designed to modulate heme biosynthesis. GlyT1 is a membrane transporter expressed on developing red blood cells and is required to supply sufficient glycine for heme biosynthesis and support erythropoiesis. Disc is planning to develop bitopertin as a potential treatment for a range of hematologic diseases including erythropoietic porphyrias, where it has potential to be the first disease-modifying therapy. Bitopertin has been studied in multiple clinical trials in patients with EPP, including the Phase 2 open-label BEACON trial, the Phase 2 double-blind, placebo-controlled AURORA trial, and an open-label extension HELIOS trial.</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Bitopertin is an investigational agent and is not approved for use as a therapy in any jurisdiction worldwide. Disc obtained global rights to bitopertin under a license agreement from Roche in May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Erythropoietic Protoporphyria (EPP)</w:t>
      </w:r>
    </w:p>
    <w:p>
      <w:pPr>
        <w:spacing w:after="0" w:line="12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color w:val="auto"/>
        </w:rPr>
        <w:t>Erythropoietic protoporphyria (EPP), including X-linked Protoporphyria (XLP), is a rare, debilitating and potentially life-threatening disease caused by mutations that affect heme biosynthesis, resulting in the accumulation of a toxic, photoactive intermediate called protoporphyrin IX (PPIX). This causes severe reactions when patients are exposed to sunlight, characterized by excruciating pain, edema, burning sensations and potential blistering and disfigurement. PPIX also accumulates in the hepatobiliary system and can result in complications including gallstones, cholestasis, and liver damage in 20-30% of patients and in extreme cases liver failure. Current standard of care involves extreme measures to avoid sunlight, including restricting outdoor activities to nighttime, use of protective clothing and opaque shields, and pain management. This has a significant impact on the psychosocial development, quality of life, and daily activities of patients, particularly in young children and families. There is currently no cure for EPP and only one FDA-approved therapy, a surgically implanted synthetic hormone designed to stimulate melanin production called Scenesse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(afamelanotide).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Disc Medicine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www.discmedicine.com.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Cautionary Statement Regarding Forward-Looking Statements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express or implied statements regarding Disc’s expectations with respect to its potential APOLLO confirmatory clinical study of bitopertin in EPP and XLP patients, including the proposed study design, the anticipated timeline, and the results thereof; and the possible regulatory path forward for bitopertin in EPP, including whether the FDA will determine that the accelerated approval pathway continues to be appropriate, the treatment of the APOLLO clinical study as a post-marketing confirmatory trial, and the timeline for a potential NDA submission and accelerated approval, if granted, and whether the NDA submission will meet the standards of accelerated approval. The use of words such as, but not limited to, “believe,” “expect,” “estimate,” “project,” “intend,” “future,”</w:t>
      </w:r>
    </w:p>
    <w:p>
      <w:pPr>
        <w:sectPr>
          <w:pgSz w:w="11900" w:h="16838" w:orient="portrait"/>
          <w:cols w:equalWidth="0" w:num="1">
            <w:col w:w="10960"/>
          </w:cols>
          <w:pgMar w:left="440" w:top="1188" w:right="499" w:bottom="1440" w:gutter="0" w:footer="0" w:header="0"/>
        </w:sectPr>
      </w:pPr>
    </w:p>
    <w:bookmarkStart w:id="6" w:name="page7"/>
    <w:bookmarkEnd w:id="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700020"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700020" cy="488315"/>
                    </a:xfrm>
                    <a:prstGeom prst="rect">
                      <a:avLst/>
                    </a:prstGeom>
                    <a:noFill/>
                  </pic:spPr>
                </pic:pic>
              </a:graphicData>
            </a:graphic>
          </wp:anchor>
        </w:drawing>
        <w:t>“potential,”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and the other risks and uncertainties described in Disc’s filings with the Securities and Exchange Commission, including in the “Risk Factors” section of its Annual Report on Form 10-K for the year ended December 31, 2023, and in its Quarterly Report on Form 10-Q for the quarterly period ended September 30, 2024.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peg.rusconi@deerfieldgroup.com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Tartaglia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Precision 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christina.tartaglia@precisionaq.com</w:t>
      </w:r>
    </w:p>
    <w:sectPr>
      <w:pgSz w:w="11900" w:h="16838" w:orient="portrait"/>
      <w:cols w:equalWidth="0" w:num="1">
        <w:col w:w="10980"/>
      </w:cols>
      <w:pgMar w:left="440" w:top="118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2025-01-21T06:54:54Z</dcterms:created>
  <dcterms:modified xsi:type="dcterms:W3CDTF">2025-01-21T06:54:54Z</dcterms:modified>
</cp:coreProperties>
</file>