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21, 2024</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60"/>
          </w:cols>
          <w:pgMar w:left="440" w:top="225" w:right="499" w:bottom="24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85-1612845</w:t>
      </w:r>
    </w:p>
    <w:p>
      <w:pPr>
        <w:spacing w:after="0" w:line="12" w:lineRule="exact"/>
        <w:rPr>
          <w:sz w:val="24"/>
          <w:szCs w:val="24"/>
          <w:color w:val="auto"/>
        </w:rPr>
      </w:pPr>
    </w:p>
    <w:p>
      <w:pPr>
        <w:sectPr>
          <w:pgSz w:w="11900" w:h="16838" w:orient="portrait"/>
          <w:cols w:equalWidth="0" w:num="2">
            <w:col w:w="7180" w:space="720"/>
            <w:col w:w="3060"/>
          </w:cols>
          <w:pgMar w:left="440" w:top="225" w:right="499" w:bottom="244"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2">
            <w:col w:w="6900" w:space="720"/>
            <w:col w:w="3340"/>
          </w:cols>
          <w:pgMar w:left="440" w:top="225" w:right="499" w:bottom="244" w:gutter="0" w:footer="0" w:header="0"/>
          <w:type w:val="continuous"/>
        </w:sectPr>
      </w:pP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321 Arsenal Street, Suite 101</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(617) 674-9274</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ectPr>
          <w:pgSz w:w="11900" w:h="16838" w:orient="portrait"/>
          <w:cols w:equalWidth="0" w:num="1">
            <w:col w:w="10960"/>
          </w:cols>
          <w:pgMar w:left="440" w:top="225" w:right="499" w:bottom="244" w:gutter="0" w:footer="0" w:header="0"/>
          <w:type w:val="continuous"/>
        </w:sectPr>
      </w:pP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Disc Medicine, Inc. Amended and Restated 2021 Stock Option and Incentive Plan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Disc Medicine, Inc. Amended and Restated 2021 Employee Stock Purchase Plan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 Option Inducement Awards</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Restricted Stock Unit Inducement Awards</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John Quisel, J.D., Ph.D.</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321 Arsenal Street, Suite 101</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(617) 674-9274</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86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50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37"/>
        </w:trPr>
        <w:tc>
          <w:tcPr>
            <w:tcW w:w="25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William D. Collins, Esq.</w:t>
            </w:r>
          </w:p>
        </w:tc>
        <w:tc>
          <w:tcPr>
            <w:tcW w:w="5020" w:type="dxa"/>
            <w:vAlign w:val="bottom"/>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8"/>
              </w:rPr>
              <w:t>Rahul Khara</w:t>
            </w:r>
          </w:p>
        </w:tc>
      </w:tr>
      <w:tr>
        <w:trPr>
          <w:trHeight w:val="216"/>
        </w:trPr>
        <w:tc>
          <w:tcPr>
            <w:tcW w:w="25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Courtney Hetrick, Esq.</w:t>
            </w:r>
          </w:p>
        </w:tc>
        <w:tc>
          <w:tcPr>
            <w:tcW w:w="5020" w:type="dxa"/>
            <w:vAlign w:val="bottom"/>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9"/>
              </w:rPr>
              <w:t>General Counsel</w:t>
            </w:r>
          </w:p>
        </w:tc>
      </w:tr>
      <w:tr>
        <w:trPr>
          <w:trHeight w:val="216"/>
        </w:trPr>
        <w:tc>
          <w:tcPr>
            <w:tcW w:w="25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Alicia Tschirhart, Esq.</w:t>
            </w:r>
          </w:p>
        </w:tc>
        <w:tc>
          <w:tcPr>
            <w:tcW w:w="5020" w:type="dxa"/>
            <w:vAlign w:val="bottom"/>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rPr>
              <w:t>Disc Medicine, Inc.</w:t>
            </w:r>
          </w:p>
        </w:tc>
      </w:tr>
      <w:tr>
        <w:trPr>
          <w:trHeight w:val="216"/>
        </w:trPr>
        <w:tc>
          <w:tcPr>
            <w:tcW w:w="25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Goodwin Procter LLP</w:t>
            </w:r>
          </w:p>
        </w:tc>
        <w:tc>
          <w:tcPr>
            <w:tcW w:w="5020" w:type="dxa"/>
            <w:vAlign w:val="bottom"/>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9"/>
              </w:rPr>
              <w:t>321 Arsenal Street, Suite 101</w:t>
            </w:r>
          </w:p>
        </w:tc>
      </w:tr>
      <w:tr>
        <w:trPr>
          <w:trHeight w:val="216"/>
        </w:trPr>
        <w:tc>
          <w:tcPr>
            <w:tcW w:w="25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100 Northern Avenue</w:t>
            </w:r>
          </w:p>
        </w:tc>
        <w:tc>
          <w:tcPr>
            <w:tcW w:w="5020" w:type="dxa"/>
            <w:vAlign w:val="bottom"/>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rPr>
              <w:t>Watertown, MA 02472</w:t>
            </w:r>
          </w:p>
        </w:tc>
      </w:tr>
      <w:tr>
        <w:trPr>
          <w:trHeight w:val="216"/>
        </w:trPr>
        <w:tc>
          <w:tcPr>
            <w:tcW w:w="256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rPr>
              <w:t>Boston, MA 02210</w:t>
            </w:r>
          </w:p>
        </w:tc>
        <w:tc>
          <w:tcPr>
            <w:tcW w:w="5020" w:type="dxa"/>
            <w:vAlign w:val="bottom"/>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9"/>
              </w:rPr>
              <w:t>(617) 674-9274</w:t>
            </w:r>
          </w:p>
        </w:tc>
      </w:tr>
      <w:tr>
        <w:trPr>
          <w:trHeight w:val="238"/>
        </w:trPr>
        <w:tc>
          <w:tcPr>
            <w:tcW w:w="25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(617) 570-1000</w:t>
            </w:r>
          </w:p>
        </w:tc>
        <w:tc>
          <w:tcPr>
            <w:tcW w:w="50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231140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5" w:right="499" w:bottom="244" w:gutter="0" w:footer="0" w:header="0"/>
          <w:type w:val="continuous"/>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Registration Statement on Form S-8 registers (i) additional shares of common stock, $0.0001 par value per share (“Common Stock”), of Disc Medicine, Inc. (the “Registrant”) under the Registrant’s Amended and Restated 2021 Stock Option and Incentive Plan (the “2021 Plan”), (ii) additional shares of Common Stock under the Registrant’s Amended and Restated 2021 Employee Stock Purchase Plan (the “2021 ESPP”) and (iii) shares of Common Stock pursuant to the inducement awards described herein.</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number of shares of Common Stock reserved and available for issuance under the 2021 Plan is subject to an automatic annual increase on each January 1, beginning in 2022, by an amount equal to the lesser of: (i) four percent (4%) of the number of shares of Common Stock issued and outstanding on the immediately preceding December 31 or (ii) such lesser number of shares of Common Stock as determined by the Registrant’s board of directors or the compensation committee of the Registrant’s board of directors. Accordingly, on January 1, 2024, the number of shares of Common Stock reserved and available for issuance under the 2021 Plan increased by 974,409 shares.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number of shares of Common Stock reserved and available for issuance under the 2021 ESPP is subject to an automatic increase beginning on January 1, 2023 and each January 1 thereafter through January 1, 2031, by the least of (i) 1% of the outstanding number of shares of Common Stock on the immediately preceding December 31, (ii) 43,055 shares of Common Stock, or (iii) such number of shares of Common Stock as determined by the administrator of the 2021 ESPP. Accordingly, on January 1, 2024, the number of shares of Common Stock reserved and available for issuance under the 2021 ESPP increased by 43,055 shares.</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Registration Statement also registers shares of Common Stock issuable pursuant to the inducement awards, as described below. To induce the individuals listed below to accept employment with the Registrant, the Registrant granted the following equity awards to such individuals (collectively, the “</w:t>
      </w:r>
      <w:r>
        <w:rPr>
          <w:rFonts w:ascii="Times New Roman" w:cs="Times New Roman" w:eastAsia="Times New Roman" w:hAnsi="Times New Roman"/>
          <w:sz w:val="18"/>
          <w:szCs w:val="18"/>
          <w:u w:val="single" w:color="auto"/>
          <w:color w:val="auto"/>
        </w:rPr>
        <w:t>Inducement Awards</w:t>
      </w:r>
      <w:r>
        <w:rPr>
          <w:rFonts w:ascii="Times New Roman" w:cs="Times New Roman" w:eastAsia="Times New Roman" w:hAnsi="Times New Roman"/>
          <w:sz w:val="18"/>
          <w:szCs w:val="18"/>
          <w:color w:val="auto"/>
        </w:rPr>
        <w:t>”) on the dates listed below:</w:t>
      </w:r>
    </w:p>
    <w:p>
      <w:pPr>
        <w:spacing w:after="0" w:line="81" w:lineRule="exact"/>
        <w:rPr>
          <w:sz w:val="20"/>
          <w:szCs w:val="20"/>
          <w:color w:val="auto"/>
        </w:rPr>
      </w:pPr>
    </w:p>
    <w:p>
      <w:pPr>
        <w:ind w:left="960" w:right="8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55,000 shares of Common Stock and 36,666 restricted stock units granted to induce the recipient to accept employment as the Registrant’s Chief Financial Officer, such grant approved on February 5, 2024, and effective as of the commencement of the recipient’s employment with the Registrant on February 7, 2024.</w:t>
      </w:r>
    </w:p>
    <w:p>
      <w:pPr>
        <w:spacing w:after="0" w:line="81" w:lineRule="exact"/>
        <w:rPr>
          <w:rFonts w:ascii="Times New Roman" w:cs="Times New Roman" w:eastAsia="Times New Roman" w:hAnsi="Times New Roman"/>
          <w:sz w:val="18"/>
          <w:szCs w:val="18"/>
          <w:color w:val="auto"/>
        </w:rPr>
      </w:pPr>
    </w:p>
    <w:p>
      <w:pPr>
        <w:ind w:left="960" w:right="84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55,000 shares of Common Stock and 36,666 restricted stock units granted to induce the recipient to accept employment as the Registrant’s Chief Commercial Officer, such grant approved on February 23, 2024, and effective as of the commencement of the recipient’s employment with the Registrant on February 26, 2024.</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Inducement Awards were approved by the Registrant’s Board of Directors, including a majority of the Registrant’s independent Directors, in compliance with and in reliance on Nasdaq Listing Rule 5635(c)(4). The Inducement Awards were granted outside of the 2021 Plan.</w:t>
      </w:r>
    </w:p>
    <w:p>
      <w:pPr>
        <w:spacing w:after="0" w:line="162" w:lineRule="exact"/>
        <w:rPr>
          <w:sz w:val="20"/>
          <w:szCs w:val="20"/>
          <w:color w:val="auto"/>
        </w:rPr>
      </w:pPr>
    </w:p>
    <w:p>
      <w:pPr>
        <w:ind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additional shares reserved and available for future issuance under the 2021 Plan and 2021 ESPP are of the same class as other securities relating to the 2021 Plan and 2021 ESPP for which the Registrant’s Registration Statements filed on Form S-8 filed with the Securities and Exchange Commission on </w:t>
      </w:r>
      <w:hyperlink r:id="rId19">
        <w:r>
          <w:rPr>
            <w:rFonts w:ascii="Times New Roman" w:cs="Times New Roman" w:eastAsia="Times New Roman" w:hAnsi="Times New Roman"/>
            <w:sz w:val="18"/>
            <w:szCs w:val="18"/>
            <w:u w:val="single" w:color="auto"/>
            <w:color w:val="0000EE"/>
          </w:rPr>
          <w:t>April 13,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333-255194), </w:t>
      </w:r>
      <w:hyperlink r:id="rId20">
        <w:r>
          <w:rPr>
            <w:rFonts w:ascii="Times New Roman" w:cs="Times New Roman" w:eastAsia="Times New Roman" w:hAnsi="Times New Roman"/>
            <w:sz w:val="18"/>
            <w:szCs w:val="18"/>
            <w:u w:val="single" w:color="auto"/>
            <w:color w:val="0000EE"/>
          </w:rPr>
          <w:t>October 14,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333-260243), </w:t>
      </w:r>
      <w:hyperlink r:id="rId21">
        <w:r>
          <w:rPr>
            <w:rFonts w:ascii="Times New Roman" w:cs="Times New Roman" w:eastAsia="Times New Roman" w:hAnsi="Times New Roman"/>
            <w:sz w:val="18"/>
            <w:szCs w:val="18"/>
            <w:u w:val="single" w:color="auto"/>
            <w:color w:val="0000EE"/>
          </w:rPr>
          <w:t>March 10,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333-263410) and </w:t>
      </w:r>
      <w:hyperlink r:id="rId22">
        <w:r>
          <w:rPr>
            <w:rFonts w:ascii="Times New Roman" w:cs="Times New Roman" w:eastAsia="Times New Roman" w:hAnsi="Times New Roman"/>
            <w:sz w:val="18"/>
            <w:szCs w:val="18"/>
            <w:u w:val="single" w:color="auto"/>
            <w:color w:val="0000EE"/>
          </w:rPr>
          <w:t>January 17,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333-269271), are effective. The information contained in the Registrant’s Registration Statements on Form S-8 (Registration No. 333-255194, 333-260243, 333-263410 and 333-269271) is hereby incorporated by reference pursuant to General Instruction E.</w:t>
      </w:r>
    </w:p>
    <w:p>
      <w:pPr>
        <w:sectPr>
          <w:pgSz w:w="11900" w:h="16838" w:orient="portrait"/>
          <w:cols w:equalWidth="0" w:num="1">
            <w:col w:w="10940"/>
          </w:cols>
          <w:pgMar w:left="440" w:top="266" w:right="5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specified in Part I of Form S-8 is omitted from this filing in accordance with the provisions of Rule 428 under the Securities Act of 1933, as amended (the “Securities Act”) and the introductory note to Part I of the Form S-8 instructions. The documents containing the information specified in Part I will be delivered to the persons to whom the Inducement Awards have been granted as required by Rule 428(b)(1) under the Securities Act.</w:t>
      </w:r>
    </w:p>
    <w:p>
      <w:pPr>
        <w:sectPr>
          <w:pgSz w:w="11900" w:h="16838" w:orient="portrait"/>
          <w:cols w:equalWidth="0" w:num="1">
            <w:col w:w="11000"/>
          </w:cols>
          <w:pgMar w:left="440" w:top="266" w:right="4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filed with the Commission:</w:t>
      </w:r>
    </w:p>
    <w:p>
      <w:pPr>
        <w:spacing w:after="0" w:line="131" w:lineRule="exact"/>
        <w:rPr>
          <w:sz w:val="20"/>
          <w:szCs w:val="20"/>
          <w:color w:val="auto"/>
        </w:rPr>
      </w:pPr>
    </w:p>
    <w:p>
      <w:pPr>
        <w:ind w:left="960" w:right="38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2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March 21, 2024 (including the information specifically incorporated by reference therein from the Registrant’s definitive proxy statement relating to the 2024 annual meeting of stockholders (other than information furnished rather than filed));</w:t>
      </w:r>
    </w:p>
    <w:p>
      <w:pPr>
        <w:spacing w:after="0" w:line="81" w:lineRule="exact"/>
        <w:rPr>
          <w:rFonts w:ascii="Times New Roman" w:cs="Times New Roman" w:eastAsia="Times New Roman" w:hAnsi="Times New Roman"/>
          <w:sz w:val="18"/>
          <w:szCs w:val="18"/>
          <w:color w:val="auto"/>
        </w:rPr>
      </w:pPr>
    </w:p>
    <w:p>
      <w:pPr>
        <w:ind w:left="960" w:right="74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26">
        <w:r>
          <w:rPr>
            <w:rFonts w:ascii="Times New Roman" w:cs="Times New Roman" w:eastAsia="Times New Roman" w:hAnsi="Times New Roman"/>
            <w:sz w:val="18"/>
            <w:szCs w:val="18"/>
            <w:u w:val="single" w:color="auto"/>
            <w:color w:val="0000EE"/>
          </w:rPr>
          <w:t>February 7,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(excluding information furnished pursuant to Item 7.01, or corresponding information furnished under Item 9.01 or included as an exhibit); and</w:t>
      </w:r>
    </w:p>
    <w:p>
      <w:pPr>
        <w:spacing w:after="0" w:line="67" w:lineRule="exact"/>
        <w:rPr>
          <w:rFonts w:ascii="Times New Roman" w:cs="Times New Roman" w:eastAsia="Times New Roman" w:hAnsi="Times New Roman"/>
          <w:sz w:val="18"/>
          <w:szCs w:val="18"/>
          <w:color w:val="auto"/>
        </w:rPr>
      </w:pPr>
    </w:p>
    <w:p>
      <w:pPr>
        <w:ind w:left="960" w:hanging="424"/>
        <w:spacing w:after="0" w:line="258"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Registration Statement on </w:t>
      </w:r>
      <w:hyperlink r:id="rId2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August 10, 2020, and as set forth by the description of the Registrant’s Common Stock set forth in </w:t>
      </w:r>
      <w:hyperlink r:id="rId28">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Registrant’s Annual Report on Form 10-K for the year ended December 31, 2021, filed with the SEC on March 10, 2022, and as further supplemented by the description of the Registrant’s common stock set forth in the Registrant’s Registration Statement on </w:t>
      </w:r>
      <w:hyperlink r:id="rId29">
        <w:r>
          <w:rPr>
            <w:rFonts w:ascii="Times New Roman" w:cs="Times New Roman" w:eastAsia="Times New Roman" w:hAnsi="Times New Roman"/>
            <w:sz w:val="18"/>
            <w:szCs w:val="18"/>
            <w:u w:val="single" w:color="auto"/>
            <w:color w:val="0000EE"/>
          </w:rPr>
          <w:t>Form S-4/A,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December 1, 2022, including any amendments or reports filed for the purpose of updating such description.</w:t>
      </w:r>
    </w:p>
    <w:p>
      <w:pPr>
        <w:spacing w:after="0" w:line="183" w:lineRule="exact"/>
        <w:rPr>
          <w:rFonts w:ascii="Times New Roman" w:cs="Times New Roman" w:eastAsia="Times New Roman" w:hAnsi="Times New Roman"/>
          <w:sz w:val="18"/>
          <w:szCs w:val="18"/>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All documents that the Registrant subsequently files pursuant to Sections 13(a), 13(c), 14 and 15(d) of the Exchange Act prior to the filing of a post-effective amendment to this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w:t>
      </w:r>
    </w:p>
    <w:p>
      <w:pPr>
        <w:spacing w:after="0" w:line="180" w:lineRule="exact"/>
        <w:rPr>
          <w:rFonts w:ascii="Times New Roman" w:cs="Times New Roman" w:eastAsia="Times New Roman" w:hAnsi="Times New Roman"/>
          <w:sz w:val="18"/>
          <w:szCs w:val="18"/>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0" w:lineRule="exact"/>
        <w:rPr>
          <w:rFonts w:ascii="Times New Roman" w:cs="Times New Roman" w:eastAsia="Times New Roman" w:hAnsi="Times New Roman"/>
          <w:sz w:val="18"/>
          <w:szCs w:val="18"/>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Under no circumstances will any information filed under current items 2.02 or 7.01 of Form 8-K be deemed incorporated herein by reference unless such Form 8-K expressly provides to the contrary.</w:t>
      </w:r>
    </w:p>
    <w:p>
      <w:pPr>
        <w:spacing w:after="0" w:line="26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rFonts w:ascii="Times New Roman" w:cs="Times New Roman" w:eastAsia="Times New Roman" w:hAnsi="Times New Roman"/>
          <w:sz w:val="18"/>
          <w:szCs w:val="18"/>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ectPr>
          <w:pgSz w:w="11900" w:h="16838" w:orient="portrait"/>
          <w:cols w:equalWidth="0" w:num="1">
            <w:col w:w="10980"/>
          </w:cols>
          <w:pgMar w:left="440" w:top="266" w:right="479" w:bottom="1440" w:gutter="0" w:footer="0" w:header="0"/>
        </w:sectPr>
      </w:pPr>
    </w:p>
    <w:bookmarkStart w:id="4" w:name="page5"/>
    <w:bookmarkEnd w:id="4"/>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Registrant has adopted provisions in the Registrant’s certificate of incorporation and bylaws that limit or eliminate the personal liability of the Registrant’s directors to the fullest extent permitted by the DGCL, as it now exists or may in the future be amended. Consequently, a director will not be personally liable to the Registrant or its stockholders for monetary damages or breach of fiduciary duty as a director, except for liability for:</w:t>
      </w:r>
    </w:p>
    <w:p>
      <w:pPr>
        <w:spacing w:after="0" w:line="81"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Registrant or its stockholders;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unlawful payments related to dividends or unlawful stock purchases, redemptions or other distributions;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alter director liability under the federal securities laws and do not affect the availability of equitable remedies such as an injunction or rescission.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Registrant’s bylaws provide that:</w:t>
      </w:r>
    </w:p>
    <w:p>
      <w:pPr>
        <w:spacing w:after="0" w:line="131" w:lineRule="exact"/>
        <w:rPr>
          <w:sz w:val="20"/>
          <w:szCs w:val="20"/>
          <w:color w:val="auto"/>
        </w:rPr>
      </w:pPr>
    </w:p>
    <w:p>
      <w:pPr>
        <w:ind w:left="960" w:right="28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will indemnify its directors, officers and, in the discretion of its board of directors, certain employees to the fullest extent permitted by the DGCL, as it now exists or may in the future be amended; and</w:t>
      </w:r>
    </w:p>
    <w:p>
      <w:pPr>
        <w:spacing w:after="0" w:line="67" w:lineRule="exact"/>
        <w:rPr>
          <w:rFonts w:ascii="Times New Roman" w:cs="Times New Roman" w:eastAsia="Times New Roman" w:hAnsi="Times New Roman"/>
          <w:sz w:val="18"/>
          <w:szCs w:val="18"/>
          <w:color w:val="auto"/>
        </w:rPr>
      </w:pPr>
    </w:p>
    <w:p>
      <w:pPr>
        <w:ind w:left="960" w:right="60" w:hanging="424"/>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will advance expenses, including attorneys’ fees, to its directors and, in the discretion of its board of directors, to its officers and certain employees, in connection with legal proceedings relating to their service for or on behalf of the registrant, subject to limited exceptions.</w:t>
      </w:r>
    </w:p>
    <w:p>
      <w:pPr>
        <w:spacing w:after="0" w:line="176"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several of its directors and executive officers. These agreements provide that the Registrant will indemnify each of its directors and executive officers to the fullest extent permitted by Delaware law. The Registrant will advance expenses, including attorneys’ fees (but excluding judgments, fines and settlement amounts), to each indemnified director or executive officer in connection with any proceeding in which indemnification is available and the Registrant will indemnify its directors and officers for any action or proceeding arising out of that person’s services as a director or officer brought on behalf of the Registrant or in furtherance of the Registrant’s rights. Additionally, certain of the Registrant’s directors may have certain rights to indemnification, advancement of expenses or insurance provided by their affiliates or other third parties, which indemnification relates to and might apply to the same proceedings arising out of such director’s services as a director referenced herein. Nonetheless, the Registrant has agreed in the indemnification agreements that the Registrant’s obligations to those same directors are primary and any obligation of such affiliates or other third parties to advance expenses or to provide indemnification for the expenses or liabilities incurred by those directors are secondary.</w:t>
      </w:r>
    </w:p>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 also maintains general liability insurance which covers certain liabilities of its directors and officers arising out of claims based on acts or omissions in their capacities as directors or officers, including liabilities under the Securities 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00"/>
          </w:cols>
          <w:pgMar w:left="440" w:top="270" w:right="45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 Exhibits.</w:t>
      </w:r>
    </w:p>
    <w:p>
      <w:pPr>
        <w:spacing w:after="0" w:line="200" w:lineRule="exact"/>
        <w:rPr>
          <w:sz w:val="20"/>
          <w:szCs w:val="20"/>
          <w:color w:val="auto"/>
        </w:rPr>
      </w:pPr>
    </w:p>
    <w:p>
      <w:pPr>
        <w:spacing w:after="0" w:line="241"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20" w:type="dxa"/>
            <w:vAlign w:val="bottom"/>
          </w:tcPr>
          <w:p>
            <w:pPr>
              <w:ind w:left="40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20" w:type="dxa"/>
            <w:vAlign w:val="bottom"/>
            <w:vMerge w:val="restart"/>
          </w:tcPr>
          <w:p>
            <w:pPr>
              <w:ind w:left="4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300" w:type="dxa"/>
            <w:vAlign w:val="bottom"/>
          </w:tcPr>
          <w:p>
            <w:pPr>
              <w:spacing w:after="0"/>
              <w:rPr>
                <w:sz w:val="15"/>
                <w:szCs w:val="15"/>
                <w:color w:val="auto"/>
              </w:rPr>
            </w:pPr>
          </w:p>
        </w:tc>
        <w:tc>
          <w:tcPr>
            <w:tcW w:w="10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84" w:hanging="84"/>
        <w:spacing w:after="0"/>
        <w:tabs>
          <w:tab w:leader="none" w:pos="84" w:val="left"/>
        </w:tabs>
        <w:numPr>
          <w:ilvl w:val="0"/>
          <w:numId w:val="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6"/>
          <w:szCs w:val="16"/>
          <w:color w:val="auto"/>
        </w:rPr>
        <w:t>  4.1</w:t>
      </w:r>
      <w:hyperlink r:id="rId32">
        <w:r>
          <w:rPr>
            <w:rFonts w:ascii="Times New Roman" w:cs="Times New Roman" w:eastAsia="Times New Roman" w:hAnsi="Times New Roman"/>
            <w:sz w:val="18"/>
            <w:szCs w:val="18"/>
            <w:u w:val="single" w:color="auto"/>
            <w:color w:val="0000EE"/>
          </w:rPr>
          <w:t>Form of Specimen Common Stock Certificate (incorporated by reference to Exhibit 4.1 to Form S-4/A filed on January 19, 2021).</w:t>
        </w:r>
      </w:hyperlink>
    </w:p>
    <w:p>
      <w:pPr>
        <w:spacing w:after="0" w:line="117" w:lineRule="exact"/>
        <w:rPr>
          <w:rFonts w:ascii="Times New Roman" w:cs="Times New Roman" w:eastAsia="Times New Roman" w:hAnsi="Times New Roman"/>
          <w:sz w:val="18"/>
          <w:szCs w:val="18"/>
          <w:u w:val="single" w:color="auto"/>
          <w:color w:val="0000EE"/>
        </w:rPr>
      </w:pPr>
    </w:p>
    <w:p>
      <w:pPr>
        <w:ind w:left="804" w:right="260" w:hanging="804"/>
        <w:spacing w:after="0" w:line="282" w:lineRule="auto"/>
        <w:tabs>
          <w:tab w:leader="none" w:pos="84" w:val="left"/>
        </w:tabs>
        <w:numPr>
          <w:ilvl w:val="0"/>
          <w:numId w:val="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4.2</w:t>
      </w:r>
      <w:hyperlink r:id="rId33">
        <w:r>
          <w:rPr>
            <w:rFonts w:ascii="Times New Roman" w:cs="Times New Roman" w:eastAsia="Times New Roman" w:hAnsi="Times New Roman"/>
            <w:sz w:val="18"/>
            <w:szCs w:val="18"/>
            <w:u w:val="single" w:color="auto"/>
            <w:color w:val="0000EE"/>
          </w:rPr>
          <w:t>Second Amended and Restated Articles of Incorporation of Gemini Therapeutics, Inc. (incorporated by reference to Exhibit 3.1 to Current</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Report on Form 8-K filed on February 11, 2021).</w:t>
        </w:r>
      </w:hyperlink>
    </w:p>
    <w:p>
      <w:pPr>
        <w:spacing w:after="0" w:line="53" w:lineRule="exact"/>
        <w:rPr>
          <w:rFonts w:ascii="Times New Roman" w:cs="Times New Roman" w:eastAsia="Times New Roman" w:hAnsi="Times New Roman"/>
          <w:sz w:val="18"/>
          <w:szCs w:val="18"/>
          <w:u w:val="single" w:color="auto"/>
          <w:color w:val="0000EE"/>
        </w:rPr>
      </w:pPr>
    </w:p>
    <w:p>
      <w:pPr>
        <w:ind w:left="804" w:right="920" w:hanging="804"/>
        <w:spacing w:after="0" w:line="282" w:lineRule="auto"/>
        <w:tabs>
          <w:tab w:leader="none" w:pos="84" w:val="left"/>
        </w:tabs>
        <w:numPr>
          <w:ilvl w:val="0"/>
          <w:numId w:val="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4.3</w:t>
      </w:r>
      <w:hyperlink r:id="rId34">
        <w:r>
          <w:rPr>
            <w:rFonts w:ascii="Times New Roman" w:cs="Times New Roman" w:eastAsia="Times New Roman" w:hAnsi="Times New Roman"/>
            <w:sz w:val="18"/>
            <w:szCs w:val="18"/>
            <w:u w:val="single" w:color="auto"/>
            <w:color w:val="0000EE"/>
          </w:rPr>
          <w:t>Certificate of Amendment to the Amended and Restated Certificate of Incorporation of the Registrant, dated December 28, 2022</w:t>
        </w:r>
      </w:hyperlink>
      <w:r>
        <w:rPr>
          <w:rFonts w:ascii="Times New Roman" w:cs="Times New Roman" w:eastAsia="Times New Roman" w:hAnsi="Times New Roman"/>
          <w:sz w:val="18"/>
          <w:szCs w:val="18"/>
          <w:u w:val="single" w:color="auto"/>
          <w:color w:val="0000EE"/>
        </w:rPr>
        <w:t xml:space="preserve"> </w:t>
      </w:r>
      <w:hyperlink r:id="rId34">
        <w:r>
          <w:rPr>
            <w:rFonts w:ascii="Times New Roman" w:cs="Times New Roman" w:eastAsia="Times New Roman" w:hAnsi="Times New Roman"/>
            <w:sz w:val="18"/>
            <w:szCs w:val="18"/>
            <w:u w:val="single" w:color="auto"/>
            <w:color w:val="0000EE"/>
          </w:rPr>
          <w:t>(incorporated by reference to Exhibit 3.1 to Current Report on Form 8-K filed on December 29, 2022).</w:t>
        </w:r>
      </w:hyperlink>
    </w:p>
    <w:p>
      <w:pPr>
        <w:spacing w:after="0" w:line="53" w:lineRule="exact"/>
        <w:rPr>
          <w:rFonts w:ascii="Times New Roman" w:cs="Times New Roman" w:eastAsia="Times New Roman" w:hAnsi="Times New Roman"/>
          <w:sz w:val="18"/>
          <w:szCs w:val="18"/>
          <w:u w:val="single" w:color="auto"/>
          <w:color w:val="0000EE"/>
        </w:rPr>
      </w:pPr>
    </w:p>
    <w:p>
      <w:pPr>
        <w:ind w:left="804" w:right="920" w:hanging="804"/>
        <w:spacing w:after="0" w:line="282" w:lineRule="auto"/>
        <w:tabs>
          <w:tab w:leader="none" w:pos="84" w:val="left"/>
        </w:tabs>
        <w:numPr>
          <w:ilvl w:val="0"/>
          <w:numId w:val="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4.4</w:t>
      </w:r>
      <w:hyperlink r:id="rId35">
        <w:r>
          <w:rPr>
            <w:rFonts w:ascii="Times New Roman" w:cs="Times New Roman" w:eastAsia="Times New Roman" w:hAnsi="Times New Roman"/>
            <w:sz w:val="18"/>
            <w:szCs w:val="18"/>
            <w:u w:val="single" w:color="auto"/>
            <w:color w:val="0000EE"/>
          </w:rPr>
          <w:t>Certificate of Amendment to the Amended and Restated Certificate of Incorporation of the Registrant, dated December 29, 2022</w:t>
        </w:r>
      </w:hyperlink>
      <w:r>
        <w:rPr>
          <w:rFonts w:ascii="Times New Roman" w:cs="Times New Roman" w:eastAsia="Times New Roman" w:hAnsi="Times New Roman"/>
          <w:sz w:val="18"/>
          <w:szCs w:val="18"/>
          <w:u w:val="single" w:color="auto"/>
          <w:color w:val="0000EE"/>
        </w:rPr>
        <w:t xml:space="preserve"> </w:t>
      </w:r>
      <w:hyperlink r:id="rId35">
        <w:r>
          <w:rPr>
            <w:rFonts w:ascii="Times New Roman" w:cs="Times New Roman" w:eastAsia="Times New Roman" w:hAnsi="Times New Roman"/>
            <w:sz w:val="18"/>
            <w:szCs w:val="18"/>
            <w:u w:val="single" w:color="auto"/>
            <w:color w:val="0000EE"/>
          </w:rPr>
          <w:t>(incorporated by reference to Exhibit 3.2 to Current Report on Form 8-K filed on December 29, 2022).</w:t>
        </w:r>
      </w:hyperlink>
    </w:p>
    <w:p>
      <w:pPr>
        <w:spacing w:after="0" w:line="53" w:lineRule="exact"/>
        <w:rPr>
          <w:rFonts w:ascii="Times New Roman" w:cs="Times New Roman" w:eastAsia="Times New Roman" w:hAnsi="Times New Roman"/>
          <w:sz w:val="18"/>
          <w:szCs w:val="18"/>
          <w:u w:val="single" w:color="auto"/>
          <w:color w:val="0000EE"/>
        </w:rPr>
      </w:pPr>
    </w:p>
    <w:p>
      <w:pPr>
        <w:ind w:left="804" w:right="460" w:hanging="804"/>
        <w:spacing w:after="0" w:line="282" w:lineRule="auto"/>
        <w:tabs>
          <w:tab w:leader="none" w:pos="84" w:val="left"/>
        </w:tabs>
        <w:numPr>
          <w:ilvl w:val="0"/>
          <w:numId w:val="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4.5</w:t>
      </w:r>
      <w:hyperlink r:id="rId36">
        <w:r>
          <w:rPr>
            <w:rFonts w:ascii="Times New Roman" w:cs="Times New Roman" w:eastAsia="Times New Roman" w:hAnsi="Times New Roman"/>
            <w:sz w:val="18"/>
            <w:szCs w:val="18"/>
            <w:u w:val="single" w:color="auto"/>
            <w:color w:val="0000EE"/>
          </w:rPr>
          <w:t>Amended and Restated By-laws of Gemini Therapeutics, Inc. (incorporated by reference to Annex C to the Gemini Therapeutics, Inc.’s</w:t>
        </w:r>
      </w:hyperlink>
      <w:r>
        <w:rPr>
          <w:rFonts w:ascii="Times New Roman" w:cs="Times New Roman" w:eastAsia="Times New Roman" w:hAnsi="Times New Roman"/>
          <w:sz w:val="18"/>
          <w:szCs w:val="18"/>
          <w:u w:val="single" w:color="auto"/>
          <w:color w:val="0000EE"/>
        </w:rPr>
        <w:t xml:space="preserve"> </w:t>
      </w:r>
      <w:hyperlink r:id="rId36">
        <w:r>
          <w:rPr>
            <w:rFonts w:ascii="Times New Roman" w:cs="Times New Roman" w:eastAsia="Times New Roman" w:hAnsi="Times New Roman"/>
            <w:sz w:val="18"/>
            <w:szCs w:val="18"/>
            <w:u w:val="single" w:color="auto"/>
            <w:color w:val="0000EE"/>
          </w:rPr>
          <w:t>Proxy Statement/Prospectus on Form S-4/A (Registration No. 333-249785)).</w:t>
        </w:r>
      </w:hyperlink>
    </w:p>
    <w:p>
      <w:pPr>
        <w:spacing w:after="0" w:line="53"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5.1*    </w:t>
      </w:r>
      <w:r>
        <w:rPr>
          <w:rFonts w:ascii="Times New Roman" w:cs="Times New Roman" w:eastAsia="Times New Roman" w:hAnsi="Times New Roman"/>
          <w:sz w:val="16"/>
          <w:szCs w:val="16"/>
          <w:u w:val="single" w:color="auto"/>
          <w:color w:val="0000EE"/>
        </w:rPr>
        <w:t>Opinion of Goodwin Procter LLP.</w:t>
      </w:r>
    </w:p>
    <w:p>
      <w:pPr>
        <w:spacing w:after="0" w:line="140"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23.1*    </w:t>
      </w:r>
      <w:r>
        <w:rPr>
          <w:rFonts w:ascii="Times New Roman" w:cs="Times New Roman" w:eastAsia="Times New Roman" w:hAnsi="Times New Roman"/>
          <w:sz w:val="16"/>
          <w:szCs w:val="16"/>
          <w:u w:val="single" w:color="auto"/>
          <w:color w:val="0000EE"/>
        </w:rPr>
        <w:t>Consent of Ernst &amp; Young LLP, independent registered accounting firm.</w:t>
      </w:r>
    </w:p>
    <w:p>
      <w:pPr>
        <w:spacing w:after="0" w:line="140"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23.2*    </w:t>
      </w:r>
      <w:r>
        <w:rPr>
          <w:rFonts w:ascii="Times New Roman" w:cs="Times New Roman" w:eastAsia="Times New Roman" w:hAnsi="Times New Roman"/>
          <w:sz w:val="16"/>
          <w:szCs w:val="16"/>
          <w:u w:val="single" w:color="auto"/>
          <w:color w:val="0000EE"/>
        </w:rPr>
        <w:t>Consent of Goodwin Procter LLP (included as part of Exhibit 5.1).</w:t>
      </w:r>
    </w:p>
    <w:p>
      <w:pPr>
        <w:spacing w:after="0" w:line="140"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24.1*    </w:t>
      </w:r>
      <w:r>
        <w:rPr>
          <w:rFonts w:ascii="Times New Roman" w:cs="Times New Roman" w:eastAsia="Times New Roman" w:hAnsi="Times New Roman"/>
          <w:sz w:val="16"/>
          <w:szCs w:val="16"/>
          <w:u w:val="single" w:color="auto"/>
          <w:color w:val="0000EE"/>
        </w:rPr>
        <w:t>Power of Attorney (included on signature page).</w:t>
      </w:r>
    </w:p>
    <w:p>
      <w:pPr>
        <w:spacing w:after="0" w:line="140" w:lineRule="exact"/>
        <w:rPr>
          <w:rFonts w:ascii="Times New Roman" w:cs="Times New Roman" w:eastAsia="Times New Roman" w:hAnsi="Times New Roman"/>
          <w:sz w:val="16"/>
          <w:szCs w:val="16"/>
          <w:color w:val="auto"/>
        </w:rPr>
      </w:pPr>
    </w:p>
    <w:p>
      <w:pPr>
        <w:ind w:left="804" w:right="780" w:hanging="804"/>
        <w:spacing w:after="0" w:line="282" w:lineRule="auto"/>
        <w:tabs>
          <w:tab w:leader="none" w:pos="84" w:val="left"/>
        </w:tabs>
        <w:numPr>
          <w:ilvl w:val="0"/>
          <w:numId w:val="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hyperlink r:id="rId37">
        <w:r>
          <w:rPr>
            <w:rFonts w:ascii="Times New Roman" w:cs="Times New Roman" w:eastAsia="Times New Roman" w:hAnsi="Times New Roman"/>
            <w:sz w:val="18"/>
            <w:szCs w:val="18"/>
            <w:u w:val="single" w:color="auto"/>
            <w:color w:val="0000EE"/>
          </w:rPr>
          <w:t>Disc Medicine, Inc. Amended and Restated 2021 Stock Option and Incentive Plan (incorporated by reference to Exhibit 99.1 to the</w:t>
        </w:r>
      </w:hyperlink>
      <w:r>
        <w:rPr>
          <w:rFonts w:ascii="Times New Roman" w:cs="Times New Roman" w:eastAsia="Times New Roman" w:hAnsi="Times New Roman"/>
          <w:sz w:val="18"/>
          <w:szCs w:val="18"/>
          <w:u w:val="single" w:color="auto"/>
          <w:color w:val="0000EE"/>
        </w:rPr>
        <w:t xml:space="preserve"> </w:t>
      </w:r>
      <w:hyperlink r:id="rId37">
        <w:r>
          <w:rPr>
            <w:rFonts w:ascii="Times New Roman" w:cs="Times New Roman" w:eastAsia="Times New Roman" w:hAnsi="Times New Roman"/>
            <w:sz w:val="18"/>
            <w:szCs w:val="18"/>
            <w:u w:val="single" w:color="auto"/>
            <w:color w:val="0000EE"/>
          </w:rPr>
          <w:t>Registrant’s Registration Statement on Form S-8 (File No. 333-269271) filed on January 17, 2023).</w:t>
        </w:r>
      </w:hyperlink>
    </w:p>
    <w:p>
      <w:pPr>
        <w:spacing w:after="0" w:line="53" w:lineRule="exact"/>
        <w:rPr>
          <w:rFonts w:ascii="Times New Roman" w:cs="Times New Roman" w:eastAsia="Times New Roman" w:hAnsi="Times New Roman"/>
          <w:sz w:val="18"/>
          <w:szCs w:val="18"/>
          <w:u w:val="single" w:color="auto"/>
          <w:color w:val="0000EE"/>
        </w:rPr>
      </w:pPr>
    </w:p>
    <w:p>
      <w:pPr>
        <w:ind w:left="804" w:right="200" w:hanging="804"/>
        <w:spacing w:after="0" w:line="282" w:lineRule="auto"/>
        <w:tabs>
          <w:tab w:leader="none" w:pos="84" w:val="left"/>
        </w:tabs>
        <w:numPr>
          <w:ilvl w:val="0"/>
          <w:numId w:val="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99.2</w:t>
      </w:r>
      <w:hyperlink r:id="rId38">
        <w:r>
          <w:rPr>
            <w:rFonts w:ascii="Times New Roman" w:cs="Times New Roman" w:eastAsia="Times New Roman" w:hAnsi="Times New Roman"/>
            <w:sz w:val="18"/>
            <w:szCs w:val="18"/>
            <w:u w:val="single" w:color="auto"/>
            <w:color w:val="0000EE"/>
          </w:rPr>
          <w:t>Forms of Award Agreements under the Disc Medicine, Inc. Amended and Restated 2021 Stock Option and Incentive Plan (incorporated by</w:t>
        </w:r>
      </w:hyperlink>
      <w:r>
        <w:rPr>
          <w:rFonts w:ascii="Times New Roman" w:cs="Times New Roman" w:eastAsia="Times New Roman" w:hAnsi="Times New Roman"/>
          <w:sz w:val="18"/>
          <w:szCs w:val="18"/>
          <w:u w:val="single" w:color="auto"/>
          <w:color w:val="0000EE"/>
        </w:rPr>
        <w:t xml:space="preserve"> </w:t>
      </w:r>
      <w:hyperlink r:id="rId38">
        <w:r>
          <w:rPr>
            <w:rFonts w:ascii="Times New Roman" w:cs="Times New Roman" w:eastAsia="Times New Roman" w:hAnsi="Times New Roman"/>
            <w:sz w:val="18"/>
            <w:szCs w:val="18"/>
            <w:u w:val="single" w:color="auto"/>
            <w:color w:val="0000EE"/>
          </w:rPr>
          <w:t>reference to Exhibit 99.2 to the Registrant’s Registration Statement on Form S-8 (File No. 333-269271) filed on January 17, 2023).</w:t>
        </w:r>
      </w:hyperlink>
    </w:p>
    <w:p>
      <w:pPr>
        <w:spacing w:after="0" w:line="53" w:lineRule="exact"/>
        <w:rPr>
          <w:rFonts w:ascii="Times New Roman" w:cs="Times New Roman" w:eastAsia="Times New Roman" w:hAnsi="Times New Roman"/>
          <w:sz w:val="18"/>
          <w:szCs w:val="18"/>
          <w:u w:val="single" w:color="auto"/>
          <w:color w:val="0000EE"/>
        </w:rPr>
      </w:pPr>
    </w:p>
    <w:p>
      <w:pPr>
        <w:ind w:left="804" w:right="860" w:hanging="804"/>
        <w:spacing w:after="0" w:line="282" w:lineRule="auto"/>
        <w:tabs>
          <w:tab w:leader="none" w:pos="84" w:val="left"/>
        </w:tabs>
        <w:numPr>
          <w:ilvl w:val="0"/>
          <w:numId w:val="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99.3</w:t>
      </w:r>
      <w:hyperlink r:id="rId39">
        <w:r>
          <w:rPr>
            <w:rFonts w:ascii="Times New Roman" w:cs="Times New Roman" w:eastAsia="Times New Roman" w:hAnsi="Times New Roman"/>
            <w:sz w:val="18"/>
            <w:szCs w:val="18"/>
            <w:u w:val="single" w:color="auto"/>
            <w:color w:val="0000EE"/>
          </w:rPr>
          <w:t>Disc Medicine, Inc. Amended and Restated 2021 Employee Stock Purchase Plan (incorporated by reference to Exhibit 99.3 to the</w:t>
        </w:r>
      </w:hyperlink>
      <w:r>
        <w:rPr>
          <w:rFonts w:ascii="Times New Roman" w:cs="Times New Roman" w:eastAsia="Times New Roman" w:hAnsi="Times New Roman"/>
          <w:sz w:val="18"/>
          <w:szCs w:val="18"/>
          <w:u w:val="single" w:color="auto"/>
          <w:color w:val="0000EE"/>
        </w:rPr>
        <w:t xml:space="preserve"> </w:t>
      </w:r>
      <w:hyperlink r:id="rId39">
        <w:r>
          <w:rPr>
            <w:rFonts w:ascii="Times New Roman" w:cs="Times New Roman" w:eastAsia="Times New Roman" w:hAnsi="Times New Roman"/>
            <w:sz w:val="18"/>
            <w:szCs w:val="18"/>
            <w:u w:val="single" w:color="auto"/>
            <w:color w:val="0000EE"/>
          </w:rPr>
          <w:t>Registrant’s Registration Statement on Form S-8 (File No. 333-269271) filed on January 17, 2023).</w:t>
        </w:r>
      </w:hyperlink>
    </w:p>
    <w:p>
      <w:pPr>
        <w:spacing w:after="0" w:line="53" w:lineRule="exact"/>
        <w:rPr>
          <w:rFonts w:ascii="Times New Roman" w:cs="Times New Roman" w:eastAsia="Times New Roman" w:hAnsi="Times New Roman"/>
          <w:sz w:val="18"/>
          <w:szCs w:val="18"/>
          <w:u w:val="single" w:color="auto"/>
          <w:color w:val="0000EE"/>
        </w:rPr>
      </w:pPr>
    </w:p>
    <w:p>
      <w:pPr>
        <w:ind w:left="804" w:right="260" w:hanging="804"/>
        <w:spacing w:after="0" w:line="282" w:lineRule="auto"/>
        <w:tabs>
          <w:tab w:leader="none" w:pos="84" w:val="left"/>
        </w:tabs>
        <w:numPr>
          <w:ilvl w:val="0"/>
          <w:numId w:val="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99.4</w:t>
      </w:r>
      <w:hyperlink r:id="rId40">
        <w:r>
          <w:rPr>
            <w:rFonts w:ascii="Times New Roman" w:cs="Times New Roman" w:eastAsia="Times New Roman" w:hAnsi="Times New Roman"/>
            <w:sz w:val="18"/>
            <w:szCs w:val="18"/>
            <w:u w:val="single" w:color="auto"/>
            <w:color w:val="0000EE"/>
          </w:rPr>
          <w:t>2017 Stock Option and Grant Plan of Disc Medicine, Inc., and form of award agreements thereunder (incorporated by reference to Exhibit</w:t>
        </w:r>
      </w:hyperlink>
      <w:r>
        <w:rPr>
          <w:rFonts w:ascii="Times New Roman" w:cs="Times New Roman" w:eastAsia="Times New Roman" w:hAnsi="Times New Roman"/>
          <w:sz w:val="18"/>
          <w:szCs w:val="18"/>
          <w:u w:val="single" w:color="auto"/>
          <w:color w:val="0000EE"/>
        </w:rPr>
        <w:t xml:space="preserve"> </w:t>
      </w:r>
      <w:hyperlink r:id="rId40">
        <w:r>
          <w:rPr>
            <w:rFonts w:ascii="Times New Roman" w:cs="Times New Roman" w:eastAsia="Times New Roman" w:hAnsi="Times New Roman"/>
            <w:sz w:val="18"/>
            <w:szCs w:val="18"/>
            <w:u w:val="single" w:color="auto"/>
            <w:color w:val="0000EE"/>
          </w:rPr>
          <w:t>10.9 to Current Report on Form 8-K filed on December 29, 2022).</w:t>
        </w:r>
      </w:hyperlink>
    </w:p>
    <w:p>
      <w:pPr>
        <w:spacing w:after="0" w:line="53" w:lineRule="exact"/>
        <w:rPr>
          <w:rFonts w:ascii="Times New Roman" w:cs="Times New Roman" w:eastAsia="Times New Roman" w:hAnsi="Times New Roman"/>
          <w:sz w:val="18"/>
          <w:szCs w:val="18"/>
          <w:u w:val="single" w:color="auto"/>
          <w:color w:val="0000EE"/>
        </w:rPr>
      </w:pPr>
    </w:p>
    <w:p>
      <w:pPr>
        <w:ind w:left="804" w:right="20" w:hanging="804"/>
        <w:spacing w:after="0"/>
        <w:tabs>
          <w:tab w:leader="none" w:pos="8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99.5* </w:t>
      </w:r>
      <w:r>
        <w:rPr>
          <w:rFonts w:ascii="Times New Roman" w:cs="Times New Roman" w:eastAsia="Times New Roman" w:hAnsi="Times New Roman"/>
          <w:sz w:val="16"/>
          <w:szCs w:val="16"/>
          <w:u w:val="single" w:color="auto"/>
          <w:color w:val="0000EE"/>
        </w:rPr>
        <w:t>Form of Non-Qualified Stock Option Agreement Non-Plan Inducement Grant Restricted Stock Unit Award Agreement Non-Plan Inducement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Grant.</w:t>
      </w:r>
    </w:p>
    <w:p>
      <w:pPr>
        <w:spacing w:after="0" w:line="356"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99.6*    </w:t>
      </w:r>
      <w:r>
        <w:rPr>
          <w:rFonts w:ascii="Times New Roman" w:cs="Times New Roman" w:eastAsia="Times New Roman" w:hAnsi="Times New Roman"/>
          <w:sz w:val="16"/>
          <w:szCs w:val="16"/>
          <w:u w:val="single" w:color="auto"/>
          <w:color w:val="0000EE"/>
        </w:rPr>
        <w:t>Form of Restricted Stock Unit Award Agreement Non-Plan Inducement Grant.</w:t>
      </w:r>
    </w:p>
    <w:p>
      <w:pPr>
        <w:spacing w:after="0" w:line="140" w:lineRule="exact"/>
        <w:rPr>
          <w:rFonts w:ascii="Times New Roman" w:cs="Times New Roman" w:eastAsia="Times New Roman" w:hAnsi="Times New Roman"/>
          <w:sz w:val="18"/>
          <w:szCs w:val="18"/>
          <w:color w:val="auto"/>
        </w:rPr>
      </w:pPr>
    </w:p>
    <w:p>
      <w:pPr>
        <w:ind w:left="4"/>
        <w:spacing w:after="0"/>
        <w:tabs>
          <w:tab w:leader="none" w:pos="784"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rFonts w:ascii="Times New Roman" w:cs="Times New Roman" w:eastAsia="Times New Roman" w:hAnsi="Times New Roman"/>
          <w:sz w:val="18"/>
          <w:szCs w:val="18"/>
          <w:color w:val="auto"/>
        </w:rPr>
      </w:pPr>
    </w:p>
    <w:p>
      <w:pPr>
        <w:ind w:left="4"/>
        <w:spacing w:after="0"/>
        <w:rPr>
          <w:sz w:val="20"/>
          <w:szCs w:val="20"/>
          <w:color w:val="auto"/>
        </w:rPr>
      </w:pPr>
      <w:r>
        <w:rPr>
          <w:rFonts w:ascii="Times New Roman" w:cs="Times New Roman" w:eastAsia="Times New Roman" w:hAnsi="Times New Roman"/>
          <w:sz w:val="18"/>
          <w:szCs w:val="18"/>
          <w:color w:val="auto"/>
        </w:rPr>
        <w:t>*  Filed herewith.</w:t>
      </w:r>
    </w:p>
    <w:p>
      <w:pPr>
        <w:spacing w:after="0" w:line="329" w:lineRule="exact"/>
        <w:rPr>
          <w:rFonts w:ascii="Times New Roman" w:cs="Times New Roman" w:eastAsia="Times New Roman" w:hAnsi="Times New Roman"/>
          <w:sz w:val="18"/>
          <w:szCs w:val="18"/>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21" w:lineRule="exact"/>
        <w:rPr>
          <w:rFonts w:ascii="Times New Roman" w:cs="Times New Roman" w:eastAsia="Times New Roman" w:hAnsi="Times New Roman"/>
          <w:sz w:val="18"/>
          <w:szCs w:val="18"/>
          <w:color w:val="auto"/>
        </w:rPr>
      </w:pPr>
    </w:p>
    <w:p>
      <w:pPr>
        <w:ind w:left="4"/>
        <w:spacing w:after="0"/>
        <w:rPr>
          <w:sz w:val="20"/>
          <w:szCs w:val="20"/>
          <w:color w:val="auto"/>
        </w:rPr>
      </w:pPr>
      <w:r>
        <w:rPr>
          <w:rFonts w:ascii="Times New Roman" w:cs="Times New Roman" w:eastAsia="Times New Roman" w:hAnsi="Times New Roman"/>
          <w:sz w:val="18"/>
          <w:szCs w:val="18"/>
          <w:color w:val="auto"/>
        </w:rPr>
        <w:t>(a) The Registrant hereby undertakes:</w:t>
      </w:r>
    </w:p>
    <w:p>
      <w:pPr>
        <w:spacing w:after="0" w:line="11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w:t>
      </w:r>
    </w:p>
    <w:p>
      <w:pPr>
        <w:sectPr>
          <w:pgSz w:w="11900" w:h="16838" w:orient="portrait"/>
          <w:cols w:equalWidth="0" w:num="1">
            <w:col w:w="11024"/>
          </w:cols>
          <w:pgMar w:left="436" w:top="266" w:right="439" w:bottom="1440" w:gutter="0" w:footer="0" w:header="0"/>
        </w:sectPr>
      </w:pPr>
    </w:p>
    <w:bookmarkStart w:id="6" w:name="page7"/>
    <w:bookmarkEnd w:id="6"/>
    <w:p>
      <w:pPr>
        <w:ind w:left="4" w:right="160" w:hanging="4"/>
        <w:spacing w:after="0" w:line="253" w:lineRule="auto"/>
        <w:tabs>
          <w:tab w:leader="none" w:pos="26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5" w:lineRule="exact"/>
        <w:rPr>
          <w:rFonts w:ascii="Times New Roman" w:cs="Times New Roman" w:eastAsia="Times New Roman" w:hAnsi="Times New Roman"/>
          <w:sz w:val="18"/>
          <w:szCs w:val="18"/>
          <w:color w:val="auto"/>
        </w:rPr>
      </w:pPr>
    </w:p>
    <w:p>
      <w:pPr>
        <w:ind w:left="4" w:right="240" w:hanging="4"/>
        <w:spacing w:after="0" w:line="260" w:lineRule="auto"/>
        <w:tabs>
          <w:tab w:leader="none" w:pos="3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9" w:lineRule="exact"/>
        <w:rPr>
          <w:sz w:val="20"/>
          <w:szCs w:val="20"/>
          <w:color w:val="auto"/>
        </w:rPr>
      </w:pPr>
    </w:p>
    <w:p>
      <w:pPr>
        <w:jc w:val="both"/>
        <w:ind w:left="4" w:right="16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herein do not apply if the information required to be included in a post-effective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those paragraphs is contained in reports filed with or furnished to the Commission by the Registrant pursuant to Section 13 or Section 15(d) of the Exchange Act (15 U.S.C. 78m or 78o(d)) that are incorporated by reference in the Registration Statement.</w:t>
      </w:r>
    </w:p>
    <w:p>
      <w:pPr>
        <w:spacing w:after="0" w:line="175" w:lineRule="exact"/>
        <w:rPr>
          <w:sz w:val="20"/>
          <w:szCs w:val="20"/>
          <w:color w:val="auto"/>
        </w:rPr>
      </w:pPr>
    </w:p>
    <w:p>
      <w:pPr>
        <w:ind w:left="4" w:right="40" w:hanging="4"/>
        <w:spacing w:after="0" w:line="266" w:lineRule="auto"/>
        <w:tabs>
          <w:tab w:leader="none" w:pos="2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4" w:hanging="4"/>
        <w:spacing w:after="0" w:line="282"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left="4" w:right="40" w:hanging="4"/>
        <w:spacing w:after="0" w:line="258" w:lineRule="auto"/>
        <w:tabs>
          <w:tab w:leader="none" w:pos="2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ind w:left="4" w:right="220" w:hanging="4"/>
        <w:spacing w:after="0" w:line="254" w:lineRule="auto"/>
        <w:tabs>
          <w:tab w:leader="none" w:pos="24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04"/>
          </w:cols>
          <w:pgMar w:left="436" w:top="270" w:right="459" w:bottom="1440" w:gutter="0" w:footer="0" w:header="0"/>
        </w:sectPr>
      </w:pPr>
    </w:p>
    <w:bookmarkStart w:id="7" w:name="page8"/>
    <w:bookmarkEnd w:id="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Watertown, State of Massachusetts, on March 21,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Quisel</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Quisel, J.D., Ph.D.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John Quisel, J.D., Ph.D., Jean Franchi and Rahul Khara, Pharm.D., J.D.,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19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dated indicated.</w:t>
      </w:r>
    </w:p>
    <w:p>
      <w:pPr>
        <w:sectPr>
          <w:pgSz w:w="11900" w:h="16838" w:orient="portrait"/>
          <w:cols w:equalWidth="0" w:num="1">
            <w:col w:w="10920"/>
          </w:cols>
          <w:pgMar w:left="440" w:top="266" w:right="5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Quisel</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Quisel, J.D., Ph.D.</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Jean Franchi</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Jean Franchi</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Mona Ashiya</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Mona Ashiya,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Kevin Bitterman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Kevin Bitterman,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Mark Chin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 Chin, MS, MBA</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Georges Gemayel</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Georges Gemayel</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Donald Nicholson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Donald Nicholson,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Liam Ratcliffe</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Liam Ratcliffe, M.D.,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White</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William White, MPP, J.D.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1020"/>
          </w:cols>
          <w:pgMar w:left="440" w:top="26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p>
      <w:pPr>
        <w:ind w:left="10184"/>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68" w:lineRule="exact"/>
        <w:rPr>
          <w:sz w:val="20"/>
          <w:szCs w:val="20"/>
          <w:color w:val="auto"/>
        </w:rPr>
      </w:pPr>
    </w:p>
    <w:p>
      <w:pPr>
        <w:ind w:left="9264"/>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714500" cy="386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extLst>
                        <a:ext uri="{28A0092B-C50C-407E-A947-70E740481C1C}"/>
                      </a:extLst>
                    </a:blip>
                    <a:srcRect/>
                    <a:stretch>
                      <a:fillRect/>
                    </a:stretch>
                  </pic:blipFill>
                  <pic:spPr bwMode="auto">
                    <a:xfrm>
                      <a:off x="0" y="0"/>
                      <a:ext cx="1714500" cy="386080"/>
                    </a:xfrm>
                    <a:prstGeom prst="rect">
                      <a:avLst/>
                    </a:prstGeom>
                    <a:noFill/>
                  </pic:spPr>
                </pic:pic>
              </a:graphicData>
            </a:graphic>
          </wp:anchor>
        </w:drawing>
      </w:r>
    </w:p>
    <w:p>
      <w:pPr>
        <w:spacing w:after="0" w:line="7" w:lineRule="exact"/>
        <w:rPr>
          <w:sz w:val="20"/>
          <w:szCs w:val="20"/>
          <w:color w:val="auto"/>
        </w:rPr>
      </w:pPr>
    </w:p>
    <w:p>
      <w:pPr>
        <w:ind w:left="9264"/>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9264"/>
        <w:spacing w:after="0"/>
        <w:rPr>
          <w:sz w:val="20"/>
          <w:szCs w:val="20"/>
          <w:color w:val="auto"/>
        </w:rPr>
      </w:pPr>
      <w:r>
        <w:rPr>
          <w:rFonts w:ascii="Times New Roman" w:cs="Times New Roman" w:eastAsia="Times New Roman" w:hAnsi="Times New Roman"/>
          <w:sz w:val="18"/>
          <w:szCs w:val="18"/>
          <w:color w:val="auto"/>
        </w:rPr>
        <w:t>Boston, MA 02210</w:t>
      </w:r>
    </w:p>
    <w:p>
      <w:pPr>
        <w:spacing w:after="0" w:line="112" w:lineRule="exact"/>
        <w:rPr>
          <w:sz w:val="20"/>
          <w:szCs w:val="20"/>
          <w:color w:val="auto"/>
        </w:rPr>
      </w:pPr>
    </w:p>
    <w:p>
      <w:pPr>
        <w:ind w:left="9264"/>
        <w:spacing w:after="0"/>
        <w:rPr>
          <w:sz w:val="20"/>
          <w:szCs w:val="20"/>
          <w:color w:val="auto"/>
        </w:rPr>
      </w:pPr>
      <w:r>
        <w:rPr>
          <w:rFonts w:ascii="Times New Roman" w:cs="Times New Roman" w:eastAsia="Times New Roman" w:hAnsi="Times New Roman"/>
          <w:sz w:val="18"/>
          <w:szCs w:val="18"/>
          <w:color w:val="auto"/>
        </w:rPr>
        <w:t>goodwinlaw.com</w:t>
      </w:r>
    </w:p>
    <w:p>
      <w:pPr>
        <w:spacing w:after="0" w:line="27" w:lineRule="exact"/>
        <w:rPr>
          <w:sz w:val="20"/>
          <w:szCs w:val="20"/>
          <w:color w:val="auto"/>
        </w:rPr>
      </w:pPr>
    </w:p>
    <w:p>
      <w:pPr>
        <w:ind w:left="9264"/>
        <w:spacing w:after="0"/>
        <w:rPr>
          <w:sz w:val="20"/>
          <w:szCs w:val="20"/>
          <w:color w:val="auto"/>
        </w:rPr>
      </w:pPr>
      <w:r>
        <w:rPr>
          <w:rFonts w:ascii="Times New Roman" w:cs="Times New Roman" w:eastAsia="Times New Roman" w:hAnsi="Times New Roman"/>
          <w:sz w:val="18"/>
          <w:szCs w:val="18"/>
          <w:color w:val="auto"/>
        </w:rPr>
        <w:t>+1 617 570 1000</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21, 2024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23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Securities Being Registered under Registration Statement on Form S-8</w:t>
      </w:r>
    </w:p>
    <w:p>
      <w:pPr>
        <w:spacing w:after="0" w:line="225" w:lineRule="exact"/>
        <w:rPr>
          <w:sz w:val="20"/>
          <w:szCs w:val="20"/>
          <w:color w:val="auto"/>
        </w:rPr>
      </w:pPr>
    </w:p>
    <w:p>
      <w:pPr>
        <w:ind w:left="4" w:right="20"/>
        <w:spacing w:after="0" w:line="270" w:lineRule="auto"/>
        <w:rPr>
          <w:sz w:val="20"/>
          <w:szCs w:val="20"/>
          <w:color w:val="auto"/>
        </w:rPr>
      </w:pPr>
      <w:r>
        <w:rPr>
          <w:rFonts w:ascii="Times New Roman" w:cs="Times New Roman" w:eastAsia="Times New Roman" w:hAnsi="Times New Roman"/>
          <w:sz w:val="17"/>
          <w:szCs w:val="17"/>
          <w:color w:val="auto"/>
        </w:rPr>
        <w:t>We have acted as counsel to you in connection with your filing of a Registration Statement on Form S-8 (the “Registration Statement”) pursuant to the Securities Act of 1933, as amended (the “Securities Act”), on or about the date hereof relating to (i) an aggregate of 1,017,464 shares (the “Plan Shares”) of Common Stock, $0.0001 par value per share (“Common Stock”), of Disc Medicine, Inc., a Delaware corporation (the “Company”), that may be issued pursuant to the Company’s 2021 Stock Option and Incentive Plan and 2021 Employee Stock Purchase Plan (collectively, the “Plans”) and</w:t>
      </w:r>
    </w:p>
    <w:p>
      <w:pPr>
        <w:spacing w:after="0" w:line="3" w:lineRule="exact"/>
        <w:rPr>
          <w:sz w:val="20"/>
          <w:szCs w:val="20"/>
          <w:color w:val="auto"/>
        </w:rPr>
      </w:pPr>
    </w:p>
    <w:p>
      <w:pPr>
        <w:jc w:val="both"/>
        <w:ind w:left="4" w:right="260" w:hanging="4"/>
        <w:spacing w:after="0" w:line="253" w:lineRule="auto"/>
        <w:tabs>
          <w:tab w:leader="none" w:pos="2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183,332 shares (the “Inducement Shares” and, together with the Plan Shares, the “Shares”) of Common Stock that may be issued pursuant to non-qualified option grant agreements and restricted stock unit award agreements providing for employee inducement grants between the Company and certain employees, which were entered into in connection with the commencement of such employees’ employment with the Company pursuant to Nasdaq Listing Rule 5635(c)(4) (collectively, the “Inducement Award Agreements”).</w:t>
      </w:r>
    </w:p>
    <w:p>
      <w:pPr>
        <w:spacing w:after="0" w:line="189"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left="4" w:right="540"/>
        <w:spacing w:after="0" w:line="282"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62"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upon issuance and delivery against payment therefor in accordance with the terms of the Plans or the Inducement Award Agreements, as applicable, will be validly issued, fully paid and nonassessable.</w:t>
      </w:r>
    </w:p>
    <w:p>
      <w:pPr>
        <w:sectPr>
          <w:pgSz w:w="11900" w:h="16838" w:orient="portrait"/>
          <w:cols w:equalWidth="0" w:num="1">
            <w:col w:w="11024"/>
          </w:cols>
          <w:pgMar w:left="436" w:top="117"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 Medicine,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32"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w:t>
      </w:r>
      <w:r>
        <w:rPr>
          <w:rFonts w:ascii="Times New Roman" w:cs="Times New Roman" w:eastAsia="Times New Roman" w:hAnsi="Times New Roman"/>
          <w:sz w:val="14"/>
          <w:szCs w:val="14"/>
          <w:color w:val="auto"/>
        </w:rPr>
        <w:t>OODWIN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ROCTER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p>
      <w:pPr>
        <w:sectPr>
          <w:pgSz w:w="11900" w:h="16838" w:orient="portrait"/>
          <w:cols w:equalWidth="0" w:num="1">
            <w:col w:w="10960"/>
          </w:cols>
          <w:pgMar w:left="440" w:top="270" w:right="49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2021 Stock Option and Incentive Plan, as amended and restated, the 2021 Employee Stock Purchase Plan, as amended and restated, the Stock Option Inducement Awards, and the Restricted Stock Unit Inducement Awards of Disc Medicine, Inc. of our report dated dated March 21, 2024, with respect to the consolidated financial statements of Disc Medicine, Inc. included in its Annual Report (Form 10-K) for the year ended December 31, 2023, filed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21, 2024</w:t>
      </w:r>
    </w:p>
    <w:p>
      <w:pPr>
        <w:sectPr>
          <w:pgSz w:w="11900" w:h="16838" w:orient="portrait"/>
          <w:cols w:equalWidth="0" w:num="1">
            <w:col w:w="11020"/>
          </w:cols>
          <w:pgMar w:left="440" w:top="117" w:right="4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STOCK OPTION AGREEMENT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NON-PLAN INDUCEMENT GRANT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17145</wp:posOffset>
            </wp:positionV>
            <wp:extent cx="1474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17145</wp:posOffset>
            </wp:positionV>
            <wp:extent cx="1474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97" w:lineRule="exact"/>
        <w:rPr>
          <w:sz w:val="20"/>
          <w:szCs w:val="20"/>
          <w:color w:val="auto"/>
        </w:rPr>
      </w:pPr>
    </w:p>
    <w:p>
      <w:pPr>
        <w:spacing w:after="0"/>
        <w:tabs>
          <w:tab w:leader="none" w:pos="2740" w:val="left"/>
        </w:tabs>
        <w:rPr>
          <w:sz w:val="20"/>
          <w:szCs w:val="20"/>
          <w:color w:val="auto"/>
        </w:rPr>
      </w:pPr>
      <w:r>
        <w:rPr>
          <w:rFonts w:ascii="Times New Roman" w:cs="Times New Roman" w:eastAsia="Times New Roman" w:hAnsi="Times New Roman"/>
          <w:sz w:val="18"/>
          <w:szCs w:val="18"/>
          <w:color w:val="auto"/>
        </w:rPr>
        <w:t>Option Exercise Price per Share:</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17145</wp:posOffset>
            </wp:positionV>
            <wp:extent cx="1474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[FMV on Grant Date]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17145</wp:posOffset>
            </wp:positionV>
            <wp:extent cx="1474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17145</wp:posOffset>
            </wp:positionV>
            <wp:extent cx="1474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 more than 10 years]</w:t>
      </w:r>
    </w:p>
    <w:p>
      <w:pPr>
        <w:spacing w:after="0" w:line="22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Disc Medicine, Inc. (the “Company”) hereby grants to the Optionee named above an option (the “Stock Option”) to purchase on or prior to the Expiration Date specified above all or part of the number of shares of Common Stock, par value $0.0001 per share (the “Stock”), of the Company specified above at the Option Exercise Price per Share specified above. This Stock Option has been granted as an inducement grant pursuant to an exception under Rule 5635(c)(4) of the NASDAQ Stock Market Rules, is not issued under the Disc Medicine, Inc. Amended and Restated 2021 Stock Option and Incentive Plan, as amended through the date hereof (the “Plan”) and does not reduce the share reserve under the Plan. However, for purposes of interpreting the applicable provisions of this Stock Option, the terms and conditions of the Plan (other than those applicable to the share reserve) shall govern and apply to this Stock Option as if this Stock Option had actually been issued under the Plan. This Stock Option is not intended to be an “incentive stock option” under Section 422 of the Internal Revenue Code of 1986, as amended.</w:t>
      </w:r>
    </w:p>
    <w:p>
      <w:pPr>
        <w:spacing w:after="0" w:line="192" w:lineRule="exact"/>
        <w:rPr>
          <w:sz w:val="20"/>
          <w:szCs w:val="20"/>
          <w:color w:val="auto"/>
        </w:rPr>
      </w:pPr>
    </w:p>
    <w:p>
      <w:pPr>
        <w:ind w:right="60" w:firstLine="436"/>
        <w:spacing w:after="0" w:line="261"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Schedule</w:t>
      </w:r>
      <w:r>
        <w:rPr>
          <w:rFonts w:ascii="Times New Roman" w:cs="Times New Roman" w:eastAsia="Times New Roman" w:hAnsi="Times New Roman"/>
          <w:sz w:val="18"/>
          <w:szCs w:val="18"/>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remains an employee of the Company or a Subsidiary on such dates:</w:t>
      </w:r>
    </w:p>
    <w:p>
      <w:pPr>
        <w:sectPr>
          <w:pgSz w:w="11900" w:h="16838" w:orient="portrait"/>
          <w:cols w:equalWidth="0" w:num="1">
            <w:col w:w="11020"/>
          </w:cols>
          <w:pgMar w:left="440" w:top="117" w:right="439" w:bottom="1440" w:gutter="0" w:footer="0" w:header="0"/>
        </w:sectPr>
      </w:pPr>
    </w:p>
    <w:bookmarkStart w:id="13" w:name="page14"/>
    <w:bookmarkEnd w:id="13"/>
    <w:tbl>
      <w:tblPr>
        <w:tblLayout w:type="fixed"/>
        <w:tblInd w:w="1760" w:type="dxa"/>
        <w:tblCellMar>
          <w:top w:w="0" w:type="dxa"/>
          <w:left w:w="0" w:type="dxa"/>
          <w:bottom w:w="0" w:type="dxa"/>
          <w:right w:w="0" w:type="dxa"/>
        </w:tblCellMar>
      </w:tblPr>
      <w:tr>
        <w:trPr>
          <w:trHeight w:val="161"/>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Incremental Number of</w:t>
            </w: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91"/>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Option Shares Exercisable</w:t>
            </w:r>
          </w:p>
        </w:tc>
        <w:tc>
          <w:tcPr>
            <w:tcW w:w="466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Exercisability Date</w:t>
            </w:r>
          </w:p>
        </w:tc>
      </w:tr>
      <w:tr>
        <w:trPr>
          <w:trHeight w:val="203"/>
        </w:trPr>
        <w:tc>
          <w:tcPr>
            <w:tcW w:w="62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_____________ (___%)</w:t>
            </w:r>
          </w:p>
        </w:tc>
        <w:tc>
          <w:tcPr>
            <w:tcW w:w="12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_____________</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 (___%)</w:t>
            </w: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_____________</w:t>
            </w: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_____________ (___%)</w:t>
            </w:r>
          </w:p>
        </w:tc>
        <w:tc>
          <w:tcPr>
            <w:tcW w:w="1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_____________</w:t>
            </w:r>
          </w:p>
        </w:tc>
      </w:tr>
      <w:tr>
        <w:trPr>
          <w:trHeight w:val="234"/>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 (___%)</w:t>
            </w: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_____________</w:t>
            </w:r>
          </w:p>
        </w:tc>
      </w:tr>
    </w:tbl>
    <w:p>
      <w:pPr>
        <w:spacing w:after="0" w:line="1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Once exercisable, this Stock Option shall continue to be exercisable at any time or times prior to the close of business on the Expiration Date, subject to the provisions hereof and of the Plan.</w:t>
      </w:r>
    </w:p>
    <w:p>
      <w:pPr>
        <w:spacing w:after="0" w:line="162" w:lineRule="exact"/>
        <w:rPr>
          <w:sz w:val="20"/>
          <w:szCs w:val="20"/>
          <w:color w:val="auto"/>
        </w:rPr>
      </w:pPr>
    </w:p>
    <w:p>
      <w:pPr>
        <w:ind w:left="620" w:hanging="184"/>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987"/>
        <w:spacing w:after="0" w:line="266" w:lineRule="auto"/>
        <w:tabs>
          <w:tab w:leader="none" w:pos="123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94"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53" w:right="459" w:bottom="1440" w:gutter="0" w:footer="0" w:header="0"/>
        </w:sectPr>
      </w:pPr>
    </w:p>
    <w:bookmarkStart w:id="14" w:name="page15"/>
    <w:bookmarkEnd w:id="14"/>
    <w:p>
      <w:pPr>
        <w:ind w:right="20" w:firstLine="987"/>
        <w:spacing w:after="0" w:line="255" w:lineRule="auto"/>
        <w:tabs>
          <w:tab w:leader="none" w:pos="124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88" w:lineRule="exact"/>
        <w:rPr>
          <w:rFonts w:ascii="Times New Roman" w:cs="Times New Roman" w:eastAsia="Times New Roman" w:hAnsi="Times New Roman"/>
          <w:sz w:val="18"/>
          <w:szCs w:val="18"/>
          <w:color w:val="auto"/>
        </w:rPr>
      </w:pPr>
    </w:p>
    <w:p>
      <w:pPr>
        <w:ind w:right="60" w:firstLine="987"/>
        <w:spacing w:after="0" w:line="266" w:lineRule="auto"/>
        <w:tabs>
          <w:tab w:leader="none" w:pos="123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or of the Plan, no portion of this Stock Option shall be exercisable after the Expiration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hereof.</w:t>
      </w:r>
    </w:p>
    <w:p>
      <w:pPr>
        <w:spacing w:after="0" w:line="206" w:lineRule="exact"/>
        <w:rPr>
          <w:rFonts w:ascii="Times New Roman" w:cs="Times New Roman" w:eastAsia="Times New Roman" w:hAnsi="Times New Roman"/>
          <w:sz w:val="18"/>
          <w:szCs w:val="18"/>
          <w:color w:val="auto"/>
        </w:rPr>
      </w:pPr>
    </w:p>
    <w:p>
      <w:pPr>
        <w:ind w:right="260" w:firstLine="436"/>
        <w:spacing w:after="0" w:line="282" w:lineRule="auto"/>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If the Optionee’s employment with the Company or a Subsidiary (as defined in the Plan) terminates, the period within which to exercise the Stock Option may be subject to earlier termination as set forth below.</w:t>
      </w:r>
    </w:p>
    <w:p>
      <w:pPr>
        <w:spacing w:after="0" w:line="161" w:lineRule="exact"/>
        <w:rPr>
          <w:rFonts w:ascii="Times New Roman" w:cs="Times New Roman" w:eastAsia="Times New Roman" w:hAnsi="Times New Roman"/>
          <w:sz w:val="18"/>
          <w:szCs w:val="18"/>
          <w:color w:val="auto"/>
        </w:rPr>
      </w:pPr>
    </w:p>
    <w:p>
      <w:pPr>
        <w:ind w:right="320" w:firstLine="987"/>
        <w:spacing w:after="0" w:line="261" w:lineRule="auto"/>
        <w:tabs>
          <w:tab w:leader="none" w:pos="123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w:t>
      </w:r>
      <w:r>
        <w:rPr>
          <w:rFonts w:ascii="Times New Roman" w:cs="Times New Roman" w:eastAsia="Times New Roman" w:hAnsi="Times New Roman"/>
          <w:sz w:val="18"/>
          <w:szCs w:val="18"/>
          <w:color w:val="auto"/>
        </w:rPr>
        <w:t>. If the Optionee’s employment with the Company or a Subsidiary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79" w:lineRule="exact"/>
        <w:rPr>
          <w:rFonts w:ascii="Times New Roman" w:cs="Times New Roman" w:eastAsia="Times New Roman" w:hAnsi="Times New Roman"/>
          <w:sz w:val="18"/>
          <w:szCs w:val="18"/>
          <w:color w:val="auto"/>
        </w:rPr>
      </w:pPr>
    </w:p>
    <w:p>
      <w:pPr>
        <w:ind w:firstLine="987"/>
        <w:spacing w:after="0" w:line="281" w:lineRule="auto"/>
        <w:tabs>
          <w:tab w:leader="none" w:pos="1246"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Due to Disability</w:t>
      </w:r>
      <w:r>
        <w:rPr>
          <w:rFonts w:ascii="Times New Roman" w:cs="Times New Roman" w:eastAsia="Times New Roman" w:hAnsi="Times New Roman"/>
          <w:sz w:val="17"/>
          <w:szCs w:val="17"/>
          <w:color w:val="auto"/>
        </w:rPr>
        <w:t>. If the Optionee’s employment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pacing w:after="0" w:line="164" w:lineRule="exact"/>
        <w:rPr>
          <w:rFonts w:ascii="Times New Roman" w:cs="Times New Roman" w:eastAsia="Times New Roman" w:hAnsi="Times New Roman"/>
          <w:sz w:val="17"/>
          <w:szCs w:val="17"/>
          <w:color w:val="auto"/>
        </w:rPr>
      </w:pPr>
    </w:p>
    <w:p>
      <w:pPr>
        <w:ind w:firstLine="987"/>
        <w:spacing w:after="0" w:line="256" w:lineRule="auto"/>
        <w:tabs>
          <w:tab w:leader="none" w:pos="123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If the Optionee’s employment with the Company or a Subsidiary terminates for Cause, any portion of this Stock Option outstanding on such date shall terminate immediately and be of no further force and effect. For purposes hereof, “Cause” shall mean, unless otherwise provided in an employment or other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5" w:name="page16"/>
    <w:bookmarkEnd w:id="15"/>
    <w:p>
      <w:pPr>
        <w:ind w:firstLine="987"/>
        <w:spacing w:after="0" w:line="258" w:lineRule="auto"/>
        <w:tabs>
          <w:tab w:leader="none" w:pos="1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Termination</w:t>
      </w:r>
      <w:r>
        <w:rPr>
          <w:rFonts w:ascii="Times New Roman" w:cs="Times New Roman" w:eastAsia="Times New Roman" w:hAnsi="Times New Roman"/>
          <w:sz w:val="18"/>
          <w:szCs w:val="18"/>
          <w:color w:val="auto"/>
        </w:rPr>
        <w:t>. If the Optionee’s employment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83"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The Administrator’s determination of the reason for termination of the Optionee’s employment with the Company or a Subsidiary shall be conclusive and binding on the Optionee and his or her representatives or legatees.</w:t>
      </w:r>
    </w:p>
    <w:p>
      <w:pPr>
        <w:spacing w:after="0" w:line="162" w:lineRule="exact"/>
        <w:rPr>
          <w:sz w:val="20"/>
          <w:szCs w:val="20"/>
          <w:color w:val="auto"/>
        </w:rPr>
      </w:pPr>
    </w:p>
    <w:p>
      <w:pPr>
        <w:ind w:right="140" w:firstLine="436"/>
        <w:spacing w:after="0" w:line="256" w:lineRule="auto"/>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As set forth above, this Stock Option is not granted pursuant to the Plan. Instead, this Stock Option is granted as a material inducement to Optionee’s entering into employment with the Company pursuant to Rule 5635(c)(4) of the NASDAQ Stock Market Rules. However, for purposes of interpreting the provisions of this Stock Option, the terms and conditions of the Plan (other than those applicable to the share reserve, but including the powers of the Administrator set forth in Section 2(b) of the Plan) shall govern and apply to this Stock Option as if this Stock Option had actually been issued under the Plan. Capitalized terms in this Agreement shall have the meaning specified in the Plan, unless a different meaning is specified herein.</w:t>
      </w:r>
    </w:p>
    <w:p>
      <w:pPr>
        <w:spacing w:after="0" w:line="187" w:lineRule="exact"/>
        <w:rPr>
          <w:rFonts w:ascii="Times New Roman" w:cs="Times New Roman" w:eastAsia="Times New Roman" w:hAnsi="Times New Roman"/>
          <w:sz w:val="18"/>
          <w:szCs w:val="18"/>
          <w:color w:val="auto"/>
        </w:rPr>
      </w:pPr>
    </w:p>
    <w:p>
      <w:pPr>
        <w:ind w:right="360" w:firstLine="436"/>
        <w:spacing w:after="0" w:line="266" w:lineRule="auto"/>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75" w:lineRule="exact"/>
        <w:rPr>
          <w:rFonts w:ascii="Times New Roman" w:cs="Times New Roman" w:eastAsia="Times New Roman" w:hAnsi="Times New Roman"/>
          <w:sz w:val="18"/>
          <w:szCs w:val="18"/>
          <w:color w:val="auto"/>
        </w:rPr>
      </w:pPr>
    </w:p>
    <w:p>
      <w:pPr>
        <w:ind w:right="60" w:firstLine="436"/>
        <w:spacing w:after="0" w:line="255" w:lineRule="auto"/>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6" w:name="page17"/>
    <w:bookmarkEnd w:id="16"/>
    <w:p>
      <w:pPr>
        <w:jc w:val="both"/>
        <w:ind w:left="-40" w:firstLine="436"/>
        <w:spacing w:after="0" w:line="266" w:lineRule="auto"/>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Obligation to Continue Employment</w:t>
      </w:r>
      <w:r>
        <w:rPr>
          <w:rFonts w:ascii="Times New Roman" w:cs="Times New Roman" w:eastAsia="Times New Roman" w:hAnsi="Times New Roman"/>
          <w:sz w:val="18"/>
          <w:szCs w:val="18"/>
          <w:color w:val="auto"/>
        </w:rPr>
        <w:t>. Neither the Company nor any Subsidiary is obligated by or as a result of the Plan or this Agreement to continue the Optionee’s employment with the Company or a Subsidiary and neither the Plan nor this Agreement shall interfere in any way with the right of the Company or any Subsidiary to terminate the Optionee’s employment with the Company or a Subsidiary at any time.</w:t>
      </w:r>
    </w:p>
    <w:p>
      <w:pPr>
        <w:spacing w:after="0" w:line="175" w:lineRule="exact"/>
        <w:rPr>
          <w:rFonts w:ascii="Times New Roman" w:cs="Times New Roman" w:eastAsia="Times New Roman" w:hAnsi="Times New Roman"/>
          <w:sz w:val="18"/>
          <w:szCs w:val="18"/>
          <w:color w:val="auto"/>
        </w:rPr>
      </w:pPr>
    </w:p>
    <w:p>
      <w:pPr>
        <w:ind w:left="-40" w:right="400" w:firstLine="436"/>
        <w:spacing w:after="0" w:line="282" w:lineRule="auto"/>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161" w:lineRule="exact"/>
        <w:rPr>
          <w:rFonts w:ascii="Times New Roman" w:cs="Times New Roman" w:eastAsia="Times New Roman" w:hAnsi="Times New Roman"/>
          <w:sz w:val="18"/>
          <w:szCs w:val="18"/>
          <w:color w:val="auto"/>
        </w:rPr>
      </w:pPr>
    </w:p>
    <w:p>
      <w:pPr>
        <w:ind w:left="-40" w:right="60" w:firstLine="436"/>
        <w:spacing w:after="0" w:line="254" w:lineRule="auto"/>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88" w:lineRule="exact"/>
        <w:rPr>
          <w:rFonts w:ascii="Times New Roman" w:cs="Times New Roman" w:eastAsia="Times New Roman" w:hAnsi="Times New Roman"/>
          <w:sz w:val="18"/>
          <w:szCs w:val="18"/>
          <w:color w:val="auto"/>
        </w:rPr>
      </w:pPr>
    </w:p>
    <w:p>
      <w:pPr>
        <w:ind w:left="-40" w:right="60" w:firstLine="436"/>
        <w:spacing w:after="0" w:line="266" w:lineRule="auto"/>
        <w:tabs>
          <w:tab w:leader="none" w:pos="6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80" w:top="270" w:right="479" w:bottom="1440" w:gutter="0" w:footer="0" w:header="0"/>
        </w:sectPr>
      </w:pPr>
    </w:p>
    <w:bookmarkStart w:id="17" w:name="page18"/>
    <w:bookmarkEnd w:id="1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 MEDICINE,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Optionee’s Signature</w:t>
      </w:r>
    </w:p>
    <w:p>
      <w:pPr>
        <w:spacing w:after="0" w:line="22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840105</wp:posOffset>
            </wp:positionV>
            <wp:extent cx="3351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565785</wp:posOffset>
            </wp:positionV>
            <wp:extent cx="33515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extLst>
                        <a:ext uri="{28A0092B-C50C-407E-A947-70E740481C1C}"/>
                      </a:extLst>
                    </a:blip>
                    <a:srcRect/>
                    <a:stretch>
                      <a:fillRect/>
                    </a:stretch>
                  </pic:blipFill>
                  <pic:spPr bwMode="auto">
                    <a:xfrm>
                      <a:off x="0" y="0"/>
                      <a:ext cx="3351530" cy="8890"/>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291465</wp:posOffset>
            </wp:positionV>
            <wp:extent cx="33515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ectPr>
          <w:pgSz w:w="11900" w:h="16838" w:orient="portrait"/>
          <w:cols w:equalWidth="0" w:num="1">
            <w:col w:w="10720"/>
          </w:cols>
          <w:pgMar w:left="440" w:top="270" w:right="7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99.6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NON-PLAN INDUCEMENT GRANT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Name of Grantee:</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30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No. of Restricted Stock Units:</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800" w:type="dxa"/>
            <w:vAlign w:val="bottom"/>
          </w:tcPr>
          <w:p>
            <w:pPr>
              <w:spacing w:after="0"/>
              <w:rPr>
                <w:sz w:val="24"/>
                <w:szCs w:val="24"/>
                <w:color w:val="auto"/>
              </w:rPr>
            </w:pPr>
          </w:p>
        </w:tc>
      </w:tr>
      <w:tr>
        <w:trPr>
          <w:trHeight w:val="30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Grant Date:</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800" w:type="dxa"/>
            <w:vAlign w:val="bottom"/>
          </w:tcPr>
          <w:p>
            <w:pPr>
              <w:spacing w:after="0"/>
              <w:rPr>
                <w:sz w:val="24"/>
                <w:szCs w:val="24"/>
                <w:color w:val="auto"/>
              </w:rPr>
            </w:pPr>
          </w:p>
        </w:tc>
      </w:tr>
    </w:tbl>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Disc Medicine, Inc. (the “Company”) hereby grants an award of the number of Restricted Stock Units listed above (an “Award”) to the Grantee named above. This Award has been granted as an inducement grant pursuant to an exception under Rule 5635(c)(4) of the NASDAQ Stock Market Rules, is not issued under the Disc Medicine, Inc. Amended and Restated 2021 Stock Option and Incentive Plan as amended through the date hereof (the “Plan”) and does not reduce the share reserve under the Plan. However, for purposes of interpreting the applicable provisions of this Award, the terms and conditions of the Plan (other than those applicable to the share reserve) shall govern and apply to this Award as if this Award had actually been issued under the Plan. Each Restricted Stock Unit shall relate to one share of Common Stock, par value $0.0001 per share (the “Stock”), of the Company.</w:t>
      </w:r>
    </w:p>
    <w:p>
      <w:pPr>
        <w:spacing w:after="0" w:line="189" w:lineRule="exact"/>
        <w:rPr>
          <w:sz w:val="20"/>
          <w:szCs w:val="20"/>
          <w:color w:val="auto"/>
        </w:rPr>
      </w:pPr>
    </w:p>
    <w:p>
      <w:pPr>
        <w:ind w:right="40" w:firstLine="436"/>
        <w:spacing w:after="0" w:line="261"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of Award</w:t>
      </w:r>
      <w:r>
        <w:rPr>
          <w:rFonts w:ascii="Times New Roman" w:cs="Times New Roman" w:eastAsia="Times New Roman" w:hAnsi="Times New Roman"/>
          <w:sz w:val="18"/>
          <w:szCs w:val="18"/>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79" w:lineRule="exact"/>
        <w:rPr>
          <w:rFonts w:ascii="Times New Roman" w:cs="Times New Roman" w:eastAsia="Times New Roman" w:hAnsi="Times New Roman"/>
          <w:sz w:val="18"/>
          <w:szCs w:val="18"/>
          <w:color w:val="auto"/>
        </w:rPr>
      </w:pPr>
    </w:p>
    <w:p>
      <w:pPr>
        <w:jc w:val="both"/>
        <w:ind w:right="320" w:firstLine="436"/>
        <w:spacing w:after="0" w:line="261"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Stock Units</w:t>
      </w:r>
      <w:r>
        <w:rPr>
          <w:rFonts w:ascii="Times New Roman" w:cs="Times New Roman" w:eastAsia="Times New Roman" w:hAnsi="Times New Roman"/>
          <w:sz w:val="18"/>
          <w:szCs w:val="18"/>
          <w:color w:val="auto"/>
        </w:rPr>
        <w:t>. The restrictions and conditions of Paragraph 1 of this Agreement shall lapse on the Vesting Date or Dates specified in the following schedule so long as the Grantee remains an employee of the Company or a Subsidiary on such Vesting Dates. If a series of Vesting Dates is specified, then the restrictions and conditions in Paragraph 1 shall lapse only with respect to the number of Restricted Stock Units specified as vested on such date.</w:t>
      </w:r>
    </w:p>
    <w:p>
      <w:pPr>
        <w:spacing w:after="0" w:line="19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7520" w:type="dxa"/>
            <w:vAlign w:val="bottom"/>
            <w:gridSpan w:val="3"/>
          </w:tcPr>
          <w:p>
            <w:pPr>
              <w:ind w:left="1320"/>
              <w:spacing w:after="0"/>
              <w:rPr>
                <w:sz w:val="20"/>
                <w:szCs w:val="20"/>
                <w:color w:val="auto"/>
              </w:rPr>
            </w:pPr>
            <w:r>
              <w:rPr>
                <w:rFonts w:ascii="Times New Roman" w:cs="Times New Roman" w:eastAsia="Times New Roman" w:hAnsi="Times New Roman"/>
                <w:sz w:val="14"/>
                <w:szCs w:val="14"/>
                <w:color w:val="auto"/>
              </w:rPr>
              <w:t>Incremental Number of</w:t>
            </w: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91"/>
        </w:trPr>
        <w:tc>
          <w:tcPr>
            <w:tcW w:w="1320" w:type="dxa"/>
            <w:vAlign w:val="bottom"/>
          </w:tcPr>
          <w:p>
            <w:pPr>
              <w:spacing w:after="0"/>
              <w:rPr>
                <w:sz w:val="16"/>
                <w:szCs w:val="16"/>
                <w:color w:val="auto"/>
              </w:rPr>
            </w:pPr>
          </w:p>
        </w:tc>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Restricted Stock Units Vested</w:t>
            </w:r>
          </w:p>
        </w:tc>
        <w:tc>
          <w:tcPr>
            <w:tcW w:w="4480" w:type="dxa"/>
            <w:vAlign w:val="bottom"/>
          </w:tcPr>
          <w:p>
            <w:pPr>
              <w:spacing w:after="0"/>
              <w:rPr>
                <w:sz w:val="16"/>
                <w:szCs w:val="16"/>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Vesting Date</w:t>
            </w:r>
          </w:p>
        </w:tc>
      </w:tr>
      <w:tr>
        <w:trPr>
          <w:trHeight w:val="203"/>
        </w:trPr>
        <w:tc>
          <w:tcPr>
            <w:tcW w:w="1320" w:type="dxa"/>
            <w:vAlign w:val="bottom"/>
          </w:tcPr>
          <w:p>
            <w:pPr>
              <w:spacing w:after="0"/>
              <w:rPr>
                <w:sz w:val="17"/>
                <w:szCs w:val="17"/>
                <w:color w:val="auto"/>
              </w:rPr>
            </w:pPr>
          </w:p>
        </w:tc>
        <w:tc>
          <w:tcPr>
            <w:tcW w:w="62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_____________ (___%)</w:t>
            </w:r>
          </w:p>
        </w:tc>
        <w:tc>
          <w:tcPr>
            <w:tcW w:w="12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_____________</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3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 (___%)</w:t>
            </w: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_____________</w:t>
            </w:r>
          </w:p>
        </w:tc>
      </w:tr>
      <w:tr>
        <w:trPr>
          <w:trHeight w:val="216"/>
        </w:trPr>
        <w:tc>
          <w:tcPr>
            <w:tcW w:w="13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_____________ (___%)</w:t>
            </w:r>
          </w:p>
        </w:tc>
        <w:tc>
          <w:tcPr>
            <w:tcW w:w="1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_____________</w:t>
            </w:r>
          </w:p>
        </w:tc>
      </w:tr>
      <w:tr>
        <w:trPr>
          <w:trHeight w:val="234"/>
        </w:trPr>
        <w:tc>
          <w:tcPr>
            <w:tcW w:w="1320" w:type="dxa"/>
            <w:vAlign w:val="bottom"/>
          </w:tcPr>
          <w:p>
            <w:pPr>
              <w:spacing w:after="0"/>
              <w:rPr>
                <w:sz w:val="20"/>
                <w:szCs w:val="20"/>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 (___%)</w:t>
            </w: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_____________</w:t>
            </w:r>
          </w:p>
        </w:tc>
      </w:tr>
      <w:tr>
        <w:trPr>
          <w:trHeight w:val="414"/>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Administrator may at any time accelerate the vesting schedule specified in this Paragraph 2.</w:t>
            </w: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0"/>
          </w:cols>
          <w:pgMar w:left="440" w:top="117" w:right="439" w:bottom="1440" w:gutter="0" w:footer="0" w:header="0"/>
        </w:sectPr>
      </w:pPr>
    </w:p>
    <w:bookmarkStart w:id="19" w:name="page20"/>
    <w:bookmarkEnd w:id="19"/>
    <w:p>
      <w:pPr>
        <w:ind w:left="-20" w:right="280" w:firstLine="436"/>
        <w:spacing w:after="0" w:line="261" w:lineRule="auto"/>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of Employment</w:t>
      </w:r>
      <w:r>
        <w:rPr>
          <w:rFonts w:ascii="Times New Roman" w:cs="Times New Roman" w:eastAsia="Times New Roman" w:hAnsi="Times New Roman"/>
          <w:sz w:val="18"/>
          <w:szCs w:val="18"/>
          <w:color w:val="auto"/>
        </w:rPr>
        <w:t>. If the Grantee’s employment with the Company or a Subsidiary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179" w:lineRule="exact"/>
        <w:rPr>
          <w:rFonts w:ascii="Times New Roman" w:cs="Times New Roman" w:eastAsia="Times New Roman" w:hAnsi="Times New Roman"/>
          <w:sz w:val="18"/>
          <w:szCs w:val="18"/>
          <w:color w:val="auto"/>
        </w:rPr>
      </w:pPr>
    </w:p>
    <w:p>
      <w:pPr>
        <w:ind w:left="-20" w:right="120" w:firstLine="436"/>
        <w:spacing w:after="0" w:line="261" w:lineRule="auto"/>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 of Stock</w:t>
      </w:r>
      <w:r>
        <w:rPr>
          <w:rFonts w:ascii="Times New Roman" w:cs="Times New Roman" w:eastAsia="Times New Roman" w:hAnsi="Times New Roman"/>
          <w:sz w:val="18"/>
          <w:szCs w:val="18"/>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79" w:lineRule="exact"/>
        <w:rPr>
          <w:rFonts w:ascii="Times New Roman" w:cs="Times New Roman" w:eastAsia="Times New Roman" w:hAnsi="Times New Roman"/>
          <w:sz w:val="18"/>
          <w:szCs w:val="18"/>
          <w:color w:val="auto"/>
        </w:rPr>
      </w:pPr>
    </w:p>
    <w:p>
      <w:pPr>
        <w:ind w:left="-20" w:firstLine="436"/>
        <w:spacing w:after="0" w:line="258" w:lineRule="auto"/>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As set forth above, this Award is not granted pursuant to the Plan. Instead, this Award is granted as a material inducement to the Grantee’s entering into employment with the Company pursuant to Rule 5635(c)(4) of the NASDAQ Stock Market Rules. However, for purposes of interpreting the provisions of this Award, the terms and conditions of the Plan (other than those applicable to the share reserve, but including the powers of the Administrator set forth in Section 2(b) of the Plan) shall govern and apply to this Award as if this Award had actually been issued under the Plan. Capitalized terms in this Agreement shall have the meaning specified in the Plan, unless a different meaning is specified herein.</w:t>
      </w:r>
    </w:p>
    <w:p>
      <w:pPr>
        <w:spacing w:after="0" w:line="183" w:lineRule="exact"/>
        <w:rPr>
          <w:rFonts w:ascii="Times New Roman" w:cs="Times New Roman" w:eastAsia="Times New Roman" w:hAnsi="Times New Roman"/>
          <w:sz w:val="18"/>
          <w:szCs w:val="18"/>
          <w:color w:val="auto"/>
        </w:rPr>
      </w:pPr>
    </w:p>
    <w:p>
      <w:pPr>
        <w:ind w:left="-20" w:right="80" w:firstLine="436"/>
        <w:spacing w:after="0" w:line="255" w:lineRule="auto"/>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Grantee a number of shares of Stock with an aggregate Fair Market Value that would satisfy the withholding amount due; or (ii) causing its transfer agent to sell from the number of shares of Stock to be issued to the Grantee, the number of shares of Stock necessary to satisfy the Federal, state and local taxes required by law to be withheld from the Grantee on account of such transfer.</w:t>
      </w:r>
    </w:p>
    <w:p>
      <w:pPr>
        <w:spacing w:after="0" w:line="188" w:lineRule="exact"/>
        <w:rPr>
          <w:rFonts w:ascii="Times New Roman" w:cs="Times New Roman" w:eastAsia="Times New Roman" w:hAnsi="Times New Roman"/>
          <w:sz w:val="18"/>
          <w:szCs w:val="18"/>
          <w:color w:val="auto"/>
        </w:rPr>
      </w:pPr>
    </w:p>
    <w:p>
      <w:pPr>
        <w:ind w:left="-20" w:right="180" w:firstLine="436"/>
        <w:spacing w:after="0" w:line="282" w:lineRule="auto"/>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61" w:lineRule="exact"/>
        <w:rPr>
          <w:rFonts w:ascii="Times New Roman" w:cs="Times New Roman" w:eastAsia="Times New Roman" w:hAnsi="Times New Roman"/>
          <w:sz w:val="18"/>
          <w:szCs w:val="18"/>
          <w:color w:val="auto"/>
        </w:rPr>
      </w:pPr>
    </w:p>
    <w:p>
      <w:pPr>
        <w:ind w:left="-20" w:right="40" w:firstLine="436"/>
        <w:spacing w:after="0" w:line="266" w:lineRule="auto"/>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Employment</w:t>
      </w:r>
      <w:r>
        <w:rPr>
          <w:rFonts w:ascii="Times New Roman" w:cs="Times New Roman" w:eastAsia="Times New Roman" w:hAnsi="Times New Roman"/>
          <w:sz w:val="18"/>
          <w:szCs w:val="18"/>
          <w:color w:val="auto"/>
        </w:rPr>
        <w:t>. Neither the Company nor any Subsidiary is obligated by or as a result of the Plan or this Agreement to continue the Grantee’s employment with the Company or a Subsidiary and neither the Plan nor this Agreement shall interfere in any way with the right of the Company or any Subsidiary to terminate the Grantee’s employment with the Company or a Subsidiary at any time.</w:t>
      </w:r>
    </w:p>
    <w:p>
      <w:pPr>
        <w:spacing w:after="0" w:line="175" w:lineRule="exact"/>
        <w:rPr>
          <w:rFonts w:ascii="Times New Roman" w:cs="Times New Roman" w:eastAsia="Times New Roman" w:hAnsi="Times New Roman"/>
          <w:sz w:val="18"/>
          <w:szCs w:val="18"/>
          <w:color w:val="auto"/>
        </w:rPr>
      </w:pPr>
    </w:p>
    <w:p>
      <w:pPr>
        <w:ind w:left="-20" w:right="40" w:firstLine="436"/>
        <w:spacing w:after="0" w:line="282" w:lineRule="auto"/>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60" w:top="270" w:right="459" w:bottom="1440" w:gutter="0" w:footer="0" w:header="0"/>
        </w:sectPr>
      </w:pPr>
    </w:p>
    <w:bookmarkStart w:id="20" w:name="page21"/>
    <w:bookmarkEnd w:id="20"/>
    <w:p>
      <w:pPr>
        <w:ind w:left="-20" w:firstLine="436"/>
        <w:spacing w:after="0" w:line="254" w:lineRule="auto"/>
        <w:tabs>
          <w:tab w:leader="none" w:pos="69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88" w:lineRule="exact"/>
        <w:rPr>
          <w:rFonts w:ascii="Times New Roman" w:cs="Times New Roman" w:eastAsia="Times New Roman" w:hAnsi="Times New Roman"/>
          <w:sz w:val="18"/>
          <w:szCs w:val="18"/>
          <w:color w:val="auto"/>
        </w:rPr>
      </w:pPr>
    </w:p>
    <w:p>
      <w:pPr>
        <w:jc w:val="both"/>
        <w:ind w:left="-20" w:right="160" w:firstLine="436"/>
        <w:spacing w:after="0" w:line="266" w:lineRule="auto"/>
        <w:tabs>
          <w:tab w:leader="none" w:pos="6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60" w:top="270" w:right="459" w:bottom="1440" w:gutter="0" w:footer="0" w:header="0"/>
        </w:sectPr>
      </w:pPr>
    </w:p>
    <w:bookmarkStart w:id="21" w:name="page22"/>
    <w:bookmarkEnd w:id="2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 MEDICINE,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Grantee’s Signature</w:t>
      </w:r>
    </w:p>
    <w:p>
      <w:pPr>
        <w:spacing w:after="0" w:line="22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840105</wp:posOffset>
            </wp:positionV>
            <wp:extent cx="33515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565785</wp:posOffset>
            </wp:positionV>
            <wp:extent cx="33515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291465</wp:posOffset>
            </wp:positionV>
            <wp:extent cx="3351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ectPr>
          <w:pgSz w:w="11900" w:h="16838" w:orient="portrait"/>
          <w:cols w:equalWidth="0" w:num="1">
            <w:col w:w="10720"/>
          </w:cols>
          <w:pgMar w:left="440" w:top="270" w:right="7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1—Newly Registered Securities</w:t>
      </w:r>
    </w:p>
    <w:p>
      <w:pPr>
        <w:spacing w:after="0" w:line="254" w:lineRule="exact"/>
        <w:rPr>
          <w:sz w:val="20"/>
          <w:szCs w:val="20"/>
          <w:color w:val="auto"/>
        </w:rPr>
      </w:pPr>
    </w:p>
    <w:tbl>
      <w:tblPr>
        <w:tblLayout w:type="fixed"/>
        <w:tblInd w:w="454" w:type="dxa"/>
        <w:tblCellMar>
          <w:top w:w="0" w:type="dxa"/>
          <w:left w:w="0" w:type="dxa"/>
          <w:bottom w:w="0" w:type="dxa"/>
          <w:right w:w="0" w:type="dxa"/>
        </w:tblCellMar>
      </w:tblPr>
      <w:tr>
        <w:trPr>
          <w:trHeight w:val="144"/>
        </w:trPr>
        <w:tc>
          <w:tcPr>
            <w:tcW w:w="1340" w:type="dxa"/>
            <w:vAlign w:val="bottom"/>
            <w:tcBorders>
              <w:top w:val="single" w:sz="8" w:color="auto"/>
              <w:left w:val="single" w:sz="8" w:color="auto"/>
              <w:right w:val="single" w:sz="8" w:color="auto"/>
            </w:tcBorders>
          </w:tcPr>
          <w:p>
            <w:pPr>
              <w:spacing w:after="0"/>
              <w:rPr>
                <w:sz w:val="12"/>
                <w:szCs w:val="12"/>
                <w:color w:val="auto"/>
              </w:rPr>
            </w:pPr>
          </w:p>
        </w:tc>
        <w:tc>
          <w:tcPr>
            <w:tcW w:w="216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Proposed</w:t>
            </w:r>
          </w:p>
        </w:tc>
        <w:tc>
          <w:tcPr>
            <w:tcW w:w="160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r>
      <w:tr>
        <w:trPr>
          <w:trHeight w:val="135"/>
        </w:trPr>
        <w:tc>
          <w:tcPr>
            <w:tcW w:w="1340" w:type="dxa"/>
            <w:vAlign w:val="bottom"/>
            <w:tcBorders>
              <w:left w:val="single" w:sz="8" w:color="auto"/>
              <w:right w:val="single" w:sz="8" w:color="auto"/>
            </w:tcBorders>
          </w:tcPr>
          <w:p>
            <w:pPr>
              <w:spacing w:after="0"/>
              <w:rPr>
                <w:sz w:val="11"/>
                <w:szCs w:val="11"/>
                <w:color w:val="auto"/>
              </w:rPr>
            </w:pPr>
          </w:p>
        </w:tc>
        <w:tc>
          <w:tcPr>
            <w:tcW w:w="216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1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r>
      <w:tr>
        <w:trPr>
          <w:trHeight w:val="135"/>
        </w:trPr>
        <w:tc>
          <w:tcPr>
            <w:tcW w:w="1340" w:type="dxa"/>
            <w:vAlign w:val="bottom"/>
            <w:tcBorders>
              <w:left w:val="single" w:sz="8" w:color="auto"/>
              <w:right w:val="single" w:sz="8" w:color="auto"/>
            </w:tcBorders>
          </w:tcPr>
          <w:p>
            <w:pPr>
              <w:spacing w:after="0"/>
              <w:rPr>
                <w:sz w:val="11"/>
                <w:szCs w:val="11"/>
                <w:color w:val="auto"/>
              </w:rPr>
            </w:pPr>
          </w:p>
        </w:tc>
        <w:tc>
          <w:tcPr>
            <w:tcW w:w="21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0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1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r>
      <w:tr>
        <w:trPr>
          <w:trHeight w:val="135"/>
        </w:trPr>
        <w:tc>
          <w:tcPr>
            <w:tcW w:w="1340" w:type="dxa"/>
            <w:vAlign w:val="bottom"/>
            <w:tcBorders>
              <w:left w:val="single" w:sz="8" w:color="auto"/>
              <w:right w:val="single" w:sz="8" w:color="auto"/>
            </w:tcBorders>
          </w:tcPr>
          <w:p>
            <w:pPr>
              <w:spacing w:after="0"/>
              <w:rPr>
                <w:sz w:val="11"/>
                <w:szCs w:val="11"/>
                <w:color w:val="auto"/>
              </w:rPr>
            </w:pPr>
          </w:p>
        </w:tc>
        <w:tc>
          <w:tcPr>
            <w:tcW w:w="21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Class</w:t>
            </w: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100" w:type="dxa"/>
            <w:vAlign w:val="bottom"/>
            <w:tcBorders>
              <w:right w:val="single" w:sz="8" w:color="auto"/>
            </w:tcBorders>
          </w:tcPr>
          <w:p>
            <w:pPr>
              <w:jc w:val="center"/>
              <w:ind w:left="1"/>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r>
      <w:tr>
        <w:trPr>
          <w:trHeight w:val="179"/>
        </w:trPr>
        <w:tc>
          <w:tcPr>
            <w:tcW w:w="1340" w:type="dxa"/>
            <w:vAlign w:val="bottom"/>
            <w:tcBorders>
              <w:left w:val="single" w:sz="8" w:color="auto"/>
              <w:bottom w:val="single" w:sz="8" w:color="auto"/>
              <w:right w:val="single" w:sz="8" w:color="auto"/>
            </w:tcBorders>
          </w:tcPr>
          <w:p>
            <w:pPr>
              <w:jc w:val="center"/>
              <w:ind w:left="77"/>
              <w:spacing w:after="0"/>
              <w:rPr>
                <w:sz w:val="20"/>
                <w:szCs w:val="20"/>
                <w:color w:val="auto"/>
              </w:rPr>
            </w:pPr>
            <w:r>
              <w:rPr>
                <w:rFonts w:ascii="Times New Roman" w:cs="Times New Roman" w:eastAsia="Times New Roman" w:hAnsi="Times New Roman"/>
                <w:sz w:val="13"/>
                <w:szCs w:val="13"/>
                <w:color w:val="auto"/>
                <w:w w:val="95"/>
              </w:rPr>
              <w:t>Security Type</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Title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 (1)</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r>
      <w:tr>
        <w:trPr>
          <w:trHeight w:val="206"/>
        </w:trPr>
        <w:tc>
          <w:tcPr>
            <w:tcW w:w="1340" w:type="dxa"/>
            <w:vAlign w:val="bottom"/>
            <w:tcBorders>
              <w:left w:val="single" w:sz="8" w:color="auto"/>
              <w:right w:val="single" w:sz="8" w:color="auto"/>
            </w:tcBorders>
          </w:tcPr>
          <w:p>
            <w:pPr>
              <w:jc w:val="center"/>
              <w:ind w:left="57"/>
              <w:spacing w:after="0" w:line="206" w:lineRule="exact"/>
              <w:rPr>
                <w:sz w:val="20"/>
                <w:szCs w:val="20"/>
                <w:color w:val="auto"/>
              </w:rPr>
            </w:pPr>
            <w:r>
              <w:rPr>
                <w:rFonts w:ascii="Times New Roman" w:cs="Times New Roman" w:eastAsia="Times New Roman" w:hAnsi="Times New Roman"/>
                <w:sz w:val="18"/>
                <w:szCs w:val="18"/>
                <w:color w:val="auto"/>
                <w:w w:val="99"/>
              </w:rPr>
              <w:t>Equity</w:t>
            </w:r>
          </w:p>
        </w:tc>
        <w:tc>
          <w:tcPr>
            <w:tcW w:w="216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Common Stock, $0.0001</w:t>
            </w:r>
          </w:p>
        </w:tc>
        <w:tc>
          <w:tcPr>
            <w:tcW w:w="102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8"/>
              </w:rPr>
              <w:t>457(c) and</w:t>
            </w:r>
          </w:p>
        </w:tc>
        <w:tc>
          <w:tcPr>
            <w:tcW w:w="10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41"/>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 per share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974,409 (2) </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$63.12 (3) </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$61,504,696.08 (3)</w:t>
            </w:r>
          </w:p>
        </w:tc>
        <w:tc>
          <w:tcPr>
            <w:tcW w:w="110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8"/>
                <w:szCs w:val="18"/>
                <w:color w:val="auto"/>
              </w:rPr>
              <w:t>$0.0001476 </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$9,078.10</w:t>
            </w:r>
          </w:p>
        </w:tc>
      </w:tr>
      <w:tr>
        <w:trPr>
          <w:trHeight w:val="211"/>
        </w:trPr>
        <w:tc>
          <w:tcPr>
            <w:tcW w:w="1340" w:type="dxa"/>
            <w:vAlign w:val="bottom"/>
            <w:tcBorders>
              <w:left w:val="single" w:sz="8" w:color="auto"/>
              <w:right w:val="single" w:sz="8" w:color="auto"/>
            </w:tcBorders>
          </w:tcPr>
          <w:p>
            <w:pPr>
              <w:jc w:val="center"/>
              <w:ind w:left="57"/>
              <w:spacing w:after="0"/>
              <w:rPr>
                <w:sz w:val="20"/>
                <w:szCs w:val="20"/>
                <w:color w:val="auto"/>
              </w:rPr>
            </w:pPr>
            <w:r>
              <w:rPr>
                <w:rFonts w:ascii="Times New Roman" w:cs="Times New Roman" w:eastAsia="Times New Roman" w:hAnsi="Times New Roman"/>
                <w:sz w:val="18"/>
                <w:szCs w:val="18"/>
                <w:color w:val="auto"/>
                <w:w w:val="99"/>
              </w:rPr>
              <w:t>Equity</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457(c) and</w:t>
            </w: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41"/>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 per share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43,055(4) </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$53.66 (5)  </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$2,310,331.30 (5)</w:t>
            </w:r>
          </w:p>
        </w:tc>
        <w:tc>
          <w:tcPr>
            <w:tcW w:w="110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8"/>
                <w:szCs w:val="18"/>
                <w:color w:val="auto"/>
              </w:rPr>
              <w:t>$0.0001476 </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$341.01</w:t>
            </w:r>
          </w:p>
        </w:tc>
      </w:tr>
      <w:tr>
        <w:trPr>
          <w:trHeight w:val="211"/>
        </w:trPr>
        <w:tc>
          <w:tcPr>
            <w:tcW w:w="1340" w:type="dxa"/>
            <w:vAlign w:val="bottom"/>
            <w:tcBorders>
              <w:left w:val="single" w:sz="8" w:color="auto"/>
              <w:right w:val="single" w:sz="8" w:color="auto"/>
            </w:tcBorders>
          </w:tcPr>
          <w:p>
            <w:pPr>
              <w:jc w:val="center"/>
              <w:ind w:left="57"/>
              <w:spacing w:after="0"/>
              <w:rPr>
                <w:sz w:val="20"/>
                <w:szCs w:val="20"/>
                <w:color w:val="auto"/>
              </w:rPr>
            </w:pPr>
            <w:r>
              <w:rPr>
                <w:rFonts w:ascii="Times New Roman" w:cs="Times New Roman" w:eastAsia="Times New Roman" w:hAnsi="Times New Roman"/>
                <w:sz w:val="18"/>
                <w:szCs w:val="18"/>
                <w:color w:val="auto"/>
                <w:w w:val="99"/>
              </w:rPr>
              <w:t>Equity</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457(c) and</w:t>
            </w: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41"/>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 per share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183,332(6) </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$63.12 (3) </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$11,571,915.84 (3)</w:t>
            </w:r>
          </w:p>
        </w:tc>
        <w:tc>
          <w:tcPr>
            <w:tcW w:w="110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8"/>
                <w:szCs w:val="18"/>
                <w:color w:val="auto"/>
              </w:rPr>
              <w:t>$0.0001476 </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$1,708.02</w:t>
            </w:r>
          </w:p>
        </w:tc>
      </w:tr>
      <w:tr>
        <w:trPr>
          <w:trHeight w:val="239"/>
        </w:trPr>
        <w:tc>
          <w:tcPr>
            <w:tcW w:w="1340" w:type="dxa"/>
            <w:vAlign w:val="bottom"/>
            <w:tcBorders>
              <w:left w:val="single" w:sz="8" w:color="auto"/>
              <w:bottom w:val="single" w:sz="8" w:color="auto"/>
            </w:tcBorders>
          </w:tcPr>
          <w:p>
            <w:pPr>
              <w:spacing w:after="0"/>
              <w:rPr>
                <w:sz w:val="20"/>
                <w:szCs w:val="20"/>
                <w:color w:val="auto"/>
              </w:rPr>
            </w:pPr>
          </w:p>
        </w:tc>
        <w:tc>
          <w:tcPr>
            <w:tcW w:w="3180" w:type="dxa"/>
            <w:vAlign w:val="bottom"/>
            <w:tcBorders>
              <w:bottom w:val="single" w:sz="8" w:color="auto"/>
            </w:tcBorders>
            <w:gridSpan w:val="2"/>
          </w:tcPr>
          <w:p>
            <w:pPr>
              <w:jc w:val="center"/>
              <w:ind w:right="119"/>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0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$75,386,943.22</w:t>
            </w:r>
          </w:p>
        </w:tc>
        <w:tc>
          <w:tcPr>
            <w:tcW w:w="11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$11,127.13</w:t>
            </w:r>
          </w:p>
        </w:tc>
      </w:tr>
      <w:tr>
        <w:trPr>
          <w:trHeight w:val="236"/>
        </w:trPr>
        <w:tc>
          <w:tcPr>
            <w:tcW w:w="1340" w:type="dxa"/>
            <w:vAlign w:val="bottom"/>
            <w:tcBorders>
              <w:left w:val="single" w:sz="8" w:color="auto"/>
              <w:bottom w:val="single" w:sz="8" w:color="auto"/>
            </w:tcBorders>
          </w:tcPr>
          <w:p>
            <w:pPr>
              <w:spacing w:after="0"/>
              <w:rPr>
                <w:sz w:val="20"/>
                <w:szCs w:val="20"/>
                <w:color w:val="auto"/>
              </w:rPr>
            </w:pPr>
          </w:p>
        </w:tc>
        <w:tc>
          <w:tcPr>
            <w:tcW w:w="2160" w:type="dxa"/>
            <w:vAlign w:val="bottom"/>
            <w:tcBorders>
              <w:bottom w:val="single" w:sz="8" w:color="auto"/>
            </w:tcBorders>
          </w:tcPr>
          <w:p>
            <w:pPr>
              <w:jc w:val="center"/>
              <w:ind w:left="737"/>
              <w:spacing w:after="0"/>
              <w:rPr>
                <w:sz w:val="20"/>
                <w:szCs w:val="20"/>
                <w:color w:val="auto"/>
              </w:rPr>
            </w:pPr>
            <w:r>
              <w:rPr>
                <w:rFonts w:ascii="Times New Roman" w:cs="Times New Roman" w:eastAsia="Times New Roman" w:hAnsi="Times New Roman"/>
                <w:sz w:val="18"/>
                <w:szCs w:val="18"/>
                <w:color w:val="auto"/>
                <w:w w:val="97"/>
              </w:rPr>
              <w:t>Total Fee Offsets</w:t>
            </w:r>
          </w:p>
        </w:tc>
        <w:tc>
          <w:tcPr>
            <w:tcW w:w="10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1340" w:type="dxa"/>
            <w:vAlign w:val="bottom"/>
            <w:tcBorders>
              <w:left w:val="single" w:sz="8" w:color="auto"/>
              <w:bottom w:val="single" w:sz="8" w:color="auto"/>
            </w:tcBorders>
          </w:tcPr>
          <w:p>
            <w:pPr>
              <w:spacing w:after="0"/>
              <w:rPr>
                <w:sz w:val="20"/>
                <w:szCs w:val="20"/>
                <w:color w:val="auto"/>
              </w:rPr>
            </w:pPr>
          </w:p>
        </w:tc>
        <w:tc>
          <w:tcPr>
            <w:tcW w:w="2160" w:type="dxa"/>
            <w:vAlign w:val="bottom"/>
            <w:tcBorders>
              <w:bottom w:val="single" w:sz="8" w:color="auto"/>
            </w:tcBorders>
          </w:tcPr>
          <w:p>
            <w:pPr>
              <w:jc w:val="center"/>
              <w:ind w:left="737"/>
              <w:spacing w:after="0"/>
              <w:rPr>
                <w:sz w:val="20"/>
                <w:szCs w:val="20"/>
                <w:color w:val="auto"/>
              </w:rPr>
            </w:pPr>
            <w:r>
              <w:rPr>
                <w:rFonts w:ascii="Times New Roman" w:cs="Times New Roman" w:eastAsia="Times New Roman" w:hAnsi="Times New Roman"/>
                <w:sz w:val="18"/>
                <w:szCs w:val="18"/>
                <w:color w:val="auto"/>
                <w:w w:val="98"/>
              </w:rPr>
              <w:t>Net Fee Due</w:t>
            </w:r>
          </w:p>
        </w:tc>
        <w:tc>
          <w:tcPr>
            <w:tcW w:w="10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$11,127.13</w:t>
            </w:r>
          </w:p>
        </w:tc>
      </w:tr>
    </w:tbl>
    <w:p>
      <w:pPr>
        <w:spacing w:after="0" w:line="221" w:lineRule="exact"/>
        <w:rPr>
          <w:sz w:val="20"/>
          <w:szCs w:val="20"/>
          <w:color w:val="auto"/>
        </w:rPr>
      </w:pPr>
    </w:p>
    <w:p>
      <w:pPr>
        <w:ind w:left="424" w:right="20" w:hanging="424"/>
        <w:spacing w:after="0" w:line="255"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this Registration Statement shall also cover any additional shares of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which become issuable under the Registrant’s Amended and Restated 2021 Stock Option and Incentive Plan (the “</w:t>
      </w:r>
      <w:r>
        <w:rPr>
          <w:rFonts w:ascii="Times New Roman" w:cs="Times New Roman" w:eastAsia="Times New Roman" w:hAnsi="Times New Roman"/>
          <w:sz w:val="18"/>
          <w:szCs w:val="18"/>
          <w:b w:val="1"/>
          <w:bCs w:val="1"/>
          <w:i w:val="1"/>
          <w:iCs w:val="1"/>
          <w:color w:val="auto"/>
        </w:rPr>
        <w:t>2021 Plan</w:t>
      </w:r>
      <w:r>
        <w:rPr>
          <w:rFonts w:ascii="Times New Roman" w:cs="Times New Roman" w:eastAsia="Times New Roman" w:hAnsi="Times New Roman"/>
          <w:sz w:val="18"/>
          <w:szCs w:val="18"/>
          <w:color w:val="auto"/>
        </w:rPr>
        <w:t>”) and the Registrant’s Amended and Restated 2021 Employee Stock Purchase Plan (the “</w:t>
      </w:r>
      <w:r>
        <w:rPr>
          <w:rFonts w:ascii="Times New Roman" w:cs="Times New Roman" w:eastAsia="Times New Roman" w:hAnsi="Times New Roman"/>
          <w:sz w:val="18"/>
          <w:szCs w:val="18"/>
          <w:b w:val="1"/>
          <w:bCs w:val="1"/>
          <w:i w:val="1"/>
          <w:iCs w:val="1"/>
          <w:color w:val="auto"/>
        </w:rPr>
        <w:t>2021 ESPP</w:t>
      </w:r>
      <w:r>
        <w:rPr>
          <w:rFonts w:ascii="Times New Roman" w:cs="Times New Roman" w:eastAsia="Times New Roman" w:hAnsi="Times New Roman"/>
          <w:sz w:val="18"/>
          <w:szCs w:val="18"/>
          <w:color w:val="auto"/>
        </w:rPr>
        <w:t>”) by reason of any stock dividend, stock split, recapitalization or any other similar transaction effected without the receipt of consideration which results in an increase in the number of outstanding shares of Common Stock.</w:t>
      </w:r>
    </w:p>
    <w:p>
      <w:pPr>
        <w:spacing w:after="0" w:line="2" w:lineRule="exact"/>
        <w:rPr>
          <w:rFonts w:ascii="Times New Roman" w:cs="Times New Roman" w:eastAsia="Times New Roman" w:hAnsi="Times New Roman"/>
          <w:sz w:val="18"/>
          <w:szCs w:val="18"/>
          <w:color w:val="auto"/>
        </w:rPr>
      </w:pPr>
    </w:p>
    <w:p>
      <w:pPr>
        <w:ind w:left="424" w:right="260" w:hanging="424"/>
        <w:spacing w:after="0" w:line="250"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increase of 974,409 shares of Common Stock to the number of shares reserved for issuance under the 2021 Plan, as a result of an automatic increase effective January 1, 2024. Shares available for issuance under the 2021 Plan were previously registered on Registration Statements on Form S-8 filed with the United States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April 12, 2021 (File No. 333-255194), March 10, 2022 (File No. 333-263410) and January 17, 2023 (File No. 333-269271).</w:t>
      </w:r>
    </w:p>
    <w:p>
      <w:pPr>
        <w:spacing w:after="0" w:line="1"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457(c) and (h) of the Securities Act, and based on $63.12, the average of the high and low sale prices of the Common Stock as reported on Nasdaq on March 15, 2024 (such date being within five business days of the date that this Registration Statement was filed with the Commission).</w:t>
      </w:r>
    </w:p>
    <w:p>
      <w:pPr>
        <w:spacing w:after="0" w:line="1" w:lineRule="exact"/>
        <w:rPr>
          <w:rFonts w:ascii="Times New Roman" w:cs="Times New Roman" w:eastAsia="Times New Roman" w:hAnsi="Times New Roman"/>
          <w:sz w:val="18"/>
          <w:szCs w:val="18"/>
          <w:color w:val="auto"/>
        </w:rPr>
      </w:pPr>
    </w:p>
    <w:p>
      <w:pPr>
        <w:ind w:left="424" w:right="280" w:hanging="424"/>
        <w:spacing w:after="0" w:line="250"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increase of 43,055 shares of Common Stock to the number of shares reserved for issuance under the 2021 ESPP, as a result of an automatic increase effective January 1, 2024. Shares available for issuance under the 2021 ESPP were previously registered on Registration Statements on Form S-8 filed with the SEC on October 14, 2022 (File No. 333-260243) and January 17, 2023 (File No. 333-269271).</w:t>
      </w:r>
    </w:p>
    <w:p>
      <w:pPr>
        <w:spacing w:after="0" w:line="1" w:lineRule="exact"/>
        <w:rPr>
          <w:rFonts w:ascii="Times New Roman" w:cs="Times New Roman" w:eastAsia="Times New Roman" w:hAnsi="Times New Roman"/>
          <w:sz w:val="18"/>
          <w:szCs w:val="18"/>
          <w:color w:val="auto"/>
        </w:rPr>
      </w:pPr>
    </w:p>
    <w:p>
      <w:pPr>
        <w:ind w:left="424" w:right="280" w:hanging="424"/>
        <w:spacing w:after="0" w:line="250"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457(c) and (h) of the Securities Act, and based on $53.66, which is 85% of the average of the high and low sale prices of the Common Stock as reported on Nasdaq on March 15, 2024 (such date being within five business days of the date that this Registration Statement was filed with the Commission). Pursuant to the 2021 ESPP, the purchase price of the shares of Common Stock reserved for issuance thereunder will be 85% of the fair market value of a share of Common Stock on the first trading day of the offering period or on the exercise date, whichever is less.</w:t>
      </w:r>
    </w:p>
    <w:p>
      <w:pPr>
        <w:spacing w:after="0" w:line="1" w:lineRule="exact"/>
        <w:rPr>
          <w:rFonts w:ascii="Times New Roman" w:cs="Times New Roman" w:eastAsia="Times New Roman" w:hAnsi="Times New Roman"/>
          <w:sz w:val="18"/>
          <w:szCs w:val="18"/>
          <w:color w:val="auto"/>
        </w:rPr>
      </w:pPr>
    </w:p>
    <w:p>
      <w:pPr>
        <w:ind w:left="424" w:right="520" w:hanging="424"/>
        <w:spacing w:after="0" w:line="255"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number of shares of the Registrant’s Common Stock issuable upon the exercise of stock options and the vesting of restricted stock units granted to the Registrant’s Chief Financial Officer and the Registrant’s Chief Commercial Officer, in each case as an inducement material to entry into employment with the Registrant under Nasdaq Listing Rule 5635(c)(4).</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lowerRoman"/>
      <w:start w:val="2"/>
    </w:lvl>
  </w:abstractNum>
  <w:abstractNum w:abstractNumId="7">
    <w:nsid w:val="7FDCC233"/>
    <w:multiLevelType w:val="hybridMultilevel"/>
    <w:lvl w:ilvl="0">
      <w:lvlJc w:val="left"/>
      <w:lvlText w:val="(%1)"/>
      <w:numFmt w:val="decimal"/>
      <w:start w:val="2"/>
    </w:lvl>
  </w:abstractNum>
  <w:abstractNum w:abstractNumId="8">
    <w:nsid w:val="1BEFD79F"/>
    <w:multiLevelType w:val="hybridMultilevel"/>
    <w:lvl w:ilvl="0">
      <w:lvlJc w:val="left"/>
      <w:lvlText w:val="(%1)"/>
      <w:numFmt w:val="lowerLetter"/>
      <w:start w:val="2"/>
    </w:lvl>
  </w:abstractNum>
  <w:abstractNum w:abstractNumId="9">
    <w:nsid w:val="41A7C4C9"/>
    <w:multiLevelType w:val="hybridMultilevel"/>
    <w:lvl w:ilvl="0">
      <w:lvlJc w:val="left"/>
      <w:lvlText w:val="(%1)"/>
      <w:numFmt w:val="lowerRoman"/>
      <w:start w:val="2"/>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2"/>
    </w:lvl>
    <w:lvl w:ilvl="1">
      <w:lvlJc w:val="left"/>
      <w:lvlText w:val="(%2)"/>
      <w:numFmt w:val="lowerLetter"/>
      <w:start w:val="1"/>
    </w:lvl>
  </w:abstractNum>
  <w:abstractNum w:abstractNumId="12">
    <w:nsid w:val="25E45D32"/>
    <w:multiLevelType w:val="hybridMultilevel"/>
    <w:lvl w:ilvl="0">
      <w:lvlJc w:val="left"/>
      <w:lvlText w:val="%1"/>
      <w:numFmt w:val="decimal"/>
      <w:start w:val="1"/>
    </w:lvl>
    <w:lvl w:ilvl="1">
      <w:lvlJc w:val="left"/>
      <w:lvlText w:val="(%2)"/>
      <w:numFmt w:val="lowerLetter"/>
      <w:start w:val="2"/>
    </w:lvl>
  </w:abstractNum>
  <w:abstractNum w:abstractNumId="13">
    <w:nsid w:val="519B500D"/>
    <w:multiLevelType w:val="hybridMultilevel"/>
    <w:lvl w:ilvl="0">
      <w:lvlJc w:val="left"/>
      <w:lvlText w:val="%1."/>
      <w:numFmt w:val="decimal"/>
      <w:start w:val="3"/>
    </w:lvl>
    <w:lvl w:ilvl="1">
      <w:lvlJc w:val="left"/>
      <w:lvlText w:val="(%2)"/>
      <w:numFmt w:val="lowerLetter"/>
      <w:start w:val="1"/>
    </w:lvl>
  </w:abstractNum>
  <w:abstractNum w:abstractNumId="14">
    <w:nsid w:val="431BD7B7"/>
    <w:multiLevelType w:val="hybridMultilevel"/>
    <w:lvl w:ilvl="0">
      <w:lvlJc w:val="left"/>
      <w:lvlText w:val="(%1)"/>
      <w:numFmt w:val="lowerLetter"/>
      <w:start w:val="4"/>
    </w:lvl>
  </w:abstractNum>
  <w:abstractNum w:abstractNumId="15">
    <w:nsid w:val="3F2DBA31"/>
    <w:multiLevelType w:val="hybridMultilevel"/>
    <w:lvl w:ilvl="0">
      <w:lvlJc w:val="left"/>
      <w:lvlText w:val="%1."/>
      <w:numFmt w:val="decimal"/>
      <w:start w:val="4"/>
    </w:lvl>
  </w:abstractNum>
  <w:abstractNum w:abstractNumId="16">
    <w:nsid w:val="7C83E458"/>
    <w:multiLevelType w:val="hybridMultilevel"/>
    <w:lvl w:ilvl="0">
      <w:lvlJc w:val="left"/>
      <w:lvlText w:val="%1."/>
      <w:numFmt w:val="decimal"/>
      <w:start w:val="7"/>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3"/>
    </w:lvl>
  </w:abstractNum>
  <w:abstractNum w:abstractNumId="19">
    <w:nsid w:val="436C6125"/>
    <w:multiLevelType w:val="hybridMultilevel"/>
    <w:lvl w:ilvl="0">
      <w:lvlJc w:val="left"/>
      <w:lvlText w:val="%1."/>
      <w:numFmt w:val="decimal"/>
      <w:start w:val="10"/>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41" Type="http://schemas.openxmlformats.org/officeDocument/2006/relationships/image" Target="media/image16.png"/><Relationship Id="rId42" Type="http://schemas.openxmlformats.org/officeDocument/2006/relationships/image" Target="media/image17.png"/><Relationship Id="rId43" Type="http://schemas.openxmlformats.org/officeDocument/2006/relationships/image" Target="media/image18.png"/><Relationship Id="rId44" Type="http://schemas.openxmlformats.org/officeDocument/2006/relationships/image" Target="media/image19.png"/><Relationship Id="rId45" Type="http://schemas.openxmlformats.org/officeDocument/2006/relationships/image" Target="media/image20.jpeg"/><Relationship Id="rId46" Type="http://schemas.openxmlformats.org/officeDocument/2006/relationships/image" Target="media/image21.png"/><Relationship Id="rId47" Type="http://schemas.openxmlformats.org/officeDocument/2006/relationships/image" Target="media/image22.png"/><Relationship Id="rId48" Type="http://schemas.openxmlformats.org/officeDocument/2006/relationships/image" Target="media/image23.png"/><Relationship Id="rId49" Type="http://schemas.openxmlformats.org/officeDocument/2006/relationships/image" Target="media/image24.png"/><Relationship Id="rId50" Type="http://schemas.openxmlformats.org/officeDocument/2006/relationships/image" Target="media/image25.png"/><Relationship Id="rId51" Type="http://schemas.openxmlformats.org/officeDocument/2006/relationships/image" Target="media/image26.png"/><Relationship Id="rId52" Type="http://schemas.openxmlformats.org/officeDocument/2006/relationships/image" Target="media/image27.png"/><Relationship Id="rId53" Type="http://schemas.openxmlformats.org/officeDocument/2006/relationships/image" Target="media/image28.png"/><Relationship Id="rId54" Type="http://schemas.openxmlformats.org/officeDocument/2006/relationships/image" Target="media/image29.png"/><Relationship Id="rId55" Type="http://schemas.openxmlformats.org/officeDocument/2006/relationships/image" Target="media/image30.png"/><Relationship Id="rId56" Type="http://schemas.openxmlformats.org/officeDocument/2006/relationships/image" Target="media/image31.png"/><Relationship Id="rId57"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image" Target="media/image34.png"/><Relationship Id="rId60" Type="http://schemas.openxmlformats.org/officeDocument/2006/relationships/image" Target="media/image35.png"/><Relationship Id="rId61" Type="http://schemas.openxmlformats.org/officeDocument/2006/relationships/image" Target="media/image36.png"/><Relationship Id="rId62" Type="http://schemas.openxmlformats.org/officeDocument/2006/relationships/image" Target="media/image37.png"/><Relationship Id="rId63" Type="http://schemas.openxmlformats.org/officeDocument/2006/relationships/image" Target="media/image38.png"/><Relationship Id="rId64" Type="http://schemas.openxmlformats.org/officeDocument/2006/relationships/image" Target="media/image39.png"/><Relationship Id="rId65" Type="http://schemas.openxmlformats.org/officeDocument/2006/relationships/image" Target="media/image40.png"/><Relationship Id="rId66"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19" Type="http://schemas.openxmlformats.org/officeDocument/2006/relationships/hyperlink" Target="http://www.sec.gov/Archives/edgar/data/1816736/000121390021021222/ea139346-s8_gemini.htm" TargetMode="External"/><Relationship Id="rId20" Type="http://schemas.openxmlformats.org/officeDocument/2006/relationships/hyperlink" Target="http://www.sec.gov/Archives/edgar/data/1816736/000119312521298746/d242333ds8.htm" TargetMode="External"/><Relationship Id="rId21" Type="http://schemas.openxmlformats.org/officeDocument/2006/relationships/hyperlink" Target="http://www.sec.gov/Archives/edgar/data/1816736/000119312522071297/d200548ds8.htm" TargetMode="External"/><Relationship Id="rId22" Type="http://schemas.openxmlformats.org/officeDocument/2006/relationships/hyperlink" Target="http://www.sec.gov/Archives/edgar/data/1816736/000119312523009656/d435326ds8.htm" TargetMode="External"/><Relationship Id="rId25" Type="http://schemas.openxmlformats.org/officeDocument/2006/relationships/hyperlink" Target="http://www.sec.gov/ix?doc=/Archives/edgar/data/1816736/000095017024034432/iron-20231231.htm" TargetMode="External"/><Relationship Id="rId26" Type="http://schemas.openxmlformats.org/officeDocument/2006/relationships/hyperlink" Target="http://www.sec.gov/ix?doc=/Archives/edgar/data/1816736/000119312524025951/d758257d8k.htm" TargetMode="External"/><Relationship Id="rId27" Type="http://schemas.openxmlformats.org/officeDocument/2006/relationships/hyperlink" Target="http://www.sec.gov/Archives/edgar/data/1816736/000121390020021145/ea125295-8a12b_fsdevelop.htm" TargetMode="External"/><Relationship Id="rId28" Type="http://schemas.openxmlformats.org/officeDocument/2006/relationships/hyperlink" Target="http://www.sec.gov/Archives/edgar/data/1816736/000095017022003288/gmtx-ex4_4.htm" TargetMode="External"/><Relationship Id="rId29" Type="http://schemas.openxmlformats.org/officeDocument/2006/relationships/hyperlink" Target="http://www.sec.gov/Archives/edgar/data/1816736/000114036122043943/ny20005172x8_s4a.htm" TargetMode="External"/><Relationship Id="rId32" Type="http://schemas.openxmlformats.org/officeDocument/2006/relationships/hyperlink" Target="http://www.sec.gov/Archives/edgar/data/1816736/000121390021002636/fs42021a5ex4-1_fsdevelop.htm" TargetMode="External"/><Relationship Id="rId33" Type="http://schemas.openxmlformats.org/officeDocument/2006/relationships/hyperlink" Target="http://www.sec.gov/Archives/edgar/data/1816736/000121390021008478/ea135023ex3-1_gemini.htm" TargetMode="External"/><Relationship Id="rId34" Type="http://schemas.openxmlformats.org/officeDocument/2006/relationships/hyperlink" Target="http://www.sec.gov/Archives/edgar/data/1816736/000114036122047453/brhc10045896_ex3-1.htm" TargetMode="External"/><Relationship Id="rId35" Type="http://schemas.openxmlformats.org/officeDocument/2006/relationships/hyperlink" Target="http://www.sec.gov/Archives/edgar/data/1816736/000114036122047453/brhc10045896_ex3-2.htm" TargetMode="External"/><Relationship Id="rId36" Type="http://schemas.openxmlformats.org/officeDocument/2006/relationships/hyperlink" Target="http://www.sec.gov/Archives/edgar/data/1816736/000121390021002636/fs42021a5_fsdevelopment.htm" TargetMode="External"/><Relationship Id="rId37" Type="http://schemas.openxmlformats.org/officeDocument/2006/relationships/hyperlink" Target="http://www.sec.gov/Archives/edgar/data/1816736/000119312523009656/d435326dex991.htm" TargetMode="External"/><Relationship Id="rId38" Type="http://schemas.openxmlformats.org/officeDocument/2006/relationships/hyperlink" Target="http://www.sec.gov/Archives/edgar/data/1816736/000119312523009656/d435326dex992.htm" TargetMode="External"/><Relationship Id="rId39" Type="http://schemas.openxmlformats.org/officeDocument/2006/relationships/hyperlink" Target="http://www.sec.gov/Archives/edgar/data/1816736/000119312523009656/d435326dex993.htm" TargetMode="External"/><Relationship Id="rId40" Type="http://schemas.openxmlformats.org/officeDocument/2006/relationships/hyperlink" Target="http://www.sec.gov/Archives/edgar/data/1816736/000114036122047453/brhc10045896_e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2024-03-21T07:57:36Z</dcterms:created>
  <dcterms:modified xsi:type="dcterms:W3CDTF">2024-03-21T07:57:36Z</dcterms:modified>
</cp:coreProperties>
</file>