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DISC MEDICINE,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254604101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Atlas Venture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Attention: Ommer Chohan, Chief Financial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 Technology Square, 8th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 02139 USA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(857) 201-2700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August 15, 2023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w:t>
      </w:r>
    </w:p>
    <w:p>
      <w:pPr>
        <w:spacing w:after="0" w:line="16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right="6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1" w:name="page2"/>
    <w:bookmarkEnd w:id="1"/>
    <w:p>
      <w:pPr>
        <w:spacing w:after="0"/>
        <w:tabs>
          <w:tab w:leader="none" w:pos="1028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5"/>
          <w:szCs w:val="15"/>
          <w:color w:val="auto"/>
        </w:rPr>
        <w:t>Page 2 of 16</w:t>
      </w:r>
    </w:p>
    <w:p>
      <w:pPr>
        <w:spacing w:after="0" w:line="279" w:lineRule="exact"/>
        <w:rPr>
          <w:sz w:val="20"/>
          <w:szCs w:val="20"/>
          <w:color w:val="auto"/>
        </w:rPr>
      </w:pPr>
    </w:p>
    <w:p>
      <w:pPr>
        <w:ind w:left="1760" w:right="6640" w:hanging="1081"/>
        <w:spacing w:after="0" w:line="342" w:lineRule="auto"/>
        <w:tabs>
          <w:tab w:leader="none" w:pos="17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NAMES OF REPORTING PERSONS: ATLAS VENTURE FUND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1760" w:hanging="1081"/>
        <w:spacing w:after="0"/>
        <w:tabs>
          <w:tab w:leader="none" w:pos="17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76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 w:lineRule="exact"/>
        <w:rPr>
          <w:sz w:val="20"/>
          <w:szCs w:val="20"/>
          <w:color w:val="auto"/>
        </w:rPr>
      </w:pPr>
    </w:p>
    <w:p>
      <w:pPr>
        <w:ind w:left="1760" w:hanging="1081"/>
        <w:spacing w:after="0"/>
        <w:tabs>
          <w:tab w:leader="none" w:pos="17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1760" w:right="5960" w:hanging="1081"/>
        <w:spacing w:after="0" w:line="277" w:lineRule="auto"/>
        <w:tabs>
          <w:tab w:leader="none" w:pos="17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0"/>
          <w:szCs w:val="20"/>
          <w:color w:val="auto"/>
        </w:rPr>
      </w:pPr>
    </w:p>
    <w:p>
      <w:pPr>
        <w:ind w:left="1760" w:hanging="1081"/>
        <w:spacing w:after="0"/>
        <w:tabs>
          <w:tab w:leader="none" w:pos="17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7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760" w:right="5740" w:hanging="1081"/>
        <w:spacing w:after="0" w:line="277" w:lineRule="auto"/>
        <w:tabs>
          <w:tab w:leader="none" w:pos="17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180" w:type="dxa"/>
        <w:tblCellMar>
          <w:top w:w="0" w:type="dxa"/>
          <w:left w:w="0" w:type="dxa"/>
          <w:bottom w:w="0" w:type="dxa"/>
          <w:right w:w="0" w:type="dxa"/>
        </w:tblCellMar>
      </w:tblPr>
      <w:tr>
        <w:trPr>
          <w:trHeight w:val="220"/>
        </w:trPr>
        <w:tc>
          <w:tcPr>
            <w:tcW w:w="1500" w:type="dxa"/>
            <w:vAlign w:val="bottom"/>
          </w:tcPr>
          <w:p>
            <w:pPr>
              <w:spacing w:after="0"/>
              <w:rPr>
                <w:sz w:val="19"/>
                <w:szCs w:val="19"/>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7</w:t>
            </w:r>
          </w:p>
        </w:tc>
        <w:tc>
          <w:tcPr>
            <w:tcW w:w="844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00" w:type="dxa"/>
            <w:vAlign w:val="bottom"/>
            <w:vMerge w:val="restart"/>
          </w:tcPr>
          <w:p>
            <w:pPr>
              <w:jc w:val="center"/>
              <w:ind w:right="130"/>
              <w:spacing w:after="0"/>
              <w:rPr>
                <w:sz w:val="20"/>
                <w:szCs w:val="20"/>
                <w:color w:val="auto"/>
              </w:rPr>
            </w:pPr>
            <w:r>
              <w:rPr>
                <w:rFonts w:ascii="Arial" w:cs="Arial" w:eastAsia="Arial" w:hAnsi="Arial"/>
                <w:sz w:val="18"/>
                <w:szCs w:val="18"/>
                <w:color w:val="auto"/>
                <w:w w:val="97"/>
              </w:rPr>
              <w:t>NUMBER</w:t>
            </w:r>
          </w:p>
        </w:tc>
        <w:tc>
          <w:tcPr>
            <w:tcW w:w="110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00" w:type="dxa"/>
            <w:vAlign w:val="bottom"/>
            <w:vMerge w:val="continue"/>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2"/>
              </w:rPr>
              <w:t>OF SHARES</w:t>
            </w: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8</w:t>
            </w:r>
          </w:p>
        </w:tc>
        <w:tc>
          <w:tcPr>
            <w:tcW w:w="844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500" w:type="dxa"/>
            <w:vAlign w:val="bottom"/>
          </w:tcPr>
          <w:p>
            <w:pPr>
              <w:jc w:val="center"/>
              <w:ind w:right="130"/>
              <w:spacing w:after="0"/>
              <w:rPr>
                <w:sz w:val="20"/>
                <w:szCs w:val="20"/>
                <w:color w:val="auto"/>
              </w:rPr>
            </w:pPr>
            <w:r>
              <w:rPr>
                <w:rFonts w:ascii="Arial" w:cs="Arial" w:eastAsia="Arial" w:hAnsi="Arial"/>
                <w:sz w:val="18"/>
                <w:szCs w:val="18"/>
                <w:color w:val="auto"/>
              </w:rPr>
              <w:t>BENEFICIALLY</w:t>
            </w:r>
          </w:p>
        </w:tc>
        <w:tc>
          <w:tcPr>
            <w:tcW w:w="1100" w:type="dxa"/>
            <w:vAlign w:val="bottom"/>
          </w:tcPr>
          <w:p>
            <w:pPr>
              <w:spacing w:after="0"/>
              <w:rPr>
                <w:sz w:val="20"/>
                <w:szCs w:val="20"/>
                <w:color w:val="auto"/>
              </w:rPr>
            </w:pPr>
          </w:p>
        </w:tc>
        <w:tc>
          <w:tcPr>
            <w:tcW w:w="8440" w:type="dxa"/>
            <w:vAlign w:val="bottom"/>
          </w:tcPr>
          <w:p>
            <w:pPr>
              <w:ind w:left="300"/>
              <w:spacing w:after="0" w:line="230" w:lineRule="exact"/>
              <w:rPr>
                <w:sz w:val="20"/>
                <w:szCs w:val="20"/>
                <w:color w:val="auto"/>
              </w:rPr>
            </w:pPr>
            <w:r>
              <w:rPr>
                <w:rFonts w:ascii="Arial" w:cs="Arial" w:eastAsia="Arial" w:hAnsi="Arial"/>
                <w:sz w:val="16"/>
                <w:szCs w:val="16"/>
                <w:color w:val="auto"/>
              </w:rPr>
              <w:t>1,593,785</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08"/>
        </w:trPr>
        <w:tc>
          <w:tcPr>
            <w:tcW w:w="1500" w:type="dxa"/>
            <w:vAlign w:val="bottom"/>
            <w:vMerge w:val="restart"/>
          </w:tcPr>
          <w:p>
            <w:pPr>
              <w:jc w:val="center"/>
              <w:ind w:right="130"/>
              <w:spacing w:after="0" w:line="201" w:lineRule="exact"/>
              <w:rPr>
                <w:sz w:val="20"/>
                <w:szCs w:val="20"/>
                <w:color w:val="auto"/>
              </w:rPr>
            </w:pPr>
            <w:r>
              <w:rPr>
                <w:rFonts w:ascii="Arial" w:cs="Arial" w:eastAsia="Arial" w:hAnsi="Arial"/>
                <w:sz w:val="18"/>
                <w:szCs w:val="18"/>
                <w:color w:val="auto"/>
                <w:w w:val="98"/>
              </w:rPr>
              <w:t>OWNED</w:t>
            </w:r>
          </w:p>
        </w:tc>
        <w:tc>
          <w:tcPr>
            <w:tcW w:w="1100" w:type="dxa"/>
            <w:vAlign w:val="bottom"/>
            <w:tcBorders>
              <w:bottom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500" w:type="dxa"/>
            <w:vAlign w:val="bottom"/>
            <w:vMerge w:val="continue"/>
          </w:tcPr>
          <w:p>
            <w:pPr>
              <w:spacing w:after="0"/>
              <w:rPr>
                <w:sz w:val="6"/>
                <w:szCs w:val="6"/>
                <w:color w:val="auto"/>
              </w:rPr>
            </w:pPr>
          </w:p>
        </w:tc>
        <w:tc>
          <w:tcPr>
            <w:tcW w:w="11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79"/>
              </w:rPr>
              <w:t>9</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5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8"/>
              </w:rPr>
              <w:t>BY EACH</w:t>
            </w:r>
          </w:p>
        </w:tc>
        <w:tc>
          <w:tcPr>
            <w:tcW w:w="1100" w:type="dxa"/>
            <w:vAlign w:val="bottom"/>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3"/>
              </w:rPr>
              <w:t>REPORTING</w:t>
            </w:r>
          </w:p>
        </w:tc>
        <w:tc>
          <w:tcPr>
            <w:tcW w:w="1100" w:type="dxa"/>
            <w:vAlign w:val="bottom"/>
          </w:tcPr>
          <w:p>
            <w:pPr>
              <w:spacing w:after="0"/>
              <w:rPr>
                <w:sz w:val="22"/>
                <w:szCs w:val="22"/>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50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00" w:type="dxa"/>
            <w:vAlign w:val="bottom"/>
            <w:vMerge w:val="continue"/>
          </w:tcPr>
          <w:p>
            <w:pPr>
              <w:spacing w:after="0"/>
              <w:rPr>
                <w:sz w:val="15"/>
                <w:szCs w:val="15"/>
                <w:color w:val="auto"/>
              </w:rPr>
            </w:pPr>
          </w:p>
        </w:tc>
        <w:tc>
          <w:tcPr>
            <w:tcW w:w="11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0"/>
        </w:trPr>
        <w:tc>
          <w:tcPr>
            <w:tcW w:w="15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1,593,785</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760" w:hanging="1121"/>
        <w:spacing w:after="0"/>
        <w:tabs>
          <w:tab w:leader="none" w:pos="17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color w:val="auto"/>
        </w:rPr>
        <w:t>1,593,785</w:t>
      </w:r>
      <w:r>
        <w:rPr>
          <w:rFonts w:ascii="Arial" w:cs="Arial" w:eastAsia="Arial" w:hAnsi="Arial"/>
          <w:sz w:val="29"/>
          <w:szCs w:val="29"/>
          <w:color w:val="auto"/>
          <w:vertAlign w:val="superscript"/>
        </w:rPr>
        <w:t>1</w:t>
      </w:r>
    </w:p>
    <w:p>
      <w:pPr>
        <w:spacing w:after="0" w:line="45" w:lineRule="exact"/>
        <w:rPr>
          <w:rFonts w:ascii="Arial" w:cs="Arial" w:eastAsia="Arial" w:hAnsi="Arial"/>
          <w:sz w:val="18"/>
          <w:szCs w:val="18"/>
          <w:b w:val="1"/>
          <w:bCs w:val="1"/>
          <w:color w:val="auto"/>
        </w:rPr>
      </w:pPr>
    </w:p>
    <w:p>
      <w:pPr>
        <w:ind w:left="1760" w:hanging="1126"/>
        <w:spacing w:after="0"/>
        <w:tabs>
          <w:tab w:leader="none" w:pos="17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7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b w:val="1"/>
          <w:bCs w:val="1"/>
          <w:color w:val="auto"/>
        </w:rPr>
      </w:pPr>
    </w:p>
    <w:p>
      <w:pPr>
        <w:ind w:left="1760" w:right="4280" w:hanging="1126"/>
        <w:spacing w:after="0" w:line="270" w:lineRule="auto"/>
        <w:tabs>
          <w:tab w:leader="none" w:pos="17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 7.0%</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b w:val="1"/>
          <w:bCs w:val="1"/>
          <w:color w:val="auto"/>
        </w:rPr>
      </w:pPr>
    </w:p>
    <w:p>
      <w:pPr>
        <w:ind w:left="1760" w:right="5080" w:hanging="1126"/>
        <w:spacing w:after="0" w:line="259" w:lineRule="auto"/>
        <w:tabs>
          <w:tab w:leader="none" w:pos="17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-704215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-1055370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both"/>
        <w:ind w:left="80" w:hanging="93"/>
        <w:spacing w:after="0" w:line="255" w:lineRule="auto"/>
        <w:rPr>
          <w:sz w:val="20"/>
          <w:szCs w:val="20"/>
          <w:color w:val="auto"/>
        </w:rPr>
      </w:pPr>
      <w:r>
        <w:rPr>
          <w:rFonts w:ascii="Arial" w:cs="Arial" w:eastAsia="Arial" w:hAnsi="Arial"/>
          <w:sz w:val="18"/>
          <w:szCs w:val="18"/>
          <w:color w:val="auto"/>
        </w:rPr>
        <w:t>1As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the 1,593,785 shares of the Issuer’s Common Stock that are directly held by Atlas X. AVA X LP is the general partner of Atlas X and AVA X LLC is the general partner of AVA X LP. Each of AVA X LP and AVA X LLC has voting and dispositive power over the shares held by Atlas X. As such, each of the Fund X Reporting Persons share voting and dispositive power with respect to the shares held by Atlas X.</w:t>
      </w:r>
    </w:p>
    <w:p>
      <w:pPr>
        <w:spacing w:after="0" w:line="192" w:lineRule="exact"/>
        <w:rPr>
          <w:sz w:val="20"/>
          <w:szCs w:val="20"/>
          <w:color w:val="auto"/>
        </w:rPr>
      </w:pPr>
    </w:p>
    <w:p>
      <w:pPr>
        <w:jc w:val="both"/>
        <w:ind w:left="80" w:hanging="93"/>
        <w:spacing w:after="0" w:line="263" w:lineRule="auto"/>
        <w:rPr>
          <w:sz w:val="20"/>
          <w:szCs w:val="20"/>
          <w:color w:val="auto"/>
        </w:rPr>
      </w:pPr>
      <w:r>
        <w:rPr>
          <w:rFonts w:ascii="Arial" w:cs="Arial" w:eastAsia="Arial" w:hAnsi="Arial"/>
          <w:sz w:val="18"/>
          <w:szCs w:val="18"/>
          <w:color w:val="auto"/>
        </w:rPr>
        <w:t>2This percentage is calculated based upon 22,877,552 shares of Common Stock outstanding as of August 8, 2023, as reported in the Issuer’s Quarterly Report pursuant to Section 13 or 15(d) of the Securities Exchange Act of 1934 for the quarterly period ended June 30, 2023 on Form 10-Q, filed with the Securities and Exchange Commission on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417195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 w:name="page3"/>
    <w:bookmarkEnd w:id="2"/>
    <w:p>
      <w:pPr>
        <w:spacing w:after="0"/>
        <w:tabs>
          <w:tab w:leader="none" w:pos="1028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5"/>
          <w:szCs w:val="15"/>
          <w:color w:val="auto"/>
        </w:rPr>
        <w:t>Page 3 of 16</w:t>
      </w:r>
    </w:p>
    <w:p>
      <w:pPr>
        <w:spacing w:after="0" w:line="279" w:lineRule="exact"/>
        <w:rPr>
          <w:sz w:val="20"/>
          <w:szCs w:val="20"/>
          <w:color w:val="auto"/>
        </w:rPr>
      </w:pPr>
    </w:p>
    <w:p>
      <w:pPr>
        <w:ind w:left="1760" w:right="6360" w:hanging="1081"/>
        <w:spacing w:after="0" w:line="308" w:lineRule="auto"/>
        <w:tabs>
          <w:tab w:leader="none" w:pos="17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NAMES OF REPORTING PERSONS: ATLAS VENTURE ASSOCIATES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 w:lineRule="exact"/>
        <w:rPr>
          <w:sz w:val="20"/>
          <w:szCs w:val="20"/>
          <w:color w:val="auto"/>
        </w:rPr>
      </w:pPr>
    </w:p>
    <w:p>
      <w:pPr>
        <w:ind w:left="1760" w:hanging="1081"/>
        <w:spacing w:after="0"/>
        <w:tabs>
          <w:tab w:leader="none" w:pos="17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76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 w:lineRule="exact"/>
        <w:rPr>
          <w:sz w:val="20"/>
          <w:szCs w:val="20"/>
          <w:color w:val="auto"/>
        </w:rPr>
      </w:pPr>
    </w:p>
    <w:p>
      <w:pPr>
        <w:ind w:left="1760" w:hanging="1081"/>
        <w:spacing w:after="0"/>
        <w:tabs>
          <w:tab w:leader="none" w:pos="17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1760" w:right="5960" w:hanging="1081"/>
        <w:spacing w:after="0" w:line="277" w:lineRule="auto"/>
        <w:tabs>
          <w:tab w:leader="none" w:pos="17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p>
      <w:pPr>
        <w:ind w:left="1760" w:hanging="1081"/>
        <w:spacing w:after="0"/>
        <w:tabs>
          <w:tab w:leader="none" w:pos="17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7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760" w:right="5740" w:hanging="1081"/>
        <w:spacing w:after="0" w:line="277" w:lineRule="auto"/>
        <w:tabs>
          <w:tab w:leader="none" w:pos="17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180" w:type="dxa"/>
        <w:tblCellMar>
          <w:top w:w="0" w:type="dxa"/>
          <w:left w:w="0" w:type="dxa"/>
          <w:bottom w:w="0" w:type="dxa"/>
          <w:right w:w="0" w:type="dxa"/>
        </w:tblCellMar>
      </w:tblPr>
      <w:tr>
        <w:trPr>
          <w:trHeight w:val="220"/>
        </w:trPr>
        <w:tc>
          <w:tcPr>
            <w:tcW w:w="1500" w:type="dxa"/>
            <w:vAlign w:val="bottom"/>
          </w:tcPr>
          <w:p>
            <w:pPr>
              <w:spacing w:after="0"/>
              <w:rPr>
                <w:sz w:val="19"/>
                <w:szCs w:val="19"/>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7</w:t>
            </w:r>
          </w:p>
        </w:tc>
        <w:tc>
          <w:tcPr>
            <w:tcW w:w="844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00" w:type="dxa"/>
            <w:vAlign w:val="bottom"/>
            <w:vMerge w:val="restart"/>
          </w:tcPr>
          <w:p>
            <w:pPr>
              <w:jc w:val="center"/>
              <w:ind w:right="130"/>
              <w:spacing w:after="0"/>
              <w:rPr>
                <w:sz w:val="20"/>
                <w:szCs w:val="20"/>
                <w:color w:val="auto"/>
              </w:rPr>
            </w:pPr>
            <w:r>
              <w:rPr>
                <w:rFonts w:ascii="Arial" w:cs="Arial" w:eastAsia="Arial" w:hAnsi="Arial"/>
                <w:sz w:val="18"/>
                <w:szCs w:val="18"/>
                <w:color w:val="auto"/>
                <w:w w:val="97"/>
              </w:rPr>
              <w:t>NUMBER</w:t>
            </w:r>
          </w:p>
        </w:tc>
        <w:tc>
          <w:tcPr>
            <w:tcW w:w="110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00" w:type="dxa"/>
            <w:vAlign w:val="bottom"/>
            <w:vMerge w:val="continue"/>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2"/>
              </w:rPr>
              <w:t>OF SHARES</w:t>
            </w: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8</w:t>
            </w:r>
          </w:p>
        </w:tc>
        <w:tc>
          <w:tcPr>
            <w:tcW w:w="844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500" w:type="dxa"/>
            <w:vAlign w:val="bottom"/>
          </w:tcPr>
          <w:p>
            <w:pPr>
              <w:jc w:val="center"/>
              <w:ind w:right="130"/>
              <w:spacing w:after="0"/>
              <w:rPr>
                <w:sz w:val="20"/>
                <w:szCs w:val="20"/>
                <w:color w:val="auto"/>
              </w:rPr>
            </w:pPr>
            <w:r>
              <w:rPr>
                <w:rFonts w:ascii="Arial" w:cs="Arial" w:eastAsia="Arial" w:hAnsi="Arial"/>
                <w:sz w:val="18"/>
                <w:szCs w:val="18"/>
                <w:color w:val="auto"/>
              </w:rPr>
              <w:t>BENEFICIALLY</w:t>
            </w:r>
          </w:p>
        </w:tc>
        <w:tc>
          <w:tcPr>
            <w:tcW w:w="1100" w:type="dxa"/>
            <w:vAlign w:val="bottom"/>
          </w:tcPr>
          <w:p>
            <w:pPr>
              <w:spacing w:after="0"/>
              <w:rPr>
                <w:sz w:val="20"/>
                <w:szCs w:val="20"/>
                <w:color w:val="auto"/>
              </w:rPr>
            </w:pPr>
          </w:p>
        </w:tc>
        <w:tc>
          <w:tcPr>
            <w:tcW w:w="8440" w:type="dxa"/>
            <w:vAlign w:val="bottom"/>
          </w:tcPr>
          <w:p>
            <w:pPr>
              <w:ind w:left="300"/>
              <w:spacing w:after="0" w:line="230" w:lineRule="exact"/>
              <w:rPr>
                <w:sz w:val="20"/>
                <w:szCs w:val="20"/>
                <w:color w:val="auto"/>
              </w:rPr>
            </w:pPr>
            <w:r>
              <w:rPr>
                <w:rFonts w:ascii="Arial" w:cs="Arial" w:eastAsia="Arial" w:hAnsi="Arial"/>
                <w:sz w:val="16"/>
                <w:szCs w:val="16"/>
                <w:color w:val="auto"/>
              </w:rPr>
              <w:t>1,593,785</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08"/>
        </w:trPr>
        <w:tc>
          <w:tcPr>
            <w:tcW w:w="1500" w:type="dxa"/>
            <w:vAlign w:val="bottom"/>
            <w:vMerge w:val="restart"/>
          </w:tcPr>
          <w:p>
            <w:pPr>
              <w:jc w:val="center"/>
              <w:ind w:right="130"/>
              <w:spacing w:after="0" w:line="201" w:lineRule="exact"/>
              <w:rPr>
                <w:sz w:val="20"/>
                <w:szCs w:val="20"/>
                <w:color w:val="auto"/>
              </w:rPr>
            </w:pPr>
            <w:r>
              <w:rPr>
                <w:rFonts w:ascii="Arial" w:cs="Arial" w:eastAsia="Arial" w:hAnsi="Arial"/>
                <w:sz w:val="18"/>
                <w:szCs w:val="18"/>
                <w:color w:val="auto"/>
                <w:w w:val="98"/>
              </w:rPr>
              <w:t>OWNED</w:t>
            </w:r>
          </w:p>
        </w:tc>
        <w:tc>
          <w:tcPr>
            <w:tcW w:w="1100" w:type="dxa"/>
            <w:vAlign w:val="bottom"/>
            <w:tcBorders>
              <w:bottom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500" w:type="dxa"/>
            <w:vAlign w:val="bottom"/>
            <w:vMerge w:val="continue"/>
          </w:tcPr>
          <w:p>
            <w:pPr>
              <w:spacing w:after="0"/>
              <w:rPr>
                <w:sz w:val="6"/>
                <w:szCs w:val="6"/>
                <w:color w:val="auto"/>
              </w:rPr>
            </w:pPr>
          </w:p>
        </w:tc>
        <w:tc>
          <w:tcPr>
            <w:tcW w:w="11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79"/>
              </w:rPr>
              <w:t>9</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5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8"/>
              </w:rPr>
              <w:t>BY EACH</w:t>
            </w:r>
          </w:p>
        </w:tc>
        <w:tc>
          <w:tcPr>
            <w:tcW w:w="1100" w:type="dxa"/>
            <w:vAlign w:val="bottom"/>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3"/>
              </w:rPr>
              <w:t>REPORTING</w:t>
            </w:r>
          </w:p>
        </w:tc>
        <w:tc>
          <w:tcPr>
            <w:tcW w:w="1100" w:type="dxa"/>
            <w:vAlign w:val="bottom"/>
          </w:tcPr>
          <w:p>
            <w:pPr>
              <w:spacing w:after="0"/>
              <w:rPr>
                <w:sz w:val="22"/>
                <w:szCs w:val="22"/>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50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00" w:type="dxa"/>
            <w:vAlign w:val="bottom"/>
            <w:vMerge w:val="continue"/>
          </w:tcPr>
          <w:p>
            <w:pPr>
              <w:spacing w:after="0"/>
              <w:rPr>
                <w:sz w:val="15"/>
                <w:szCs w:val="15"/>
                <w:color w:val="auto"/>
              </w:rPr>
            </w:pPr>
          </w:p>
        </w:tc>
        <w:tc>
          <w:tcPr>
            <w:tcW w:w="11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0"/>
        </w:trPr>
        <w:tc>
          <w:tcPr>
            <w:tcW w:w="15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1,593,785</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760" w:hanging="1121"/>
        <w:spacing w:after="0"/>
        <w:tabs>
          <w:tab w:leader="none" w:pos="17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color w:val="auto"/>
        </w:rPr>
        <w:t>1,593,785</w:t>
      </w:r>
      <w:r>
        <w:rPr>
          <w:rFonts w:ascii="Arial" w:cs="Arial" w:eastAsia="Arial" w:hAnsi="Arial"/>
          <w:sz w:val="29"/>
          <w:szCs w:val="29"/>
          <w:color w:val="auto"/>
          <w:vertAlign w:val="superscript"/>
        </w:rPr>
        <w:t>1</w:t>
      </w:r>
    </w:p>
    <w:p>
      <w:pPr>
        <w:spacing w:after="0" w:line="45" w:lineRule="exact"/>
        <w:rPr>
          <w:rFonts w:ascii="Arial" w:cs="Arial" w:eastAsia="Arial" w:hAnsi="Arial"/>
          <w:sz w:val="18"/>
          <w:szCs w:val="18"/>
          <w:b w:val="1"/>
          <w:bCs w:val="1"/>
          <w:color w:val="auto"/>
        </w:rPr>
      </w:pPr>
    </w:p>
    <w:p>
      <w:pPr>
        <w:ind w:left="1760" w:hanging="1126"/>
        <w:spacing w:after="0"/>
        <w:tabs>
          <w:tab w:leader="none" w:pos="17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7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b w:val="1"/>
          <w:bCs w:val="1"/>
          <w:color w:val="auto"/>
        </w:rPr>
      </w:pPr>
    </w:p>
    <w:p>
      <w:pPr>
        <w:ind w:left="1760" w:right="4280" w:hanging="1126"/>
        <w:spacing w:after="0" w:line="270" w:lineRule="auto"/>
        <w:tabs>
          <w:tab w:leader="none" w:pos="17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 7.0%</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b w:val="1"/>
          <w:bCs w:val="1"/>
          <w:color w:val="auto"/>
        </w:rPr>
      </w:pPr>
    </w:p>
    <w:p>
      <w:pPr>
        <w:ind w:left="1760" w:right="5080" w:hanging="1126"/>
        <w:spacing w:after="0" w:line="259" w:lineRule="auto"/>
        <w:tabs>
          <w:tab w:leader="none" w:pos="17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-704215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-1055370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both"/>
        <w:ind w:left="80" w:hanging="93"/>
        <w:spacing w:after="0" w:line="255" w:lineRule="auto"/>
        <w:rPr>
          <w:sz w:val="20"/>
          <w:szCs w:val="20"/>
          <w:color w:val="auto"/>
        </w:rPr>
      </w:pPr>
      <w:r>
        <w:rPr>
          <w:rFonts w:ascii="Arial" w:cs="Arial" w:eastAsia="Arial" w:hAnsi="Arial"/>
          <w:sz w:val="18"/>
          <w:szCs w:val="18"/>
          <w:color w:val="auto"/>
        </w:rPr>
        <w:t>1As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the 1,593,785 shares of the Issuer’s Common Stock that are directly held by Atlas X. AVA X LP is the general partner of Atlas X and AVA X LLC is the general partner of AVA X LP. Each of AVA X LP and AVA X LLC has voting and dispositive power over the shares held by Atlas X. As such, each of the Fund X Reporting Persons share voting and dispositive power with respect to the shares held by Atlas X.</w:t>
      </w:r>
    </w:p>
    <w:p>
      <w:pPr>
        <w:spacing w:after="0" w:line="192" w:lineRule="exact"/>
        <w:rPr>
          <w:sz w:val="20"/>
          <w:szCs w:val="20"/>
          <w:color w:val="auto"/>
        </w:rPr>
      </w:pPr>
    </w:p>
    <w:p>
      <w:pPr>
        <w:jc w:val="both"/>
        <w:ind w:left="80" w:hanging="93"/>
        <w:spacing w:after="0" w:line="263" w:lineRule="auto"/>
        <w:rPr>
          <w:sz w:val="20"/>
          <w:szCs w:val="20"/>
          <w:color w:val="auto"/>
        </w:rPr>
      </w:pPr>
      <w:r>
        <w:rPr>
          <w:rFonts w:ascii="Arial" w:cs="Arial" w:eastAsia="Arial" w:hAnsi="Arial"/>
          <w:sz w:val="18"/>
          <w:szCs w:val="18"/>
          <w:color w:val="auto"/>
        </w:rPr>
        <w:t>2This percentage is calculated based upon 22,877,552 shares of Common Stock outstanding as of August 8, 2023, as reported in the Issuer’s Quarterly Report pursuant to Section 13 or 15(d) of the Securities Exchange Act of 1934 for the quarterly period ended June 30, 2023 on Form 10-Q, filed with the Securities and Exchange Commission on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417195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 w:name="page4"/>
    <w:bookmarkEnd w:id="3"/>
    <w:p>
      <w:pPr>
        <w:spacing w:after="0"/>
        <w:tabs>
          <w:tab w:leader="none" w:pos="1032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5"/>
          <w:szCs w:val="15"/>
          <w:color w:val="auto"/>
        </w:rPr>
        <w:t>Page 4 of 16</w:t>
      </w:r>
    </w:p>
    <w:p>
      <w:pPr>
        <w:spacing w:after="0" w:line="279" w:lineRule="exact"/>
        <w:rPr>
          <w:sz w:val="20"/>
          <w:szCs w:val="20"/>
          <w:color w:val="auto"/>
        </w:rPr>
      </w:pPr>
    </w:p>
    <w:p>
      <w:pPr>
        <w:ind w:left="1780" w:right="6300" w:hanging="1081"/>
        <w:spacing w:after="0" w:line="308" w:lineRule="auto"/>
        <w:tabs>
          <w:tab w:leader="none" w:pos="178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NAMES OF REPORTING PERSONS: ATLAS VENTURE ASSOCIATES 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 w:lineRule="exact"/>
        <w:rPr>
          <w:sz w:val="20"/>
          <w:szCs w:val="20"/>
          <w:color w:val="auto"/>
        </w:rPr>
      </w:pPr>
    </w:p>
    <w:p>
      <w:pPr>
        <w:ind w:left="1780" w:hanging="1081"/>
        <w:spacing w:after="0"/>
        <w:tabs>
          <w:tab w:leader="none" w:pos="17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78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1780" w:right="5960" w:hanging="1081"/>
        <w:spacing w:after="0" w:line="277" w:lineRule="auto"/>
        <w:tabs>
          <w:tab w:leader="none" w:pos="17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0"/>
          <w:szCs w:val="20"/>
          <w:color w:val="auto"/>
        </w:rPr>
      </w:pPr>
    </w:p>
    <w:p>
      <w:pPr>
        <w:ind w:left="1780" w:hanging="1081"/>
        <w:spacing w:after="0"/>
        <w:tabs>
          <w:tab w:leader="none" w:pos="17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780" w:right="5740" w:hanging="1081"/>
        <w:spacing w:after="0" w:line="277" w:lineRule="auto"/>
        <w:tabs>
          <w:tab w:leader="none" w:pos="17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1480" w:type="dxa"/>
            <w:vAlign w:val="bottom"/>
          </w:tcPr>
          <w:p>
            <w:pPr>
              <w:spacing w:after="0"/>
              <w:rPr>
                <w:sz w:val="19"/>
                <w:szCs w:val="19"/>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7</w:t>
            </w:r>
          </w:p>
        </w:tc>
        <w:tc>
          <w:tcPr>
            <w:tcW w:w="844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7"/>
              </w:rPr>
              <w:t>NUMBER</w:t>
            </w:r>
          </w:p>
        </w:tc>
        <w:tc>
          <w:tcPr>
            <w:tcW w:w="110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80" w:type="dxa"/>
            <w:vAlign w:val="bottom"/>
            <w:vMerge w:val="continue"/>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2"/>
              </w:rPr>
              <w:t>OF SHARES</w:t>
            </w: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8</w:t>
            </w:r>
          </w:p>
        </w:tc>
        <w:tc>
          <w:tcPr>
            <w:tcW w:w="844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1100" w:type="dxa"/>
            <w:vAlign w:val="bottom"/>
          </w:tcPr>
          <w:p>
            <w:pPr>
              <w:spacing w:after="0"/>
              <w:rPr>
                <w:sz w:val="20"/>
                <w:szCs w:val="20"/>
                <w:color w:val="auto"/>
              </w:rPr>
            </w:pPr>
          </w:p>
        </w:tc>
        <w:tc>
          <w:tcPr>
            <w:tcW w:w="8440" w:type="dxa"/>
            <w:vAlign w:val="bottom"/>
          </w:tcPr>
          <w:p>
            <w:pPr>
              <w:ind w:left="300"/>
              <w:spacing w:after="0" w:line="230" w:lineRule="exact"/>
              <w:rPr>
                <w:sz w:val="20"/>
                <w:szCs w:val="20"/>
                <w:color w:val="auto"/>
              </w:rPr>
            </w:pPr>
            <w:r>
              <w:rPr>
                <w:rFonts w:ascii="Arial" w:cs="Arial" w:eastAsia="Arial" w:hAnsi="Arial"/>
                <w:sz w:val="16"/>
                <w:szCs w:val="16"/>
                <w:color w:val="auto"/>
              </w:rPr>
              <w:t>1,593,785</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110"/>
              <w:spacing w:after="0" w:line="201" w:lineRule="exact"/>
              <w:rPr>
                <w:sz w:val="20"/>
                <w:szCs w:val="20"/>
                <w:color w:val="auto"/>
              </w:rPr>
            </w:pPr>
            <w:r>
              <w:rPr>
                <w:rFonts w:ascii="Arial" w:cs="Arial" w:eastAsia="Arial" w:hAnsi="Arial"/>
                <w:sz w:val="18"/>
                <w:szCs w:val="18"/>
                <w:color w:val="auto"/>
                <w:w w:val="98"/>
              </w:rPr>
              <w:t>OWNED</w:t>
            </w:r>
          </w:p>
        </w:tc>
        <w:tc>
          <w:tcPr>
            <w:tcW w:w="1100" w:type="dxa"/>
            <w:vAlign w:val="bottom"/>
            <w:tcBorders>
              <w:bottom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480" w:type="dxa"/>
            <w:vAlign w:val="bottom"/>
            <w:vMerge w:val="continue"/>
          </w:tcPr>
          <w:p>
            <w:pPr>
              <w:spacing w:after="0"/>
              <w:rPr>
                <w:sz w:val="6"/>
                <w:szCs w:val="6"/>
                <w:color w:val="auto"/>
              </w:rPr>
            </w:pPr>
          </w:p>
        </w:tc>
        <w:tc>
          <w:tcPr>
            <w:tcW w:w="11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79"/>
              </w:rPr>
              <w:t>9</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480" w:type="dxa"/>
            <w:vAlign w:val="bottom"/>
          </w:tcPr>
          <w:p>
            <w:pPr>
              <w:jc w:val="center"/>
              <w:ind w:right="110"/>
              <w:spacing w:after="0" w:line="176" w:lineRule="exact"/>
              <w:rPr>
                <w:sz w:val="20"/>
                <w:szCs w:val="20"/>
                <w:color w:val="auto"/>
              </w:rPr>
            </w:pPr>
            <w:r>
              <w:rPr>
                <w:rFonts w:ascii="Arial" w:cs="Arial" w:eastAsia="Arial" w:hAnsi="Arial"/>
                <w:sz w:val="18"/>
                <w:szCs w:val="18"/>
                <w:color w:val="auto"/>
              </w:rPr>
              <w:t>BY EACH</w:t>
            </w:r>
          </w:p>
        </w:tc>
        <w:tc>
          <w:tcPr>
            <w:tcW w:w="1100" w:type="dxa"/>
            <w:vAlign w:val="bottom"/>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1100" w:type="dxa"/>
            <w:vAlign w:val="bottom"/>
          </w:tcPr>
          <w:p>
            <w:pPr>
              <w:spacing w:after="0"/>
              <w:rPr>
                <w:sz w:val="22"/>
                <w:szCs w:val="22"/>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11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0"/>
        </w:trPr>
        <w:tc>
          <w:tcPr>
            <w:tcW w:w="14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1,593,785</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780" w:hanging="1121"/>
        <w:spacing w:after="0"/>
        <w:tabs>
          <w:tab w:leader="none" w:pos="17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1,593,785</w:t>
      </w:r>
      <w:r>
        <w:rPr>
          <w:rFonts w:ascii="Arial" w:cs="Arial" w:eastAsia="Arial" w:hAnsi="Arial"/>
          <w:sz w:val="29"/>
          <w:szCs w:val="29"/>
          <w:color w:val="auto"/>
          <w:vertAlign w:val="superscript"/>
        </w:rPr>
        <w:t>1</w:t>
      </w:r>
    </w:p>
    <w:p>
      <w:pPr>
        <w:spacing w:after="0" w:line="45" w:lineRule="exact"/>
        <w:rPr>
          <w:rFonts w:ascii="Arial" w:cs="Arial" w:eastAsia="Arial" w:hAnsi="Arial"/>
          <w:sz w:val="18"/>
          <w:szCs w:val="18"/>
          <w:b w:val="1"/>
          <w:bCs w:val="1"/>
          <w:color w:val="auto"/>
        </w:rPr>
      </w:pPr>
    </w:p>
    <w:p>
      <w:pPr>
        <w:ind w:left="1780" w:hanging="1126"/>
        <w:spacing w:after="0"/>
        <w:tabs>
          <w:tab w:leader="none" w:pos="17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b w:val="1"/>
          <w:bCs w:val="1"/>
          <w:color w:val="auto"/>
        </w:rPr>
      </w:pPr>
    </w:p>
    <w:p>
      <w:pPr>
        <w:ind w:left="1780" w:right="4280" w:hanging="1126"/>
        <w:spacing w:after="0" w:line="270" w:lineRule="auto"/>
        <w:tabs>
          <w:tab w:leader="none" w:pos="17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 7.0%</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b w:val="1"/>
          <w:bCs w:val="1"/>
          <w:color w:val="auto"/>
        </w:rPr>
      </w:pPr>
    </w:p>
    <w:p>
      <w:pPr>
        <w:ind w:left="1780" w:right="5080" w:hanging="1126"/>
        <w:spacing w:after="0" w:line="259" w:lineRule="auto"/>
        <w:tabs>
          <w:tab w:leader="none" w:pos="17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-704215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-1055370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both"/>
        <w:ind w:left="100" w:hanging="93"/>
        <w:spacing w:after="0" w:line="255" w:lineRule="auto"/>
        <w:rPr>
          <w:sz w:val="20"/>
          <w:szCs w:val="20"/>
          <w:color w:val="auto"/>
        </w:rPr>
      </w:pPr>
      <w:r>
        <w:rPr>
          <w:rFonts w:ascii="Arial" w:cs="Arial" w:eastAsia="Arial" w:hAnsi="Arial"/>
          <w:sz w:val="18"/>
          <w:szCs w:val="18"/>
          <w:color w:val="auto"/>
        </w:rPr>
        <w:t>1As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the 1,593,785 shares of the Issuer’s Common Stock that are directly held by Atlas X. AVA X LP is the general partner of Atlas X and AVA X LLC is the general partner of AVA X LP. Each of AVA X LP and AVA X LLC has voting and dispositive power over the shares held by Atlas X. As such, each of the Fund X Reporting Persons share voting and dispositive power with respect to the shares held by Atlas X.</w:t>
      </w:r>
    </w:p>
    <w:p>
      <w:pPr>
        <w:spacing w:after="0" w:line="192" w:lineRule="exact"/>
        <w:rPr>
          <w:sz w:val="20"/>
          <w:szCs w:val="20"/>
          <w:color w:val="auto"/>
        </w:rPr>
      </w:pPr>
    </w:p>
    <w:p>
      <w:pPr>
        <w:jc w:val="both"/>
        <w:ind w:left="100" w:hanging="93"/>
        <w:spacing w:after="0" w:line="263" w:lineRule="auto"/>
        <w:rPr>
          <w:sz w:val="20"/>
          <w:szCs w:val="20"/>
          <w:color w:val="auto"/>
        </w:rPr>
      </w:pPr>
      <w:r>
        <w:rPr>
          <w:rFonts w:ascii="Arial" w:cs="Arial" w:eastAsia="Arial" w:hAnsi="Arial"/>
          <w:sz w:val="18"/>
          <w:szCs w:val="18"/>
          <w:color w:val="auto"/>
        </w:rPr>
        <w:t>2This percentage is calculated based upon 22,877,552 shares of Common Stock outstanding as of August 8, 2023, as reported in the Issuer’s Quarterly Report pursuant to Section 13 or 15(d) of the Securities Exchange Act of 1934 for the quarterly period ended June 30, 2023 on Form 10-Q, filed with the Securities and Exchange Commission on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tabs>
          <w:tab w:leader="none" w:pos="1032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5"/>
          <w:szCs w:val="15"/>
          <w:color w:val="auto"/>
        </w:rPr>
        <w:t>Page 5 of 16</w:t>
      </w:r>
    </w:p>
    <w:p>
      <w:pPr>
        <w:spacing w:after="0" w:line="279" w:lineRule="exact"/>
        <w:rPr>
          <w:sz w:val="20"/>
          <w:szCs w:val="20"/>
          <w:color w:val="auto"/>
        </w:rPr>
      </w:pPr>
    </w:p>
    <w:p>
      <w:pPr>
        <w:ind w:left="1780" w:right="6640" w:hanging="1081"/>
        <w:spacing w:after="0" w:line="342" w:lineRule="auto"/>
        <w:tabs>
          <w:tab w:leader="none" w:pos="178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NAMES OF REPORTING PERSONS: ATLAS VENTURE FUND XII,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ind w:left="1780" w:hanging="1081"/>
        <w:spacing w:after="0"/>
        <w:tabs>
          <w:tab w:leader="none" w:pos="17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78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1780" w:right="5960" w:hanging="1081"/>
        <w:spacing w:after="0" w:line="277" w:lineRule="auto"/>
        <w:tabs>
          <w:tab w:leader="none" w:pos="17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p>
      <w:pPr>
        <w:ind w:left="1780" w:hanging="1081"/>
        <w:spacing w:after="0"/>
        <w:tabs>
          <w:tab w:leader="none" w:pos="17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780" w:right="5740" w:hanging="1081"/>
        <w:spacing w:after="0" w:line="277" w:lineRule="auto"/>
        <w:tabs>
          <w:tab w:leader="none" w:pos="17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1500" w:type="dxa"/>
            <w:vAlign w:val="bottom"/>
          </w:tcPr>
          <w:p>
            <w:pPr>
              <w:spacing w:after="0"/>
              <w:rPr>
                <w:sz w:val="19"/>
                <w:szCs w:val="19"/>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7</w:t>
            </w:r>
          </w:p>
        </w:tc>
        <w:tc>
          <w:tcPr>
            <w:tcW w:w="844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00" w:type="dxa"/>
            <w:vAlign w:val="bottom"/>
            <w:vMerge w:val="restart"/>
          </w:tcPr>
          <w:p>
            <w:pPr>
              <w:jc w:val="center"/>
              <w:ind w:right="130"/>
              <w:spacing w:after="0"/>
              <w:rPr>
                <w:sz w:val="20"/>
                <w:szCs w:val="20"/>
                <w:color w:val="auto"/>
              </w:rPr>
            </w:pPr>
            <w:r>
              <w:rPr>
                <w:rFonts w:ascii="Arial" w:cs="Arial" w:eastAsia="Arial" w:hAnsi="Arial"/>
                <w:sz w:val="18"/>
                <w:szCs w:val="18"/>
                <w:color w:val="auto"/>
                <w:w w:val="97"/>
              </w:rPr>
              <w:t>NUMBER</w:t>
            </w:r>
          </w:p>
        </w:tc>
        <w:tc>
          <w:tcPr>
            <w:tcW w:w="110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00" w:type="dxa"/>
            <w:vAlign w:val="bottom"/>
            <w:vMerge w:val="continue"/>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2"/>
              </w:rPr>
              <w:t>OF SHARES</w:t>
            </w: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8</w:t>
            </w:r>
          </w:p>
        </w:tc>
        <w:tc>
          <w:tcPr>
            <w:tcW w:w="844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500" w:type="dxa"/>
            <w:vAlign w:val="bottom"/>
          </w:tcPr>
          <w:p>
            <w:pPr>
              <w:jc w:val="center"/>
              <w:ind w:right="130"/>
              <w:spacing w:after="0"/>
              <w:rPr>
                <w:sz w:val="20"/>
                <w:szCs w:val="20"/>
                <w:color w:val="auto"/>
              </w:rPr>
            </w:pPr>
            <w:r>
              <w:rPr>
                <w:rFonts w:ascii="Arial" w:cs="Arial" w:eastAsia="Arial" w:hAnsi="Arial"/>
                <w:sz w:val="18"/>
                <w:szCs w:val="18"/>
                <w:color w:val="auto"/>
              </w:rPr>
              <w:t>BENEFICIALLY</w:t>
            </w:r>
          </w:p>
        </w:tc>
        <w:tc>
          <w:tcPr>
            <w:tcW w:w="1100" w:type="dxa"/>
            <w:vAlign w:val="bottom"/>
          </w:tcPr>
          <w:p>
            <w:pPr>
              <w:spacing w:after="0"/>
              <w:rPr>
                <w:sz w:val="20"/>
                <w:szCs w:val="20"/>
                <w:color w:val="auto"/>
              </w:rPr>
            </w:pPr>
          </w:p>
        </w:tc>
        <w:tc>
          <w:tcPr>
            <w:tcW w:w="8440" w:type="dxa"/>
            <w:vAlign w:val="bottom"/>
          </w:tcPr>
          <w:p>
            <w:pPr>
              <w:ind w:left="300"/>
              <w:spacing w:after="0" w:line="230" w:lineRule="exact"/>
              <w:rPr>
                <w:sz w:val="20"/>
                <w:szCs w:val="20"/>
                <w:color w:val="auto"/>
              </w:rPr>
            </w:pPr>
            <w:r>
              <w:rPr>
                <w:rFonts w:ascii="Arial" w:cs="Arial" w:eastAsia="Arial" w:hAnsi="Arial"/>
                <w:sz w:val="16"/>
                <w:szCs w:val="16"/>
                <w:color w:val="auto"/>
              </w:rPr>
              <w:t>51,000</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08"/>
        </w:trPr>
        <w:tc>
          <w:tcPr>
            <w:tcW w:w="1500" w:type="dxa"/>
            <w:vAlign w:val="bottom"/>
            <w:vMerge w:val="restart"/>
          </w:tcPr>
          <w:p>
            <w:pPr>
              <w:jc w:val="center"/>
              <w:ind w:right="130"/>
              <w:spacing w:after="0" w:line="201" w:lineRule="exact"/>
              <w:rPr>
                <w:sz w:val="20"/>
                <w:szCs w:val="20"/>
                <w:color w:val="auto"/>
              </w:rPr>
            </w:pPr>
            <w:r>
              <w:rPr>
                <w:rFonts w:ascii="Arial" w:cs="Arial" w:eastAsia="Arial" w:hAnsi="Arial"/>
                <w:sz w:val="18"/>
                <w:szCs w:val="18"/>
                <w:color w:val="auto"/>
                <w:w w:val="98"/>
              </w:rPr>
              <w:t>OWNED</w:t>
            </w:r>
          </w:p>
        </w:tc>
        <w:tc>
          <w:tcPr>
            <w:tcW w:w="1100" w:type="dxa"/>
            <w:vAlign w:val="bottom"/>
            <w:tcBorders>
              <w:bottom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500" w:type="dxa"/>
            <w:vAlign w:val="bottom"/>
            <w:vMerge w:val="continue"/>
          </w:tcPr>
          <w:p>
            <w:pPr>
              <w:spacing w:after="0"/>
              <w:rPr>
                <w:sz w:val="6"/>
                <w:szCs w:val="6"/>
                <w:color w:val="auto"/>
              </w:rPr>
            </w:pPr>
          </w:p>
        </w:tc>
        <w:tc>
          <w:tcPr>
            <w:tcW w:w="11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79"/>
              </w:rPr>
              <w:t>9</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5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8"/>
              </w:rPr>
              <w:t>BY EACH</w:t>
            </w:r>
          </w:p>
        </w:tc>
        <w:tc>
          <w:tcPr>
            <w:tcW w:w="1100" w:type="dxa"/>
            <w:vAlign w:val="bottom"/>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3"/>
              </w:rPr>
              <w:t>REPORTING</w:t>
            </w:r>
          </w:p>
        </w:tc>
        <w:tc>
          <w:tcPr>
            <w:tcW w:w="1100" w:type="dxa"/>
            <w:vAlign w:val="bottom"/>
          </w:tcPr>
          <w:p>
            <w:pPr>
              <w:spacing w:after="0"/>
              <w:rPr>
                <w:sz w:val="22"/>
                <w:szCs w:val="22"/>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50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00" w:type="dxa"/>
            <w:vAlign w:val="bottom"/>
            <w:vMerge w:val="continue"/>
          </w:tcPr>
          <w:p>
            <w:pPr>
              <w:spacing w:after="0"/>
              <w:rPr>
                <w:sz w:val="15"/>
                <w:szCs w:val="15"/>
                <w:color w:val="auto"/>
              </w:rPr>
            </w:pPr>
          </w:p>
        </w:tc>
        <w:tc>
          <w:tcPr>
            <w:tcW w:w="11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0"/>
        </w:trPr>
        <w:tc>
          <w:tcPr>
            <w:tcW w:w="15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51,000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780" w:hanging="1121"/>
        <w:spacing w:after="0"/>
        <w:tabs>
          <w:tab w:leader="none" w:pos="17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51,000</w:t>
      </w:r>
      <w:r>
        <w:rPr>
          <w:rFonts w:ascii="Arial" w:cs="Arial" w:eastAsia="Arial" w:hAnsi="Arial"/>
          <w:sz w:val="29"/>
          <w:szCs w:val="29"/>
          <w:color w:val="auto"/>
          <w:vertAlign w:val="superscript"/>
        </w:rPr>
        <w:t>1</w:t>
      </w:r>
    </w:p>
    <w:p>
      <w:pPr>
        <w:spacing w:after="0" w:line="45" w:lineRule="exact"/>
        <w:rPr>
          <w:rFonts w:ascii="Arial" w:cs="Arial" w:eastAsia="Arial" w:hAnsi="Arial"/>
          <w:sz w:val="18"/>
          <w:szCs w:val="18"/>
          <w:b w:val="1"/>
          <w:bCs w:val="1"/>
          <w:color w:val="auto"/>
        </w:rPr>
      </w:pPr>
    </w:p>
    <w:p>
      <w:pPr>
        <w:ind w:left="1780" w:hanging="1126"/>
        <w:spacing w:after="0"/>
        <w:tabs>
          <w:tab w:leader="none" w:pos="17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b w:val="1"/>
          <w:bCs w:val="1"/>
          <w:color w:val="auto"/>
        </w:rPr>
      </w:pPr>
    </w:p>
    <w:p>
      <w:pPr>
        <w:ind w:left="1780" w:right="4280" w:hanging="1126"/>
        <w:spacing w:after="0" w:line="270" w:lineRule="auto"/>
        <w:tabs>
          <w:tab w:leader="none" w:pos="17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 0.2%</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b w:val="1"/>
          <w:bCs w:val="1"/>
          <w:color w:val="auto"/>
        </w:rPr>
      </w:pPr>
    </w:p>
    <w:p>
      <w:pPr>
        <w:ind w:left="1780" w:right="5080" w:hanging="1126"/>
        <w:spacing w:after="0" w:line="259" w:lineRule="auto"/>
        <w:tabs>
          <w:tab w:leader="none" w:pos="17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-704215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-1055370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both"/>
        <w:ind w:left="100" w:hanging="93"/>
        <w:spacing w:after="0" w:line="255" w:lineRule="auto"/>
        <w:rPr>
          <w:sz w:val="20"/>
          <w:szCs w:val="20"/>
          <w:color w:val="auto"/>
        </w:rPr>
      </w:pPr>
      <w:r>
        <w:rPr>
          <w:rFonts w:ascii="Arial" w:cs="Arial" w:eastAsia="Arial" w:hAnsi="Arial"/>
          <w:sz w:val="18"/>
          <w:szCs w:val="18"/>
          <w:color w:val="auto"/>
        </w:rPr>
        <w:t>1As described in Item 5 below, Atlas Venture Fund XII, L.P., a Delaware limited partnership (“Atlas XII”), Atlas Venture Associates XII, L.P., a Delaware limited partnership (“AVA XII LP”) and Atlas Venture Associates XII, LLC, a Delaware limited liability company (“AVA XII LLC” and together with Atlas XII and AVA XII LP, the “Fund XII Reporting Persons”) beneficially own the 51,000 shares of the Issuer’s Common Stock that are directly held by Atlas XII. AVA XII LP is the general partner of Atlas XII and AVA XII LLC is the general partner of AVA XII LP. Each of AVA XII LP and AVA XII LLC has voting and dispositive power over the shares held by Atlas XII. As such, each of the Fund XII Reporting Persons share voting and dispositive power with respect to the shares held by Atlas XII.</w:t>
      </w:r>
    </w:p>
    <w:p>
      <w:pPr>
        <w:spacing w:after="0" w:line="192" w:lineRule="exact"/>
        <w:rPr>
          <w:sz w:val="20"/>
          <w:szCs w:val="20"/>
          <w:color w:val="auto"/>
        </w:rPr>
      </w:pPr>
    </w:p>
    <w:p>
      <w:pPr>
        <w:jc w:val="both"/>
        <w:ind w:left="100" w:hanging="93"/>
        <w:spacing w:after="0" w:line="263" w:lineRule="auto"/>
        <w:rPr>
          <w:sz w:val="20"/>
          <w:szCs w:val="20"/>
          <w:color w:val="auto"/>
        </w:rPr>
      </w:pPr>
      <w:r>
        <w:rPr>
          <w:rFonts w:ascii="Arial" w:cs="Arial" w:eastAsia="Arial" w:hAnsi="Arial"/>
          <w:sz w:val="18"/>
          <w:szCs w:val="18"/>
          <w:color w:val="auto"/>
        </w:rPr>
        <w:t>2This percentage is calculated based upon 22,877,552 shares of Common Stock outstanding as of August 8, 2023, as reported in the Issuer’s Quarterly Report pursuant to Section 13 or 15(d) of the Securities Exchange Act of 1934 for the quarterly period ended June 30, 2023 on Form 10-Q, filed with the Securities and Exchange Commission on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1032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5"/>
          <w:szCs w:val="15"/>
          <w:color w:val="auto"/>
        </w:rPr>
        <w:t>Page 6 of 16</w:t>
      </w:r>
    </w:p>
    <w:p>
      <w:pPr>
        <w:spacing w:after="0" w:line="279" w:lineRule="exact"/>
        <w:rPr>
          <w:sz w:val="20"/>
          <w:szCs w:val="20"/>
          <w:color w:val="auto"/>
        </w:rPr>
      </w:pPr>
    </w:p>
    <w:p>
      <w:pPr>
        <w:ind w:left="1780" w:right="6240" w:hanging="1081"/>
        <w:spacing w:after="0" w:line="308" w:lineRule="auto"/>
        <w:tabs>
          <w:tab w:leader="none" w:pos="178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NAMES OF REPORTING PERSONS: ATLAS VENTURE ASSOCIATES XII,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 w:lineRule="exact"/>
        <w:rPr>
          <w:sz w:val="20"/>
          <w:szCs w:val="20"/>
          <w:color w:val="auto"/>
        </w:rPr>
      </w:pPr>
    </w:p>
    <w:p>
      <w:pPr>
        <w:ind w:left="1780" w:hanging="1081"/>
        <w:spacing w:after="0"/>
        <w:tabs>
          <w:tab w:leader="none" w:pos="17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78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1780" w:right="5960" w:hanging="1081"/>
        <w:spacing w:after="0" w:line="277" w:lineRule="auto"/>
        <w:tabs>
          <w:tab w:leader="none" w:pos="178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p>
      <w:pPr>
        <w:ind w:left="1780" w:hanging="1081"/>
        <w:spacing w:after="0"/>
        <w:tabs>
          <w:tab w:leader="none" w:pos="178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780" w:right="5740" w:hanging="1081"/>
        <w:spacing w:after="0" w:line="277" w:lineRule="auto"/>
        <w:tabs>
          <w:tab w:leader="none" w:pos="17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1500" w:type="dxa"/>
            <w:vAlign w:val="bottom"/>
          </w:tcPr>
          <w:p>
            <w:pPr>
              <w:spacing w:after="0"/>
              <w:rPr>
                <w:sz w:val="19"/>
                <w:szCs w:val="19"/>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7</w:t>
            </w:r>
          </w:p>
        </w:tc>
        <w:tc>
          <w:tcPr>
            <w:tcW w:w="844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00" w:type="dxa"/>
            <w:vAlign w:val="bottom"/>
            <w:vMerge w:val="restart"/>
          </w:tcPr>
          <w:p>
            <w:pPr>
              <w:jc w:val="center"/>
              <w:ind w:right="130"/>
              <w:spacing w:after="0"/>
              <w:rPr>
                <w:sz w:val="20"/>
                <w:szCs w:val="20"/>
                <w:color w:val="auto"/>
              </w:rPr>
            </w:pPr>
            <w:r>
              <w:rPr>
                <w:rFonts w:ascii="Arial" w:cs="Arial" w:eastAsia="Arial" w:hAnsi="Arial"/>
                <w:sz w:val="18"/>
                <w:szCs w:val="18"/>
                <w:color w:val="auto"/>
                <w:w w:val="97"/>
              </w:rPr>
              <w:t>NUMBER</w:t>
            </w:r>
          </w:p>
        </w:tc>
        <w:tc>
          <w:tcPr>
            <w:tcW w:w="110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00" w:type="dxa"/>
            <w:vAlign w:val="bottom"/>
            <w:vMerge w:val="continue"/>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2"/>
              </w:rPr>
              <w:t>OF SHARES</w:t>
            </w: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8</w:t>
            </w:r>
          </w:p>
        </w:tc>
        <w:tc>
          <w:tcPr>
            <w:tcW w:w="844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500" w:type="dxa"/>
            <w:vAlign w:val="bottom"/>
          </w:tcPr>
          <w:p>
            <w:pPr>
              <w:jc w:val="center"/>
              <w:ind w:right="130"/>
              <w:spacing w:after="0"/>
              <w:rPr>
                <w:sz w:val="20"/>
                <w:szCs w:val="20"/>
                <w:color w:val="auto"/>
              </w:rPr>
            </w:pPr>
            <w:r>
              <w:rPr>
                <w:rFonts w:ascii="Arial" w:cs="Arial" w:eastAsia="Arial" w:hAnsi="Arial"/>
                <w:sz w:val="18"/>
                <w:szCs w:val="18"/>
                <w:color w:val="auto"/>
              </w:rPr>
              <w:t>BENEFICIALLY</w:t>
            </w:r>
          </w:p>
        </w:tc>
        <w:tc>
          <w:tcPr>
            <w:tcW w:w="1100" w:type="dxa"/>
            <w:vAlign w:val="bottom"/>
          </w:tcPr>
          <w:p>
            <w:pPr>
              <w:spacing w:after="0"/>
              <w:rPr>
                <w:sz w:val="20"/>
                <w:szCs w:val="20"/>
                <w:color w:val="auto"/>
              </w:rPr>
            </w:pPr>
          </w:p>
        </w:tc>
        <w:tc>
          <w:tcPr>
            <w:tcW w:w="8440" w:type="dxa"/>
            <w:vAlign w:val="bottom"/>
          </w:tcPr>
          <w:p>
            <w:pPr>
              <w:ind w:left="300"/>
              <w:spacing w:after="0" w:line="230" w:lineRule="exact"/>
              <w:rPr>
                <w:sz w:val="20"/>
                <w:szCs w:val="20"/>
                <w:color w:val="auto"/>
              </w:rPr>
            </w:pPr>
            <w:r>
              <w:rPr>
                <w:rFonts w:ascii="Arial" w:cs="Arial" w:eastAsia="Arial" w:hAnsi="Arial"/>
                <w:sz w:val="16"/>
                <w:szCs w:val="16"/>
                <w:color w:val="auto"/>
              </w:rPr>
              <w:t>51,000</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08"/>
        </w:trPr>
        <w:tc>
          <w:tcPr>
            <w:tcW w:w="1500" w:type="dxa"/>
            <w:vAlign w:val="bottom"/>
            <w:vMerge w:val="restart"/>
          </w:tcPr>
          <w:p>
            <w:pPr>
              <w:jc w:val="center"/>
              <w:ind w:right="130"/>
              <w:spacing w:after="0" w:line="201" w:lineRule="exact"/>
              <w:rPr>
                <w:sz w:val="20"/>
                <w:szCs w:val="20"/>
                <w:color w:val="auto"/>
              </w:rPr>
            </w:pPr>
            <w:r>
              <w:rPr>
                <w:rFonts w:ascii="Arial" w:cs="Arial" w:eastAsia="Arial" w:hAnsi="Arial"/>
                <w:sz w:val="18"/>
                <w:szCs w:val="18"/>
                <w:color w:val="auto"/>
                <w:w w:val="98"/>
              </w:rPr>
              <w:t>OWNED</w:t>
            </w:r>
          </w:p>
        </w:tc>
        <w:tc>
          <w:tcPr>
            <w:tcW w:w="1100" w:type="dxa"/>
            <w:vAlign w:val="bottom"/>
            <w:tcBorders>
              <w:bottom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500" w:type="dxa"/>
            <w:vAlign w:val="bottom"/>
            <w:vMerge w:val="continue"/>
          </w:tcPr>
          <w:p>
            <w:pPr>
              <w:spacing w:after="0"/>
              <w:rPr>
                <w:sz w:val="6"/>
                <w:szCs w:val="6"/>
                <w:color w:val="auto"/>
              </w:rPr>
            </w:pPr>
          </w:p>
        </w:tc>
        <w:tc>
          <w:tcPr>
            <w:tcW w:w="11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79"/>
              </w:rPr>
              <w:t>9</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5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8"/>
              </w:rPr>
              <w:t>BY EACH</w:t>
            </w:r>
          </w:p>
        </w:tc>
        <w:tc>
          <w:tcPr>
            <w:tcW w:w="1100" w:type="dxa"/>
            <w:vAlign w:val="bottom"/>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3"/>
              </w:rPr>
              <w:t>REPORTING</w:t>
            </w:r>
          </w:p>
        </w:tc>
        <w:tc>
          <w:tcPr>
            <w:tcW w:w="1100" w:type="dxa"/>
            <w:vAlign w:val="bottom"/>
          </w:tcPr>
          <w:p>
            <w:pPr>
              <w:spacing w:after="0"/>
              <w:rPr>
                <w:sz w:val="22"/>
                <w:szCs w:val="22"/>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50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00" w:type="dxa"/>
            <w:vAlign w:val="bottom"/>
            <w:vMerge w:val="continue"/>
          </w:tcPr>
          <w:p>
            <w:pPr>
              <w:spacing w:after="0"/>
              <w:rPr>
                <w:sz w:val="15"/>
                <w:szCs w:val="15"/>
                <w:color w:val="auto"/>
              </w:rPr>
            </w:pPr>
          </w:p>
        </w:tc>
        <w:tc>
          <w:tcPr>
            <w:tcW w:w="11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0"/>
        </w:trPr>
        <w:tc>
          <w:tcPr>
            <w:tcW w:w="15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51,000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780" w:hanging="1121"/>
        <w:spacing w:after="0"/>
        <w:tabs>
          <w:tab w:leader="none" w:pos="17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51,000</w:t>
      </w:r>
      <w:r>
        <w:rPr>
          <w:rFonts w:ascii="Arial" w:cs="Arial" w:eastAsia="Arial" w:hAnsi="Arial"/>
          <w:sz w:val="29"/>
          <w:szCs w:val="29"/>
          <w:color w:val="auto"/>
          <w:vertAlign w:val="superscript"/>
        </w:rPr>
        <w:t>1</w:t>
      </w:r>
    </w:p>
    <w:p>
      <w:pPr>
        <w:spacing w:after="0" w:line="45" w:lineRule="exact"/>
        <w:rPr>
          <w:rFonts w:ascii="Arial" w:cs="Arial" w:eastAsia="Arial" w:hAnsi="Arial"/>
          <w:sz w:val="18"/>
          <w:szCs w:val="18"/>
          <w:b w:val="1"/>
          <w:bCs w:val="1"/>
          <w:color w:val="auto"/>
        </w:rPr>
      </w:pPr>
    </w:p>
    <w:p>
      <w:pPr>
        <w:ind w:left="1780" w:hanging="1126"/>
        <w:spacing w:after="0"/>
        <w:tabs>
          <w:tab w:leader="none" w:pos="17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b w:val="1"/>
          <w:bCs w:val="1"/>
          <w:color w:val="auto"/>
        </w:rPr>
      </w:pPr>
    </w:p>
    <w:p>
      <w:pPr>
        <w:ind w:left="1780" w:right="4280" w:hanging="1126"/>
        <w:spacing w:after="0" w:line="270" w:lineRule="auto"/>
        <w:tabs>
          <w:tab w:leader="none" w:pos="17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 0.2%</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b w:val="1"/>
          <w:bCs w:val="1"/>
          <w:color w:val="auto"/>
        </w:rPr>
      </w:pPr>
    </w:p>
    <w:p>
      <w:pPr>
        <w:ind w:left="1780" w:right="5080" w:hanging="1126"/>
        <w:spacing w:after="0" w:line="259" w:lineRule="auto"/>
        <w:tabs>
          <w:tab w:leader="none" w:pos="17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-704215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-1055370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both"/>
        <w:ind w:left="100" w:hanging="93"/>
        <w:spacing w:after="0" w:line="255" w:lineRule="auto"/>
        <w:rPr>
          <w:sz w:val="20"/>
          <w:szCs w:val="20"/>
          <w:color w:val="auto"/>
        </w:rPr>
      </w:pPr>
      <w:r>
        <w:rPr>
          <w:rFonts w:ascii="Arial" w:cs="Arial" w:eastAsia="Arial" w:hAnsi="Arial"/>
          <w:sz w:val="18"/>
          <w:szCs w:val="18"/>
          <w:color w:val="auto"/>
        </w:rPr>
        <w:t>1As described in Item 5 below, Atlas Venture Fund XII, L.P., a Delaware limited partnership (“Atlas XII”), Atlas Venture Associates XII, L.P., a Delaware limited partnership (“AVA XII LP”) and Atlas Venture Associates XII, LLC, a Delaware limited liability company (“AVA XII LLC” and together with Atlas XII and AVA XII LP, the “Fund XII Reporting Persons”) beneficially own the 51,000 shares of the Issuer’s Common Stock that are directly held by Atlas XII. AVA XII LP is the general partner of Atlas XII and AVA XII LLC is the general partner of AVA XII LP. Each of AVA XII LP and AVA XII LLC has voting and dispositive power over the shares held by Atlas XII. As such, each of the Fund XII Reporting Persons share voting and dispositive power with respect to the shares held by Atlas XII.</w:t>
      </w:r>
    </w:p>
    <w:p>
      <w:pPr>
        <w:spacing w:after="0" w:line="192" w:lineRule="exact"/>
        <w:rPr>
          <w:sz w:val="20"/>
          <w:szCs w:val="20"/>
          <w:color w:val="auto"/>
        </w:rPr>
      </w:pPr>
    </w:p>
    <w:p>
      <w:pPr>
        <w:jc w:val="both"/>
        <w:ind w:left="100" w:hanging="93"/>
        <w:spacing w:after="0" w:line="263" w:lineRule="auto"/>
        <w:rPr>
          <w:sz w:val="20"/>
          <w:szCs w:val="20"/>
          <w:color w:val="auto"/>
        </w:rPr>
      </w:pPr>
      <w:r>
        <w:rPr>
          <w:rFonts w:ascii="Arial" w:cs="Arial" w:eastAsia="Arial" w:hAnsi="Arial"/>
          <w:sz w:val="18"/>
          <w:szCs w:val="18"/>
          <w:color w:val="auto"/>
        </w:rPr>
        <w:t>2This percentage is calculated based upon 22,877,552 shares of Common Stock outstanding as of August 8, 2023, as reported in the Issuer’s Quarterly Report pursuant to Section 13 or 15(d) of the Securities Exchange Act of 1934 for the quarterly period ended June 30, 2023 on Form 10-Q, filed with the Securities and Exchange Commission on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tabs>
          <w:tab w:leader="none" w:pos="1032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5"/>
          <w:szCs w:val="15"/>
          <w:color w:val="auto"/>
        </w:rPr>
        <w:t>Page 7 of 16</w:t>
      </w:r>
    </w:p>
    <w:p>
      <w:pPr>
        <w:spacing w:after="0" w:line="279" w:lineRule="exact"/>
        <w:rPr>
          <w:sz w:val="20"/>
          <w:szCs w:val="20"/>
          <w:color w:val="auto"/>
        </w:rPr>
      </w:pPr>
    </w:p>
    <w:p>
      <w:pPr>
        <w:ind w:left="1780" w:right="6180" w:hanging="1081"/>
        <w:spacing w:after="0" w:line="308" w:lineRule="auto"/>
        <w:tabs>
          <w:tab w:leader="none" w:pos="178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NAMES OF REPORTING PERSONS: ATLAS VENTURE ASSOCIATES XII,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 w:lineRule="exact"/>
        <w:rPr>
          <w:sz w:val="20"/>
          <w:szCs w:val="20"/>
          <w:color w:val="auto"/>
        </w:rPr>
      </w:pPr>
    </w:p>
    <w:p>
      <w:pPr>
        <w:ind w:left="1780" w:hanging="1081"/>
        <w:spacing w:after="0"/>
        <w:tabs>
          <w:tab w:leader="none" w:pos="17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78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1780" w:right="5960" w:hanging="1081"/>
        <w:spacing w:after="0" w:line="277" w:lineRule="auto"/>
        <w:tabs>
          <w:tab w:leader="none" w:pos="17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p>
      <w:pPr>
        <w:ind w:left="1780" w:hanging="1081"/>
        <w:spacing w:after="0"/>
        <w:tabs>
          <w:tab w:leader="none" w:pos="17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780" w:right="5740" w:hanging="1081"/>
        <w:spacing w:after="0" w:line="277" w:lineRule="auto"/>
        <w:tabs>
          <w:tab w:leader="none" w:pos="17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1480" w:type="dxa"/>
            <w:vAlign w:val="bottom"/>
          </w:tcPr>
          <w:p>
            <w:pPr>
              <w:spacing w:after="0"/>
              <w:rPr>
                <w:sz w:val="19"/>
                <w:szCs w:val="19"/>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7</w:t>
            </w:r>
          </w:p>
        </w:tc>
        <w:tc>
          <w:tcPr>
            <w:tcW w:w="844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7"/>
              </w:rPr>
              <w:t>NUMBER</w:t>
            </w:r>
          </w:p>
        </w:tc>
        <w:tc>
          <w:tcPr>
            <w:tcW w:w="110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80" w:type="dxa"/>
            <w:vAlign w:val="bottom"/>
            <w:vMerge w:val="continue"/>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2"/>
              </w:rPr>
              <w:t>OF SHARES</w:t>
            </w: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8</w:t>
            </w:r>
          </w:p>
        </w:tc>
        <w:tc>
          <w:tcPr>
            <w:tcW w:w="844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1100" w:type="dxa"/>
            <w:vAlign w:val="bottom"/>
          </w:tcPr>
          <w:p>
            <w:pPr>
              <w:spacing w:after="0"/>
              <w:rPr>
                <w:sz w:val="20"/>
                <w:szCs w:val="20"/>
                <w:color w:val="auto"/>
              </w:rPr>
            </w:pPr>
          </w:p>
        </w:tc>
        <w:tc>
          <w:tcPr>
            <w:tcW w:w="8440" w:type="dxa"/>
            <w:vAlign w:val="bottom"/>
          </w:tcPr>
          <w:p>
            <w:pPr>
              <w:ind w:left="300"/>
              <w:spacing w:after="0" w:line="230" w:lineRule="exact"/>
              <w:rPr>
                <w:sz w:val="20"/>
                <w:szCs w:val="20"/>
                <w:color w:val="auto"/>
              </w:rPr>
            </w:pPr>
            <w:r>
              <w:rPr>
                <w:rFonts w:ascii="Arial" w:cs="Arial" w:eastAsia="Arial" w:hAnsi="Arial"/>
                <w:sz w:val="16"/>
                <w:szCs w:val="16"/>
                <w:color w:val="auto"/>
              </w:rPr>
              <w:t>51,000</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110"/>
              <w:spacing w:after="0" w:line="201" w:lineRule="exact"/>
              <w:rPr>
                <w:sz w:val="20"/>
                <w:szCs w:val="20"/>
                <w:color w:val="auto"/>
              </w:rPr>
            </w:pPr>
            <w:r>
              <w:rPr>
                <w:rFonts w:ascii="Arial" w:cs="Arial" w:eastAsia="Arial" w:hAnsi="Arial"/>
                <w:sz w:val="18"/>
                <w:szCs w:val="18"/>
                <w:color w:val="auto"/>
                <w:w w:val="98"/>
              </w:rPr>
              <w:t>OWNED</w:t>
            </w:r>
          </w:p>
        </w:tc>
        <w:tc>
          <w:tcPr>
            <w:tcW w:w="1100" w:type="dxa"/>
            <w:vAlign w:val="bottom"/>
            <w:tcBorders>
              <w:bottom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480" w:type="dxa"/>
            <w:vAlign w:val="bottom"/>
            <w:vMerge w:val="continue"/>
          </w:tcPr>
          <w:p>
            <w:pPr>
              <w:spacing w:after="0"/>
              <w:rPr>
                <w:sz w:val="6"/>
                <w:szCs w:val="6"/>
                <w:color w:val="auto"/>
              </w:rPr>
            </w:pPr>
          </w:p>
        </w:tc>
        <w:tc>
          <w:tcPr>
            <w:tcW w:w="11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79"/>
              </w:rPr>
              <w:t>9</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480" w:type="dxa"/>
            <w:vAlign w:val="bottom"/>
          </w:tcPr>
          <w:p>
            <w:pPr>
              <w:jc w:val="center"/>
              <w:ind w:right="110"/>
              <w:spacing w:after="0" w:line="176" w:lineRule="exact"/>
              <w:rPr>
                <w:sz w:val="20"/>
                <w:szCs w:val="20"/>
                <w:color w:val="auto"/>
              </w:rPr>
            </w:pPr>
            <w:r>
              <w:rPr>
                <w:rFonts w:ascii="Arial" w:cs="Arial" w:eastAsia="Arial" w:hAnsi="Arial"/>
                <w:sz w:val="18"/>
                <w:szCs w:val="18"/>
                <w:color w:val="auto"/>
              </w:rPr>
              <w:t>BY EACH</w:t>
            </w:r>
          </w:p>
        </w:tc>
        <w:tc>
          <w:tcPr>
            <w:tcW w:w="1100" w:type="dxa"/>
            <w:vAlign w:val="bottom"/>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1100" w:type="dxa"/>
            <w:vAlign w:val="bottom"/>
          </w:tcPr>
          <w:p>
            <w:pPr>
              <w:spacing w:after="0"/>
              <w:rPr>
                <w:sz w:val="22"/>
                <w:szCs w:val="22"/>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11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0"/>
        </w:trPr>
        <w:tc>
          <w:tcPr>
            <w:tcW w:w="14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51,000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780" w:hanging="1121"/>
        <w:spacing w:after="0"/>
        <w:tabs>
          <w:tab w:leader="none" w:pos="17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51,000</w:t>
      </w:r>
      <w:r>
        <w:rPr>
          <w:rFonts w:ascii="Arial" w:cs="Arial" w:eastAsia="Arial" w:hAnsi="Arial"/>
          <w:sz w:val="29"/>
          <w:szCs w:val="29"/>
          <w:color w:val="auto"/>
          <w:vertAlign w:val="superscript"/>
        </w:rPr>
        <w:t>1</w:t>
      </w:r>
    </w:p>
    <w:p>
      <w:pPr>
        <w:spacing w:after="0" w:line="45" w:lineRule="exact"/>
        <w:rPr>
          <w:rFonts w:ascii="Arial" w:cs="Arial" w:eastAsia="Arial" w:hAnsi="Arial"/>
          <w:sz w:val="18"/>
          <w:szCs w:val="18"/>
          <w:b w:val="1"/>
          <w:bCs w:val="1"/>
          <w:color w:val="auto"/>
        </w:rPr>
      </w:pPr>
    </w:p>
    <w:p>
      <w:pPr>
        <w:ind w:left="1780" w:hanging="1126"/>
        <w:spacing w:after="0"/>
        <w:tabs>
          <w:tab w:leader="none" w:pos="17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b w:val="1"/>
          <w:bCs w:val="1"/>
          <w:color w:val="auto"/>
        </w:rPr>
      </w:pPr>
    </w:p>
    <w:p>
      <w:pPr>
        <w:ind w:left="1780" w:right="4280" w:hanging="1126"/>
        <w:spacing w:after="0" w:line="270" w:lineRule="auto"/>
        <w:tabs>
          <w:tab w:leader="none" w:pos="17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 0.2%</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b w:val="1"/>
          <w:bCs w:val="1"/>
          <w:color w:val="auto"/>
        </w:rPr>
      </w:pPr>
    </w:p>
    <w:p>
      <w:pPr>
        <w:ind w:left="1780" w:right="5080" w:hanging="1126"/>
        <w:spacing w:after="0" w:line="259" w:lineRule="auto"/>
        <w:tabs>
          <w:tab w:leader="none" w:pos="17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-704215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-1055370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both"/>
        <w:ind w:left="100" w:hanging="93"/>
        <w:spacing w:after="0" w:line="255" w:lineRule="auto"/>
        <w:rPr>
          <w:sz w:val="20"/>
          <w:szCs w:val="20"/>
          <w:color w:val="auto"/>
        </w:rPr>
      </w:pPr>
      <w:r>
        <w:rPr>
          <w:rFonts w:ascii="Arial" w:cs="Arial" w:eastAsia="Arial" w:hAnsi="Arial"/>
          <w:sz w:val="18"/>
          <w:szCs w:val="18"/>
          <w:color w:val="auto"/>
        </w:rPr>
        <w:t>1As described in Item 5 below, Atlas Venture Fund XII, L.P., a Delaware limited partnership (“Atlas XII”), Atlas Venture Associates XII, L.P., a Delaware limited partnership (“AVA XII LP”) and Atlas Venture Associates XII, LLC, a Delaware limited liability company (“AVA XII LLC” and together with Atlas XII and AVA XII LP, the “Fund XII Reporting Persons”) beneficially own the 51,000 shares of the Issuer’s Common Stock that are directly held by Atlas XII. AVA XII LP is the general partner of Atlas XII and AVA XII LLC is the general partner of AVA XII LP. Each of AVA XII LP and AVA XII LLC has voting and dispositive power over the shares held by Atlas XII. As such, each of the Fund XII Reporting Persons share voting and dispositive power with respect to the shares held by Atlas XII.</w:t>
      </w:r>
    </w:p>
    <w:p>
      <w:pPr>
        <w:spacing w:after="0" w:line="192" w:lineRule="exact"/>
        <w:rPr>
          <w:sz w:val="20"/>
          <w:szCs w:val="20"/>
          <w:color w:val="auto"/>
        </w:rPr>
      </w:pPr>
    </w:p>
    <w:p>
      <w:pPr>
        <w:jc w:val="both"/>
        <w:ind w:left="100" w:hanging="93"/>
        <w:spacing w:after="0" w:line="263" w:lineRule="auto"/>
        <w:rPr>
          <w:sz w:val="20"/>
          <w:szCs w:val="20"/>
          <w:color w:val="auto"/>
        </w:rPr>
      </w:pPr>
      <w:r>
        <w:rPr>
          <w:rFonts w:ascii="Arial" w:cs="Arial" w:eastAsia="Arial" w:hAnsi="Arial"/>
          <w:sz w:val="18"/>
          <w:szCs w:val="18"/>
          <w:color w:val="auto"/>
        </w:rPr>
        <w:t>2This percentage is calculated based upon 22,877,552 shares of Common Stock outstanding as of August 8, 2023, as reported in the Issuer’s Quarterly Report pursuant to Section 13 or 15(d) of the Securities Exchange Act of 1934 for the quarterly period ended June 30, 2023 on Form 10-Q, filed with the Securities and Exchange Commission on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tabs>
          <w:tab w:leader="none" w:pos="1032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5"/>
          <w:szCs w:val="15"/>
          <w:color w:val="auto"/>
        </w:rPr>
        <w:t>Page 8 of 16</w:t>
      </w:r>
    </w:p>
    <w:p>
      <w:pPr>
        <w:spacing w:after="0" w:line="279" w:lineRule="exact"/>
        <w:rPr>
          <w:sz w:val="20"/>
          <w:szCs w:val="20"/>
          <w:color w:val="auto"/>
        </w:rPr>
      </w:pPr>
    </w:p>
    <w:p>
      <w:pPr>
        <w:ind w:left="1780" w:hanging="1081"/>
        <w:spacing w:after="0"/>
        <w:tabs>
          <w:tab w:leader="none" w:pos="17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ATLAS VENTURE OPPORTUNITY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78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1780" w:right="5960" w:hanging="1081"/>
        <w:spacing w:after="0" w:line="277" w:lineRule="auto"/>
        <w:tabs>
          <w:tab w:leader="none" w:pos="17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p>
      <w:pPr>
        <w:ind w:left="1780" w:hanging="1081"/>
        <w:spacing w:after="0"/>
        <w:tabs>
          <w:tab w:leader="none" w:pos="17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780" w:right="5740" w:hanging="1081"/>
        <w:spacing w:after="0" w:line="277" w:lineRule="auto"/>
        <w:tabs>
          <w:tab w:leader="none" w:pos="17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1480" w:type="dxa"/>
            <w:vAlign w:val="bottom"/>
          </w:tcPr>
          <w:p>
            <w:pPr>
              <w:spacing w:after="0"/>
              <w:rPr>
                <w:sz w:val="19"/>
                <w:szCs w:val="19"/>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7</w:t>
            </w:r>
          </w:p>
        </w:tc>
        <w:tc>
          <w:tcPr>
            <w:tcW w:w="844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80" w:type="dxa"/>
            <w:vAlign w:val="bottom"/>
            <w:vMerge w:val="restart"/>
          </w:tcPr>
          <w:p>
            <w:pPr>
              <w:jc w:val="center"/>
              <w:ind w:right="150"/>
              <w:spacing w:after="0"/>
              <w:rPr>
                <w:sz w:val="20"/>
                <w:szCs w:val="20"/>
                <w:color w:val="auto"/>
              </w:rPr>
            </w:pPr>
            <w:r>
              <w:rPr>
                <w:rFonts w:ascii="Arial" w:cs="Arial" w:eastAsia="Arial" w:hAnsi="Arial"/>
                <w:sz w:val="18"/>
                <w:szCs w:val="18"/>
                <w:color w:val="auto"/>
                <w:w w:val="97"/>
              </w:rPr>
              <w:t>NUMBER</w:t>
            </w:r>
          </w:p>
        </w:tc>
        <w:tc>
          <w:tcPr>
            <w:tcW w:w="110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80" w:type="dxa"/>
            <w:vAlign w:val="bottom"/>
            <w:vMerge w:val="continue"/>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80" w:type="dxa"/>
            <w:vAlign w:val="bottom"/>
          </w:tcPr>
          <w:p>
            <w:pPr>
              <w:jc w:val="center"/>
              <w:ind w:right="150"/>
              <w:spacing w:after="0"/>
              <w:rPr>
                <w:sz w:val="20"/>
                <w:szCs w:val="20"/>
                <w:color w:val="auto"/>
              </w:rPr>
            </w:pPr>
            <w:r>
              <w:rPr>
                <w:rFonts w:ascii="Arial" w:cs="Arial" w:eastAsia="Arial" w:hAnsi="Arial"/>
                <w:sz w:val="18"/>
                <w:szCs w:val="18"/>
                <w:color w:val="auto"/>
                <w:w w:val="92"/>
              </w:rPr>
              <w:t>OF SHARES</w:t>
            </w: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8</w:t>
            </w:r>
          </w:p>
        </w:tc>
        <w:tc>
          <w:tcPr>
            <w:tcW w:w="844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1100" w:type="dxa"/>
            <w:vAlign w:val="bottom"/>
          </w:tcPr>
          <w:p>
            <w:pPr>
              <w:spacing w:after="0"/>
              <w:rPr>
                <w:sz w:val="20"/>
                <w:szCs w:val="20"/>
                <w:color w:val="auto"/>
              </w:rPr>
            </w:pPr>
          </w:p>
        </w:tc>
        <w:tc>
          <w:tcPr>
            <w:tcW w:w="8440" w:type="dxa"/>
            <w:vAlign w:val="bottom"/>
          </w:tcPr>
          <w:p>
            <w:pPr>
              <w:ind w:left="300"/>
              <w:spacing w:after="0" w:line="230" w:lineRule="exact"/>
              <w:rPr>
                <w:sz w:val="20"/>
                <w:szCs w:val="20"/>
                <w:color w:val="auto"/>
              </w:rPr>
            </w:pPr>
            <w:r>
              <w:rPr>
                <w:rFonts w:ascii="Arial" w:cs="Arial" w:eastAsia="Arial" w:hAnsi="Arial"/>
                <w:sz w:val="16"/>
                <w:szCs w:val="16"/>
                <w:color w:val="auto"/>
              </w:rPr>
              <w:t>882,224</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150"/>
              <w:spacing w:after="0" w:line="201" w:lineRule="exact"/>
              <w:rPr>
                <w:sz w:val="20"/>
                <w:szCs w:val="20"/>
                <w:color w:val="auto"/>
              </w:rPr>
            </w:pPr>
            <w:r>
              <w:rPr>
                <w:rFonts w:ascii="Arial" w:cs="Arial" w:eastAsia="Arial" w:hAnsi="Arial"/>
                <w:sz w:val="18"/>
                <w:szCs w:val="18"/>
                <w:color w:val="auto"/>
                <w:w w:val="98"/>
              </w:rPr>
              <w:t>OWNED</w:t>
            </w:r>
          </w:p>
        </w:tc>
        <w:tc>
          <w:tcPr>
            <w:tcW w:w="1100" w:type="dxa"/>
            <w:vAlign w:val="bottom"/>
            <w:tcBorders>
              <w:bottom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480" w:type="dxa"/>
            <w:vAlign w:val="bottom"/>
            <w:vMerge w:val="continue"/>
          </w:tcPr>
          <w:p>
            <w:pPr>
              <w:spacing w:after="0"/>
              <w:rPr>
                <w:sz w:val="6"/>
                <w:szCs w:val="6"/>
                <w:color w:val="auto"/>
              </w:rPr>
            </w:pPr>
          </w:p>
        </w:tc>
        <w:tc>
          <w:tcPr>
            <w:tcW w:w="11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79"/>
              </w:rPr>
              <w:t>9</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48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8"/>
              </w:rPr>
              <w:t>BY EACH</w:t>
            </w:r>
          </w:p>
        </w:tc>
        <w:tc>
          <w:tcPr>
            <w:tcW w:w="1100" w:type="dxa"/>
            <w:vAlign w:val="bottom"/>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480" w:type="dxa"/>
            <w:vAlign w:val="bottom"/>
          </w:tcPr>
          <w:p>
            <w:pPr>
              <w:jc w:val="center"/>
              <w:ind w:right="150"/>
              <w:spacing w:after="0"/>
              <w:rPr>
                <w:sz w:val="20"/>
                <w:szCs w:val="20"/>
                <w:color w:val="auto"/>
              </w:rPr>
            </w:pPr>
            <w:r>
              <w:rPr>
                <w:rFonts w:ascii="Arial" w:cs="Arial" w:eastAsia="Arial" w:hAnsi="Arial"/>
                <w:sz w:val="18"/>
                <w:szCs w:val="18"/>
                <w:color w:val="auto"/>
                <w:w w:val="93"/>
              </w:rPr>
              <w:t>REPORTING</w:t>
            </w:r>
          </w:p>
        </w:tc>
        <w:tc>
          <w:tcPr>
            <w:tcW w:w="1100" w:type="dxa"/>
            <w:vAlign w:val="bottom"/>
          </w:tcPr>
          <w:p>
            <w:pPr>
              <w:spacing w:after="0"/>
              <w:rPr>
                <w:sz w:val="22"/>
                <w:szCs w:val="22"/>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11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0"/>
        </w:trPr>
        <w:tc>
          <w:tcPr>
            <w:tcW w:w="14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882,224</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780" w:hanging="1121"/>
        <w:spacing w:after="0"/>
        <w:tabs>
          <w:tab w:leader="none" w:pos="178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882,224</w:t>
      </w:r>
      <w:r>
        <w:rPr>
          <w:rFonts w:ascii="Arial" w:cs="Arial" w:eastAsia="Arial" w:hAnsi="Arial"/>
          <w:sz w:val="29"/>
          <w:szCs w:val="29"/>
          <w:color w:val="auto"/>
          <w:vertAlign w:val="superscript"/>
        </w:rPr>
        <w:t>1</w:t>
      </w:r>
    </w:p>
    <w:p>
      <w:pPr>
        <w:spacing w:after="0" w:line="45" w:lineRule="exact"/>
        <w:rPr>
          <w:rFonts w:ascii="Arial" w:cs="Arial" w:eastAsia="Arial" w:hAnsi="Arial"/>
          <w:sz w:val="18"/>
          <w:szCs w:val="18"/>
          <w:b w:val="1"/>
          <w:bCs w:val="1"/>
          <w:color w:val="auto"/>
        </w:rPr>
      </w:pPr>
    </w:p>
    <w:p>
      <w:pPr>
        <w:ind w:left="1780" w:hanging="1126"/>
        <w:spacing w:after="0"/>
        <w:tabs>
          <w:tab w:leader="none" w:pos="178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b w:val="1"/>
          <w:bCs w:val="1"/>
          <w:color w:val="auto"/>
        </w:rPr>
      </w:pPr>
    </w:p>
    <w:p>
      <w:pPr>
        <w:ind w:left="1780" w:right="4280" w:hanging="1126"/>
        <w:spacing w:after="0" w:line="270" w:lineRule="auto"/>
        <w:tabs>
          <w:tab w:leader="none" w:pos="178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 3.9%</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b w:val="1"/>
          <w:bCs w:val="1"/>
          <w:color w:val="auto"/>
        </w:rPr>
      </w:pPr>
    </w:p>
    <w:p>
      <w:pPr>
        <w:ind w:left="1780" w:right="5080" w:hanging="1126"/>
        <w:spacing w:after="0" w:line="259" w:lineRule="auto"/>
        <w:tabs>
          <w:tab w:leader="none" w:pos="178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-704215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-1055370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both"/>
        <w:ind w:left="100" w:hanging="93"/>
        <w:spacing w:after="0" w:line="255" w:lineRule="auto"/>
        <w:rPr>
          <w:sz w:val="20"/>
          <w:szCs w:val="20"/>
          <w:color w:val="auto"/>
        </w:rPr>
      </w:pPr>
      <w:r>
        <w:rPr>
          <w:rFonts w:ascii="Arial" w:cs="Arial" w:eastAsia="Arial" w:hAnsi="Arial"/>
          <w:sz w:val="18"/>
          <w:szCs w:val="18"/>
          <w:color w:val="auto"/>
        </w:rPr>
        <w:t>1As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882,224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p>
      <w:pPr>
        <w:spacing w:after="0" w:line="192" w:lineRule="exact"/>
        <w:rPr>
          <w:sz w:val="20"/>
          <w:szCs w:val="20"/>
          <w:color w:val="auto"/>
        </w:rPr>
      </w:pPr>
    </w:p>
    <w:p>
      <w:pPr>
        <w:jc w:val="both"/>
        <w:ind w:left="100" w:hanging="93"/>
        <w:spacing w:after="0" w:line="263" w:lineRule="auto"/>
        <w:rPr>
          <w:sz w:val="20"/>
          <w:szCs w:val="20"/>
          <w:color w:val="auto"/>
        </w:rPr>
      </w:pPr>
      <w:r>
        <w:rPr>
          <w:rFonts w:ascii="Arial" w:cs="Arial" w:eastAsia="Arial" w:hAnsi="Arial"/>
          <w:sz w:val="18"/>
          <w:szCs w:val="18"/>
          <w:color w:val="auto"/>
        </w:rPr>
        <w:t>2This percentage is calculated based upon 22,877,552 shares of Common Stock outstanding as of August 8, 2023, as reported in the Issuer’s Quarterly Report pursuant to Section 13 or 15(d) of the Securities Exchange Act of 1934 for the quarterly period ended June 30, 2023 on Form 10-Q, filed with the Securities and Exchange Commission on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tabs>
          <w:tab w:leader="none" w:pos="1032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5"/>
          <w:szCs w:val="15"/>
          <w:color w:val="auto"/>
        </w:rPr>
        <w:t>Page 9 of 16</w:t>
      </w:r>
    </w:p>
    <w:p>
      <w:pPr>
        <w:spacing w:after="0" w:line="279" w:lineRule="exact"/>
        <w:rPr>
          <w:sz w:val="20"/>
          <w:szCs w:val="20"/>
          <w:color w:val="auto"/>
        </w:rPr>
      </w:pPr>
    </w:p>
    <w:p>
      <w:pPr>
        <w:ind w:left="1780" w:hanging="1081"/>
        <w:spacing w:after="0"/>
        <w:tabs>
          <w:tab w:leader="none" w:pos="178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ATLAS VENTURE ASSOCIATES OPPORTUNITY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78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left="1780" w:right="5960" w:hanging="1081"/>
        <w:spacing w:after="0" w:line="277" w:lineRule="auto"/>
        <w:tabs>
          <w:tab w:leader="none" w:pos="178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p>
      <w:pPr>
        <w:ind w:left="1780" w:hanging="1081"/>
        <w:spacing w:after="0"/>
        <w:tabs>
          <w:tab w:leader="none" w:pos="178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780" w:right="5740" w:hanging="1081"/>
        <w:spacing w:after="0" w:line="277" w:lineRule="auto"/>
        <w:tabs>
          <w:tab w:leader="none" w:pos="178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1500" w:type="dxa"/>
            <w:vAlign w:val="bottom"/>
          </w:tcPr>
          <w:p>
            <w:pPr>
              <w:spacing w:after="0"/>
              <w:rPr>
                <w:sz w:val="19"/>
                <w:szCs w:val="19"/>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7</w:t>
            </w:r>
          </w:p>
        </w:tc>
        <w:tc>
          <w:tcPr>
            <w:tcW w:w="844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00" w:type="dxa"/>
            <w:vAlign w:val="bottom"/>
            <w:vMerge w:val="restart"/>
          </w:tcPr>
          <w:p>
            <w:pPr>
              <w:jc w:val="center"/>
              <w:ind w:right="130"/>
              <w:spacing w:after="0"/>
              <w:rPr>
                <w:sz w:val="20"/>
                <w:szCs w:val="20"/>
                <w:color w:val="auto"/>
              </w:rPr>
            </w:pPr>
            <w:r>
              <w:rPr>
                <w:rFonts w:ascii="Arial" w:cs="Arial" w:eastAsia="Arial" w:hAnsi="Arial"/>
                <w:sz w:val="18"/>
                <w:szCs w:val="18"/>
                <w:color w:val="auto"/>
                <w:w w:val="97"/>
              </w:rPr>
              <w:t>NUMBER</w:t>
            </w:r>
          </w:p>
        </w:tc>
        <w:tc>
          <w:tcPr>
            <w:tcW w:w="110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00" w:type="dxa"/>
            <w:vAlign w:val="bottom"/>
            <w:vMerge w:val="continue"/>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2"/>
              </w:rPr>
              <w:t>OF SHARES</w:t>
            </w: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8</w:t>
            </w:r>
          </w:p>
        </w:tc>
        <w:tc>
          <w:tcPr>
            <w:tcW w:w="844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500" w:type="dxa"/>
            <w:vAlign w:val="bottom"/>
          </w:tcPr>
          <w:p>
            <w:pPr>
              <w:jc w:val="center"/>
              <w:ind w:right="130"/>
              <w:spacing w:after="0"/>
              <w:rPr>
                <w:sz w:val="20"/>
                <w:szCs w:val="20"/>
                <w:color w:val="auto"/>
              </w:rPr>
            </w:pPr>
            <w:r>
              <w:rPr>
                <w:rFonts w:ascii="Arial" w:cs="Arial" w:eastAsia="Arial" w:hAnsi="Arial"/>
                <w:sz w:val="18"/>
                <w:szCs w:val="18"/>
                <w:color w:val="auto"/>
              </w:rPr>
              <w:t>BENEFICIALLY</w:t>
            </w:r>
          </w:p>
        </w:tc>
        <w:tc>
          <w:tcPr>
            <w:tcW w:w="1100" w:type="dxa"/>
            <w:vAlign w:val="bottom"/>
          </w:tcPr>
          <w:p>
            <w:pPr>
              <w:spacing w:after="0"/>
              <w:rPr>
                <w:sz w:val="20"/>
                <w:szCs w:val="20"/>
                <w:color w:val="auto"/>
              </w:rPr>
            </w:pPr>
          </w:p>
        </w:tc>
        <w:tc>
          <w:tcPr>
            <w:tcW w:w="8440" w:type="dxa"/>
            <w:vAlign w:val="bottom"/>
          </w:tcPr>
          <w:p>
            <w:pPr>
              <w:ind w:left="300"/>
              <w:spacing w:after="0" w:line="230" w:lineRule="exact"/>
              <w:rPr>
                <w:sz w:val="20"/>
                <w:szCs w:val="20"/>
                <w:color w:val="auto"/>
              </w:rPr>
            </w:pPr>
            <w:r>
              <w:rPr>
                <w:rFonts w:ascii="Arial" w:cs="Arial" w:eastAsia="Arial" w:hAnsi="Arial"/>
                <w:sz w:val="16"/>
                <w:szCs w:val="16"/>
                <w:color w:val="auto"/>
              </w:rPr>
              <w:t>882,224</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08"/>
        </w:trPr>
        <w:tc>
          <w:tcPr>
            <w:tcW w:w="1500" w:type="dxa"/>
            <w:vAlign w:val="bottom"/>
            <w:vMerge w:val="restart"/>
          </w:tcPr>
          <w:p>
            <w:pPr>
              <w:jc w:val="center"/>
              <w:ind w:right="130"/>
              <w:spacing w:after="0" w:line="201" w:lineRule="exact"/>
              <w:rPr>
                <w:sz w:val="20"/>
                <w:szCs w:val="20"/>
                <w:color w:val="auto"/>
              </w:rPr>
            </w:pPr>
            <w:r>
              <w:rPr>
                <w:rFonts w:ascii="Arial" w:cs="Arial" w:eastAsia="Arial" w:hAnsi="Arial"/>
                <w:sz w:val="18"/>
                <w:szCs w:val="18"/>
                <w:color w:val="auto"/>
                <w:w w:val="98"/>
              </w:rPr>
              <w:t>OWNED</w:t>
            </w:r>
          </w:p>
        </w:tc>
        <w:tc>
          <w:tcPr>
            <w:tcW w:w="1100" w:type="dxa"/>
            <w:vAlign w:val="bottom"/>
            <w:tcBorders>
              <w:bottom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500" w:type="dxa"/>
            <w:vAlign w:val="bottom"/>
            <w:vMerge w:val="continue"/>
          </w:tcPr>
          <w:p>
            <w:pPr>
              <w:spacing w:after="0"/>
              <w:rPr>
                <w:sz w:val="6"/>
                <w:szCs w:val="6"/>
                <w:color w:val="auto"/>
              </w:rPr>
            </w:pPr>
          </w:p>
        </w:tc>
        <w:tc>
          <w:tcPr>
            <w:tcW w:w="11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79"/>
              </w:rPr>
              <w:t>9</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5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8"/>
              </w:rPr>
              <w:t>BY EACH</w:t>
            </w:r>
          </w:p>
        </w:tc>
        <w:tc>
          <w:tcPr>
            <w:tcW w:w="1100" w:type="dxa"/>
            <w:vAlign w:val="bottom"/>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3"/>
              </w:rPr>
              <w:t>REPORTING</w:t>
            </w:r>
          </w:p>
        </w:tc>
        <w:tc>
          <w:tcPr>
            <w:tcW w:w="1100" w:type="dxa"/>
            <w:vAlign w:val="bottom"/>
          </w:tcPr>
          <w:p>
            <w:pPr>
              <w:spacing w:after="0"/>
              <w:rPr>
                <w:sz w:val="22"/>
                <w:szCs w:val="22"/>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50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00" w:type="dxa"/>
            <w:vAlign w:val="bottom"/>
            <w:vMerge w:val="continue"/>
          </w:tcPr>
          <w:p>
            <w:pPr>
              <w:spacing w:after="0"/>
              <w:rPr>
                <w:sz w:val="15"/>
                <w:szCs w:val="15"/>
                <w:color w:val="auto"/>
              </w:rPr>
            </w:pPr>
          </w:p>
        </w:tc>
        <w:tc>
          <w:tcPr>
            <w:tcW w:w="11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0"/>
        </w:trPr>
        <w:tc>
          <w:tcPr>
            <w:tcW w:w="15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882,224</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780" w:hanging="1121"/>
        <w:spacing w:after="0"/>
        <w:tabs>
          <w:tab w:leader="none" w:pos="178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882,224</w:t>
      </w:r>
      <w:r>
        <w:rPr>
          <w:rFonts w:ascii="Arial" w:cs="Arial" w:eastAsia="Arial" w:hAnsi="Arial"/>
          <w:sz w:val="29"/>
          <w:szCs w:val="29"/>
          <w:color w:val="auto"/>
          <w:vertAlign w:val="superscript"/>
        </w:rPr>
        <w:t>1</w:t>
      </w:r>
    </w:p>
    <w:p>
      <w:pPr>
        <w:spacing w:after="0" w:line="45" w:lineRule="exact"/>
        <w:rPr>
          <w:rFonts w:ascii="Arial" w:cs="Arial" w:eastAsia="Arial" w:hAnsi="Arial"/>
          <w:sz w:val="18"/>
          <w:szCs w:val="18"/>
          <w:b w:val="1"/>
          <w:bCs w:val="1"/>
          <w:color w:val="auto"/>
        </w:rPr>
      </w:pPr>
    </w:p>
    <w:p>
      <w:pPr>
        <w:ind w:left="1780" w:hanging="1126"/>
        <w:spacing w:after="0"/>
        <w:tabs>
          <w:tab w:leader="none" w:pos="178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b w:val="1"/>
          <w:bCs w:val="1"/>
          <w:color w:val="auto"/>
        </w:rPr>
      </w:pPr>
    </w:p>
    <w:p>
      <w:pPr>
        <w:ind w:left="1780" w:right="4280" w:hanging="1126"/>
        <w:spacing w:after="0" w:line="270" w:lineRule="auto"/>
        <w:tabs>
          <w:tab w:leader="none" w:pos="178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 3.9%</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b w:val="1"/>
          <w:bCs w:val="1"/>
          <w:color w:val="auto"/>
        </w:rPr>
      </w:pPr>
    </w:p>
    <w:p>
      <w:pPr>
        <w:ind w:left="1780" w:right="5080" w:hanging="1126"/>
        <w:spacing w:after="0" w:line="259" w:lineRule="auto"/>
        <w:tabs>
          <w:tab w:leader="none" w:pos="178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-704215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-1055370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both"/>
        <w:ind w:left="100" w:hanging="93"/>
        <w:spacing w:after="0" w:line="255" w:lineRule="auto"/>
        <w:rPr>
          <w:sz w:val="20"/>
          <w:szCs w:val="20"/>
          <w:color w:val="auto"/>
        </w:rPr>
      </w:pPr>
      <w:r>
        <w:rPr>
          <w:rFonts w:ascii="Arial" w:cs="Arial" w:eastAsia="Arial" w:hAnsi="Arial"/>
          <w:sz w:val="18"/>
          <w:szCs w:val="18"/>
          <w:color w:val="auto"/>
        </w:rPr>
        <w:t>1As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882,224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p>
      <w:pPr>
        <w:spacing w:after="0" w:line="192" w:lineRule="exact"/>
        <w:rPr>
          <w:sz w:val="20"/>
          <w:szCs w:val="20"/>
          <w:color w:val="auto"/>
        </w:rPr>
      </w:pPr>
    </w:p>
    <w:p>
      <w:pPr>
        <w:jc w:val="both"/>
        <w:ind w:left="100" w:hanging="93"/>
        <w:spacing w:after="0" w:line="263" w:lineRule="auto"/>
        <w:rPr>
          <w:sz w:val="20"/>
          <w:szCs w:val="20"/>
          <w:color w:val="auto"/>
        </w:rPr>
      </w:pPr>
      <w:r>
        <w:rPr>
          <w:rFonts w:ascii="Arial" w:cs="Arial" w:eastAsia="Arial" w:hAnsi="Arial"/>
          <w:sz w:val="18"/>
          <w:szCs w:val="18"/>
          <w:color w:val="auto"/>
        </w:rPr>
        <w:t>2This percentage is calculated based upon 22,877,552 shares of Common Stock outstanding as of August 8, 2023, as reported in the Issuer’s Quarterly Report pursuant to Section 13 or 15(d) of the Securities Exchange Act of 1934 for the quarterly period ended June 30, 2023 on Form 10-Q, filed with the Securities and Exchange Commission on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tabs>
          <w:tab w:leader="none" w:pos="1022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6"/>
          <w:szCs w:val="16"/>
          <w:color w:val="auto"/>
        </w:rPr>
        <w:t>Page 10 of 16</w:t>
      </w:r>
    </w:p>
    <w:p>
      <w:pPr>
        <w:spacing w:after="0" w:line="279" w:lineRule="exact"/>
        <w:rPr>
          <w:sz w:val="20"/>
          <w:szCs w:val="20"/>
          <w:color w:val="auto"/>
        </w:rPr>
      </w:pPr>
    </w:p>
    <w:p>
      <w:pPr>
        <w:ind w:left="1780" w:hanging="1081"/>
        <w:spacing w:after="0"/>
        <w:tabs>
          <w:tab w:leader="none" w:pos="178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ATLAS VENTURE ASSOCIATES OPPORTUNITY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78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left="1780" w:right="5960" w:hanging="1081"/>
        <w:spacing w:after="0" w:line="277" w:lineRule="auto"/>
        <w:tabs>
          <w:tab w:leader="none" w:pos="178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p>
      <w:pPr>
        <w:ind w:left="1780" w:hanging="1081"/>
        <w:spacing w:after="0"/>
        <w:tabs>
          <w:tab w:leader="none" w:pos="178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780" w:right="5740" w:hanging="1081"/>
        <w:spacing w:after="0" w:line="277" w:lineRule="auto"/>
        <w:tabs>
          <w:tab w:leader="none" w:pos="178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1500" w:type="dxa"/>
            <w:vAlign w:val="bottom"/>
          </w:tcPr>
          <w:p>
            <w:pPr>
              <w:spacing w:after="0"/>
              <w:rPr>
                <w:sz w:val="19"/>
                <w:szCs w:val="19"/>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7</w:t>
            </w:r>
          </w:p>
        </w:tc>
        <w:tc>
          <w:tcPr>
            <w:tcW w:w="844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00" w:type="dxa"/>
            <w:vAlign w:val="bottom"/>
            <w:vMerge w:val="restart"/>
          </w:tcPr>
          <w:p>
            <w:pPr>
              <w:jc w:val="center"/>
              <w:ind w:right="130"/>
              <w:spacing w:after="0"/>
              <w:rPr>
                <w:sz w:val="20"/>
                <w:szCs w:val="20"/>
                <w:color w:val="auto"/>
              </w:rPr>
            </w:pPr>
            <w:r>
              <w:rPr>
                <w:rFonts w:ascii="Arial" w:cs="Arial" w:eastAsia="Arial" w:hAnsi="Arial"/>
                <w:sz w:val="18"/>
                <w:szCs w:val="18"/>
                <w:color w:val="auto"/>
                <w:w w:val="97"/>
              </w:rPr>
              <w:t>NUMBER</w:t>
            </w:r>
          </w:p>
        </w:tc>
        <w:tc>
          <w:tcPr>
            <w:tcW w:w="110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00" w:type="dxa"/>
            <w:vAlign w:val="bottom"/>
            <w:vMerge w:val="continue"/>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2"/>
              </w:rPr>
              <w:t>OF SHARES</w:t>
            </w: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8</w:t>
            </w:r>
          </w:p>
        </w:tc>
        <w:tc>
          <w:tcPr>
            <w:tcW w:w="844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500" w:type="dxa"/>
            <w:vAlign w:val="bottom"/>
          </w:tcPr>
          <w:p>
            <w:pPr>
              <w:jc w:val="center"/>
              <w:ind w:right="130"/>
              <w:spacing w:after="0"/>
              <w:rPr>
                <w:sz w:val="20"/>
                <w:szCs w:val="20"/>
                <w:color w:val="auto"/>
              </w:rPr>
            </w:pPr>
            <w:r>
              <w:rPr>
                <w:rFonts w:ascii="Arial" w:cs="Arial" w:eastAsia="Arial" w:hAnsi="Arial"/>
                <w:sz w:val="18"/>
                <w:szCs w:val="18"/>
                <w:color w:val="auto"/>
              </w:rPr>
              <w:t>BENEFICIALLY</w:t>
            </w:r>
          </w:p>
        </w:tc>
        <w:tc>
          <w:tcPr>
            <w:tcW w:w="1100" w:type="dxa"/>
            <w:vAlign w:val="bottom"/>
          </w:tcPr>
          <w:p>
            <w:pPr>
              <w:spacing w:after="0"/>
              <w:rPr>
                <w:sz w:val="20"/>
                <w:szCs w:val="20"/>
                <w:color w:val="auto"/>
              </w:rPr>
            </w:pPr>
          </w:p>
        </w:tc>
        <w:tc>
          <w:tcPr>
            <w:tcW w:w="8440" w:type="dxa"/>
            <w:vAlign w:val="bottom"/>
          </w:tcPr>
          <w:p>
            <w:pPr>
              <w:ind w:left="300"/>
              <w:spacing w:after="0" w:line="230" w:lineRule="exact"/>
              <w:rPr>
                <w:sz w:val="20"/>
                <w:szCs w:val="20"/>
                <w:color w:val="auto"/>
              </w:rPr>
            </w:pPr>
            <w:r>
              <w:rPr>
                <w:rFonts w:ascii="Arial" w:cs="Arial" w:eastAsia="Arial" w:hAnsi="Arial"/>
                <w:sz w:val="16"/>
                <w:szCs w:val="16"/>
                <w:color w:val="auto"/>
              </w:rPr>
              <w:t>882,224</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08"/>
        </w:trPr>
        <w:tc>
          <w:tcPr>
            <w:tcW w:w="1500" w:type="dxa"/>
            <w:vAlign w:val="bottom"/>
            <w:vMerge w:val="restart"/>
          </w:tcPr>
          <w:p>
            <w:pPr>
              <w:jc w:val="center"/>
              <w:ind w:right="130"/>
              <w:spacing w:after="0" w:line="201" w:lineRule="exact"/>
              <w:rPr>
                <w:sz w:val="20"/>
                <w:szCs w:val="20"/>
                <w:color w:val="auto"/>
              </w:rPr>
            </w:pPr>
            <w:r>
              <w:rPr>
                <w:rFonts w:ascii="Arial" w:cs="Arial" w:eastAsia="Arial" w:hAnsi="Arial"/>
                <w:sz w:val="18"/>
                <w:szCs w:val="18"/>
                <w:color w:val="auto"/>
                <w:w w:val="98"/>
              </w:rPr>
              <w:t>OWNED</w:t>
            </w:r>
          </w:p>
        </w:tc>
        <w:tc>
          <w:tcPr>
            <w:tcW w:w="1100" w:type="dxa"/>
            <w:vAlign w:val="bottom"/>
            <w:tcBorders>
              <w:bottom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500" w:type="dxa"/>
            <w:vAlign w:val="bottom"/>
            <w:vMerge w:val="continue"/>
          </w:tcPr>
          <w:p>
            <w:pPr>
              <w:spacing w:after="0"/>
              <w:rPr>
                <w:sz w:val="6"/>
                <w:szCs w:val="6"/>
                <w:color w:val="auto"/>
              </w:rPr>
            </w:pPr>
          </w:p>
        </w:tc>
        <w:tc>
          <w:tcPr>
            <w:tcW w:w="11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79"/>
              </w:rPr>
              <w:t>9</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5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8"/>
              </w:rPr>
              <w:t>BY EACH</w:t>
            </w:r>
          </w:p>
        </w:tc>
        <w:tc>
          <w:tcPr>
            <w:tcW w:w="1100" w:type="dxa"/>
            <w:vAlign w:val="bottom"/>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3"/>
              </w:rPr>
              <w:t>REPORTING</w:t>
            </w:r>
          </w:p>
        </w:tc>
        <w:tc>
          <w:tcPr>
            <w:tcW w:w="1100" w:type="dxa"/>
            <w:vAlign w:val="bottom"/>
          </w:tcPr>
          <w:p>
            <w:pPr>
              <w:spacing w:after="0"/>
              <w:rPr>
                <w:sz w:val="22"/>
                <w:szCs w:val="22"/>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50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00" w:type="dxa"/>
            <w:vAlign w:val="bottom"/>
            <w:vMerge w:val="continue"/>
          </w:tcPr>
          <w:p>
            <w:pPr>
              <w:spacing w:after="0"/>
              <w:rPr>
                <w:sz w:val="15"/>
                <w:szCs w:val="15"/>
                <w:color w:val="auto"/>
              </w:rPr>
            </w:pPr>
          </w:p>
        </w:tc>
        <w:tc>
          <w:tcPr>
            <w:tcW w:w="11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0"/>
        </w:trPr>
        <w:tc>
          <w:tcPr>
            <w:tcW w:w="15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882,224</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780" w:hanging="1121"/>
        <w:spacing w:after="0"/>
        <w:tabs>
          <w:tab w:leader="none" w:pos="17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882,224</w:t>
      </w:r>
      <w:r>
        <w:rPr>
          <w:rFonts w:ascii="Arial" w:cs="Arial" w:eastAsia="Arial" w:hAnsi="Arial"/>
          <w:sz w:val="29"/>
          <w:szCs w:val="29"/>
          <w:color w:val="auto"/>
          <w:vertAlign w:val="superscript"/>
        </w:rPr>
        <w:t>1</w:t>
      </w:r>
    </w:p>
    <w:p>
      <w:pPr>
        <w:spacing w:after="0" w:line="45" w:lineRule="exact"/>
        <w:rPr>
          <w:rFonts w:ascii="Arial" w:cs="Arial" w:eastAsia="Arial" w:hAnsi="Arial"/>
          <w:sz w:val="18"/>
          <w:szCs w:val="18"/>
          <w:b w:val="1"/>
          <w:bCs w:val="1"/>
          <w:color w:val="auto"/>
        </w:rPr>
      </w:pPr>
    </w:p>
    <w:p>
      <w:pPr>
        <w:ind w:left="1780" w:hanging="1126"/>
        <w:spacing w:after="0"/>
        <w:tabs>
          <w:tab w:leader="none" w:pos="17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b w:val="1"/>
          <w:bCs w:val="1"/>
          <w:color w:val="auto"/>
        </w:rPr>
      </w:pPr>
    </w:p>
    <w:p>
      <w:pPr>
        <w:ind w:left="1780" w:right="4280" w:hanging="1126"/>
        <w:spacing w:after="0" w:line="270" w:lineRule="auto"/>
        <w:tabs>
          <w:tab w:leader="none" w:pos="17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 3.9%</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b w:val="1"/>
          <w:bCs w:val="1"/>
          <w:color w:val="auto"/>
        </w:rPr>
      </w:pPr>
    </w:p>
    <w:p>
      <w:pPr>
        <w:ind w:left="1780" w:right="5080" w:hanging="1126"/>
        <w:spacing w:after="0" w:line="259" w:lineRule="auto"/>
        <w:tabs>
          <w:tab w:leader="none" w:pos="17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-704215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-1055370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both"/>
        <w:ind w:left="100" w:hanging="93"/>
        <w:spacing w:after="0" w:line="255" w:lineRule="auto"/>
        <w:rPr>
          <w:sz w:val="20"/>
          <w:szCs w:val="20"/>
          <w:color w:val="auto"/>
        </w:rPr>
      </w:pPr>
      <w:r>
        <w:rPr>
          <w:rFonts w:ascii="Arial" w:cs="Arial" w:eastAsia="Arial" w:hAnsi="Arial"/>
          <w:sz w:val="18"/>
          <w:szCs w:val="18"/>
          <w:color w:val="auto"/>
        </w:rPr>
        <w:t>1As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882,224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p>
      <w:pPr>
        <w:spacing w:after="0" w:line="192" w:lineRule="exact"/>
        <w:rPr>
          <w:sz w:val="20"/>
          <w:szCs w:val="20"/>
          <w:color w:val="auto"/>
        </w:rPr>
      </w:pPr>
    </w:p>
    <w:p>
      <w:pPr>
        <w:jc w:val="both"/>
        <w:ind w:left="100" w:hanging="93"/>
        <w:spacing w:after="0" w:line="263" w:lineRule="auto"/>
        <w:rPr>
          <w:sz w:val="20"/>
          <w:szCs w:val="20"/>
          <w:color w:val="auto"/>
        </w:rPr>
      </w:pPr>
      <w:r>
        <w:rPr>
          <w:rFonts w:ascii="Arial" w:cs="Arial" w:eastAsia="Arial" w:hAnsi="Arial"/>
          <w:sz w:val="18"/>
          <w:szCs w:val="18"/>
          <w:color w:val="auto"/>
        </w:rPr>
        <w:t>2This percentage is calculated based upon 22,877,552 shares of Common Stock outstanding as of August 8, 2023, as reported in the Issuer’s Quarterly Report pursuant to Section 13 or 15(d) of the Securities Exchange Act of 1934 for the quarterly period ended June 30, 2023 on Form 10-Q, filed with the Securities and Exchange Commission on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tabs>
          <w:tab w:leader="none" w:pos="1024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5"/>
          <w:szCs w:val="15"/>
          <w:color w:val="auto"/>
        </w:rPr>
        <w:t>Page 11 of 16</w:t>
      </w:r>
    </w:p>
    <w:p>
      <w:pPr>
        <w:spacing w:after="0" w:line="279" w:lineRule="exact"/>
        <w:rPr>
          <w:sz w:val="20"/>
          <w:szCs w:val="20"/>
          <w:color w:val="auto"/>
        </w:rPr>
      </w:pPr>
    </w:p>
    <w:p>
      <w:pPr>
        <w:ind w:left="1780" w:hanging="1081"/>
        <w:spacing w:after="0"/>
        <w:tabs>
          <w:tab w:leader="none" w:pos="178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ATLAS VENTURE OPPORTUNITY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78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1780" w:right="5960" w:hanging="1081"/>
        <w:spacing w:after="0" w:line="277" w:lineRule="auto"/>
        <w:tabs>
          <w:tab w:leader="none" w:pos="178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0"/>
          <w:szCs w:val="20"/>
          <w:color w:val="auto"/>
        </w:rPr>
      </w:pPr>
    </w:p>
    <w:p>
      <w:pPr>
        <w:ind w:left="1780" w:hanging="1081"/>
        <w:spacing w:after="0"/>
        <w:tabs>
          <w:tab w:leader="none" w:pos="178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780" w:right="5740" w:hanging="1081"/>
        <w:spacing w:after="0" w:line="277" w:lineRule="auto"/>
        <w:tabs>
          <w:tab w:leader="none" w:pos="178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1480" w:type="dxa"/>
            <w:vAlign w:val="bottom"/>
          </w:tcPr>
          <w:p>
            <w:pPr>
              <w:spacing w:after="0"/>
              <w:rPr>
                <w:sz w:val="19"/>
                <w:szCs w:val="19"/>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7</w:t>
            </w:r>
          </w:p>
        </w:tc>
        <w:tc>
          <w:tcPr>
            <w:tcW w:w="844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80" w:type="dxa"/>
            <w:vAlign w:val="bottom"/>
            <w:vMerge w:val="restart"/>
          </w:tcPr>
          <w:p>
            <w:pPr>
              <w:jc w:val="center"/>
              <w:ind w:right="150"/>
              <w:spacing w:after="0"/>
              <w:rPr>
                <w:sz w:val="20"/>
                <w:szCs w:val="20"/>
                <w:color w:val="auto"/>
              </w:rPr>
            </w:pPr>
            <w:r>
              <w:rPr>
                <w:rFonts w:ascii="Arial" w:cs="Arial" w:eastAsia="Arial" w:hAnsi="Arial"/>
                <w:sz w:val="18"/>
                <w:szCs w:val="18"/>
                <w:color w:val="auto"/>
                <w:w w:val="97"/>
              </w:rPr>
              <w:t>NUMBER</w:t>
            </w:r>
          </w:p>
        </w:tc>
        <w:tc>
          <w:tcPr>
            <w:tcW w:w="110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480" w:type="dxa"/>
            <w:vAlign w:val="bottom"/>
            <w:vMerge w:val="continue"/>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80" w:type="dxa"/>
            <w:vAlign w:val="bottom"/>
          </w:tcPr>
          <w:p>
            <w:pPr>
              <w:jc w:val="center"/>
              <w:ind w:right="150"/>
              <w:spacing w:after="0"/>
              <w:rPr>
                <w:sz w:val="20"/>
                <w:szCs w:val="20"/>
                <w:color w:val="auto"/>
              </w:rPr>
            </w:pPr>
            <w:r>
              <w:rPr>
                <w:rFonts w:ascii="Arial" w:cs="Arial" w:eastAsia="Arial" w:hAnsi="Arial"/>
                <w:sz w:val="18"/>
                <w:szCs w:val="18"/>
                <w:color w:val="auto"/>
                <w:w w:val="92"/>
              </w:rPr>
              <w:t>OF SHARES</w:t>
            </w: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8</w:t>
            </w:r>
          </w:p>
        </w:tc>
        <w:tc>
          <w:tcPr>
            <w:tcW w:w="844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1100" w:type="dxa"/>
            <w:vAlign w:val="bottom"/>
          </w:tcPr>
          <w:p>
            <w:pPr>
              <w:spacing w:after="0"/>
              <w:rPr>
                <w:sz w:val="20"/>
                <w:szCs w:val="20"/>
                <w:color w:val="auto"/>
              </w:rPr>
            </w:pPr>
          </w:p>
        </w:tc>
        <w:tc>
          <w:tcPr>
            <w:tcW w:w="8440" w:type="dxa"/>
            <w:vAlign w:val="bottom"/>
          </w:tcPr>
          <w:p>
            <w:pPr>
              <w:ind w:left="300"/>
              <w:spacing w:after="0" w:line="230" w:lineRule="exact"/>
              <w:rPr>
                <w:sz w:val="20"/>
                <w:szCs w:val="20"/>
                <w:color w:val="auto"/>
              </w:rPr>
            </w:pPr>
            <w:r>
              <w:rPr>
                <w:rFonts w:ascii="Arial" w:cs="Arial" w:eastAsia="Arial" w:hAnsi="Arial"/>
                <w:sz w:val="16"/>
                <w:szCs w:val="16"/>
                <w:color w:val="auto"/>
              </w:rPr>
              <w:t>218,326</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150"/>
              <w:spacing w:after="0" w:line="201" w:lineRule="exact"/>
              <w:rPr>
                <w:sz w:val="20"/>
                <w:szCs w:val="20"/>
                <w:color w:val="auto"/>
              </w:rPr>
            </w:pPr>
            <w:r>
              <w:rPr>
                <w:rFonts w:ascii="Arial" w:cs="Arial" w:eastAsia="Arial" w:hAnsi="Arial"/>
                <w:sz w:val="18"/>
                <w:szCs w:val="18"/>
                <w:color w:val="auto"/>
                <w:w w:val="98"/>
              </w:rPr>
              <w:t>OWNED</w:t>
            </w:r>
          </w:p>
        </w:tc>
        <w:tc>
          <w:tcPr>
            <w:tcW w:w="1100" w:type="dxa"/>
            <w:vAlign w:val="bottom"/>
            <w:tcBorders>
              <w:bottom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480" w:type="dxa"/>
            <w:vAlign w:val="bottom"/>
            <w:vMerge w:val="continue"/>
          </w:tcPr>
          <w:p>
            <w:pPr>
              <w:spacing w:after="0"/>
              <w:rPr>
                <w:sz w:val="6"/>
                <w:szCs w:val="6"/>
                <w:color w:val="auto"/>
              </w:rPr>
            </w:pPr>
          </w:p>
        </w:tc>
        <w:tc>
          <w:tcPr>
            <w:tcW w:w="11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79"/>
              </w:rPr>
              <w:t>9</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48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8"/>
              </w:rPr>
              <w:t>BY EACH</w:t>
            </w:r>
          </w:p>
        </w:tc>
        <w:tc>
          <w:tcPr>
            <w:tcW w:w="1100" w:type="dxa"/>
            <w:vAlign w:val="bottom"/>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480" w:type="dxa"/>
            <w:vAlign w:val="bottom"/>
          </w:tcPr>
          <w:p>
            <w:pPr>
              <w:jc w:val="center"/>
              <w:ind w:right="150"/>
              <w:spacing w:after="0"/>
              <w:rPr>
                <w:sz w:val="20"/>
                <w:szCs w:val="20"/>
                <w:color w:val="auto"/>
              </w:rPr>
            </w:pPr>
            <w:r>
              <w:rPr>
                <w:rFonts w:ascii="Arial" w:cs="Arial" w:eastAsia="Arial" w:hAnsi="Arial"/>
                <w:sz w:val="18"/>
                <w:szCs w:val="18"/>
                <w:color w:val="auto"/>
                <w:w w:val="93"/>
              </w:rPr>
              <w:t>REPORTING</w:t>
            </w:r>
          </w:p>
        </w:tc>
        <w:tc>
          <w:tcPr>
            <w:tcW w:w="1100" w:type="dxa"/>
            <w:vAlign w:val="bottom"/>
          </w:tcPr>
          <w:p>
            <w:pPr>
              <w:spacing w:after="0"/>
              <w:rPr>
                <w:sz w:val="22"/>
                <w:szCs w:val="22"/>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11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0"/>
        </w:trPr>
        <w:tc>
          <w:tcPr>
            <w:tcW w:w="14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218,326</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780" w:hanging="1121"/>
        <w:spacing w:after="0"/>
        <w:tabs>
          <w:tab w:leader="none" w:pos="17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218,326</w:t>
      </w:r>
      <w:r>
        <w:rPr>
          <w:rFonts w:ascii="Arial" w:cs="Arial" w:eastAsia="Arial" w:hAnsi="Arial"/>
          <w:sz w:val="29"/>
          <w:szCs w:val="29"/>
          <w:color w:val="auto"/>
          <w:vertAlign w:val="superscript"/>
        </w:rPr>
        <w:t>1</w:t>
      </w:r>
    </w:p>
    <w:p>
      <w:pPr>
        <w:spacing w:after="0" w:line="45" w:lineRule="exact"/>
        <w:rPr>
          <w:rFonts w:ascii="Arial" w:cs="Arial" w:eastAsia="Arial" w:hAnsi="Arial"/>
          <w:sz w:val="18"/>
          <w:szCs w:val="18"/>
          <w:b w:val="1"/>
          <w:bCs w:val="1"/>
          <w:color w:val="auto"/>
        </w:rPr>
      </w:pPr>
    </w:p>
    <w:p>
      <w:pPr>
        <w:ind w:left="1780" w:hanging="1126"/>
        <w:spacing w:after="0"/>
        <w:tabs>
          <w:tab w:leader="none" w:pos="17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b w:val="1"/>
          <w:bCs w:val="1"/>
          <w:color w:val="auto"/>
        </w:rPr>
      </w:pPr>
    </w:p>
    <w:p>
      <w:pPr>
        <w:ind w:left="1780" w:right="4280" w:hanging="1126"/>
        <w:spacing w:after="0" w:line="270" w:lineRule="auto"/>
        <w:tabs>
          <w:tab w:leader="none" w:pos="17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 1.0%</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b w:val="1"/>
          <w:bCs w:val="1"/>
          <w:color w:val="auto"/>
        </w:rPr>
      </w:pPr>
    </w:p>
    <w:p>
      <w:pPr>
        <w:ind w:left="1780" w:right="5080" w:hanging="1126"/>
        <w:spacing w:after="0" w:line="259" w:lineRule="auto"/>
        <w:tabs>
          <w:tab w:leader="none" w:pos="17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-704215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-1055370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right"/>
        <w:spacing w:after="0" w:line="291" w:lineRule="auto"/>
        <w:rPr>
          <w:sz w:val="20"/>
          <w:szCs w:val="20"/>
          <w:color w:val="auto"/>
        </w:rPr>
      </w:pPr>
      <w:r>
        <w:rPr>
          <w:rFonts w:ascii="Arial" w:cs="Arial" w:eastAsia="Arial" w:hAnsi="Arial"/>
          <w:sz w:val="16"/>
          <w:szCs w:val="16"/>
          <w:color w:val="auto"/>
        </w:rPr>
        <w:t>1As described in Item 5 below, Atlas Venture Opportunity Fund II, L.P., a Delaware limited partnership (“AVOF II”), Atlas Venture Associates Opportunity II, L.P., a Delaware limited partnership (“AVAO II LP”) and Atlas Venture Associates Opportunity II, LLC, a Delaware limited liability company (“AVAO</w:t>
      </w:r>
    </w:p>
    <w:p>
      <w:pPr>
        <w:jc w:val="both"/>
        <w:ind w:left="100" w:firstLine="2"/>
        <w:spacing w:after="0" w:line="253" w:lineRule="auto"/>
        <w:tabs>
          <w:tab w:leader="none" w:pos="287" w:val="left"/>
        </w:tabs>
        <w:numPr>
          <w:ilvl w:val="0"/>
          <w:numId w:val="72"/>
        </w:numPr>
        <w:rPr>
          <w:rFonts w:ascii="Arial" w:cs="Arial" w:eastAsia="Arial" w:hAnsi="Arial"/>
          <w:sz w:val="18"/>
          <w:szCs w:val="18"/>
          <w:color w:val="auto"/>
        </w:rPr>
      </w:pPr>
      <w:r>
        <w:rPr>
          <w:rFonts w:ascii="Arial" w:cs="Arial" w:eastAsia="Arial" w:hAnsi="Arial"/>
          <w:sz w:val="18"/>
          <w:szCs w:val="18"/>
          <w:color w:val="auto"/>
        </w:rPr>
        <w:t>LLC” and together with AVOF II and AVAO II LP, the “Opportunity Fund II Reporting Persons”) beneficially own 218,326 shares of the Issuer’s Common Stock. All of these shares are held by AVOF II. AVAO II LP is the general partner of AVOF II and AVAO II LLC is the general partner of AVAO II LP. Each of AVAO II LP and AVAO II LLC has voting and dispositive power over the shares held by AVOF II. As such, each of the Opportunity Fund II Reporting Persons share voting and dispositive power with respect to the shares held by AVOF II.</w:t>
      </w:r>
    </w:p>
    <w:p>
      <w:pPr>
        <w:spacing w:after="0" w:line="193" w:lineRule="exact"/>
        <w:rPr>
          <w:sz w:val="20"/>
          <w:szCs w:val="20"/>
          <w:color w:val="auto"/>
        </w:rPr>
      </w:pPr>
    </w:p>
    <w:p>
      <w:pPr>
        <w:jc w:val="both"/>
        <w:ind w:left="100" w:hanging="93"/>
        <w:spacing w:after="0" w:line="263" w:lineRule="auto"/>
        <w:rPr>
          <w:sz w:val="20"/>
          <w:szCs w:val="20"/>
          <w:color w:val="auto"/>
        </w:rPr>
      </w:pPr>
      <w:r>
        <w:rPr>
          <w:rFonts w:ascii="Arial" w:cs="Arial" w:eastAsia="Arial" w:hAnsi="Arial"/>
          <w:sz w:val="18"/>
          <w:szCs w:val="18"/>
          <w:color w:val="auto"/>
        </w:rPr>
        <w:t>2This percentage is calculated based upon 22,877,552 shares of Common Stock outstanding as of August 8, 2023, as reported in the Issuer’s Quarterly Report pursuant to Section 13 or 15(d) of the Securities Exchange Act of 1934 for the quarterly period ended June 30, 2023 on Form 10-Q, filed with the Securities and Exchange Commission on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tabs>
          <w:tab w:leader="none" w:pos="1022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6"/>
          <w:szCs w:val="16"/>
          <w:color w:val="auto"/>
        </w:rPr>
        <w:t>Page 12 of 16</w:t>
      </w:r>
    </w:p>
    <w:p>
      <w:pPr>
        <w:spacing w:after="0" w:line="279" w:lineRule="exact"/>
        <w:rPr>
          <w:sz w:val="20"/>
          <w:szCs w:val="20"/>
          <w:color w:val="auto"/>
        </w:rPr>
      </w:pPr>
    </w:p>
    <w:p>
      <w:pPr>
        <w:ind w:left="1780" w:hanging="1081"/>
        <w:spacing w:after="0"/>
        <w:tabs>
          <w:tab w:leader="none" w:pos="178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ATLAS VENTURE ASSOCIATES OPPORTUNITY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78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1780" w:right="5960" w:hanging="1081"/>
        <w:spacing w:after="0" w:line="277" w:lineRule="auto"/>
        <w:tabs>
          <w:tab w:leader="none" w:pos="178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0"/>
          <w:szCs w:val="20"/>
          <w:color w:val="auto"/>
        </w:rPr>
      </w:pPr>
    </w:p>
    <w:p>
      <w:pPr>
        <w:ind w:left="1780" w:hanging="1081"/>
        <w:spacing w:after="0"/>
        <w:tabs>
          <w:tab w:leader="none" w:pos="178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780" w:right="5740" w:hanging="1081"/>
        <w:spacing w:after="0" w:line="277" w:lineRule="auto"/>
        <w:tabs>
          <w:tab w:leader="none" w:pos="178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1500" w:type="dxa"/>
            <w:vAlign w:val="bottom"/>
          </w:tcPr>
          <w:p>
            <w:pPr>
              <w:spacing w:after="0"/>
              <w:rPr>
                <w:sz w:val="19"/>
                <w:szCs w:val="19"/>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7</w:t>
            </w:r>
          </w:p>
        </w:tc>
        <w:tc>
          <w:tcPr>
            <w:tcW w:w="844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00" w:type="dxa"/>
            <w:vAlign w:val="bottom"/>
            <w:vMerge w:val="restart"/>
          </w:tcPr>
          <w:p>
            <w:pPr>
              <w:jc w:val="center"/>
              <w:ind w:right="130"/>
              <w:spacing w:after="0"/>
              <w:rPr>
                <w:sz w:val="20"/>
                <w:szCs w:val="20"/>
                <w:color w:val="auto"/>
              </w:rPr>
            </w:pPr>
            <w:r>
              <w:rPr>
                <w:rFonts w:ascii="Arial" w:cs="Arial" w:eastAsia="Arial" w:hAnsi="Arial"/>
                <w:sz w:val="18"/>
                <w:szCs w:val="18"/>
                <w:color w:val="auto"/>
                <w:w w:val="97"/>
              </w:rPr>
              <w:t>NUMBER</w:t>
            </w:r>
          </w:p>
        </w:tc>
        <w:tc>
          <w:tcPr>
            <w:tcW w:w="110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00" w:type="dxa"/>
            <w:vAlign w:val="bottom"/>
            <w:vMerge w:val="continue"/>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2"/>
              </w:rPr>
              <w:t>OF SHARES</w:t>
            </w: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8</w:t>
            </w:r>
          </w:p>
        </w:tc>
        <w:tc>
          <w:tcPr>
            <w:tcW w:w="844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500" w:type="dxa"/>
            <w:vAlign w:val="bottom"/>
          </w:tcPr>
          <w:p>
            <w:pPr>
              <w:jc w:val="center"/>
              <w:ind w:right="130"/>
              <w:spacing w:after="0"/>
              <w:rPr>
                <w:sz w:val="20"/>
                <w:szCs w:val="20"/>
                <w:color w:val="auto"/>
              </w:rPr>
            </w:pPr>
            <w:r>
              <w:rPr>
                <w:rFonts w:ascii="Arial" w:cs="Arial" w:eastAsia="Arial" w:hAnsi="Arial"/>
                <w:sz w:val="18"/>
                <w:szCs w:val="18"/>
                <w:color w:val="auto"/>
              </w:rPr>
              <w:t>BENEFICIALLY</w:t>
            </w:r>
          </w:p>
        </w:tc>
        <w:tc>
          <w:tcPr>
            <w:tcW w:w="1100" w:type="dxa"/>
            <w:vAlign w:val="bottom"/>
          </w:tcPr>
          <w:p>
            <w:pPr>
              <w:spacing w:after="0"/>
              <w:rPr>
                <w:sz w:val="20"/>
                <w:szCs w:val="20"/>
                <w:color w:val="auto"/>
              </w:rPr>
            </w:pPr>
          </w:p>
        </w:tc>
        <w:tc>
          <w:tcPr>
            <w:tcW w:w="8440" w:type="dxa"/>
            <w:vAlign w:val="bottom"/>
          </w:tcPr>
          <w:p>
            <w:pPr>
              <w:ind w:left="300"/>
              <w:spacing w:after="0" w:line="230" w:lineRule="exact"/>
              <w:rPr>
                <w:sz w:val="20"/>
                <w:szCs w:val="20"/>
                <w:color w:val="auto"/>
              </w:rPr>
            </w:pPr>
            <w:r>
              <w:rPr>
                <w:rFonts w:ascii="Arial" w:cs="Arial" w:eastAsia="Arial" w:hAnsi="Arial"/>
                <w:sz w:val="16"/>
                <w:szCs w:val="16"/>
                <w:color w:val="auto"/>
              </w:rPr>
              <w:t>218,326</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08"/>
        </w:trPr>
        <w:tc>
          <w:tcPr>
            <w:tcW w:w="1500" w:type="dxa"/>
            <w:vAlign w:val="bottom"/>
            <w:vMerge w:val="restart"/>
          </w:tcPr>
          <w:p>
            <w:pPr>
              <w:jc w:val="center"/>
              <w:ind w:right="130"/>
              <w:spacing w:after="0" w:line="201" w:lineRule="exact"/>
              <w:rPr>
                <w:sz w:val="20"/>
                <w:szCs w:val="20"/>
                <w:color w:val="auto"/>
              </w:rPr>
            </w:pPr>
            <w:r>
              <w:rPr>
                <w:rFonts w:ascii="Arial" w:cs="Arial" w:eastAsia="Arial" w:hAnsi="Arial"/>
                <w:sz w:val="18"/>
                <w:szCs w:val="18"/>
                <w:color w:val="auto"/>
                <w:w w:val="98"/>
              </w:rPr>
              <w:t>OWNED</w:t>
            </w:r>
          </w:p>
        </w:tc>
        <w:tc>
          <w:tcPr>
            <w:tcW w:w="1100" w:type="dxa"/>
            <w:vAlign w:val="bottom"/>
            <w:tcBorders>
              <w:bottom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500" w:type="dxa"/>
            <w:vAlign w:val="bottom"/>
            <w:vMerge w:val="continue"/>
          </w:tcPr>
          <w:p>
            <w:pPr>
              <w:spacing w:after="0"/>
              <w:rPr>
                <w:sz w:val="6"/>
                <w:szCs w:val="6"/>
                <w:color w:val="auto"/>
              </w:rPr>
            </w:pPr>
          </w:p>
        </w:tc>
        <w:tc>
          <w:tcPr>
            <w:tcW w:w="11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79"/>
              </w:rPr>
              <w:t>9</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5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8"/>
              </w:rPr>
              <w:t>BY EACH</w:t>
            </w:r>
          </w:p>
        </w:tc>
        <w:tc>
          <w:tcPr>
            <w:tcW w:w="1100" w:type="dxa"/>
            <w:vAlign w:val="bottom"/>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3"/>
              </w:rPr>
              <w:t>REPORTING</w:t>
            </w:r>
          </w:p>
        </w:tc>
        <w:tc>
          <w:tcPr>
            <w:tcW w:w="1100" w:type="dxa"/>
            <w:vAlign w:val="bottom"/>
          </w:tcPr>
          <w:p>
            <w:pPr>
              <w:spacing w:after="0"/>
              <w:rPr>
                <w:sz w:val="22"/>
                <w:szCs w:val="22"/>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50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00" w:type="dxa"/>
            <w:vAlign w:val="bottom"/>
            <w:vMerge w:val="continue"/>
          </w:tcPr>
          <w:p>
            <w:pPr>
              <w:spacing w:after="0"/>
              <w:rPr>
                <w:sz w:val="15"/>
                <w:szCs w:val="15"/>
                <w:color w:val="auto"/>
              </w:rPr>
            </w:pPr>
          </w:p>
        </w:tc>
        <w:tc>
          <w:tcPr>
            <w:tcW w:w="11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0"/>
        </w:trPr>
        <w:tc>
          <w:tcPr>
            <w:tcW w:w="15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218,326</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780" w:hanging="1121"/>
        <w:spacing w:after="0"/>
        <w:tabs>
          <w:tab w:leader="none" w:pos="178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218,326</w:t>
      </w:r>
      <w:r>
        <w:rPr>
          <w:rFonts w:ascii="Arial" w:cs="Arial" w:eastAsia="Arial" w:hAnsi="Arial"/>
          <w:sz w:val="29"/>
          <w:szCs w:val="29"/>
          <w:color w:val="auto"/>
          <w:vertAlign w:val="superscript"/>
        </w:rPr>
        <w:t>1</w:t>
      </w:r>
    </w:p>
    <w:p>
      <w:pPr>
        <w:spacing w:after="0" w:line="45" w:lineRule="exact"/>
        <w:rPr>
          <w:rFonts w:ascii="Arial" w:cs="Arial" w:eastAsia="Arial" w:hAnsi="Arial"/>
          <w:sz w:val="18"/>
          <w:szCs w:val="18"/>
          <w:b w:val="1"/>
          <w:bCs w:val="1"/>
          <w:color w:val="auto"/>
        </w:rPr>
      </w:pPr>
    </w:p>
    <w:p>
      <w:pPr>
        <w:ind w:left="1780" w:hanging="1126"/>
        <w:spacing w:after="0"/>
        <w:tabs>
          <w:tab w:leader="none" w:pos="178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b w:val="1"/>
          <w:bCs w:val="1"/>
          <w:color w:val="auto"/>
        </w:rPr>
      </w:pPr>
    </w:p>
    <w:p>
      <w:pPr>
        <w:ind w:left="1780" w:right="4280" w:hanging="1126"/>
        <w:spacing w:after="0" w:line="270" w:lineRule="auto"/>
        <w:tabs>
          <w:tab w:leader="none" w:pos="178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 1.0%</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b w:val="1"/>
          <w:bCs w:val="1"/>
          <w:color w:val="auto"/>
        </w:rPr>
      </w:pPr>
    </w:p>
    <w:p>
      <w:pPr>
        <w:ind w:left="1780" w:right="5080" w:hanging="1126"/>
        <w:spacing w:after="0" w:line="259" w:lineRule="auto"/>
        <w:tabs>
          <w:tab w:leader="none" w:pos="178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-704215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-1055370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jc w:val="right"/>
        <w:spacing w:after="0" w:line="291" w:lineRule="auto"/>
        <w:rPr>
          <w:sz w:val="20"/>
          <w:szCs w:val="20"/>
          <w:color w:val="auto"/>
        </w:rPr>
      </w:pPr>
      <w:r>
        <w:rPr>
          <w:rFonts w:ascii="Arial" w:cs="Arial" w:eastAsia="Arial" w:hAnsi="Arial"/>
          <w:sz w:val="16"/>
          <w:szCs w:val="16"/>
          <w:color w:val="auto"/>
        </w:rPr>
        <w:t>1As described in Item 5 below, Atlas Venture Opportunity Fund II, L.P., a Delaware limited partnership (“AVOF II”), Atlas Venture Associates Opportunity II, L.P., a Delaware limited partnership (“AVAO II LP”) and Atlas Venture Associates Opportunity II, LLC, a Delaware limited liability company (“AVAO</w:t>
      </w:r>
    </w:p>
    <w:p>
      <w:pPr>
        <w:jc w:val="both"/>
        <w:ind w:left="100" w:firstLine="2"/>
        <w:spacing w:after="0" w:line="253" w:lineRule="auto"/>
        <w:tabs>
          <w:tab w:leader="none" w:pos="287" w:val="left"/>
        </w:tabs>
        <w:numPr>
          <w:ilvl w:val="0"/>
          <w:numId w:val="80"/>
        </w:numPr>
        <w:rPr>
          <w:rFonts w:ascii="Arial" w:cs="Arial" w:eastAsia="Arial" w:hAnsi="Arial"/>
          <w:sz w:val="18"/>
          <w:szCs w:val="18"/>
          <w:color w:val="auto"/>
        </w:rPr>
      </w:pPr>
      <w:r>
        <w:rPr>
          <w:rFonts w:ascii="Arial" w:cs="Arial" w:eastAsia="Arial" w:hAnsi="Arial"/>
          <w:sz w:val="18"/>
          <w:szCs w:val="18"/>
          <w:color w:val="auto"/>
        </w:rPr>
        <w:t>LLC” and together with AVOF II and AVAO II LP, the “Opportunity Fund II Reporting Persons”) beneficially own 218,326 shares of the Issuer’s Common Stock. All of these shares are held by AVOF II. AVAO II LP is the general partner of AVOF II and AVAO II LLC is the general partner of AVAO II LP. Each of AVAO II LP and AVAO II LLC has voting and dispositive power over the shares held by AVOF II. As such, each of the Opportunity Fund II Reporting Persons share voting and dispositive power with respect to the shares held by AVOF II.</w:t>
      </w:r>
    </w:p>
    <w:p>
      <w:pPr>
        <w:spacing w:after="0" w:line="193" w:lineRule="exact"/>
        <w:rPr>
          <w:sz w:val="20"/>
          <w:szCs w:val="20"/>
          <w:color w:val="auto"/>
        </w:rPr>
      </w:pPr>
    </w:p>
    <w:p>
      <w:pPr>
        <w:jc w:val="both"/>
        <w:ind w:left="100" w:hanging="93"/>
        <w:spacing w:after="0" w:line="263" w:lineRule="auto"/>
        <w:rPr>
          <w:sz w:val="20"/>
          <w:szCs w:val="20"/>
          <w:color w:val="auto"/>
        </w:rPr>
      </w:pPr>
      <w:r>
        <w:rPr>
          <w:rFonts w:ascii="Arial" w:cs="Arial" w:eastAsia="Arial" w:hAnsi="Arial"/>
          <w:sz w:val="18"/>
          <w:szCs w:val="18"/>
          <w:color w:val="auto"/>
        </w:rPr>
        <w:t>2This percentage is calculated based upon 22,877,552 shares of Common Stock outstanding as of August 8, 2023, as reported in the Issuer’s Quarterly Report pursuant to Section 13 or 15(d) of the Securities Exchange Act of 1934 for the quarterly period ended June 30, 2023 on Form 10-Q, filed with the Securities and Exchange Commission on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tabs>
          <w:tab w:leader="none" w:pos="1022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6"/>
          <w:szCs w:val="16"/>
          <w:color w:val="auto"/>
        </w:rPr>
        <w:t>Page 13 of 16</w:t>
      </w:r>
    </w:p>
    <w:p>
      <w:pPr>
        <w:spacing w:after="0" w:line="279" w:lineRule="exact"/>
        <w:rPr>
          <w:sz w:val="20"/>
          <w:szCs w:val="20"/>
          <w:color w:val="auto"/>
        </w:rPr>
      </w:pPr>
    </w:p>
    <w:p>
      <w:pPr>
        <w:ind w:left="1780" w:hanging="1081"/>
        <w:spacing w:after="0"/>
        <w:tabs>
          <w:tab w:leader="none" w:pos="178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ATLAS VENTURE ASSOCIATES OPPORTUNITY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78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 w:lineRule="exact"/>
        <w:rPr>
          <w:sz w:val="20"/>
          <w:szCs w:val="20"/>
          <w:color w:val="auto"/>
        </w:rPr>
      </w:pPr>
    </w:p>
    <w:p>
      <w:pPr>
        <w:ind w:left="1780" w:hanging="1081"/>
        <w:spacing w:after="0"/>
        <w:tabs>
          <w:tab w:leader="none" w:pos="178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1780" w:right="5960" w:hanging="1081"/>
        <w:spacing w:after="0" w:line="277" w:lineRule="auto"/>
        <w:tabs>
          <w:tab w:leader="none" w:pos="178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p>
      <w:pPr>
        <w:ind w:left="1780" w:hanging="1081"/>
        <w:spacing w:after="0"/>
        <w:tabs>
          <w:tab w:leader="none" w:pos="178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780" w:right="5740" w:hanging="1081"/>
        <w:spacing w:after="0" w:line="277" w:lineRule="auto"/>
        <w:tabs>
          <w:tab w:leader="none" w:pos="178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1500" w:type="dxa"/>
            <w:vAlign w:val="bottom"/>
          </w:tcPr>
          <w:p>
            <w:pPr>
              <w:spacing w:after="0"/>
              <w:rPr>
                <w:sz w:val="19"/>
                <w:szCs w:val="19"/>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7</w:t>
            </w:r>
          </w:p>
        </w:tc>
        <w:tc>
          <w:tcPr>
            <w:tcW w:w="8440" w:type="dxa"/>
            <w:vAlign w:val="bottom"/>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500" w:type="dxa"/>
            <w:vAlign w:val="bottom"/>
            <w:vMerge w:val="restart"/>
          </w:tcPr>
          <w:p>
            <w:pPr>
              <w:jc w:val="center"/>
              <w:ind w:right="130"/>
              <w:spacing w:after="0"/>
              <w:rPr>
                <w:sz w:val="20"/>
                <w:szCs w:val="20"/>
                <w:color w:val="auto"/>
              </w:rPr>
            </w:pPr>
            <w:r>
              <w:rPr>
                <w:rFonts w:ascii="Arial" w:cs="Arial" w:eastAsia="Arial" w:hAnsi="Arial"/>
                <w:sz w:val="18"/>
                <w:szCs w:val="18"/>
                <w:color w:val="auto"/>
                <w:w w:val="97"/>
              </w:rPr>
              <w:t>NUMBER</w:t>
            </w:r>
          </w:p>
        </w:tc>
        <w:tc>
          <w:tcPr>
            <w:tcW w:w="110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00" w:type="dxa"/>
            <w:vAlign w:val="bottom"/>
            <w:vMerge w:val="continue"/>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2"/>
              </w:rPr>
              <w:t>OF SHARES</w:t>
            </w: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79"/>
              </w:rPr>
              <w:t>8</w:t>
            </w:r>
          </w:p>
        </w:tc>
        <w:tc>
          <w:tcPr>
            <w:tcW w:w="8440" w:type="dxa"/>
            <w:vAlign w:val="bottom"/>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500" w:type="dxa"/>
            <w:vAlign w:val="bottom"/>
          </w:tcPr>
          <w:p>
            <w:pPr>
              <w:jc w:val="center"/>
              <w:ind w:right="130"/>
              <w:spacing w:after="0"/>
              <w:rPr>
                <w:sz w:val="20"/>
                <w:szCs w:val="20"/>
                <w:color w:val="auto"/>
              </w:rPr>
            </w:pPr>
            <w:r>
              <w:rPr>
                <w:rFonts w:ascii="Arial" w:cs="Arial" w:eastAsia="Arial" w:hAnsi="Arial"/>
                <w:sz w:val="18"/>
                <w:szCs w:val="18"/>
                <w:color w:val="auto"/>
              </w:rPr>
              <w:t>BENEFICIALLY</w:t>
            </w:r>
          </w:p>
        </w:tc>
        <w:tc>
          <w:tcPr>
            <w:tcW w:w="1100" w:type="dxa"/>
            <w:vAlign w:val="bottom"/>
          </w:tcPr>
          <w:p>
            <w:pPr>
              <w:spacing w:after="0"/>
              <w:rPr>
                <w:sz w:val="20"/>
                <w:szCs w:val="20"/>
                <w:color w:val="auto"/>
              </w:rPr>
            </w:pPr>
          </w:p>
        </w:tc>
        <w:tc>
          <w:tcPr>
            <w:tcW w:w="8440" w:type="dxa"/>
            <w:vAlign w:val="bottom"/>
          </w:tcPr>
          <w:p>
            <w:pPr>
              <w:ind w:left="300"/>
              <w:spacing w:after="0" w:line="230" w:lineRule="exact"/>
              <w:rPr>
                <w:sz w:val="20"/>
                <w:szCs w:val="20"/>
                <w:color w:val="auto"/>
              </w:rPr>
            </w:pPr>
            <w:r>
              <w:rPr>
                <w:rFonts w:ascii="Arial" w:cs="Arial" w:eastAsia="Arial" w:hAnsi="Arial"/>
                <w:sz w:val="16"/>
                <w:szCs w:val="16"/>
                <w:color w:val="auto"/>
              </w:rPr>
              <w:t>218,326</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08"/>
        </w:trPr>
        <w:tc>
          <w:tcPr>
            <w:tcW w:w="1500" w:type="dxa"/>
            <w:vAlign w:val="bottom"/>
            <w:vMerge w:val="restart"/>
          </w:tcPr>
          <w:p>
            <w:pPr>
              <w:jc w:val="center"/>
              <w:ind w:right="130"/>
              <w:spacing w:after="0" w:line="201" w:lineRule="exact"/>
              <w:rPr>
                <w:sz w:val="20"/>
                <w:szCs w:val="20"/>
                <w:color w:val="auto"/>
              </w:rPr>
            </w:pPr>
            <w:r>
              <w:rPr>
                <w:rFonts w:ascii="Arial" w:cs="Arial" w:eastAsia="Arial" w:hAnsi="Arial"/>
                <w:sz w:val="18"/>
                <w:szCs w:val="18"/>
                <w:color w:val="auto"/>
                <w:w w:val="98"/>
              </w:rPr>
              <w:t>OWNED</w:t>
            </w:r>
          </w:p>
        </w:tc>
        <w:tc>
          <w:tcPr>
            <w:tcW w:w="1100" w:type="dxa"/>
            <w:vAlign w:val="bottom"/>
            <w:tcBorders>
              <w:bottom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500" w:type="dxa"/>
            <w:vAlign w:val="bottom"/>
            <w:vMerge w:val="continue"/>
          </w:tcPr>
          <w:p>
            <w:pPr>
              <w:spacing w:after="0"/>
              <w:rPr>
                <w:sz w:val="6"/>
                <w:szCs w:val="6"/>
                <w:color w:val="auto"/>
              </w:rPr>
            </w:pPr>
          </w:p>
        </w:tc>
        <w:tc>
          <w:tcPr>
            <w:tcW w:w="11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79"/>
              </w:rPr>
              <w:t>9</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5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8"/>
              </w:rPr>
              <w:t>BY EACH</w:t>
            </w:r>
          </w:p>
        </w:tc>
        <w:tc>
          <w:tcPr>
            <w:tcW w:w="1100" w:type="dxa"/>
            <w:vAlign w:val="bottom"/>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500" w:type="dxa"/>
            <w:vAlign w:val="bottom"/>
          </w:tcPr>
          <w:p>
            <w:pPr>
              <w:jc w:val="center"/>
              <w:ind w:right="130"/>
              <w:spacing w:after="0"/>
              <w:rPr>
                <w:sz w:val="20"/>
                <w:szCs w:val="20"/>
                <w:color w:val="auto"/>
              </w:rPr>
            </w:pPr>
            <w:r>
              <w:rPr>
                <w:rFonts w:ascii="Arial" w:cs="Arial" w:eastAsia="Arial" w:hAnsi="Arial"/>
                <w:sz w:val="18"/>
                <w:szCs w:val="18"/>
                <w:color w:val="auto"/>
                <w:w w:val="93"/>
              </w:rPr>
              <w:t>REPORTING</w:t>
            </w:r>
          </w:p>
        </w:tc>
        <w:tc>
          <w:tcPr>
            <w:tcW w:w="1100" w:type="dxa"/>
            <w:vAlign w:val="bottom"/>
          </w:tcPr>
          <w:p>
            <w:pPr>
              <w:spacing w:after="0"/>
              <w:rPr>
                <w:sz w:val="22"/>
                <w:szCs w:val="22"/>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50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tcBorders>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00" w:type="dxa"/>
            <w:vAlign w:val="bottom"/>
            <w:vMerge w:val="continue"/>
          </w:tcPr>
          <w:p>
            <w:pPr>
              <w:spacing w:after="0"/>
              <w:rPr>
                <w:sz w:val="15"/>
                <w:szCs w:val="15"/>
                <w:color w:val="auto"/>
              </w:rPr>
            </w:pPr>
          </w:p>
        </w:tc>
        <w:tc>
          <w:tcPr>
            <w:tcW w:w="110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89"/>
              </w:rPr>
              <w:t>10</w:t>
            </w:r>
          </w:p>
        </w:tc>
        <w:tc>
          <w:tcPr>
            <w:tcW w:w="844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0"/>
        </w:trPr>
        <w:tc>
          <w:tcPr>
            <w:tcW w:w="15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218,326</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780" w:hanging="1121"/>
        <w:spacing w:after="0"/>
        <w:tabs>
          <w:tab w:leader="none" w:pos="178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7" w:lineRule="exact"/>
        <w:rPr>
          <w:rFonts w:ascii="Arial" w:cs="Arial" w:eastAsia="Arial" w:hAnsi="Arial"/>
          <w:sz w:val="18"/>
          <w:szCs w:val="18"/>
          <w:b w:val="1"/>
          <w:bCs w:val="1"/>
          <w:color w:val="auto"/>
        </w:rPr>
      </w:pPr>
    </w:p>
    <w:p>
      <w:pPr>
        <w:ind w:left="1780"/>
        <w:spacing w:after="0"/>
        <w:rPr>
          <w:rFonts w:ascii="Arial" w:cs="Arial" w:eastAsia="Arial" w:hAnsi="Arial"/>
          <w:sz w:val="18"/>
          <w:szCs w:val="18"/>
          <w:b w:val="1"/>
          <w:bCs w:val="1"/>
          <w:color w:val="auto"/>
        </w:rPr>
      </w:pPr>
      <w:r>
        <w:rPr>
          <w:rFonts w:ascii="Arial" w:cs="Arial" w:eastAsia="Arial" w:hAnsi="Arial"/>
          <w:sz w:val="18"/>
          <w:szCs w:val="18"/>
          <w:color w:val="auto"/>
        </w:rPr>
        <w:t>218,326</w:t>
      </w:r>
      <w:r>
        <w:rPr>
          <w:rFonts w:ascii="Arial" w:cs="Arial" w:eastAsia="Arial" w:hAnsi="Arial"/>
          <w:sz w:val="29"/>
          <w:szCs w:val="29"/>
          <w:color w:val="auto"/>
          <w:vertAlign w:val="superscript"/>
        </w:rPr>
        <w:t>1</w:t>
      </w:r>
    </w:p>
    <w:p>
      <w:pPr>
        <w:spacing w:after="0" w:line="45" w:lineRule="exact"/>
        <w:rPr>
          <w:rFonts w:ascii="Arial" w:cs="Arial" w:eastAsia="Arial" w:hAnsi="Arial"/>
          <w:sz w:val="18"/>
          <w:szCs w:val="18"/>
          <w:b w:val="1"/>
          <w:bCs w:val="1"/>
          <w:color w:val="auto"/>
        </w:rPr>
      </w:pPr>
    </w:p>
    <w:p>
      <w:pPr>
        <w:ind w:left="1780" w:hanging="1126"/>
        <w:spacing w:after="0"/>
        <w:tabs>
          <w:tab w:leader="none" w:pos="178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2" w:lineRule="exact"/>
        <w:rPr>
          <w:rFonts w:ascii="Arial" w:cs="Arial" w:eastAsia="Arial" w:hAnsi="Arial"/>
          <w:sz w:val="18"/>
          <w:szCs w:val="18"/>
          <w:b w:val="1"/>
          <w:bCs w:val="1"/>
          <w:color w:val="auto"/>
        </w:rPr>
      </w:pPr>
    </w:p>
    <w:p>
      <w:pPr>
        <w:ind w:left="17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48" w:lineRule="exact"/>
        <w:rPr>
          <w:rFonts w:ascii="Arial" w:cs="Arial" w:eastAsia="Arial" w:hAnsi="Arial"/>
          <w:sz w:val="18"/>
          <w:szCs w:val="18"/>
          <w:b w:val="1"/>
          <w:bCs w:val="1"/>
          <w:color w:val="auto"/>
        </w:rPr>
      </w:pPr>
    </w:p>
    <w:p>
      <w:pPr>
        <w:ind w:left="1780" w:right="4280" w:hanging="1126"/>
        <w:spacing w:after="0" w:line="270" w:lineRule="auto"/>
        <w:tabs>
          <w:tab w:leader="none" w:pos="178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 1.0%</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b w:val="1"/>
          <w:bCs w:val="1"/>
          <w:color w:val="auto"/>
        </w:rPr>
      </w:pPr>
    </w:p>
    <w:p>
      <w:pPr>
        <w:ind w:left="1780" w:right="5080" w:hanging="1126"/>
        <w:spacing w:after="0" w:line="259" w:lineRule="auto"/>
        <w:tabs>
          <w:tab w:leader="none" w:pos="178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-704215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-1055370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7" w:lineRule="exact"/>
        <w:rPr>
          <w:sz w:val="20"/>
          <w:szCs w:val="20"/>
          <w:color w:val="auto"/>
        </w:rPr>
      </w:pPr>
    </w:p>
    <w:p>
      <w:pPr>
        <w:jc w:val="right"/>
        <w:spacing w:after="0" w:line="291" w:lineRule="auto"/>
        <w:rPr>
          <w:sz w:val="20"/>
          <w:szCs w:val="20"/>
          <w:color w:val="auto"/>
        </w:rPr>
      </w:pPr>
      <w:r>
        <w:rPr>
          <w:rFonts w:ascii="Arial" w:cs="Arial" w:eastAsia="Arial" w:hAnsi="Arial"/>
          <w:sz w:val="16"/>
          <w:szCs w:val="16"/>
          <w:color w:val="auto"/>
        </w:rPr>
        <w:t>1As described in Item 5 below, Atlas Venture Opportunity Fund II, L.P., a Delaware limited partnership (“AVOF II”), Atlas Venture Associates Opportunity II, L.P., a Delaware limited partnership (“AVAO II LP”) and Atlas Venture Associates Opportunity II, LLC, a Delaware limited liability company (“AVAO</w:t>
      </w:r>
    </w:p>
    <w:p>
      <w:pPr>
        <w:jc w:val="both"/>
        <w:ind w:left="100" w:firstLine="2"/>
        <w:spacing w:after="0" w:line="253" w:lineRule="auto"/>
        <w:tabs>
          <w:tab w:leader="none" w:pos="287" w:val="left"/>
        </w:tabs>
        <w:numPr>
          <w:ilvl w:val="0"/>
          <w:numId w:val="88"/>
        </w:numPr>
        <w:rPr>
          <w:rFonts w:ascii="Arial" w:cs="Arial" w:eastAsia="Arial" w:hAnsi="Arial"/>
          <w:sz w:val="18"/>
          <w:szCs w:val="18"/>
          <w:color w:val="auto"/>
        </w:rPr>
      </w:pPr>
      <w:r>
        <w:rPr>
          <w:rFonts w:ascii="Arial" w:cs="Arial" w:eastAsia="Arial" w:hAnsi="Arial"/>
          <w:sz w:val="18"/>
          <w:szCs w:val="18"/>
          <w:color w:val="auto"/>
        </w:rPr>
        <w:t>LLC” and together with AVOF II and AVAO II LP, the “Opportunity Fund II Reporting Persons”) beneficially own 218,326 shares of the Issuer’s Common Stock. All of these shares are held by AVOF II. AVAO II LP is the general partner of AVOF II and AVAO II LLC is the general partner of AVAO II LP. Each of AVAO II LP and AVAO II LLC has voting and dispositive power over the shares held by AVOF II. As such, each of the Opportunity Fund II Reporting Persons share voting and dispositive power with respect to the shares held by AVOF II.</w:t>
      </w:r>
    </w:p>
    <w:p>
      <w:pPr>
        <w:spacing w:after="0" w:line="193" w:lineRule="exact"/>
        <w:rPr>
          <w:sz w:val="20"/>
          <w:szCs w:val="20"/>
          <w:color w:val="auto"/>
        </w:rPr>
      </w:pPr>
    </w:p>
    <w:p>
      <w:pPr>
        <w:jc w:val="both"/>
        <w:ind w:left="100" w:hanging="93"/>
        <w:spacing w:after="0" w:line="263" w:lineRule="auto"/>
        <w:rPr>
          <w:sz w:val="20"/>
          <w:szCs w:val="20"/>
          <w:color w:val="auto"/>
        </w:rPr>
      </w:pPr>
      <w:r>
        <w:rPr>
          <w:rFonts w:ascii="Arial" w:cs="Arial" w:eastAsia="Arial" w:hAnsi="Arial"/>
          <w:sz w:val="18"/>
          <w:szCs w:val="18"/>
          <w:color w:val="auto"/>
        </w:rPr>
        <w:t>2This percentage is calculated based upon 22,877,552 shares of Common Stock outstanding as of August 8, 2023, as reported in the Issuer’s Quarterly Report pursuant to Section 13 or 15(d) of the Securities Exchange Act of 1934 for the quarterly period ended June 30, 2023 on Form 10-Q, filed with the Securities and Exchange Commission on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spacing w:after="0"/>
        <w:tabs>
          <w:tab w:leader="none" w:pos="1022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6"/>
          <w:szCs w:val="16"/>
          <w:color w:val="auto"/>
        </w:rPr>
        <w:t>Page 14 of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Amendment No. 2 to Schedule 13D (“Amendment No. 2”) is being filed as an amendment to the statement on Schedule 13D relating to common stock, par value $0.0001 per share of Disc Medicine, Inc., a Delaware corporation, as filed with the Securities and Exchange Commission (the “SEC”) on February 16, 2021 (the “Initial Schedule 13D”) and later amended on February 14, 2023 (“Amendment No. 1” and together with the Initial Schedule 13D, the “Prior Schedule 13D”). All capitalized terms not otherwise defined herein shall have the meanings ascribed to the terms in the Prior Schedule 13D. The Prior Schedule 13D is hereby amended and supplemented as follows and, except as expressly amended below, the Prior Schedule 13D remains in full force and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the Prior Schedule 13D is hereby amended and restated as follows;</w:t>
      </w:r>
    </w:p>
    <w:p>
      <w:pPr>
        <w:spacing w:after="0" w:line="225" w:lineRule="exact"/>
        <w:rPr>
          <w:sz w:val="20"/>
          <w:szCs w:val="20"/>
          <w:color w:val="auto"/>
        </w:rPr>
      </w:pPr>
    </w:p>
    <w:p>
      <w:pPr>
        <w:jc w:val="both"/>
        <w:ind w:left="560" w:hanging="559"/>
        <w:spacing w:after="0" w:line="259" w:lineRule="auto"/>
        <w:tabs>
          <w:tab w:leader="none" w:pos="540" w:val="left"/>
        </w:tabs>
        <w:rPr>
          <w:sz w:val="20"/>
          <w:szCs w:val="20"/>
          <w:color w:val="auto"/>
        </w:rPr>
      </w:pPr>
      <w:r>
        <w:rPr>
          <w:rFonts w:ascii="Arial" w:cs="Arial" w:eastAsia="Arial" w:hAnsi="Arial"/>
          <w:sz w:val="18"/>
          <w:szCs w:val="18"/>
          <w:color w:val="auto"/>
        </w:rPr>
        <w:t>(a)(b)</w:t>
        <w:tab/>
        <w:t>As of the date hereof, Atlas X is the record owner of 1,593,785 shares of Common Stock. AVA X LP is the general partner of Atlas X and AVA X LLC is the general partner of AVA X LP. Each of Atlas X, AVA X LP and AVA X LLC has shared voting and dispositive power over the shares held by Atlas X and AVA X LLC has shared voting and dispositive power over the shares held by AVA X LP. As such, each of Atlas X, AVA X LP and AVA X LLC may be deemed to beneficially own the shares held by Atlas X.</w:t>
      </w:r>
    </w:p>
    <w:p>
      <w:pPr>
        <w:spacing w:after="0" w:line="187" w:lineRule="exact"/>
        <w:rPr>
          <w:sz w:val="20"/>
          <w:szCs w:val="20"/>
          <w:color w:val="auto"/>
        </w:rPr>
      </w:pPr>
    </w:p>
    <w:p>
      <w:pPr>
        <w:jc w:val="both"/>
        <w:ind w:left="600"/>
        <w:spacing w:after="0" w:line="259" w:lineRule="auto"/>
        <w:rPr>
          <w:sz w:val="20"/>
          <w:szCs w:val="20"/>
          <w:color w:val="auto"/>
        </w:rPr>
      </w:pPr>
      <w:r>
        <w:rPr>
          <w:rFonts w:ascii="Arial" w:cs="Arial" w:eastAsia="Arial" w:hAnsi="Arial"/>
          <w:sz w:val="18"/>
          <w:szCs w:val="18"/>
          <w:color w:val="auto"/>
        </w:rPr>
        <w:t>As of the date hereof, Atlas XII is the record owner of 51,000 shares of Common Stock. AVA XII LP is the general partner of Atlas XII and AVA XII LLC is the general partner of AVA XII LP. Each of Atlas XII, AVA XII LP and AVA XII LLC has shared voting and dispositive power over the shares held by Atlas XII and AVA XII LLC has shared voting and dispositive power over the shares held by AVA XII LP. As such, each of Atlas XII, AVA XII LP and AVA XII LLC may be deemed to beneficially own the shares held by Atlas XII.</w:t>
      </w:r>
    </w:p>
    <w:p>
      <w:pPr>
        <w:spacing w:after="0" w:line="187" w:lineRule="exact"/>
        <w:rPr>
          <w:sz w:val="20"/>
          <w:szCs w:val="20"/>
          <w:color w:val="auto"/>
        </w:rPr>
      </w:pPr>
    </w:p>
    <w:p>
      <w:pPr>
        <w:jc w:val="both"/>
        <w:ind w:left="600"/>
        <w:spacing w:after="0" w:line="286" w:lineRule="auto"/>
        <w:rPr>
          <w:sz w:val="20"/>
          <w:szCs w:val="20"/>
          <w:color w:val="auto"/>
        </w:rPr>
      </w:pPr>
      <w:r>
        <w:rPr>
          <w:rFonts w:ascii="Arial" w:cs="Arial" w:eastAsia="Arial" w:hAnsi="Arial"/>
          <w:sz w:val="17"/>
          <w:szCs w:val="17"/>
          <w:color w:val="auto"/>
        </w:rPr>
        <w:t>As of the date hereof, AVOF is the record owner of 882,224 shares of Common Stock. AVAO LP is the general partner of AVOF and AVAO LLC is the general partner of AVAO LP. Each of AVOF, AVAO LP and AVAO LLC has shared voting and dispositive power over the shares held by AVOF. As such, each of AVOF, AVAO LP and AVAO LLC may be deemed to beneficially own the shares held by AVOF.</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the date hereof, AVOF II is the record owner of 218,326 shares of Common Stock. AVAO II LP is the general partner of AVOF II and AVAO</w:t>
      </w:r>
    </w:p>
    <w:p>
      <w:pPr>
        <w:spacing w:after="0" w:line="46" w:lineRule="exact"/>
        <w:rPr>
          <w:sz w:val="20"/>
          <w:szCs w:val="20"/>
          <w:color w:val="auto"/>
        </w:rPr>
      </w:pPr>
    </w:p>
    <w:p>
      <w:pPr>
        <w:jc w:val="both"/>
        <w:ind w:left="600" w:hanging="9"/>
        <w:spacing w:after="0" w:line="269" w:lineRule="auto"/>
        <w:tabs>
          <w:tab w:leader="none" w:pos="773" w:val="left"/>
        </w:tabs>
        <w:numPr>
          <w:ilvl w:val="0"/>
          <w:numId w:val="89"/>
        </w:numPr>
        <w:rPr>
          <w:rFonts w:ascii="Arial" w:cs="Arial" w:eastAsia="Arial" w:hAnsi="Arial"/>
          <w:sz w:val="17"/>
          <w:szCs w:val="17"/>
          <w:color w:val="auto"/>
        </w:rPr>
      </w:pPr>
      <w:r>
        <w:rPr>
          <w:rFonts w:ascii="Arial" w:cs="Arial" w:eastAsia="Arial" w:hAnsi="Arial"/>
          <w:sz w:val="17"/>
          <w:szCs w:val="17"/>
          <w:color w:val="auto"/>
        </w:rPr>
        <w:t>LLC is the general partner of AVAO II LP. Each of AVOF II, AVAO II LP and AVAO II LLC has shared voting and dispositive power over the shares held by AVOF II. As such, each of AVOF II, AVAO II LP and AVAO II LLC may be deemed to beneficially own the shares held by AVOF II. Each of the Fund X Reporting Persons, Fund XII Reporting Persons, Opportunity Fund Reporting Persons and Opportunity Fund II Reporting Persons may be deemed to beneficially own 7.0%, 0.2%, 3.9% and 1.0%, respectively, of the Issuer’s outstanding Common Stock, which percentages are calculated based upon 22,877,552 shares of Common Stock outstanding as of August 8, 2023, as reported in the Issuer’s Quarterly Report pursuant to Section 13 or 15(d) of the Securities Exchange Act of 1934 for the quarterly period ended June 30, 2023 on Form 10-Q, filed with the Securities and Exchange Commission on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tabs>
          <w:tab w:leader="none" w:pos="1022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6"/>
          <w:szCs w:val="16"/>
          <w:color w:val="auto"/>
        </w:rPr>
        <w:t>Page 15 of 16</w:t>
      </w:r>
    </w:p>
    <w:p>
      <w:pPr>
        <w:spacing w:after="0" w:line="225" w:lineRule="exact"/>
        <w:rPr>
          <w:sz w:val="20"/>
          <w:szCs w:val="20"/>
          <w:color w:val="auto"/>
        </w:rPr>
      </w:pPr>
    </w:p>
    <w:p>
      <w:pPr>
        <w:jc w:val="both"/>
        <w:ind w:left="600"/>
        <w:spacing w:after="0" w:line="275" w:lineRule="auto"/>
        <w:rPr>
          <w:sz w:val="20"/>
          <w:szCs w:val="20"/>
          <w:color w:val="auto"/>
        </w:rPr>
      </w:pPr>
      <w:r>
        <w:rPr>
          <w:rFonts w:ascii="Arial" w:cs="Arial" w:eastAsia="Arial" w:hAnsi="Arial"/>
          <w:sz w:val="17"/>
          <w:szCs w:val="17"/>
          <w:color w:val="auto"/>
        </w:rPr>
        <w:t>Collectively, the Reporting Persons beneficially own an aggregate of 2,745,335 shares of Common Stock, which represents an estimated 12.0% of the Issuer’s outstanding Common Stock. The Fund X Reporting Persons, Fund XII Reporting Persons, Opportunity Fund Reporting Persons and the Opportunity Fund II Reporting Persons are under common control and as a result, the Reporting Persons may be deemed to be members of a group. However, the Reporting Persons disclaim such group membership, and this Schedule 13D shall not be deemed an admission that the Reporting Persons are members of a group for purposes of Section 13 or for any other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On August 14, 2023, Atlas X sold 175,000 shares of the Issuer’s Common Stock in the public market at a weighted average price of $52.59 per share. The shares were sold at prices ranging from $52.00 to $54.94.</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15, 2023, Atlas X sold 111,069 shares of the Issuer’s Common Stock in the public market at $52.40 per share.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15, 2023, AVOF sold 72,931 shares of the Issuer’s Common Stock in the public market at $52.40 per share.</w:t>
      </w:r>
    </w:p>
    <w:p>
      <w:pPr>
        <w:spacing w:after="0" w:line="225"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On September 14, 2023, Atlas X sold 94,440 shares of the Issuer’s Common Stock in the public market at a weighted average price of $53.05 per share. The shares were sold at prices ranging from $53.00 to $53.42.</w:t>
      </w:r>
    </w:p>
    <w:p>
      <w:pPr>
        <w:spacing w:after="0" w:line="170"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On September 15, 2023, Atlas X sold 260,894 shares of the Issuer’s Common Stock in the public market at a weighted average price of $53.16 per share. The shares were sold at prices ranging from $53.00 to $53.60.</w:t>
      </w:r>
    </w:p>
    <w:p>
      <w:pPr>
        <w:spacing w:after="0" w:line="170"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On September 18, 2023, Atlas X sold 2,115 shares of the Issuer’s Common Stock in the public market at a weighted average price of $53.22 per share. The shares were sold at prices ranging from $53.05 to $53.265.</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Except as described herein, none of the Reporting Persons have purchased or sold any shares of Common Stock during the past 60 days.</w:t>
      </w:r>
    </w:p>
    <w:p>
      <w:pPr>
        <w:spacing w:after="0" w:line="237" w:lineRule="exact"/>
        <w:rPr>
          <w:sz w:val="20"/>
          <w:szCs w:val="20"/>
          <w:color w:val="auto"/>
        </w:rPr>
      </w:pPr>
    </w:p>
    <w:p>
      <w:pPr>
        <w:ind w:left="560" w:hanging="552"/>
        <w:spacing w:after="0" w:line="277" w:lineRule="auto"/>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other person is known by the Reporting Persons to have the right to receive or the power to direct the receipt of dividends from, or the proceeds from the sale of, the shares of Common Stock beneficially owned by the Reporting Persons.</w:t>
      </w:r>
    </w:p>
    <w:p>
      <w:pPr>
        <w:spacing w:after="0" w:line="170" w:lineRule="exact"/>
        <w:rPr>
          <w:rFonts w:ascii="Arial" w:cs="Arial" w:eastAsia="Arial" w:hAnsi="Arial"/>
          <w:sz w:val="18"/>
          <w:szCs w:val="18"/>
          <w:color w:val="auto"/>
        </w:rPr>
      </w:pPr>
    </w:p>
    <w:p>
      <w:pPr>
        <w:ind w:left="560" w:hanging="552"/>
        <w:spacing w:after="0"/>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tabs>
          <w:tab w:leader="none" w:pos="10220" w:val="left"/>
        </w:tabs>
        <w:rPr>
          <w:sz w:val="20"/>
          <w:szCs w:val="20"/>
          <w:color w:val="auto"/>
        </w:rPr>
      </w:pPr>
      <w:r>
        <w:rPr>
          <w:rFonts w:ascii="Arial" w:cs="Arial" w:eastAsia="Arial" w:hAnsi="Arial"/>
          <w:sz w:val="18"/>
          <w:szCs w:val="18"/>
          <w:color w:val="auto"/>
        </w:rPr>
        <w:t>CUSIP 254604101</w:t>
      </w:r>
      <w:r>
        <w:rPr>
          <w:sz w:val="20"/>
          <w:szCs w:val="20"/>
          <w:color w:val="auto"/>
        </w:rPr>
        <w:tab/>
      </w:r>
      <w:r>
        <w:rPr>
          <w:rFonts w:ascii="Arial" w:cs="Arial" w:eastAsia="Arial" w:hAnsi="Arial"/>
          <w:sz w:val="16"/>
          <w:szCs w:val="16"/>
          <w:color w:val="auto"/>
        </w:rPr>
        <w:t>Page 16 of 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21, 2023</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FUND X,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L.P., its general partner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LLC, its general partner</w:t>
      </w:r>
    </w:p>
    <w:p>
      <w:pPr>
        <w:spacing w:after="0" w:line="21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 LLC, its general partner</w:t>
      </w:r>
    </w:p>
    <w:p>
      <w:pPr>
        <w:spacing w:after="0" w:line="225"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 LLC</w:t>
      </w:r>
    </w:p>
    <w:p>
      <w:pPr>
        <w:spacing w:after="0" w:line="225"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FUND XII,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L.P., its general partner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LLC, its general partner</w:t>
      </w:r>
    </w:p>
    <w:p>
      <w:pPr>
        <w:spacing w:after="0" w:line="21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ATLAS VENTURE ASSOCIATES XII, 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Atlas Venture Associates XII, LLC, its general partner</w:t>
      </w:r>
    </w:p>
    <w:p>
      <w:pPr>
        <w:spacing w:after="0" w:line="225"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ATLAS VENTURE ASSOCIATES XII, LLC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-121920</wp:posOffset>
            </wp:positionV>
            <wp:extent cx="32061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OPPORTUNITY FUND I,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 L.P., its general partner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 LLC, its general partner</w:t>
      </w:r>
    </w:p>
    <w:p>
      <w:pPr>
        <w:spacing w:after="0" w:line="23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-121920</wp:posOffset>
            </wp:positionV>
            <wp:extent cx="32061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 LLC, its general partner</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-121920</wp:posOffset>
            </wp:positionV>
            <wp:extent cx="32061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 LLC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-121920</wp:posOffset>
            </wp:positionV>
            <wp:extent cx="32061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434340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908"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ATLAS VENTURE OPPORTUNITY FUND II,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II, L.P., its general partner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II, LLC, its general partner</w:t>
      </w:r>
    </w:p>
    <w:p>
      <w:pPr>
        <w:spacing w:after="0" w:line="23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14605</wp:posOffset>
            </wp:positionV>
            <wp:extent cx="32061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II, L.P.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Atlas Venture Associates Opportunity II, LLC, its general partner</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14605</wp:posOffset>
            </wp:positionV>
            <wp:extent cx="3206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II, LLC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14605</wp:posOffset>
            </wp:positionV>
            <wp:extent cx="32061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434340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19"/>
      </w:cols>
      <w:pgMar w:left="3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1"/>
      <w:numFmt w:val="bullet"/>
      <w:start w:val="1"/>
    </w:lvl>
  </w:abstractNum>
  <w:abstractNum w:abstractNumId="2">
    <w:nsid w:val="542289EC"/>
    <w:multiLevelType w:val="hybridMultilevel"/>
    <w:lvl w:ilvl="0">
      <w:lvlJc w:val="left"/>
      <w:lvlText w:val="2"/>
      <w:numFmt w:val="bullet"/>
      <w:start w:val="1"/>
    </w:lvl>
  </w:abstractNum>
  <w:abstractNum w:abstractNumId="3">
    <w:nsid w:val="6DE91B18"/>
    <w:multiLevelType w:val="hybridMultilevel"/>
    <w:lvl w:ilvl="0">
      <w:lvlJc w:val="left"/>
      <w:lvlText w:val="3"/>
      <w:numFmt w:val="bullet"/>
      <w:start w:val="1"/>
    </w:lvl>
  </w:abstractNum>
  <w:abstractNum w:abstractNumId="4">
    <w:nsid w:val="38437FDB"/>
    <w:multiLevelType w:val="hybridMultilevel"/>
    <w:lvl w:ilvl="0">
      <w:lvlJc w:val="left"/>
      <w:lvlText w:val="4"/>
      <w:numFmt w:val="bullet"/>
      <w:start w:val="1"/>
    </w:lvl>
  </w:abstractNum>
  <w:abstractNum w:abstractNumId="5">
    <w:nsid w:val="7644A45C"/>
    <w:multiLevelType w:val="hybridMultilevel"/>
    <w:lvl w:ilvl="0">
      <w:lvlJc w:val="left"/>
      <w:lvlText w:val="5"/>
      <w:numFmt w:val="bullet"/>
      <w:start w:val="1"/>
    </w:lvl>
  </w:abstractNum>
  <w:abstractNum w:abstractNumId="6">
    <w:nsid w:val="32FFF902"/>
    <w:multiLevelType w:val="hybridMultilevel"/>
    <w:lvl w:ilvl="0">
      <w:lvlJc w:val="left"/>
      <w:lvlText w:val="6"/>
      <w:numFmt w:val="bullet"/>
      <w:start w:val="1"/>
    </w:lvl>
  </w:abstractNum>
  <w:abstractNum w:abstractNumId="7">
    <w:nsid w:val="684A481A"/>
    <w:multiLevelType w:val="hybridMultilevel"/>
    <w:lvl w:ilvl="0">
      <w:lvlJc w:val="left"/>
      <w:lvlText w:val="%1"/>
      <w:numFmt w:val="decimal"/>
      <w:start w:val="11"/>
    </w:lvl>
  </w:abstractNum>
  <w:abstractNum w:abstractNumId="8">
    <w:nsid w:val="579478FE"/>
    <w:multiLevelType w:val="hybridMultilevel"/>
    <w:lvl w:ilvl="0">
      <w:lvlJc w:val="left"/>
      <w:lvlText w:val="1"/>
      <w:numFmt w:val="bullet"/>
      <w:start w:val="1"/>
    </w:lvl>
  </w:abstractNum>
  <w:abstractNum w:abstractNumId="9">
    <w:nsid w:val="749ABB43"/>
    <w:multiLevelType w:val="hybridMultilevel"/>
    <w:lvl w:ilvl="0">
      <w:lvlJc w:val="left"/>
      <w:lvlText w:val="2"/>
      <w:numFmt w:val="bullet"/>
      <w:start w:val="1"/>
    </w:lvl>
  </w:abstractNum>
  <w:abstractNum w:abstractNumId="10">
    <w:nsid w:val="3DC240FB"/>
    <w:multiLevelType w:val="hybridMultilevel"/>
    <w:lvl w:ilvl="0">
      <w:lvlJc w:val="left"/>
      <w:lvlText w:val="3"/>
      <w:numFmt w:val="bullet"/>
      <w:start w:val="1"/>
    </w:lvl>
  </w:abstractNum>
  <w:abstractNum w:abstractNumId="11">
    <w:nsid w:val="1BA026FA"/>
    <w:multiLevelType w:val="hybridMultilevel"/>
    <w:lvl w:ilvl="0">
      <w:lvlJc w:val="left"/>
      <w:lvlText w:val="4"/>
      <w:numFmt w:val="bullet"/>
      <w:start w:val="1"/>
    </w:lvl>
  </w:abstractNum>
  <w:abstractNum w:abstractNumId="12">
    <w:nsid w:val="79A1DEAA"/>
    <w:multiLevelType w:val="hybridMultilevel"/>
    <w:lvl w:ilvl="0">
      <w:lvlJc w:val="left"/>
      <w:lvlText w:val="5"/>
      <w:numFmt w:val="bullet"/>
      <w:start w:val="1"/>
    </w:lvl>
  </w:abstractNum>
  <w:abstractNum w:abstractNumId="13">
    <w:nsid w:val="75C6C33A"/>
    <w:multiLevelType w:val="hybridMultilevel"/>
    <w:lvl w:ilvl="0">
      <w:lvlJc w:val="left"/>
      <w:lvlText w:val="6"/>
      <w:numFmt w:val="bullet"/>
      <w:start w:val="1"/>
    </w:lvl>
  </w:abstractNum>
  <w:abstractNum w:abstractNumId="14">
    <w:nsid w:val="12E685FB"/>
    <w:multiLevelType w:val="hybridMultilevel"/>
    <w:lvl w:ilvl="0">
      <w:lvlJc w:val="left"/>
      <w:lvlText w:val="%1"/>
      <w:numFmt w:val="decimal"/>
      <w:start w:val="11"/>
    </w:lvl>
  </w:abstractNum>
  <w:abstractNum w:abstractNumId="15">
    <w:nsid w:val="70C6A529"/>
    <w:multiLevelType w:val="hybridMultilevel"/>
    <w:lvl w:ilvl="0">
      <w:lvlJc w:val="left"/>
      <w:lvlText w:val="1"/>
      <w:numFmt w:val="bullet"/>
      <w:start w:val="1"/>
    </w:lvl>
  </w:abstractNum>
  <w:abstractNum w:abstractNumId="16">
    <w:nsid w:val="520EEDD1"/>
    <w:multiLevelType w:val="hybridMultilevel"/>
    <w:lvl w:ilvl="0">
      <w:lvlJc w:val="left"/>
      <w:lvlText w:val="2"/>
      <w:numFmt w:val="bullet"/>
      <w:start w:val="1"/>
    </w:lvl>
  </w:abstractNum>
  <w:abstractNum w:abstractNumId="17">
    <w:nsid w:val="374A3FE6"/>
    <w:multiLevelType w:val="hybridMultilevel"/>
    <w:lvl w:ilvl="0">
      <w:lvlJc w:val="left"/>
      <w:lvlText w:val="3"/>
      <w:numFmt w:val="bullet"/>
      <w:start w:val="1"/>
    </w:lvl>
  </w:abstractNum>
  <w:abstractNum w:abstractNumId="18">
    <w:nsid w:val="4F4EF005"/>
    <w:multiLevelType w:val="hybridMultilevel"/>
    <w:lvl w:ilvl="0">
      <w:lvlJc w:val="left"/>
      <w:lvlText w:val="4"/>
      <w:numFmt w:val="bullet"/>
      <w:start w:val="1"/>
    </w:lvl>
  </w:abstractNum>
  <w:abstractNum w:abstractNumId="19">
    <w:nsid w:val="23F9C13C"/>
    <w:multiLevelType w:val="hybridMultilevel"/>
    <w:lvl w:ilvl="0">
      <w:lvlJc w:val="left"/>
      <w:lvlText w:val="5"/>
      <w:numFmt w:val="bullet"/>
      <w:start w:val="1"/>
    </w:lvl>
  </w:abstractNum>
  <w:abstractNum w:abstractNumId="20">
    <w:nsid w:val="649BB77C"/>
    <w:multiLevelType w:val="hybridMultilevel"/>
    <w:lvl w:ilvl="0">
      <w:lvlJc w:val="left"/>
      <w:lvlText w:val="6"/>
      <w:numFmt w:val="bullet"/>
      <w:start w:val="1"/>
    </w:lvl>
  </w:abstractNum>
  <w:abstractNum w:abstractNumId="21">
    <w:nsid w:val="275AC794"/>
    <w:multiLevelType w:val="hybridMultilevel"/>
    <w:lvl w:ilvl="0">
      <w:lvlJc w:val="left"/>
      <w:lvlText w:val="%1"/>
      <w:numFmt w:val="decimal"/>
      <w:start w:val="11"/>
    </w:lvl>
  </w:abstractNum>
  <w:abstractNum w:abstractNumId="22">
    <w:nsid w:val="39386575"/>
    <w:multiLevelType w:val="hybridMultilevel"/>
    <w:lvl w:ilvl="0">
      <w:lvlJc w:val="left"/>
      <w:lvlText w:val="1"/>
      <w:numFmt w:val="bullet"/>
      <w:start w:val="1"/>
    </w:lvl>
  </w:abstractNum>
  <w:abstractNum w:abstractNumId="23">
    <w:nsid w:val="1CF10FD8"/>
    <w:multiLevelType w:val="hybridMultilevel"/>
    <w:lvl w:ilvl="0">
      <w:lvlJc w:val="left"/>
      <w:lvlText w:val="2"/>
      <w:numFmt w:val="bullet"/>
      <w:start w:val="1"/>
    </w:lvl>
  </w:abstractNum>
  <w:abstractNum w:abstractNumId="24">
    <w:nsid w:val="180115BE"/>
    <w:multiLevelType w:val="hybridMultilevel"/>
    <w:lvl w:ilvl="0">
      <w:lvlJc w:val="left"/>
      <w:lvlText w:val="3"/>
      <w:numFmt w:val="bullet"/>
      <w:start w:val="1"/>
    </w:lvl>
  </w:abstractNum>
  <w:abstractNum w:abstractNumId="25">
    <w:nsid w:val="235BA861"/>
    <w:multiLevelType w:val="hybridMultilevel"/>
    <w:lvl w:ilvl="0">
      <w:lvlJc w:val="left"/>
      <w:lvlText w:val="4"/>
      <w:numFmt w:val="bullet"/>
      <w:start w:val="1"/>
    </w:lvl>
  </w:abstractNum>
  <w:abstractNum w:abstractNumId="26">
    <w:nsid w:val="47398C89"/>
    <w:multiLevelType w:val="hybridMultilevel"/>
    <w:lvl w:ilvl="0">
      <w:lvlJc w:val="left"/>
      <w:lvlText w:val="5"/>
      <w:numFmt w:val="bullet"/>
      <w:start w:val="1"/>
    </w:lvl>
  </w:abstractNum>
  <w:abstractNum w:abstractNumId="27">
    <w:nsid w:val="354FE9F9"/>
    <w:multiLevelType w:val="hybridMultilevel"/>
    <w:lvl w:ilvl="0">
      <w:lvlJc w:val="left"/>
      <w:lvlText w:val="6"/>
      <w:numFmt w:val="bullet"/>
      <w:start w:val="1"/>
    </w:lvl>
  </w:abstractNum>
  <w:abstractNum w:abstractNumId="28">
    <w:nsid w:val="15B5AF5C"/>
    <w:multiLevelType w:val="hybridMultilevel"/>
    <w:lvl w:ilvl="0">
      <w:lvlJc w:val="left"/>
      <w:lvlText w:val="%1"/>
      <w:numFmt w:val="decimal"/>
      <w:start w:val="11"/>
    </w:lvl>
  </w:abstractNum>
  <w:abstractNum w:abstractNumId="29">
    <w:nsid w:val="741226BB"/>
    <w:multiLevelType w:val="hybridMultilevel"/>
    <w:lvl w:ilvl="0">
      <w:lvlJc w:val="left"/>
      <w:lvlText w:val="1"/>
      <w:numFmt w:val="bullet"/>
      <w:start w:val="1"/>
    </w:lvl>
  </w:abstractNum>
  <w:abstractNum w:abstractNumId="30">
    <w:nsid w:val="D34B6A8"/>
    <w:multiLevelType w:val="hybridMultilevel"/>
    <w:lvl w:ilvl="0">
      <w:lvlJc w:val="left"/>
      <w:lvlText w:val="2"/>
      <w:numFmt w:val="bullet"/>
      <w:start w:val="1"/>
    </w:lvl>
  </w:abstractNum>
  <w:abstractNum w:abstractNumId="31">
    <w:nsid w:val="10233C99"/>
    <w:multiLevelType w:val="hybridMultilevel"/>
    <w:lvl w:ilvl="0">
      <w:lvlJc w:val="left"/>
      <w:lvlText w:val="3"/>
      <w:numFmt w:val="bullet"/>
      <w:start w:val="1"/>
    </w:lvl>
  </w:abstractNum>
  <w:abstractNum w:abstractNumId="32">
    <w:nsid w:val="3F6AB60F"/>
    <w:multiLevelType w:val="hybridMultilevel"/>
    <w:lvl w:ilvl="0">
      <w:lvlJc w:val="left"/>
      <w:lvlText w:val="4"/>
      <w:numFmt w:val="bullet"/>
      <w:start w:val="1"/>
    </w:lvl>
  </w:abstractNum>
  <w:abstractNum w:abstractNumId="33">
    <w:nsid w:val="61574095"/>
    <w:multiLevelType w:val="hybridMultilevel"/>
    <w:lvl w:ilvl="0">
      <w:lvlJc w:val="left"/>
      <w:lvlText w:val="5"/>
      <w:numFmt w:val="bullet"/>
      <w:start w:val="1"/>
    </w:lvl>
  </w:abstractNum>
  <w:abstractNum w:abstractNumId="34">
    <w:nsid w:val="7E0C57B1"/>
    <w:multiLevelType w:val="hybridMultilevel"/>
    <w:lvl w:ilvl="0">
      <w:lvlJc w:val="left"/>
      <w:lvlText w:val="6"/>
      <w:numFmt w:val="bullet"/>
      <w:start w:val="1"/>
    </w:lvl>
  </w:abstractNum>
  <w:abstractNum w:abstractNumId="35">
    <w:nsid w:val="77AE35EB"/>
    <w:multiLevelType w:val="hybridMultilevel"/>
    <w:lvl w:ilvl="0">
      <w:lvlJc w:val="left"/>
      <w:lvlText w:val="%1"/>
      <w:numFmt w:val="decimal"/>
      <w:start w:val="11"/>
    </w:lvl>
  </w:abstractNum>
  <w:abstractNum w:abstractNumId="36">
    <w:nsid w:val="579BE4F1"/>
    <w:multiLevelType w:val="hybridMultilevel"/>
    <w:lvl w:ilvl="0">
      <w:lvlJc w:val="left"/>
      <w:lvlText w:val="1"/>
      <w:numFmt w:val="bullet"/>
      <w:start w:val="1"/>
    </w:lvl>
  </w:abstractNum>
  <w:abstractNum w:abstractNumId="37">
    <w:nsid w:val="310C50B3"/>
    <w:multiLevelType w:val="hybridMultilevel"/>
    <w:lvl w:ilvl="0">
      <w:lvlJc w:val="left"/>
      <w:lvlText w:val="2"/>
      <w:numFmt w:val="bullet"/>
      <w:start w:val="1"/>
    </w:lvl>
  </w:abstractNum>
  <w:abstractNum w:abstractNumId="38">
    <w:nsid w:val="5FF87E05"/>
    <w:multiLevelType w:val="hybridMultilevel"/>
    <w:lvl w:ilvl="0">
      <w:lvlJc w:val="left"/>
      <w:lvlText w:val="3"/>
      <w:numFmt w:val="bullet"/>
      <w:start w:val="1"/>
    </w:lvl>
  </w:abstractNum>
  <w:abstractNum w:abstractNumId="39">
    <w:nsid w:val="2F305DEF"/>
    <w:multiLevelType w:val="hybridMultilevel"/>
    <w:lvl w:ilvl="0">
      <w:lvlJc w:val="left"/>
      <w:lvlText w:val="4"/>
      <w:numFmt w:val="bullet"/>
      <w:start w:val="1"/>
    </w:lvl>
  </w:abstractNum>
  <w:abstractNum w:abstractNumId="40">
    <w:nsid w:val="25A70BF7"/>
    <w:multiLevelType w:val="hybridMultilevel"/>
    <w:lvl w:ilvl="0">
      <w:lvlJc w:val="left"/>
      <w:lvlText w:val="5"/>
      <w:numFmt w:val="bullet"/>
      <w:start w:val="1"/>
    </w:lvl>
  </w:abstractNum>
  <w:abstractNum w:abstractNumId="41">
    <w:nsid w:val="1DBABF00"/>
    <w:multiLevelType w:val="hybridMultilevel"/>
    <w:lvl w:ilvl="0">
      <w:lvlJc w:val="left"/>
      <w:lvlText w:val="6"/>
      <w:numFmt w:val="bullet"/>
      <w:start w:val="1"/>
    </w:lvl>
  </w:abstractNum>
  <w:abstractNum w:abstractNumId="42">
    <w:nsid w:val="4AD084E9"/>
    <w:multiLevelType w:val="hybridMultilevel"/>
    <w:lvl w:ilvl="0">
      <w:lvlJc w:val="left"/>
      <w:lvlText w:val="%1"/>
      <w:numFmt w:val="decimal"/>
      <w:start w:val="11"/>
    </w:lvl>
  </w:abstractNum>
  <w:abstractNum w:abstractNumId="43">
    <w:nsid w:val="1F48EAA1"/>
    <w:multiLevelType w:val="hybridMultilevel"/>
    <w:lvl w:ilvl="0">
      <w:lvlJc w:val="left"/>
      <w:lvlText w:val="1"/>
      <w:numFmt w:val="bullet"/>
      <w:start w:val="1"/>
    </w:lvl>
  </w:abstractNum>
  <w:abstractNum w:abstractNumId="44">
    <w:nsid w:val="1381823A"/>
    <w:multiLevelType w:val="hybridMultilevel"/>
    <w:lvl w:ilvl="0">
      <w:lvlJc w:val="left"/>
      <w:lvlText w:val="2"/>
      <w:numFmt w:val="bullet"/>
      <w:start w:val="1"/>
    </w:lvl>
  </w:abstractNum>
  <w:abstractNum w:abstractNumId="45">
    <w:nsid w:val="5DB70AE5"/>
    <w:multiLevelType w:val="hybridMultilevel"/>
    <w:lvl w:ilvl="0">
      <w:lvlJc w:val="left"/>
      <w:lvlText w:val="3"/>
      <w:numFmt w:val="bullet"/>
      <w:start w:val="1"/>
    </w:lvl>
  </w:abstractNum>
  <w:abstractNum w:abstractNumId="46">
    <w:nsid w:val="100F8FCA"/>
    <w:multiLevelType w:val="hybridMultilevel"/>
    <w:lvl w:ilvl="0">
      <w:lvlJc w:val="left"/>
      <w:lvlText w:val="4"/>
      <w:numFmt w:val="bullet"/>
      <w:start w:val="1"/>
    </w:lvl>
  </w:abstractNum>
  <w:abstractNum w:abstractNumId="47">
    <w:nsid w:val="6590700B"/>
    <w:multiLevelType w:val="hybridMultilevel"/>
    <w:lvl w:ilvl="0">
      <w:lvlJc w:val="left"/>
      <w:lvlText w:val="5"/>
      <w:numFmt w:val="bullet"/>
      <w:start w:val="1"/>
    </w:lvl>
  </w:abstractNum>
  <w:abstractNum w:abstractNumId="48">
    <w:nsid w:val="15014ACB"/>
    <w:multiLevelType w:val="hybridMultilevel"/>
    <w:lvl w:ilvl="0">
      <w:lvlJc w:val="left"/>
      <w:lvlText w:val="6"/>
      <w:numFmt w:val="bullet"/>
      <w:start w:val="1"/>
    </w:lvl>
  </w:abstractNum>
  <w:abstractNum w:abstractNumId="49">
    <w:nsid w:val="5F5E7FD0"/>
    <w:multiLevelType w:val="hybridMultilevel"/>
    <w:lvl w:ilvl="0">
      <w:lvlJc w:val="left"/>
      <w:lvlText w:val="%1"/>
      <w:numFmt w:val="decimal"/>
      <w:start w:val="11"/>
    </w:lvl>
  </w:abstractNum>
  <w:abstractNum w:abstractNumId="50">
    <w:nsid w:val="98A3148"/>
    <w:multiLevelType w:val="hybridMultilevel"/>
    <w:lvl w:ilvl="0">
      <w:lvlJc w:val="left"/>
      <w:lvlText w:val="1"/>
      <w:numFmt w:val="bullet"/>
      <w:start w:val="1"/>
    </w:lvl>
  </w:abstractNum>
  <w:abstractNum w:abstractNumId="51">
    <w:nsid w:val="799D0247"/>
    <w:multiLevelType w:val="hybridMultilevel"/>
    <w:lvl w:ilvl="0">
      <w:lvlJc w:val="left"/>
      <w:lvlText w:val="2"/>
      <w:numFmt w:val="bullet"/>
      <w:start w:val="1"/>
    </w:lvl>
  </w:abstractNum>
  <w:abstractNum w:abstractNumId="52">
    <w:nsid w:val="6B94764"/>
    <w:multiLevelType w:val="hybridMultilevel"/>
    <w:lvl w:ilvl="0">
      <w:lvlJc w:val="left"/>
      <w:lvlText w:val="3"/>
      <w:numFmt w:val="bullet"/>
      <w:start w:val="1"/>
    </w:lvl>
  </w:abstractNum>
  <w:abstractNum w:abstractNumId="53">
    <w:nsid w:val="42C296BD"/>
    <w:multiLevelType w:val="hybridMultilevel"/>
    <w:lvl w:ilvl="0">
      <w:lvlJc w:val="left"/>
      <w:lvlText w:val="4"/>
      <w:numFmt w:val="bullet"/>
      <w:start w:val="1"/>
    </w:lvl>
  </w:abstractNum>
  <w:abstractNum w:abstractNumId="54">
    <w:nsid w:val="168E121F"/>
    <w:multiLevelType w:val="hybridMultilevel"/>
    <w:lvl w:ilvl="0">
      <w:lvlJc w:val="left"/>
      <w:lvlText w:val="5"/>
      <w:numFmt w:val="bullet"/>
      <w:start w:val="1"/>
    </w:lvl>
  </w:abstractNum>
  <w:abstractNum w:abstractNumId="55">
    <w:nsid w:val="1EBA5D23"/>
    <w:multiLevelType w:val="hybridMultilevel"/>
    <w:lvl w:ilvl="0">
      <w:lvlJc w:val="left"/>
      <w:lvlText w:val="6"/>
      <w:numFmt w:val="bullet"/>
      <w:start w:val="1"/>
    </w:lvl>
  </w:abstractNum>
  <w:abstractNum w:abstractNumId="56">
    <w:nsid w:val="661E3F1E"/>
    <w:multiLevelType w:val="hybridMultilevel"/>
    <w:lvl w:ilvl="0">
      <w:lvlJc w:val="left"/>
      <w:lvlText w:val="%1"/>
      <w:numFmt w:val="decimal"/>
      <w:start w:val="11"/>
    </w:lvl>
  </w:abstractNum>
  <w:abstractNum w:abstractNumId="57">
    <w:nsid w:val="5DC79EA8"/>
    <w:multiLevelType w:val="hybridMultilevel"/>
    <w:lvl w:ilvl="0">
      <w:lvlJc w:val="left"/>
      <w:lvlText w:val="1"/>
      <w:numFmt w:val="bullet"/>
      <w:start w:val="1"/>
    </w:lvl>
  </w:abstractNum>
  <w:abstractNum w:abstractNumId="58">
    <w:nsid w:val="540A471C"/>
    <w:multiLevelType w:val="hybridMultilevel"/>
    <w:lvl w:ilvl="0">
      <w:lvlJc w:val="left"/>
      <w:lvlText w:val="2"/>
      <w:numFmt w:val="bullet"/>
      <w:start w:val="1"/>
    </w:lvl>
  </w:abstractNum>
  <w:abstractNum w:abstractNumId="59">
    <w:nsid w:val="7BD3EE7B"/>
    <w:multiLevelType w:val="hybridMultilevel"/>
    <w:lvl w:ilvl="0">
      <w:lvlJc w:val="left"/>
      <w:lvlText w:val="3"/>
      <w:numFmt w:val="bullet"/>
      <w:start w:val="1"/>
    </w:lvl>
  </w:abstractNum>
  <w:abstractNum w:abstractNumId="60">
    <w:nsid w:val="51D9C564"/>
    <w:multiLevelType w:val="hybridMultilevel"/>
    <w:lvl w:ilvl="0">
      <w:lvlJc w:val="left"/>
      <w:lvlText w:val="4"/>
      <w:numFmt w:val="bullet"/>
      <w:start w:val="1"/>
    </w:lvl>
  </w:abstractNum>
  <w:abstractNum w:abstractNumId="61">
    <w:nsid w:val="613EFDC5"/>
    <w:multiLevelType w:val="hybridMultilevel"/>
    <w:lvl w:ilvl="0">
      <w:lvlJc w:val="left"/>
      <w:lvlText w:val="5"/>
      <w:numFmt w:val="bullet"/>
      <w:start w:val="1"/>
    </w:lvl>
  </w:abstractNum>
  <w:abstractNum w:abstractNumId="62">
    <w:nsid w:val="BF72B14"/>
    <w:multiLevelType w:val="hybridMultilevel"/>
    <w:lvl w:ilvl="0">
      <w:lvlJc w:val="left"/>
      <w:lvlText w:val="6"/>
      <w:numFmt w:val="bullet"/>
      <w:start w:val="1"/>
    </w:lvl>
  </w:abstractNum>
  <w:abstractNum w:abstractNumId="63">
    <w:nsid w:val="11447B73"/>
    <w:multiLevelType w:val="hybridMultilevel"/>
    <w:lvl w:ilvl="0">
      <w:lvlJc w:val="left"/>
      <w:lvlText w:val="%1"/>
      <w:numFmt w:val="decimal"/>
      <w:start w:val="11"/>
    </w:lvl>
  </w:abstractNum>
  <w:abstractNum w:abstractNumId="64">
    <w:nsid w:val="42963E5A"/>
    <w:multiLevelType w:val="hybridMultilevel"/>
    <w:lvl w:ilvl="0">
      <w:lvlJc w:val="left"/>
      <w:lvlText w:val="1"/>
      <w:numFmt w:val="bullet"/>
      <w:start w:val="1"/>
    </w:lvl>
  </w:abstractNum>
  <w:abstractNum w:abstractNumId="65">
    <w:nsid w:val="A0382C5"/>
    <w:multiLevelType w:val="hybridMultilevel"/>
    <w:lvl w:ilvl="0">
      <w:lvlJc w:val="left"/>
      <w:lvlText w:val="2"/>
      <w:numFmt w:val="bullet"/>
      <w:start w:val="1"/>
    </w:lvl>
  </w:abstractNum>
  <w:abstractNum w:abstractNumId="66">
    <w:nsid w:val="8F2B15E"/>
    <w:multiLevelType w:val="hybridMultilevel"/>
    <w:lvl w:ilvl="0">
      <w:lvlJc w:val="left"/>
      <w:lvlText w:val="3"/>
      <w:numFmt w:val="bullet"/>
      <w:start w:val="1"/>
    </w:lvl>
  </w:abstractNum>
  <w:abstractNum w:abstractNumId="67">
    <w:nsid w:val="1A32234B"/>
    <w:multiLevelType w:val="hybridMultilevel"/>
    <w:lvl w:ilvl="0">
      <w:lvlJc w:val="left"/>
      <w:lvlText w:val="4"/>
      <w:numFmt w:val="bullet"/>
      <w:start w:val="1"/>
    </w:lvl>
  </w:abstractNum>
  <w:abstractNum w:abstractNumId="68">
    <w:nsid w:val="3B0FD379"/>
    <w:multiLevelType w:val="hybridMultilevel"/>
    <w:lvl w:ilvl="0">
      <w:lvlJc w:val="left"/>
      <w:lvlText w:val="5"/>
      <w:numFmt w:val="bullet"/>
      <w:start w:val="1"/>
    </w:lvl>
  </w:abstractNum>
  <w:abstractNum w:abstractNumId="69">
    <w:nsid w:val="68EB2F63"/>
    <w:multiLevelType w:val="hybridMultilevel"/>
    <w:lvl w:ilvl="0">
      <w:lvlJc w:val="left"/>
      <w:lvlText w:val="6"/>
      <w:numFmt w:val="bullet"/>
      <w:start w:val="1"/>
    </w:lvl>
  </w:abstractNum>
  <w:abstractNum w:abstractNumId="70">
    <w:nsid w:val="4962813B"/>
    <w:multiLevelType w:val="hybridMultilevel"/>
    <w:lvl w:ilvl="0">
      <w:lvlJc w:val="left"/>
      <w:lvlText w:val="%1"/>
      <w:numFmt w:val="decimal"/>
      <w:start w:val="11"/>
    </w:lvl>
  </w:abstractNum>
  <w:abstractNum w:abstractNumId="71">
    <w:nsid w:val="60B6DF70"/>
    <w:multiLevelType w:val="hybridMultilevel"/>
    <w:lvl w:ilvl="0">
      <w:lvlJc w:val="left"/>
      <w:lvlText w:val="%1"/>
      <w:numFmt w:val="upperLetter"/>
      <w:start w:val="35"/>
    </w:lvl>
  </w:abstractNum>
  <w:abstractNum w:abstractNumId="72">
    <w:nsid w:val="6A5EE64"/>
    <w:multiLevelType w:val="hybridMultilevel"/>
    <w:lvl w:ilvl="0">
      <w:lvlJc w:val="left"/>
      <w:lvlText w:val="1"/>
      <w:numFmt w:val="bullet"/>
      <w:start w:val="1"/>
    </w:lvl>
  </w:abstractNum>
  <w:abstractNum w:abstractNumId="73">
    <w:nsid w:val="14330624"/>
    <w:multiLevelType w:val="hybridMultilevel"/>
    <w:lvl w:ilvl="0">
      <w:lvlJc w:val="left"/>
      <w:lvlText w:val="2"/>
      <w:numFmt w:val="bullet"/>
      <w:start w:val="1"/>
    </w:lvl>
  </w:abstractNum>
  <w:abstractNum w:abstractNumId="74">
    <w:nsid w:val="7FFFCA11"/>
    <w:multiLevelType w:val="hybridMultilevel"/>
    <w:lvl w:ilvl="0">
      <w:lvlJc w:val="left"/>
      <w:lvlText w:val="3"/>
      <w:numFmt w:val="bullet"/>
      <w:start w:val="1"/>
    </w:lvl>
  </w:abstractNum>
  <w:abstractNum w:abstractNumId="75">
    <w:nsid w:val="1A27709E"/>
    <w:multiLevelType w:val="hybridMultilevel"/>
    <w:lvl w:ilvl="0">
      <w:lvlJc w:val="left"/>
      <w:lvlText w:val="4"/>
      <w:numFmt w:val="bullet"/>
      <w:start w:val="1"/>
    </w:lvl>
  </w:abstractNum>
  <w:abstractNum w:abstractNumId="76">
    <w:nsid w:val="71EA1109"/>
    <w:multiLevelType w:val="hybridMultilevel"/>
    <w:lvl w:ilvl="0">
      <w:lvlJc w:val="left"/>
      <w:lvlText w:val="5"/>
      <w:numFmt w:val="bullet"/>
      <w:start w:val="1"/>
    </w:lvl>
  </w:abstractNum>
  <w:abstractNum w:abstractNumId="77">
    <w:nsid w:val="100F59DC"/>
    <w:multiLevelType w:val="hybridMultilevel"/>
    <w:lvl w:ilvl="0">
      <w:lvlJc w:val="left"/>
      <w:lvlText w:val="6"/>
      <w:numFmt w:val="bullet"/>
      <w:start w:val="1"/>
    </w:lvl>
  </w:abstractNum>
  <w:abstractNum w:abstractNumId="78">
    <w:nsid w:val="7FB7E0AA"/>
    <w:multiLevelType w:val="hybridMultilevel"/>
    <w:lvl w:ilvl="0">
      <w:lvlJc w:val="left"/>
      <w:lvlText w:val="%1"/>
      <w:numFmt w:val="decimal"/>
      <w:start w:val="11"/>
    </w:lvl>
  </w:abstractNum>
  <w:abstractNum w:abstractNumId="79">
    <w:nsid w:val="6EB5BD4"/>
    <w:multiLevelType w:val="hybridMultilevel"/>
    <w:lvl w:ilvl="0">
      <w:lvlJc w:val="left"/>
      <w:lvlText w:val="%1"/>
      <w:numFmt w:val="upperLetter"/>
      <w:start w:val="35"/>
    </w:lvl>
  </w:abstractNum>
  <w:abstractNum w:abstractNumId="80">
    <w:nsid w:val="6F6DD9AC"/>
    <w:multiLevelType w:val="hybridMultilevel"/>
    <w:lvl w:ilvl="0">
      <w:lvlJc w:val="left"/>
      <w:lvlText w:val="1"/>
      <w:numFmt w:val="bullet"/>
      <w:start w:val="1"/>
    </w:lvl>
  </w:abstractNum>
  <w:abstractNum w:abstractNumId="81">
    <w:nsid w:val="94211F2"/>
    <w:multiLevelType w:val="hybridMultilevel"/>
    <w:lvl w:ilvl="0">
      <w:lvlJc w:val="left"/>
      <w:lvlText w:val="2"/>
      <w:numFmt w:val="bullet"/>
      <w:start w:val="1"/>
    </w:lvl>
  </w:abstractNum>
  <w:abstractNum w:abstractNumId="82">
    <w:nsid w:val="885E1B"/>
    <w:multiLevelType w:val="hybridMultilevel"/>
    <w:lvl w:ilvl="0">
      <w:lvlJc w:val="left"/>
      <w:lvlText w:val="3"/>
      <w:numFmt w:val="bullet"/>
      <w:start w:val="1"/>
    </w:lvl>
  </w:abstractNum>
  <w:abstractNum w:abstractNumId="83">
    <w:nsid w:val="76272110"/>
    <w:multiLevelType w:val="hybridMultilevel"/>
    <w:lvl w:ilvl="0">
      <w:lvlJc w:val="left"/>
      <w:lvlText w:val="4"/>
      <w:numFmt w:val="bullet"/>
      <w:start w:val="1"/>
    </w:lvl>
  </w:abstractNum>
  <w:abstractNum w:abstractNumId="84">
    <w:nsid w:val="4C04A8AF"/>
    <w:multiLevelType w:val="hybridMultilevel"/>
    <w:lvl w:ilvl="0">
      <w:lvlJc w:val="left"/>
      <w:lvlText w:val="5"/>
      <w:numFmt w:val="bullet"/>
      <w:start w:val="1"/>
    </w:lvl>
  </w:abstractNum>
  <w:abstractNum w:abstractNumId="85">
    <w:nsid w:val="1716703B"/>
    <w:multiLevelType w:val="hybridMultilevel"/>
    <w:lvl w:ilvl="0">
      <w:lvlJc w:val="left"/>
      <w:lvlText w:val="6"/>
      <w:numFmt w:val="bullet"/>
      <w:start w:val="1"/>
    </w:lvl>
  </w:abstractNum>
  <w:abstractNum w:abstractNumId="86">
    <w:nsid w:val="14E17E33"/>
    <w:multiLevelType w:val="hybridMultilevel"/>
    <w:lvl w:ilvl="0">
      <w:lvlJc w:val="left"/>
      <w:lvlText w:val="%1"/>
      <w:numFmt w:val="decimal"/>
      <w:start w:val="11"/>
    </w:lvl>
  </w:abstractNum>
  <w:abstractNum w:abstractNumId="87">
    <w:nsid w:val="3222E7CD"/>
    <w:multiLevelType w:val="hybridMultilevel"/>
    <w:lvl w:ilvl="0">
      <w:lvlJc w:val="left"/>
      <w:lvlText w:val="%1"/>
      <w:numFmt w:val="upperLetter"/>
      <w:start w:val="35"/>
    </w:lvl>
  </w:abstractNum>
  <w:abstractNum w:abstractNumId="88">
    <w:nsid w:val="74DE0EE3"/>
    <w:multiLevelType w:val="hybridMultilevel"/>
    <w:lvl w:ilvl="0">
      <w:lvlJc w:val="left"/>
      <w:lvlText w:val="%1"/>
      <w:numFmt w:val="upperLetter"/>
      <w:start w:val="35"/>
    </w:lvl>
  </w:abstractNum>
  <w:abstractNum w:abstractNumId="89">
    <w:nsid w:val="68EBC550"/>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2023-09-21T15:55:54Z</dcterms:created>
  <dcterms:modified xsi:type="dcterms:W3CDTF">2023-09-21T15:55:54Z</dcterms:modified>
</cp:coreProperties>
</file>