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LSV Associates, LLC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Gemini Therapeutics,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GMTX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500 BOYLSTON STREET,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1380</w:t>
      </w:r>
    </w:p>
    <w:p>
      <w:pPr>
        <w:spacing w:after="0" w:line="36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515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5151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74"/>
              <w:spacing w:after="0"/>
              <w:rPr>
                <w:sz w:val="20"/>
                <w:szCs w:val="20"/>
                <w:color w:val="auto"/>
              </w:rPr>
            </w:pPr>
            <w:r>
              <w:rPr>
                <w:rFonts w:ascii="Times New Roman" w:cs="Times New Roman" w:eastAsia="Times New Roman" w:hAnsi="Times New Roman"/>
                <w:sz w:val="20"/>
                <w:szCs w:val="20"/>
                <w:color w:val="0000FF"/>
                <w:w w:val="97"/>
              </w:rPr>
              <w:t>2,796,868</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54"/>
              <w:spacing w:after="0"/>
              <w:rPr>
                <w:sz w:val="20"/>
                <w:szCs w:val="20"/>
                <w:color w:val="auto"/>
              </w:rPr>
            </w:pPr>
            <w:r>
              <w:rPr>
                <w:rFonts w:ascii="Times New Roman" w:cs="Times New Roman" w:eastAsia="Times New Roman" w:hAnsi="Times New Roman"/>
                <w:sz w:val="20"/>
                <w:szCs w:val="20"/>
                <w:color w:val="0000FF"/>
                <w:w w:val="98"/>
              </w:rPr>
              <w:t>381,040</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00" w:type="dxa"/>
            <w:vAlign w:val="bottom"/>
            <w:tcBorders>
              <w:bottom w:val="single" w:sz="8" w:color="2C2C2C"/>
            </w:tcBorders>
          </w:tcPr>
          <w:p>
            <w:pPr>
              <w:jc w:val="center"/>
              <w:ind w:left="1374"/>
              <w:spacing w:after="0"/>
              <w:rPr>
                <w:sz w:val="20"/>
                <w:szCs w:val="20"/>
                <w:color w:val="auto"/>
              </w:rPr>
            </w:pPr>
            <w:r>
              <w:rPr>
                <w:rFonts w:ascii="Times New Roman" w:cs="Times New Roman" w:eastAsia="Times New Roman" w:hAnsi="Times New Roman"/>
                <w:sz w:val="20"/>
                <w:szCs w:val="20"/>
                <w:color w:val="0000FF"/>
                <w:w w:val="97"/>
              </w:rPr>
              <w:t>1,658,198</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30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LSV Associates, LLC</w:t>
              </w:r>
            </w:hyperlink>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620" w:type="dxa"/>
            <w:vAlign w:val="bottom"/>
          </w:tcPr>
          <w:p>
            <w:pPr>
              <w:ind w:left="300"/>
              <w:spacing w:after="0"/>
              <w:rPr>
                <w:sz w:val="20"/>
                <w:szCs w:val="20"/>
                <w:color w:val="auto"/>
              </w:rPr>
            </w:pPr>
            <w:r>
              <w:rPr>
                <w:rFonts w:ascii="Arial" w:cs="Arial" w:eastAsia="Arial" w:hAnsi="Arial"/>
                <w:sz w:val="15"/>
                <w:szCs w:val="15"/>
                <w:color w:val="auto"/>
              </w:rPr>
              <w:t>(First)</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500 BOYLSTON STREET, SUITE 1380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6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620" w:type="dxa"/>
            <w:vAlign w:val="bottom"/>
          </w:tcPr>
          <w:p>
            <w:pPr>
              <w:ind w:left="300"/>
              <w:spacing w:after="0"/>
              <w:rPr>
                <w:sz w:val="20"/>
                <w:szCs w:val="20"/>
                <w:color w:val="auto"/>
              </w:rPr>
            </w:pPr>
            <w:r>
              <w:rPr>
                <w:rFonts w:ascii="Arial" w:cs="Arial" w:eastAsia="Arial" w:hAnsi="Arial"/>
                <w:sz w:val="15"/>
                <w:szCs w:val="15"/>
                <w:color w:val="auto"/>
              </w:rPr>
              <w:t>(State)</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Lightstone Ventures, L.P.</w:t>
              </w:r>
            </w:hyperlink>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28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620" w:type="dxa"/>
            <w:vAlign w:val="bottom"/>
          </w:tcPr>
          <w:p>
            <w:pPr>
              <w:ind w:left="300"/>
              <w:spacing w:after="0"/>
              <w:rPr>
                <w:sz w:val="20"/>
                <w:szCs w:val="20"/>
                <w:color w:val="auto"/>
              </w:rPr>
            </w:pPr>
            <w:r>
              <w:rPr>
                <w:rFonts w:ascii="Arial" w:cs="Arial" w:eastAsia="Arial" w:hAnsi="Arial"/>
                <w:sz w:val="15"/>
                <w:szCs w:val="15"/>
                <w:color w:val="auto"/>
              </w:rPr>
              <w:t>(First)</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500 BOYLSTON STREET, SUITE 1380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6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-3314065</wp:posOffset>
            </wp:positionV>
            <wp:extent cx="2773045" cy="387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73045" cy="387858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83185</wp:posOffset>
            </wp:positionV>
            <wp:extent cx="2753995" cy="152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53995" cy="15240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-158750</wp:posOffset>
            </wp:positionV>
            <wp:extent cx="2773045" cy="9710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73045" cy="9710420"/>
                    </a:xfrm>
                    <a:prstGeom prst="rect">
                      <a:avLst/>
                    </a:prstGeom>
                    <a:noFill/>
                  </pic:spPr>
                </pic:pic>
              </a:graphicData>
            </a:graphic>
          </wp:anchor>
        </w:drawing>
      </w:r>
    </w:p>
    <w:p>
      <w:pPr>
        <w:ind w:left="1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Lightstone Ventures (A), L.P.</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58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500 BOYLSTON STREET, SUITE 1380</w:t>
            </w:r>
          </w:p>
        </w:tc>
      </w:tr>
      <w:tr>
        <w:trPr>
          <w:trHeight w:val="237"/>
        </w:trPr>
        <w:tc>
          <w:tcPr>
            <w:tcW w:w="10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580" w:type="dxa"/>
            <w:vAlign w:val="bottom"/>
          </w:tcPr>
          <w:p>
            <w:pPr>
              <w:ind w:left="30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6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Lightstone Singapore, L.P.</w:t>
              </w:r>
            </w:hyperlink>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580" w:type="dxa"/>
            <w:vAlign w:val="bottom"/>
          </w:tcPr>
          <w:p>
            <w:pPr>
              <w:ind w:left="30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500 BOYLSTON STREET, SUITE 1380</w:t>
            </w:r>
          </w:p>
        </w:tc>
      </w:tr>
      <w:tr>
        <w:trPr>
          <w:trHeight w:val="237"/>
        </w:trPr>
        <w:tc>
          <w:tcPr>
            <w:tcW w:w="100" w:type="dxa"/>
            <w:vAlign w:val="bottom"/>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58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58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4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580" w:type="dxa"/>
            <w:vAlign w:val="bottom"/>
          </w:tcPr>
          <w:p>
            <w:pPr>
              <w:ind w:left="30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Lightstone Singapore Associates, LLC</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C/O MAPLES CORPORATE SERVICES</w:t>
            </w:r>
          </w:p>
        </w:tc>
        <w:tc>
          <w:tcPr>
            <w:tcW w:w="0" w:type="dxa"/>
            <w:vAlign w:val="bottom"/>
          </w:tcPr>
          <w:p>
            <w:pPr>
              <w:spacing w:after="0"/>
              <w:rPr>
                <w:sz w:val="1"/>
                <w:szCs w:val="1"/>
                <w:color w:val="auto"/>
              </w:rPr>
            </w:pPr>
          </w:p>
        </w:tc>
      </w:tr>
      <w:tr>
        <w:trPr>
          <w:trHeight w:val="300"/>
        </w:trPr>
        <w:tc>
          <w:tcPr>
            <w:tcW w:w="10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5"/>
              </w:rPr>
              <w:t>UGLAND HOUSE, P.O. BOX 309</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GRAND</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E9</w:t>
            </w: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0000FF"/>
              </w:rPr>
              <w:t>KY1-1104</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CAYMAN</w:t>
            </w:r>
          </w:p>
        </w:tc>
        <w:tc>
          <w:tcPr>
            <w:tcW w:w="144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312"/>
        </w:trPr>
        <w:tc>
          <w:tcPr>
            <w:tcW w:w="100" w:type="dxa"/>
            <w:vAlign w:val="bottom"/>
          </w:tcPr>
          <w:p>
            <w:pPr>
              <w:spacing w:after="0"/>
              <w:rPr>
                <w:sz w:val="24"/>
                <w:szCs w:val="24"/>
                <w:color w:val="auto"/>
              </w:rPr>
            </w:pPr>
          </w:p>
        </w:tc>
        <w:tc>
          <w:tcPr>
            <w:tcW w:w="276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Carusi Michael A</w:t>
              </w:r>
            </w:hyperlink>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LSV ASSOCIATES LLC</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500 BOYLSTON ST., SUITE 1380</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MA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4340" w:type="dxa"/>
            <w:vAlign w:val="bottom"/>
            <w:tcBorders>
              <w:bottom w:val="single" w:sz="8" w:color="2C2C2C"/>
            </w:tcBorders>
            <w:gridSpan w:val="5"/>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312"/>
        </w:trPr>
        <w:tc>
          <w:tcPr>
            <w:tcW w:w="100" w:type="dxa"/>
            <w:vAlign w:val="bottom"/>
          </w:tcPr>
          <w:p>
            <w:pPr>
              <w:spacing w:after="0"/>
              <w:rPr>
                <w:sz w:val="24"/>
                <w:szCs w:val="24"/>
                <w:color w:val="auto"/>
              </w:rPr>
            </w:pPr>
          </w:p>
        </w:tc>
        <w:tc>
          <w:tcPr>
            <w:tcW w:w="276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3">
              <w:r>
                <w:rPr>
                  <w:rFonts w:ascii="Times New Roman" w:cs="Times New Roman" w:eastAsia="Times New Roman" w:hAnsi="Times New Roman"/>
                  <w:sz w:val="24"/>
                  <w:szCs w:val="24"/>
                  <w:u w:val="single" w:color="auto"/>
                  <w:color w:val="0000EE"/>
                </w:rPr>
                <w:t>Plain Henry A JR</w:t>
              </w:r>
            </w:hyperlink>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8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125 CONSTITUTION DRIVE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w w:val="98"/>
              </w:rPr>
              <w:t>MENLO PARK</w:t>
            </w:r>
          </w:p>
        </w:tc>
        <w:tc>
          <w:tcPr>
            <w:tcW w:w="1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94025-1118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8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by Lightstone Ventures, L.P. ("LV LP"). LSV Associates, LLC ("LSV Associates") is the general partner of LV LP. As the individual managing directors of LSV Associates, Michael A. Carusi, Jean M. George and Henry A. Plain Jr. share voting and dispositive power with respect to the shares held of record by LV LP. Each of LSV Associates, Mr. Carusi and Mr. Plain disclaim beneficial ownership of such shares except to the extent of its or his respective pecuniary interest therein. Ms. George, as a director of the Issuer, files separate Section 16 reports.</w:t>
      </w:r>
    </w:p>
    <w:p>
      <w:pPr>
        <w:spacing w:after="0" w:line="33"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by Lightstone Ventures (A), L.P. ("LV(A) LP"). LSV Associates is the general partner of LV(A) LP. As the individual managing directors of LSV</w:t>
      </w:r>
    </w:p>
    <w:p>
      <w:pPr>
        <w:sectPr>
          <w:pgSz w:w="11900" w:h="16838" w:orient="portrait"/>
          <w:cols w:equalWidth="0" w:num="1">
            <w:col w:w="10840"/>
          </w:cols>
          <w:pgMar w:left="500" w:top="103" w:right="559" w:bottom="0" w:gutter="0" w:footer="0" w:header="0"/>
        </w:sectPr>
      </w:pPr>
    </w:p>
    <w:bookmarkStart w:id="2" w:name="page3"/>
    <w:bookmarkEnd w:id="2"/>
    <w:p>
      <w:pPr>
        <w:spacing w:after="0" w:line="244" w:lineRule="auto"/>
        <w:rPr>
          <w:sz w:val="20"/>
          <w:szCs w:val="20"/>
          <w:color w:val="auto"/>
        </w:rPr>
      </w:pPr>
      <w:r>
        <w:rPr>
          <w:rFonts w:ascii="Times New Roman" w:cs="Times New Roman" w:eastAsia="Times New Roman" w:hAnsi="Times New Roman"/>
          <w:sz w:val="15"/>
          <w:szCs w:val="15"/>
          <w:color w:val="008000"/>
        </w:rPr>
        <w:t>Associates, Michael A. Carusi, Jean M. George and Henry A. Plain Jr. share voting and dispositive power with respect to the shares held of record by LV(A) LP. Each of LSV Associates, Mr. Carusi and Mr. Plain disclaim beneficial ownership of such shares except to the extent of its or his respective pecuniary interest therein. Ms. George, as a director of the Issuer, files separate Section 16 reports.</w:t>
      </w:r>
    </w:p>
    <w:p>
      <w:pPr>
        <w:spacing w:after="0" w:line="29" w:lineRule="exact"/>
        <w:rPr>
          <w:sz w:val="20"/>
          <w:szCs w:val="20"/>
          <w:color w:val="auto"/>
        </w:rPr>
      </w:pPr>
    </w:p>
    <w:p>
      <w:pPr>
        <w:ind w:right="40" w:firstLine="5"/>
        <w:spacing w:after="0" w:line="239"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by Lightstone Singapore, L.P. ("LV Singapore"), Lightstone Singapore Associates, LLC ("Lightstone Singapore Associates") is the general partner of LV Singapore. As the individual managing directors of Lightstone Singapore Associates, Michael A. Carusi, Jean M. George and Henry A. Plain Jr. share voting and dispositive power with respect to the shares held of record by LV Singapore. Each of Lightstone Singapore Associates, Mr. Carusi and Mr. Plain disclaim beneficial ownership of such shares except to the extent of its or his respective pecuniary interest therein. Ms. George, as a director of the Issuer, files separate Section 16 reports.</w:t>
      </w:r>
    </w:p>
    <w:p>
      <w:pPr>
        <w:sectPr>
          <w:pgSz w:w="11900" w:h="16838" w:orient="portrait"/>
          <w:cols w:equalWidth="0" w:num="1">
            <w:col w:w="10820"/>
          </w:cols>
          <w:pgMar w:left="520" w:top="125" w:right="559" w:bottom="1440" w:gutter="0" w:footer="0" w:header="0"/>
        </w:sectPr>
      </w:pPr>
    </w:p>
    <w:p>
      <w:pPr>
        <w:spacing w:after="0" w:line="6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Lightstone Ventures,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2801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8016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LSV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635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by /s/ Jean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742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9474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Lightstone Ventures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2809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L.P., by LSV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507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350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by /s/ Jean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33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433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LSV Associates,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63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 Jean George,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588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2588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Lightstone Singapore,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762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27" w:lineRule="exact"/>
        <w:rPr>
          <w:sz w:val="20"/>
          <w:szCs w:val="20"/>
          <w:color w:val="auto"/>
        </w:rPr>
      </w:pPr>
    </w:p>
    <w:p>
      <w:pPr>
        <w:ind w:left="6540" w:right="80" w:hanging="7"/>
        <w:spacing w:after="0" w:line="291" w:lineRule="auto"/>
        <w:tabs>
          <w:tab w:leader="none" w:pos="6638" w:val="left"/>
        </w:tabs>
        <w:numPr>
          <w:ilvl w:val="0"/>
          <w:numId w:val="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by Lightstone Singapore Associates, LLC, by /s/ Jean George,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-511810</wp:posOffset>
            </wp:positionV>
            <wp:extent cx="128016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8016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-359410</wp:posOffset>
            </wp:positionV>
            <wp:extent cx="115951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5951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-207010</wp:posOffset>
            </wp:positionV>
            <wp:extent cx="117792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17792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-53975</wp:posOffset>
            </wp:positionV>
            <wp:extent cx="41275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Lightstone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6299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06299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Associates,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951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1595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Jean George,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792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779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02/12/2021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8620" w:space="100"/>
            <w:col w:w="2100"/>
          </w:cols>
          <w:pgMar w:left="520" w:top="125" w:right="559" w:bottom="1440" w:gutter="0" w:footer="0" w:header="0"/>
          <w:type w:val="continuous"/>
        </w:sectPr>
      </w:pPr>
    </w:p>
    <w:tbl>
      <w:tblPr>
        <w:tblLayout w:type="fixed"/>
        <w:tblInd w:w="654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Michael A. Carusi</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02/12/2021</w:t>
            </w:r>
          </w:p>
        </w:tc>
      </w:tr>
      <w:tr>
        <w:trPr>
          <w:trHeight w:val="280"/>
        </w:trPr>
        <w:tc>
          <w:tcPr>
            <w:tcW w:w="1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7"/>
              </w:rPr>
              <w:t>/s/ Henry A. Plain Jr.</w:t>
            </w:r>
          </w:p>
        </w:tc>
        <w:tc>
          <w:tcPr>
            <w:tcW w:w="52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02/12/2021</w:t>
            </w:r>
          </w:p>
        </w:tc>
      </w:tr>
      <w:tr>
        <w:trPr>
          <w:trHeight w:val="20"/>
        </w:trPr>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10" Type="http://schemas.openxmlformats.org/officeDocument/2006/relationships/hyperlink" Target="http://www.sec.gov/cgi-bin/browse-edgar?action=getcompany&amp;CIK=0001643828" TargetMode="External"/><Relationship Id="rId11" Type="http://schemas.openxmlformats.org/officeDocument/2006/relationships/hyperlink" Target="http://www.sec.gov/cgi-bin/browse-edgar?action=getcompany&amp;CIK=0001816736" TargetMode="External"/><Relationship Id="rId15" Type="http://schemas.openxmlformats.org/officeDocument/2006/relationships/hyperlink" Target="http://www.sec.gov/cgi-bin/browse-edgar?action=getcompany&amp;CIK=0001572522" TargetMode="External"/><Relationship Id="rId19" Type="http://schemas.openxmlformats.org/officeDocument/2006/relationships/hyperlink" Target="http://www.sec.gov/cgi-bin/browse-edgar?action=getcompany&amp;CIK=0001572523" TargetMode="External"/><Relationship Id="rId20" Type="http://schemas.openxmlformats.org/officeDocument/2006/relationships/hyperlink" Target="http://www.sec.gov/cgi-bin/browse-edgar?action=getcompany&amp;CIK=0001664539" TargetMode="External"/><Relationship Id="rId21" Type="http://schemas.openxmlformats.org/officeDocument/2006/relationships/hyperlink" Target="http://www.sec.gov/cgi-bin/browse-edgar?action=getcompany&amp;CIK=0001846409" TargetMode="External"/><Relationship Id="rId22" Type="http://schemas.openxmlformats.org/officeDocument/2006/relationships/hyperlink" Target="http://www.sec.gov/cgi-bin/browse-edgar?action=getcompany&amp;CIK=0001306506" TargetMode="External"/><Relationship Id="rId23" Type="http://schemas.openxmlformats.org/officeDocument/2006/relationships/hyperlink" Target="http://www.sec.gov/cgi-bin/browse-edgar?action=getcompany&amp;CIK=0001384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2021-02-16T16:54:55Z</dcterms:created>
  <dcterms:modified xsi:type="dcterms:W3CDTF">2021-02-16T16:54:55Z</dcterms:modified>
</cp:coreProperties>
</file>