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Securities Exchange Act of 1934 (Amendment No.</w:t>
        <w:tab/>
        <w:t>)</w:t>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501" w:lineRule="exact"/>
        <w:rPr>
          <w:sz w:val="24"/>
          <w:szCs w:val="24"/>
          <w:color w:val="auto"/>
        </w:rPr>
      </w:pPr>
    </w:p>
    <w:p>
      <w:pPr>
        <w:sectPr>
          <w:pgSz w:w="11900" w:h="16838" w:orient="portrait"/>
          <w:cols w:equalWidth="0" w:num="2">
            <w:col w:w="5320" w:space="720"/>
            <w:col w:w="4099"/>
          </w:cols>
          <w:pgMar w:left="320" w:top="1440" w:right="1440" w:bottom="1440" w:gutter="0" w:footer="0" w:header="0"/>
          <w:type w:val="continuous"/>
        </w:sectPr>
      </w:pPr>
    </w:p>
    <w:p>
      <w:pPr>
        <w:spacing w:after="0" w:line="19"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20" w:right="3959" w:firstLine="1"/>
        <w:spacing w:after="0" w:line="243" w:lineRule="exact"/>
        <w:tabs>
          <w:tab w:leader="none" w:pos="3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32"/>
          <w:szCs w:val="32"/>
          <w:b w:val="1"/>
          <w:bCs w:val="1"/>
          <w:color w:val="auto"/>
        </w:rPr>
        <w:t>DISC MEDICINE,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9" w:lineRule="exact"/>
        <w:rPr>
          <w:sz w:val="24"/>
          <w:szCs w:val="24"/>
          <w:color w:val="auto"/>
        </w:rPr>
      </w:pPr>
    </w:p>
    <w:p>
      <w:pPr>
        <w:ind w:left="260" w:hanging="239"/>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260" w:hanging="239"/>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1186180</wp:posOffset>
            </wp:positionV>
            <wp:extent cx="1911350" cy="1088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12,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2024 Annual Meeting of Stockholders, or Annual Meeting, of Disc Medicine, Inc., will be held on June 12, 2024 at 9:00 A.M. Eastern Time. The Annual Meeting will be a completely virtual meeting, which will be conducted by live webcast at www.virtualshareholdermeeting.com/IRON2024.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purpose of the Annual Meeting is the following:</w:t>
      </w:r>
    </w:p>
    <w:p>
      <w:pPr>
        <w:spacing w:after="0" w:line="143" w:lineRule="exact"/>
        <w:rPr>
          <w:sz w:val="20"/>
          <w:szCs w:val="20"/>
          <w:color w:val="auto"/>
        </w:rPr>
      </w:pPr>
    </w:p>
    <w:p>
      <w:pPr>
        <w:ind w:left="240" w:hanging="232"/>
        <w:spacing w:after="0" w:line="282"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to our board of directors, to serve until the 2027 annual meeting of stockholders and until their successors have been duly elected and qualified, or until their earlier death, resignation or removal;</w:t>
      </w:r>
    </w:p>
    <w:p>
      <w:pPr>
        <w:spacing w:after="0" w:line="134" w:lineRule="exact"/>
        <w:rPr>
          <w:rFonts w:ascii="Times New Roman" w:cs="Times New Roman" w:eastAsia="Times New Roman" w:hAnsi="Times New Roman"/>
          <w:sz w:val="18"/>
          <w:szCs w:val="18"/>
          <w:color w:val="auto"/>
        </w:rPr>
      </w:pPr>
    </w:p>
    <w:p>
      <w:pPr>
        <w:ind w:left="240" w:right="20" w:hanging="232"/>
        <w:spacing w:after="0" w:line="282"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2024; and</w:t>
      </w:r>
    </w:p>
    <w:p>
      <w:pPr>
        <w:spacing w:after="0" w:line="1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two Class I directors nominated by the board of directors.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Disc Medicine, Inc. stockholders of record at the close of business on April 15, 2024, will be entitled to vote at the Annual Meeting and any adjournment or postponement thereof.</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can find more information on each of the matters to be voted on at the Annual Meeting, including information regarding the nominees for election to our board of directors, in the accompanying Proxy Statement. Our board of directors recommends a vote “FOR” the election of the two nominees for Class I directors and, “FOR” the ratification of the appointment of the Company’s independent registered public accounting firm for the fiscal year ending December 31, 2024.</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 Medicine, Inc.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2023, or 2023 Annual Report. The Notice contains instructions on how to access both the 2023 Annual Report and accompanying proxy statement over the Internet. This method provides our stockholders with expedited access to proxy materials, lowers the cost of printing and distribution, and reduces the environmental impact of the Annual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If you would like to receive a print version of the proxy materials, free of charge, please follow the instructions on the Notice.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the “General Information” section of the proxy statement that accompanies this notice for more details regarding the logistics of the Annual Meeting.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virtual meeting, by submitting your proxy via the Internet at the address listed on the proxy card or by signing, dating and returning the proxy card. Even if you have voted by proxy, you may still vote online during the virtual meeting. Please note, however, that if your shares are held through a broker, bank or other nominee and you wish to vote at the virtual meeting, you must obtain a proxy issued in your name from that record holder.</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27305</wp:posOffset>
            </wp:positionV>
            <wp:extent cx="3505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20" w:type="dxa"/>
            <w:vAlign w:val="bottom"/>
            <w:shd w:val="clear" w:color="auto" w:fill="CCEEFF"/>
          </w:tcPr>
          <w:p>
            <w:pPr>
              <w:spacing w:after="0"/>
              <w:rPr>
                <w:sz w:val="19"/>
                <w:szCs w:val="19"/>
                <w:color w:val="auto"/>
              </w:rPr>
            </w:pPr>
          </w:p>
        </w:tc>
        <w:tc>
          <w:tcPr>
            <w:tcW w:w="106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PROXY STATEMENT FOR THE 2024 ANNUAL MEETING OF STOCKHOLDERS</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5</w:t>
            </w:r>
          </w:p>
        </w:tc>
      </w:tr>
      <w:tr>
        <w:trPr>
          <w:trHeight w:val="189"/>
        </w:trPr>
        <w:tc>
          <w:tcPr>
            <w:tcW w:w="20" w:type="dxa"/>
            <w:vAlign w:val="bottom"/>
            <w:tcBorders>
              <w:top w:val="single" w:sz="8" w:color="CCEEFF"/>
            </w:tcBorders>
          </w:tcPr>
          <w:p>
            <w:pPr>
              <w:spacing w:after="0"/>
              <w:rPr>
                <w:sz w:val="16"/>
                <w:szCs w:val="16"/>
                <w:color w:val="auto"/>
              </w:rPr>
            </w:pPr>
          </w:p>
        </w:tc>
        <w:tc>
          <w:tcPr>
            <w:tcW w:w="6280" w:type="dxa"/>
            <w:vAlign w:val="bottom"/>
            <w:tcBorders>
              <w:top w:val="single" w:sz="8" w:color="0000FF"/>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GENERAL INFORMATION</w:t>
            </w:r>
          </w:p>
        </w:tc>
        <w:tc>
          <w:tcPr>
            <w:tcW w:w="4380" w:type="dxa"/>
            <w:vAlign w:val="bottom"/>
            <w:tcBorders>
              <w:top w:val="single" w:sz="8" w:color="CCEEFF"/>
            </w:tcBorders>
            <w:gridSpan w:val="3"/>
          </w:tcPr>
          <w:p>
            <w:pPr>
              <w:spacing w:after="0"/>
              <w:rPr>
                <w:sz w:val="16"/>
                <w:szCs w:val="16"/>
                <w:color w:val="auto"/>
              </w:rPr>
            </w:pPr>
          </w:p>
        </w:tc>
        <w:tc>
          <w:tcPr>
            <w:tcW w:w="5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7</w:t>
            </w:r>
          </w:p>
        </w:tc>
      </w:tr>
      <w:tr>
        <w:trPr>
          <w:trHeight w:val="34"/>
        </w:trPr>
        <w:tc>
          <w:tcPr>
            <w:tcW w:w="2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PROPOSAL NO. 1 – ELECTION OF CLASS I DIRECTORS</w:t>
            </w:r>
          </w:p>
        </w:tc>
        <w:tc>
          <w:tcPr>
            <w:tcW w:w="6160" w:type="dxa"/>
            <w:vAlign w:val="bottom"/>
            <w:tcBorders>
              <w:bottom w:val="single" w:sz="8" w:color="CCEEFF"/>
            </w:tcBorders>
            <w:gridSpan w:val="5"/>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r>
      <w:tr>
        <w:trPr>
          <w:trHeight w:val="189"/>
        </w:trPr>
        <w:tc>
          <w:tcPr>
            <w:tcW w:w="20" w:type="dxa"/>
            <w:vAlign w:val="bottom"/>
          </w:tcPr>
          <w:p>
            <w:pPr>
              <w:spacing w:after="0"/>
              <w:rPr>
                <w:sz w:val="16"/>
                <w:szCs w:val="16"/>
                <w:color w:val="auto"/>
              </w:rPr>
            </w:pPr>
          </w:p>
        </w:tc>
        <w:tc>
          <w:tcPr>
            <w:tcW w:w="10520" w:type="dxa"/>
            <w:vAlign w:val="bottom"/>
            <w:tcBorders>
              <w:bottom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FF"/>
                <w:w w:val="99"/>
              </w:rPr>
              <w:t>PROPOSAL NO. 2 – RATIFICATION OF THE APPOINTMENT OF ERNST &amp; YOUNG LLP AS DISC MEDICINE, INC.’S INDEPENDENT</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FOR THE FISCAL YEAR ENDING DECEMBER 31, 2024</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34"/>
        </w:trPr>
        <w:tc>
          <w:tcPr>
            <w:tcW w:w="2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1640" w:type="dxa"/>
            <w:vAlign w:val="bottom"/>
            <w:tcBorders>
              <w:top w:val="single" w:sz="8" w:color="0000FF"/>
            </w:tcBorders>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CORPORATE GOVERNANCE</w:t>
            </w:r>
          </w:p>
        </w:tc>
        <w:tc>
          <w:tcPr>
            <w:tcW w:w="8320" w:type="dxa"/>
            <w:vAlign w:val="bottom"/>
            <w:tcBorders>
              <w:bottom w:val="single" w:sz="8" w:color="CCEEFF"/>
            </w:tcBorders>
            <w:gridSpan w:val="10"/>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r>
      <w:tr>
        <w:trPr>
          <w:trHeight w:val="189"/>
        </w:trPr>
        <w:tc>
          <w:tcPr>
            <w:tcW w:w="20" w:type="dxa"/>
            <w:vAlign w:val="bottom"/>
          </w:tcPr>
          <w:p>
            <w:pPr>
              <w:spacing w:after="0"/>
              <w:rPr>
                <w:sz w:val="16"/>
                <w:szCs w:val="16"/>
                <w:color w:val="auto"/>
              </w:rPr>
            </w:pPr>
          </w:p>
        </w:tc>
        <w:tc>
          <w:tcPr>
            <w:tcW w:w="106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34"/>
        </w:trPr>
        <w:tc>
          <w:tcPr>
            <w:tcW w:w="2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EXECUTIVE OFFICERS</w:t>
            </w:r>
          </w:p>
        </w:tc>
        <w:tc>
          <w:tcPr>
            <w:tcW w:w="8760" w:type="dxa"/>
            <w:vAlign w:val="bottom"/>
            <w:tcBorders>
              <w:bottom w:val="single" w:sz="8" w:color="CCEEFF"/>
            </w:tcBorders>
            <w:gridSpan w:val="12"/>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189"/>
        </w:trPr>
        <w:tc>
          <w:tcPr>
            <w:tcW w:w="20" w:type="dxa"/>
            <w:vAlign w:val="bottom"/>
          </w:tcPr>
          <w:p>
            <w:pPr>
              <w:spacing w:after="0"/>
              <w:rPr>
                <w:sz w:val="16"/>
                <w:szCs w:val="16"/>
                <w:color w:val="auto"/>
              </w:rPr>
            </w:pPr>
          </w:p>
        </w:tc>
        <w:tc>
          <w:tcPr>
            <w:tcW w:w="106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30</w:t>
            </w:r>
          </w:p>
        </w:tc>
      </w:tr>
      <w:tr>
        <w:trPr>
          <w:trHeight w:val="34"/>
        </w:trPr>
        <w:tc>
          <w:tcPr>
            <w:tcW w:w="2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48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5180" w:type="dxa"/>
            <w:vAlign w:val="bottom"/>
            <w:tcBorders>
              <w:bottom w:val="single" w:sz="8" w:color="CCEEFF"/>
            </w:tcBorders>
            <w:gridSpan w:val="4"/>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37</w:t>
            </w:r>
          </w:p>
        </w:tc>
      </w:tr>
      <w:tr>
        <w:trPr>
          <w:trHeight w:val="189"/>
        </w:trPr>
        <w:tc>
          <w:tcPr>
            <w:tcW w:w="20" w:type="dxa"/>
            <w:vAlign w:val="bottom"/>
          </w:tcPr>
          <w:p>
            <w:pPr>
              <w:spacing w:after="0"/>
              <w:rPr>
                <w:sz w:val="16"/>
                <w:szCs w:val="16"/>
                <w:color w:val="auto"/>
              </w:rPr>
            </w:pPr>
          </w:p>
        </w:tc>
        <w:tc>
          <w:tcPr>
            <w:tcW w:w="106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PRINCIPAL STOCKHOLDERS</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39</w:t>
            </w:r>
          </w:p>
        </w:tc>
      </w:tr>
      <w:tr>
        <w:trPr>
          <w:trHeight w:val="34"/>
        </w:trPr>
        <w:tc>
          <w:tcPr>
            <w:tcW w:w="2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6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189"/>
        </w:trPr>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HOUSEHOLDING</w:t>
            </w:r>
          </w:p>
        </w:tc>
        <w:tc>
          <w:tcPr>
            <w:tcW w:w="7600" w:type="dxa"/>
            <w:vAlign w:val="bottom"/>
            <w:tcBorders>
              <w:top w:val="single" w:sz="8" w:color="CCEEFF"/>
            </w:tcBorders>
            <w:gridSpan w:val="7"/>
          </w:tcPr>
          <w:p>
            <w:pPr>
              <w:spacing w:after="0"/>
              <w:rPr>
                <w:sz w:val="16"/>
                <w:szCs w:val="16"/>
                <w:color w:val="auto"/>
              </w:rPr>
            </w:pPr>
          </w:p>
        </w:tc>
        <w:tc>
          <w:tcPr>
            <w:tcW w:w="5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34"/>
        </w:trPr>
        <w:tc>
          <w:tcPr>
            <w:tcW w:w="2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06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STOCKHOLDER PROPOSALS</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42</w:t>
            </w:r>
          </w:p>
        </w:tc>
      </w:tr>
      <w:tr>
        <w:trPr>
          <w:trHeight w:val="189"/>
        </w:trPr>
        <w:tc>
          <w:tcPr>
            <w:tcW w:w="20" w:type="dxa"/>
            <w:vAlign w:val="bottom"/>
            <w:tcBorders>
              <w:top w:val="single" w:sz="8" w:color="CCEEFF"/>
            </w:tcBorders>
          </w:tcPr>
          <w:p>
            <w:pPr>
              <w:spacing w:after="0"/>
              <w:rPr>
                <w:sz w:val="16"/>
                <w:szCs w:val="16"/>
                <w:color w:val="auto"/>
              </w:rPr>
            </w:pPr>
          </w:p>
        </w:tc>
        <w:tc>
          <w:tcPr>
            <w:tcW w:w="238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OTHER MATTERS</w:t>
            </w:r>
          </w:p>
        </w:tc>
        <w:tc>
          <w:tcPr>
            <w:tcW w:w="8280" w:type="dxa"/>
            <w:vAlign w:val="bottom"/>
            <w:tcBorders>
              <w:top w:val="single" w:sz="8" w:color="CCEEFF"/>
            </w:tcBorders>
            <w:gridSpan w:val="9"/>
          </w:tcPr>
          <w:p>
            <w:pPr>
              <w:spacing w:after="0"/>
              <w:rPr>
                <w:sz w:val="16"/>
                <w:szCs w:val="16"/>
                <w:color w:val="auto"/>
              </w:rPr>
            </w:pPr>
          </w:p>
        </w:tc>
        <w:tc>
          <w:tcPr>
            <w:tcW w:w="5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20" w:type="dxa"/>
            <w:vAlign w:val="bottom"/>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1049020</wp:posOffset>
            </wp:positionV>
            <wp:extent cx="1911350" cy="1088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113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12, 2024</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proxy statement contains information about the 2024 Annual Meeting of Stockholders, or the Annual Meeting, of Disc Medicine, Inc., which will be held on June 12, 2024 at 9:00 A.M. Eastern Time. The Annual Meeting will be a completely virtual meeting, which will be conducted by live webcast at www.virtualshareholdermeeting.com/IRON2024. There will be no physical meeting location.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board of directors of Disc Medicine, Inc. is using this proxy statement to solicit proxies for use at the Annual Meeting. In this proxy statement, the terms “Disc,” “Disc Medicine,” the “Company,” “we,” “us,” and “our” refer to Disc Medicine, Inc. The mailing address of our principal executive offices is Disc Medicine, Inc., 321 Arsenal Street, Suite 101, Watertown, Massachusetts 02472.</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plan to mail a Notice of Internet Availability of Proxy Materials, or the Notice, to our stockholders on or about May 1, 2024, and it contains instructions on how to access our proxy materials, including this proxy statement and our 2023 Annual Report, over the Internet.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utilizing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participate fully and equally, and without cost, and to exercise the same rights as if they had attended an in-person meeting. We believe that these measures will enhance stockholder access and encourage participation and communication with our board of directors and management. In addition, the virtual-only meeting format increases our ability to engage with all stockholders, regardless of size, resources or physical location.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of our named executive officers or the frequency with which such votes must be conducted. We will remain an “emerging growth company” until the earliest of (i) the last day of the fiscal year following the fifth anniversary of our initial public offering;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12,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statement and our 2023 Annual Report 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and our 2023 Annual Report, as filed with the SEC, except for exhibits, will be furnished without charge to any stockholder upon written request to Disc Medicine, Inc., 321 Arsenal Street, Suite 101, Watertown, Massachusetts 02472, Attention: Corporate Secretary. This proxy statement and our 2023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mailing to our stockholders the Notice instead of a paper copy of this proxy statement and our 2023 Annual Report, on or about May 1, 2024,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202" w:lineRule="exact"/>
        <w:rPr>
          <w:sz w:val="20"/>
          <w:szCs w:val="20"/>
          <w:color w:val="auto"/>
        </w:rPr>
      </w:pPr>
    </w:p>
    <w:p>
      <w:pPr>
        <w:ind w:right="1800"/>
        <w:spacing w:after="0" w:line="453" w:lineRule="auto"/>
        <w:rPr>
          <w:sz w:val="20"/>
          <w:szCs w:val="20"/>
          <w:color w:val="auto"/>
        </w:rPr>
      </w:pPr>
      <w:r>
        <w:rPr>
          <w:rFonts w:ascii="Times New Roman" w:cs="Times New Roman" w:eastAsia="Times New Roman" w:hAnsi="Times New Roman"/>
          <w:sz w:val="18"/>
          <w:szCs w:val="18"/>
          <w:color w:val="auto"/>
        </w:rPr>
        <w:t xml:space="preserve">The record date for determination of stockholders entitled to vote at the Annual Meeting is the close of business on April 15, 2024. </w:t>
      </w:r>
      <w:r>
        <w:rPr>
          <w:rFonts w:ascii="Times New Roman" w:cs="Times New Roman" w:eastAsia="Times New Roman" w:hAnsi="Times New Roman"/>
          <w:sz w:val="18"/>
          <w:szCs w:val="18"/>
          <w:b w:val="1"/>
          <w:bCs w:val="1"/>
          <w:color w:val="auto"/>
        </w:rPr>
        <w:t>How many votes can be cast by all stockholders?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24,721,465 shares of our common stock, par value $0.0001 per share, outstanding on April 15, 2024,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Annual Meeting. None of our shares of preferred stock were outstanding as of April 15,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Annual Meeting. Throughout this proxy statement, we refer to these registered stockholders as “stockholders of record.”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81" w:lineRule="exact"/>
        <w:rPr>
          <w:sz w:val="20"/>
          <w:szCs w:val="20"/>
          <w:color w:val="auto"/>
        </w:rPr>
      </w:pPr>
    </w:p>
    <w:p>
      <w:pPr>
        <w:jc w:val="both"/>
        <w:ind w:left="240" w:hanging="232"/>
        <w:spacing w:after="0" w:line="268"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the voter control number printed on the furnished proxy card, 24 hours a day, seven days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 Use the Internet to transmit your voting instructions and for electronic delivery of information up until 11:59 p.m. Eastern Time the day before the meeting date. You will need the control number included on your proxy card.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49" w:lineRule="exact"/>
        <w:rPr>
          <w:sz w:val="20"/>
          <w:szCs w:val="20"/>
          <w:color w:val="auto"/>
        </w:rPr>
      </w:pPr>
    </w:p>
    <w:p>
      <w:pPr>
        <w:jc w:val="both"/>
        <w:ind w:left="240" w:right="20" w:hanging="232"/>
        <w:spacing w:after="0" w:line="268"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Use any touch-tone telephone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transmit your voting instructions up until 11:59 p.m. Eastern Time the day before the meeting date. You will need the control number included on your proxy card.</w:t>
      </w:r>
    </w:p>
    <w:p>
      <w:pPr>
        <w:spacing w:after="0" w:line="143" w:lineRule="exact"/>
        <w:rPr>
          <w:rFonts w:ascii="Times New Roman" w:cs="Times New Roman" w:eastAsia="Times New Roman" w:hAnsi="Times New Roman"/>
          <w:sz w:val="18"/>
          <w:szCs w:val="18"/>
          <w:color w:val="auto"/>
        </w:rPr>
      </w:pPr>
    </w:p>
    <w:p>
      <w:pPr>
        <w:jc w:val="both"/>
        <w:ind w:left="240" w:hanging="232"/>
        <w:spacing w:after="0" w:line="268"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If you requested and received a printed copy of the proxy materials, you may vote by completing, signing and mailing your proxy card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postage-paid envelope we have provided or return it to Vote Processing, c/o Broadridge, 51 Mercedes Way, Edgewood, NY 11717. Votes submitted through the mail must be received by June 11, 2024.</w:t>
      </w:r>
    </w:p>
    <w:p>
      <w:pPr>
        <w:spacing w:after="0" w:line="130" w:lineRule="exact"/>
        <w:rPr>
          <w:rFonts w:ascii="Times New Roman" w:cs="Times New Roman" w:eastAsia="Times New Roman" w:hAnsi="Times New Roman"/>
          <w:sz w:val="18"/>
          <w:szCs w:val="18"/>
          <w:color w:val="auto"/>
        </w:rPr>
      </w:pPr>
    </w:p>
    <w:p>
      <w:pPr>
        <w:ind w:left="240" w:hanging="232"/>
        <w:spacing w:after="0" w:line="286"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at the Annual Meeting. </w:t>
      </w:r>
      <w:r>
        <w:rPr>
          <w:rFonts w:ascii="Times New Roman" w:cs="Times New Roman" w:eastAsia="Times New Roman" w:hAnsi="Times New Roman"/>
          <w:sz w:val="18"/>
          <w:szCs w:val="18"/>
          <w:color w:val="auto"/>
        </w:rPr>
        <w:t>Instructions on how to attend and vote at the Annual Meeting are described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www.virtualshareholdermeeting.com/IRON2024.</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you plan to attend our Annual Meeting, we recommend that you also vote by proxy so that your vote will be counted if you later decide not to attend the Annual Meeting.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before the start of the Annual Meeting.</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 online?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hosting our Annual Meeting via live webcast only. All stockholders as of the record date, or their duly appointed proxies, can attend the Annual Meeting live online at www.virtualshareholdermeeting.com/IRON2024. The webcast will start at 9:00 a.m. Eastern Time on June 12, 2024. Stockholders may vote and ask questions while attending the Annual Meeting online. In order to be able to attend the Annual Meeting, you will need the 16-digit control number, which is located on your Notice of Internet Availability, on your proxy card or in the instructions accompanying your proxy materials. Instructions on how to participate in the Annual Meeting are also posted online at www.proxyvote.com.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Annual Meeting or over the Internet or via telephone,</w:t>
      </w:r>
    </w:p>
    <w:p>
      <w:pPr>
        <w:spacing w:after="0" w:line="27" w:lineRule="exact"/>
        <w:rPr>
          <w:sz w:val="20"/>
          <w:szCs w:val="20"/>
          <w:color w:val="auto"/>
        </w:rPr>
      </w:pPr>
    </w:p>
    <w:p>
      <w:pPr>
        <w:jc w:val="both"/>
        <w:ind w:firstLine="8"/>
        <w:spacing w:after="0" w:line="253"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virtually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Disc Medicine, Inc., 321 Arsenal Street, Suite 101, Watertown, Massachusetts 02472, Attention: Corporate Secretary.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outstanding shares entitled to vote, present in person or represented by proxy, will constitute a quorum for the transaction of business at the Annual Meeting.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 There were 24,721,465 shares of our common stock outstanding and entitled to vote on the record date. Therefore, a quorum will be present if 12,360,733 shares of our common stock are present in person or represented by executed proxies timely received by us at the Annual Meeting. Shares present virtually during the Annual Meeting will be considered shares of common stock represented in person at the meeting.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a brokerage account and you do not instruct your nominee how to vote your shares, your nominee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nominee holding shares for a beneficial owner has not received voting instructions from the beneficial owner and the nominee cannot vote the shares because the matter is considered “non-routine” under New York Stock Exchange rules. </w:t>
      </w:r>
      <w:r>
        <w:rPr>
          <w:rFonts w:ascii="Times New Roman" w:cs="Times New Roman" w:eastAsia="Times New Roman" w:hAnsi="Times New Roman"/>
          <w:sz w:val="18"/>
          <w:szCs w:val="18"/>
          <w:b w:val="1"/>
          <w:bCs w:val="1"/>
          <w:color w:val="auto"/>
        </w:rPr>
        <w:t>Proposal No. 1 is considered to be “non-routine”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 New York Stock Exchange rules such that your broker, bank or other agent may not vote your shares on the proposal in the absence of your voting instructions. Conversely, Proposal No. 2 is considered to be “routine” under New York Stock Exchange rules and thus if you do not return voting instructions to your broker, your shares may be voted by your broker in its discretion on Proposal No. 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votes are required for each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required and the method of calculation for each proposal at our Annual Meeting is described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80" w:type="dxa"/>
            <w:vAlign w:val="bottom"/>
          </w:tcPr>
          <w:p>
            <w:pPr>
              <w:spacing w:after="0"/>
              <w:rPr>
                <w:sz w:val="16"/>
                <w:szCs w:val="16"/>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80" w:type="dxa"/>
            <w:vAlign w:val="bottom"/>
          </w:tcPr>
          <w:p>
            <w:pPr>
              <w:spacing w:after="0"/>
              <w:rPr>
                <w:sz w:val="16"/>
                <w:szCs w:val="16"/>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 Voting Permitted?</w:t>
            </w:r>
          </w:p>
        </w:tc>
      </w:tr>
      <w:tr>
        <w:trPr>
          <w:trHeight w:val="23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Election of Directors</w:t>
            </w: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Plurality</w:t>
            </w:r>
          </w:p>
        </w:tc>
        <w:tc>
          <w:tcPr>
            <w:tcW w:w="280" w:type="dxa"/>
            <w:vAlign w:val="bottom"/>
            <w:shd w:val="clear" w:color="auto" w:fill="CFF0FC"/>
          </w:tcPr>
          <w:p>
            <w:pPr>
              <w:spacing w:after="0"/>
              <w:rPr>
                <w:sz w:val="20"/>
                <w:szCs w:val="20"/>
                <w:color w:val="auto"/>
              </w:rPr>
            </w:pPr>
          </w:p>
        </w:tc>
        <w:tc>
          <w:tcPr>
            <w:tcW w:w="3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the Ratification of appointment of EY</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Majority</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Voting Permitted” </w:t>
      </w:r>
      <w:r>
        <w:rPr>
          <w:rFonts w:ascii="Times New Roman" w:cs="Times New Roman" w:eastAsia="Times New Roman" w:hAnsi="Times New Roman"/>
          <w:sz w:val="18"/>
          <w:szCs w:val="18"/>
          <w:color w:val="auto"/>
        </w:rPr>
        <w:t>refers to whether brokers will have discretionary voting authority with respect to shares held in street name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even if the broker does not receive voting instructions from their client.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“Majority” </w:t>
      </w:r>
      <w:r>
        <w:rPr>
          <w:rFonts w:ascii="Times New Roman" w:cs="Times New Roman" w:eastAsia="Times New Roman" w:hAnsi="Times New Roman"/>
          <w:sz w:val="18"/>
          <w:szCs w:val="18"/>
          <w:color w:val="auto"/>
        </w:rPr>
        <w:t>means a majority of the votes properly cast for and against such matter.</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“Plurality” </w:t>
      </w:r>
      <w:r>
        <w:rPr>
          <w:rFonts w:ascii="Times New Roman" w:cs="Times New Roman" w:eastAsia="Times New Roman" w:hAnsi="Times New Roman"/>
          <w:sz w:val="18"/>
          <w:szCs w:val="18"/>
          <w:color w:val="auto"/>
        </w:rPr>
        <w:t>means a plurality of the votes properly cast on such matter. For the election of directors, the two nominees receiving the highest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person or by proxy, will be elected as directors.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votes withheld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your shares with respect to this proposal, your broker may not vote for this proposal, and those shares will be counted as broker “non-votes.” Proposal No. 2 is considered to be a discretionary item, and your brokerage firm will be able to vote your shares on this proposal even if it does not receive instructions from you.</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last occurs.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2025 must also satisfy the requirements of SEC Rule 14a-8 under the Securities Exchange Act of 1934, as amended, or the Exchange Act, and be received not later than January 1, 2025.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To comply with the universal proxy rules, stockholders who intend to solicit proxies in support of director nominees other than the company’s nominees must provide notice that sets forth the information required by Rule 14a-19 under the Exchange Act no later than March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13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Mona Ashiya, Ph.D. and Kevin Bitterman, Ph.D., and their terms will expire at the Annual Meeting;</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Georges Gemayel, Ph.D., Mark Chin, M.S., M.B.A. and Liam Ratcliffe, M.D., Ph.D., and their terms will expire at the annual meeting of stockholders to be held in 2025;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Donald Nicholson, Ph.D., William White, M.P.P., J.D. and John Quisel, J.D., Ph.D., and their terms will expire at the annual meeting of stockholders to be held in 2026.</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 thirds (2/3) or more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nominated each of Mona Ashiya, Ph.D. and Kevin Bitterman, Ph.D. for election as a Class I director at the Annual Meeting to serve until the annual meeting of stockholders to be held in 2027 and until their successor has been duly elected and qualified, or until their earlier death, resignation or removal. Each of the nominees is presently a director, and has indicated a willingness to continue to serve as a director, if elected. If either of the nominees becomes unable or unwilling to serve, however, the properly submitted proxies may be voted for a substitute nominee selected by our board of directors.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Policies and Procedures for Director Candidates, or the Director Guidelines, provide that the value of diversity should be considered in determining director candidates as well as other factors such as a candidate’s character, integrity, judgment, skills, education, expertise, business acumen and experience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with diversity of expertise and experience in substantive matters pertaining to our business relative and diversity of background and perspective, including, but not limited to, with respect to gender, ethnicity, religion, nationality, disability and sexual orientation. Our board of directors and nominating and corporate governance committee are committed to identifying, recruiting and advancing candidates offering such diversity in future searches.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age as of April 15,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42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Which Term</w:t>
            </w: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87"/>
        </w:trPr>
        <w:tc>
          <w:tcPr>
            <w:tcW w:w="26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1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60" w:type="dxa"/>
            <w:vAlign w:val="bottom"/>
            <w:shd w:val="clear" w:color="auto" w:fill="CFF0FC"/>
          </w:tcPr>
          <w:p>
            <w:pPr>
              <w:spacing w:after="0"/>
              <w:rPr>
                <w:sz w:val="20"/>
                <w:szCs w:val="20"/>
                <w:color w:val="auto"/>
              </w:rPr>
            </w:pPr>
          </w:p>
        </w:tc>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Class I – 2027</w:t>
            </w:r>
          </w:p>
        </w:tc>
        <w:tc>
          <w:tcPr>
            <w:tcW w:w="10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6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I – 2027</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Nominees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Mona Ashiya, Ph.D. </w:t>
      </w:r>
      <w:r>
        <w:rPr>
          <w:rFonts w:ascii="Times New Roman" w:cs="Times New Roman" w:eastAsia="Times New Roman" w:hAnsi="Times New Roman"/>
          <w:sz w:val="18"/>
          <w:szCs w:val="18"/>
          <w:color w:val="auto"/>
        </w:rPr>
        <w:t>has served as a member of our board of directors since September 2021. Dr. Ashiya is currently a Partner at OrbiMed Advisors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investment firm, where she has been employed since October 2010. Dr. Ashiya currently serves on the board of directors of several private companies. Dr. Ashiya also previously served on the board of directors of Prevail Therapeutics Inc. (Nasdaq: PRVL), from October 2017 to March 2019, and Sierra Oncology, Inc. (Nasdaq: SRRA), from November 2019 to July 2022. Dr. Ashiya received her B.A. from the University of California, Berkeley and her Ph.D. in Cellular, Molecular and Developmental Biology from the University of Pittsburgh. Dr. Ashiya is qualified to serve on our board of directors based on her roles on public and private boards of directors as well as her extensive experience in investing in healthcare companies.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Bitterman, Ph.D. </w:t>
      </w:r>
      <w:r>
        <w:rPr>
          <w:rFonts w:ascii="Times New Roman" w:cs="Times New Roman" w:eastAsia="Times New Roman" w:hAnsi="Times New Roman"/>
          <w:sz w:val="18"/>
          <w:szCs w:val="18"/>
          <w:color w:val="auto"/>
        </w:rPr>
        <w:t>has served as a member of our board of directors since November 2017. Dr. Bitterman currently serves as a partner at venture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Atlas Venture Life Science Advisors, LLC, or Atlas, a venture capital firm, where he has been employed since June 2017 and where he focuses on investments in life science companies. Prior to joining Atlas, Dr. Bitterman was a partner at Polaris Partners, an investment firm, as a member of the healthcare team from July 2004 to May 2017. Dr. Bitterman serves on the boards of Resonance Medicine, Nvelop Therapeutics, Judo Bio, Kinaset Therapeutics, Mariana Oncology, and Remix Therapeutics. He is board chair at Chroma Medicine and at Vedere Bio II following Novartis’ acquisition of Vedere Bio. Dr. Bitterman was the founding CEO of Editas Medicine (Nasdaq: EDIT), Morphic Therapeutics (Nasdaq: MORF) and Wisterra (acquired by Otsuka), and co-founded Genocea Biosciences (Nasdaq: GNCA). Dr. Bitterman previously served as a director of Akero Therapeutics, Inc. (Nasdaq: AKRO), Kala Pharmaceuticals, Inc. (Nasdaq: KALA) and Taris Biomedical (acquired by Johnson &amp; Johnson) among other ventures. Dr. Bitterman also serves as board chair of the New England Venture Capital Association.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properly submitted proxies will be voted for the election of such substitute nominee as our board of directors may designate.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 elected, the directors nominated via this Proposal No. 1 must receive a plurality of the votes properly cast on the election of directors, meaning that the director nominees receiving the most votes will be elected. Shares voting “withheld” and broker non-votes will have no effect on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“FOR” each of the Class I director nominees named above for re-election to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directors, and sets forth their principal occupation and business experience during the last five years and their ages as of April 15,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46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2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8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87"/>
        </w:trPr>
        <w:tc>
          <w:tcPr>
            <w:tcW w:w="29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46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8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200" w:type="dxa"/>
            <w:vAlign w:val="bottom"/>
            <w:shd w:val="clear" w:color="auto" w:fill="CFF0FC"/>
          </w:tcPr>
          <w:p>
            <w:pPr>
              <w:spacing w:after="0"/>
              <w:rPr>
                <w:sz w:val="20"/>
                <w:szCs w:val="20"/>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1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11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11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200" w:type="dxa"/>
            <w:vAlign w:val="bottom"/>
            <w:shd w:val="clear" w:color="auto" w:fill="CFF0FC"/>
          </w:tcPr>
          <w:p>
            <w:pPr>
              <w:spacing w:after="0"/>
              <w:rPr>
                <w:sz w:val="21"/>
                <w:szCs w:val="21"/>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1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c>
          <w:tcPr>
            <w:tcW w:w="11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c>
          <w:tcPr>
            <w:tcW w:w="11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200" w:type="dxa"/>
            <w:vAlign w:val="bottom"/>
            <w:shd w:val="clear" w:color="auto" w:fill="CFF0FC"/>
          </w:tcPr>
          <w:p>
            <w:pPr>
              <w:spacing w:after="0"/>
              <w:rPr>
                <w:sz w:val="21"/>
                <w:szCs w:val="21"/>
                <w:color w:val="auto"/>
              </w:rPr>
            </w:pPr>
          </w:p>
        </w:tc>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1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c>
          <w:tcPr>
            <w:tcW w:w="11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c>
          <w:tcPr>
            <w:tcW w:w="11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2025 Annual Meeting)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Georges Gemayel, Ph.D. </w:t>
      </w:r>
      <w:r>
        <w:rPr>
          <w:rFonts w:ascii="Times New Roman" w:cs="Times New Roman" w:eastAsia="Times New Roman" w:hAnsi="Times New Roman"/>
          <w:sz w:val="18"/>
          <w:szCs w:val="18"/>
          <w:color w:val="auto"/>
        </w:rPr>
        <w:t>has served as a member of our board of directors since December 2022. Prior to that, Dr. Gemayel served as Gemini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Interim President and Chief Executive Officer from February 2022 to December 2022, Executive Chairperson of the Board from November 2021 to December 2022 and Chairperson of the Board from May 2021 to November 2021. Dr. Gemayel has over 30 years of experience in the pharmaceutical industry, including management and executive positions in the U.S., Europe and the Middle East. Dr. Gemayel currently serves on the board of directors of Supernus Pharmaceuticals, Inc., and is the chair of the boards of Flamingo, Enterome SA, and GlycoEra. Previously, Dr. Gemayel served as Executive Chair of FoldRx Pharmaceuticals and of Syndexa Pharmaceuticals, as Chair of Oxthera AB, Dimension Therapeutics, Orphazyme A/S, Epitherapeutics and Dynacure, and as Director of Prosensa, Raptor Pharmaceuticals, NPS Pharma, Momenta Pharmaceuticals and Adolor. From 2008 to 2009, Dr. Gemayel was President and Chief Executive Officer of Altus Pharmaceuticals Inc., a publicly traded pharmaceutical company. From 2003 to 2008, Dr. Gemayel was Executive Vice President at Genzyme Corporation where he was responsible for the company’s global therapeutics, transplant, renal and biosurgery businesses. From 1998 to 2003, Dr. Gemayel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of directors has concluded that Dr. Gemayel possesses the expertise and extensive professional experience and knowledge that qualifies him to serve as a member of our board.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Chin, M.S., M.B.A. </w:t>
      </w:r>
      <w:r>
        <w:rPr>
          <w:rFonts w:ascii="Times New Roman" w:cs="Times New Roman" w:eastAsia="Times New Roman" w:hAnsi="Times New Roman"/>
          <w:sz w:val="18"/>
          <w:szCs w:val="18"/>
          <w:color w:val="auto"/>
        </w:rPr>
        <w:t>has served as a member of our board of directors since September 2021. Mr. Chin has served as partner at Avoro Capital,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biotechnology-focused investment firm, since November 2023. From April 2020 to November 2023 and August 2016 to April 2020, Mr. Chin served as a managing director and, an investment director, respectively, at Arix Bioscience PLC, or Arix Bioscience, a biotechnology-focused venture capital firm. Prior to Arix Bioscience, Mr. Chin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currently serves as a member of the boards of directors of Imara Inc. (Nasdaq: IMRA) and a number of private biotechnology companies. Mr. Chin received a B.S. from the University of California at San Diego, a M.S. from the University of Pennsylvania, and a M.B.A. from The Wharton School at the University of Pennsylvania. We believe Mr. Chin is qualified to serve on our board of directors based on his extensive experience investing in, guiding, and leading start-up and early phase companies, as well as his experience as a director of other companies.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Liam Ratcliffe, M.D., Ph.D. </w:t>
      </w:r>
      <w:r>
        <w:rPr>
          <w:rFonts w:ascii="Times New Roman" w:cs="Times New Roman" w:eastAsia="Times New Roman" w:hAnsi="Times New Roman"/>
          <w:sz w:val="18"/>
          <w:szCs w:val="18"/>
          <w:color w:val="auto"/>
        </w:rPr>
        <w:t>has served as a member of our board of directors since September 2019. Dr. Ratcliffe has served as Head of Biotechnology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Industries, a privately held industrial group, since April 2019. Previously, Dr. Ratcliffe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Inc. (Nasdaq: PFE), where he spent 12 years of his career. Dr. Ratcliffe currently serves as a member of the boards of directors of Arvinas Inc. (Nasdaq: ARVN) since October 2015, Passage Bio Inc. (Nasdaq: PASG) since September 2019, Recludix Pharma, Inc. since December 2019, and Eliem Therapeutics Inc. (Nasdaq: ELYM) since October 2019. Previously, Dr. Ratcliffe served as a board member at Edge Therapeutics,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Inc. (now PDS Biotechnology Corp., Nasdaq: PDSB) from October 2015 to November 2018, Unum Therapeutics Inc. (formerly listed on Nasdaq) from</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March 2018 to April 2019, Deciphera Pharmaceuticals Inc. (Nasdaq: DCPH) from September 2017 to March 2019, Aptinyx Inc. (Nasdaq: APTX) from June 2018 to April 2019, and RallyBio Corporation (Nasdaq: RLYB) from April 2018 to March 2019. Dr. Ratcliffe received a M.B.Ch.B. and a Ph.D. in immunology from University of Cape Town and an M.B.A. from the University of Michigan. Dr. Ratcliffe is qualified to serve on our board of directors because of his extensive clinical development and venture capital experience in the life sciences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2026 Annual Meeting)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Nicholson, Ph.D. </w:t>
      </w:r>
      <w:r>
        <w:rPr>
          <w:rFonts w:ascii="Times New Roman" w:cs="Times New Roman" w:eastAsia="Times New Roman" w:hAnsi="Times New Roman"/>
          <w:sz w:val="18"/>
          <w:szCs w:val="18"/>
          <w:color w:val="auto"/>
        </w:rPr>
        <w:t>has served as Executive Chairman of our board of directors since April 2019. Dr. Nicholson is the former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Nimbus Therapeutics, LLC, or Nimbus, a biotechnology company, serving from August 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 of directors of Generation Bio (Nasdaq: GBIO), Jnana Therapeutics, Muna Therapeutics, Matchpoint Therapeutics and NodThera. Dr. Nicholson previously served on the board of directors of Kymera Therapeutics, Inc. (Nasdaq: KYMR) from November 2017 to November 2022.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White, M.P.P., J.D. </w:t>
      </w:r>
      <w:r>
        <w:rPr>
          <w:rFonts w:ascii="Times New Roman" w:cs="Times New Roman" w:eastAsia="Times New Roman" w:hAnsi="Times New Roman"/>
          <w:sz w:val="18"/>
          <w:szCs w:val="18"/>
          <w:color w:val="auto"/>
        </w:rPr>
        <w:t>has served as a member of our board of directors since December 2020. Mr. White has served as the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 to March 2019. Prior to that, Mr. White was a Managing Director in Healthcare Investment Banking at Citigroup from May 2006 to September 2017. Previously, Mr. White served as an associate and later as a Vice President in Healthcare Investment Banking at Goldman, Sachs &amp; Co. from November 2000 to March 2006. Mr. White also serves as a member of the board of directors and Chair of the Audit Committee of Ventyx Bioscience (Nasdaq: VTYX). Mr. White received an A.B. from Princeton University, an M.P.P. from Harvard University and a J.D. from Columbia University. Mr. White is qualified to serve on our board of directors because of his extensive financial and investment experience in the life sciences industry.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Quisel, J.D. Ph.D. </w:t>
      </w:r>
      <w:r>
        <w:rPr>
          <w:rFonts w:ascii="Times New Roman" w:cs="Times New Roman" w:eastAsia="Times New Roman" w:hAnsi="Times New Roman"/>
          <w:sz w:val="18"/>
          <w:szCs w:val="18"/>
          <w:color w:val="auto"/>
        </w:rPr>
        <w:t>has served as our President, Chief Executive Officer and as a member of our board of directors since February 2020.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October 2006 through February 2020, Dr. Quisel served in various positions at Acceleron Pharma Inc., or Acceleron, a biopharmaceutical company, most recently as Chief Business Officer. Prior to joining Acceleron, Dr. Quisel worked as an associate at the law firms of Ropes &amp; Gray and Foley Hoag. Since November 2023, Dr. Quisel serves as a board member of Gossamer Bio, Inc. (Nasdaq: GOSS).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ERNST &amp; YOUNG LLP AS DISC MEDICINE, INC.’S INDEPENDENT REGISTERED PUBLIC ACCOUNTING FIRM FOR THE FISCAL YEAR ENDING DECEMBER 31, 2024</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Ernst &amp; Young LLP, or EY, as our independent registered public accounting firm for the fiscal year ending December 31, 2024. EY has served as our independent registered public accounting firm since 2020.</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2024. Stockholder approval is not required to appoint EY as our independent registered public accounting firm. However, the board of directors believes that submitting the appointment of EY to the stockholders for ratification is good corporate governance. If the stockholders do not ratify this appointment, the audit committee will reconsider whether to retain EY. If the selection of EY is ratified, the audit committee, at its discretion, may direct the appointment of a different independent registered public accounting firm at any time it decides that such a change would be in the best interest of Disc and its stockholders.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representative of EY is expected to be present at the Annual Meeting and will have an opportunity to make a statement if he or she desires to do so and to respond to appropriate questions from our stockholders.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EY for the audit of the financial statements and for other services provided during the years ended December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759,000</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1,145,000</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848,063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300" w:hanging="292"/>
        <w:spacing w:after="0" w:line="261"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the filing of our Registration Statement on Form S-3, prospectus supplements, Form S-4 and related services that are normally provided in connection with regulatory filings.</w:t>
      </w:r>
    </w:p>
    <w:p>
      <w:pPr>
        <w:spacing w:after="0" w:line="17" w:lineRule="exact"/>
        <w:rPr>
          <w:rFonts w:ascii="Times New Roman" w:cs="Times New Roman" w:eastAsia="Times New Roman" w:hAnsi="Times New Roman"/>
          <w:sz w:val="18"/>
          <w:szCs w:val="18"/>
          <w:color w:val="auto"/>
        </w:rPr>
      </w:pPr>
    </w:p>
    <w:p>
      <w:pPr>
        <w:ind w:left="300" w:hanging="292"/>
        <w:spacing w:after="0" w:line="281"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services that are reasonably related to the performance of the audit or review of our financial statements. There were no such fees incurred in 2023 or 2022.</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w:t>
      </w:r>
    </w:p>
    <w:p>
      <w:pPr>
        <w:spacing w:after="0" w:line="6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incurred in 2023 or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the policy of our Audit Committee that all services to be provided by our independent registered public accounting firm, including audit services and permitted audit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audit services, must be approved in advance by our Audit Committee, except that pre-approval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2023 and 2022 were pre-approved by the Audit Committee in accordance with the pre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approval policy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votes properly cast for and against this Proposal No. 2 is required to ratify the appointment of Ernst &amp; Young LLP as our independent registered public accounting firm for the fiscal year ending December 31, 2024. Abstentions and broker non-votes, if any, will have no effect on the outcome of the vote.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Ernst &amp; Young LLP as Disc Medicine, Inc.’s independent registered public accounting firm for the fiscal year ending December 31, 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Generally, 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the minimum qualifications for director nominees established by the nominating and corporate governance committee. These criteria include, among other things, the skills of the candidate, his or her depth and breadth of business experience and other background characteristics, his or her independence and the needs of the board of directors.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may gather information about the candidates through meetings from time to time,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director nominees for election to the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does not believe that limits on the number of consecutive terms a director may serve or on the directors’ ages are appropriate at this stage. Instead, each director’s performance and their continued service is assessed by the nominating and corporate governance committee in light of the needs of our board of directors and other relevant factors.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Disc Medicine, Inc., 321 Arsenal Street, Suite 101, Watertown, MA 02472,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the section of this proxy statement titled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for a discussion of submitting stockholder proposals.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each of our directors, with the exception of Dr. Quisel, who serves as our Chief Executive Officer, and Georges Gemayel, who served as the chief executive officer of Gemini Therapeutics, Inc., or Gemini, prior to our merger with Gemini, is an “independent director” within the meaning of the director independence standards established by the SEC and Nasdaq. Our board of directors also determined that Mark Chin, Liam Ratcliffe and William White who comprise our audit committee, Mona Ashiya, Kevin Bitterman and Donald Nicholson, who comprise our compensation committee, and Mona Ashiya,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 non-employee director has with our company in light of all facts and circumstances our board of directors deemed relevant in determining independence, including the beneficial ownership of our capital stock by each non-employee director.</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non-management directors meet at regularly scheduled executive sessions without management participation, and at least once each year an executive session with only independent directors present is held. In 2024, there were four executive sessions at which only the independent directors were present.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has a written board diversity policy and believes that our board of directors, taken as a whole, should embody a diverse set of skills, experience, knowledge and backgrounds, including an appropriate number of women directors. Our board of directors has not adopted targets for the number or proportion of directors who are female or other designated groups, as we are committed to a merit-based system for board composition, which reflects a diverse and inclusive culture where directors believe that their views are heard, their concerns are attended to and they serve in an environment where bias, discrimination and harassment on any matter are not tolerated. When identifying suitable candidates for appointment to the board of directors, we consider candidates on merit against objective criteria and the needs of our board of directors. When recruiting new candidates for appointment, search protocols will go beyond the networks of existing board of director members and will incorporate diversity, including identification of female candidates, as a component. Any search firm engaged to assist our board of directors or the nominating and corporate governance committee in identifying candidates for appointment to our board of directors shall be directed to include women candidates and women candidates will be included in our board of director’s evergreen list of potential board of director nominees.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adopted targets for the number or proportion of directors who are members of a visible minority, Indigenous peoples or persons with a disability, or the designated groups, or for other diversity characteristics at this time. For now, our board of directors has chosen to focus on gender in exclusion to other diversity characteristics and the nominating and corporate governance committee does not specifically consider the level of representation of members of designated groups on our board of directors in identifying and nominating candidates for election or re-election to our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board diversity matrix reports self-identified diversity statistics for our board of directors.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Diversity Matrix (As of April 15,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4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Total Numbers of Directors</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4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1"/>
                <w:szCs w:val="11"/>
                <w:color w:val="auto"/>
              </w:rPr>
            </w:pPr>
          </w:p>
        </w:tc>
        <w:tc>
          <w:tcPr>
            <w:tcW w:w="1460" w:type="dxa"/>
            <w:vAlign w:val="bottom"/>
          </w:tcPr>
          <w:p>
            <w:pPr>
              <w:ind w:left="500"/>
              <w:spacing w:after="0" w:line="131"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140" w:type="dxa"/>
            <w:vAlign w:val="bottom"/>
          </w:tcPr>
          <w:p>
            <w:pPr>
              <w:spacing w:after="0"/>
              <w:rPr>
                <w:sz w:val="16"/>
                <w:szCs w:val="16"/>
                <w:color w:val="auto"/>
              </w:rPr>
            </w:pP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Persons with disabilities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Visible minorities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Indigenous peoples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 A copy of each charter can be found under the “Investors &amp; Media—Corporate Governance” section of our website, which is located at </w:t>
      </w:r>
      <w:r>
        <w:rPr>
          <w:rFonts w:ascii="Times New Roman" w:cs="Times New Roman" w:eastAsia="Times New Roman" w:hAnsi="Times New Roman"/>
          <w:sz w:val="18"/>
          <w:szCs w:val="18"/>
          <w:b w:val="1"/>
          <w:bCs w:val="1"/>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discmedicine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color w:val="auto"/>
        </w:rPr>
        <w:t>. We do not incorporate the information contained on, or accessible through, our corporate website into this proxy statement, and you should not consider it a part of this proxy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our board of directors on the work of the committee and any recommendations for approval by our board of directors. The committee chairperson also ensures that the committee receives the information required for the performance of its responsibilities. Our board of directors may also establish other committees from time to time to assist the company and our board of directors.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accounting, financial, and other reporting and internal control practices and to oversee our independent registered accounting firm. The report of the audit committee is included in this proxy statement under “Report of the Audit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w:t>
      </w:r>
    </w:p>
    <w:p>
      <w:pPr>
        <w:spacing w:after="0" w:line="185"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the Audit Committee are William White, Liam Ratcliffe and Mark Chin. William White is the chairperson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2023, the Disc audit committee met four times. We believe that the composition of the audit committee complies with the applicable requirements of the rules and regulations of Nasdaq and the SEC.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185" w:lineRule="exact"/>
        <w:rPr>
          <w:sz w:val="20"/>
          <w:szCs w:val="20"/>
          <w:color w:val="auto"/>
        </w:rPr>
      </w:pPr>
    </w:p>
    <w:p>
      <w:pPr>
        <w:ind w:left="5540" w:right="1580" w:hanging="5158"/>
        <w:spacing w:after="0" w:line="783" w:lineRule="auto"/>
        <w:tabs>
          <w:tab w:leader="none" w:pos="7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our executive officers;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121" w:lineRule="exact"/>
        <w:rPr>
          <w:rFonts w:ascii="Times New Roman" w:cs="Times New Roman" w:eastAsia="Times New Roman" w:hAnsi="Times New Roman"/>
          <w:sz w:val="18"/>
          <w:szCs w:val="18"/>
          <w:color w:val="auto"/>
        </w:rPr>
      </w:pPr>
    </w:p>
    <w:p>
      <w:pPr>
        <w:jc w:val="both"/>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Donald Nicholson, Mona Ashiya and Kevin Bitterman. Dr. Nicholson is the chairperson of the Compensation Committee. Each member of our compensation committee will be a “non-employee” director within the meaning of Rule 16b-3 of the rules promulgated under the Exchange Act and independent within the meaning of the independent director guidelines of Nasdaq. During the fiscal year ended December 31, 2023, our compensation committee met four times. We believe that the composition of the compensation committee complies with the applicable requirements of the rules and regulations of Nasdaq and the SEC.</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compensation committee makes most of the significant adjustments to annual compensation, determines bonus and equity awards and establishes new performance objectives. However, our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analyses of executive and director compensation paid at a peer group of other companies approved by our compensation committee. In 2023, the compensation committee retained the services of Pearl Meyer &amp; Partners, LLC, or Pearl Meyer, as its external, independent compensation consultant and considered Pearl Meyer’s input on certain compensation matters as they deemed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Consultants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 2023, our compensation committee engaged Pearl Meyer to provide compensation consulting services. During fiscal year 2023, Pearl Meyer’s services included advising on equity compensation programs and the development of the Company’s peer group and providing support and analysis regarding executive and director compensation. Our compensation committee has assessed the independence of Pearl Meyer consistent with SEC rules and Nasdaq listing standards and has concluded that the engagement of Pearl Meyer does not raise any conflict of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8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Kevin Bitterman, Mona Ashiya, Donald Nicholson and Liam Ratcliffe. Dr. Bitterman is the chairperson of the Nominating and Corporate Governance Committee. During the fiscal year ended December 31, 2023, the Disc nominating and corporate governance committee did not meet.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Identifying and Evaluating Director Nominees.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filling vacancies on our board of directors and for nominating 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held 10 meetings during 2023. During 2023, each of our directors then in office attended at least 75% of the aggregate of all meetings of our board of directors and all meetings of the committees of our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are responsible for attending the annual meeting of stockholders to the extent practicable. In 2023, all of the directors then in office attended the annual meeting of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employees, designated consultants and contractors. Our insider trading policy expressly prohibits purchases of any derivative securities that provide the economic equivalent of ownership.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“Investors &amp; Media— Corporate Governance” section of our website, which is located at </w:t>
      </w:r>
      <w:r>
        <w:rPr>
          <w:rFonts w:ascii="Times New Roman" w:cs="Times New Roman" w:eastAsia="Times New Roman" w:hAnsi="Times New Roman"/>
          <w:sz w:val="18"/>
          <w:szCs w:val="18"/>
          <w:b w:val="1"/>
          <w:bCs w:val="1"/>
          <w:i w:val="1"/>
          <w:iCs w:val="1"/>
          <w:color w:val="auto"/>
        </w:rPr>
        <w:t>www.discmedicine.com</w:t>
      </w:r>
      <w:r>
        <w:rPr>
          <w:rFonts w:ascii="Times New Roman" w:cs="Times New Roman" w:eastAsia="Times New Roman" w:hAnsi="Times New Roman"/>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 to be filed with the SEC. Employees are required to annually certify compliance with the code.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Recoupment of Incentive Company (Clawback Policy)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19, 2023, we adopted a policy for recoupment of incentive compensation, or the Clawback Policy, in compliance with the requirements of the Dodd-Frank Wall Street Reform and Consumer Protection Act, final SEC rules and applicable Nasdaq listing standards, or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 In addition, under our Clawback Policy, in the event that we are required to restate our financial statements due to material noncompliance with any financial reporting requirement under securities laws, we must use reasonable efforts to recover (i) any cash or equity incentive compensation received by any other current or former employee of the Company in the three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date we are required to restate our financial statements that is in excess of the amount that would have been received based on the restated financial statements if we determine that the employee committed certain acts or omissions that materially contributed to the circumstances requiring the restatement and (ii) up to 100% of the cash and equity incentive compensation received by any current or former employee in the three years prior to the date we are required to restate our financial statements if we determine that the employee committed certain acts or omissions that materially contributed to the circumstances requiring the restatement.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of directors is currently chaired by Donald Nicholson, an independent director. Currently, the role of executive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Our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 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“Risk Factors” in our Annual Report on Form 10-K for the fiscal year ended December 31, 2023.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regularly discusses with management our major risk exposures, the potential impact of these risks on our business and the steps we take to manage them. The risk oversight process includes receiving regular reports from board of 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Disc Medicine,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executive chairman of our board of directors or the chairperson of our nominating and corporate governance committee, by submitting a written communication to the attention of such director at the following address: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 Disc Medicine,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(833) 869-0478.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The SEC has designated specific deadlines for these reports, and we must identify those persons who did not file these reports when due. To our knowledge, based solely on a review of copies of such forms furnished to us, and written representations made by our directors and officers regarding their filing obligations, we believe all Section 16(a) filing requirements were satisfied on a timely basis with respect to the year ended December 31, 2023.</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following table presents the total compensation for each person who served as a non-employee member of our board of directors during the fiscal year ended December 31, 2023. Dr. Quisel, one of our directors who also serves as our Chief Executive Officer, does not receive any additional compensation for his service as a director. Dr. Quisel is one of our named executive officers and, accordingly, the compensation that we pay to Dr. Quisel is discussed above under ‘‘—2023 Summary Compensation Table’’ and ‘‘—Narrative to Summary Compensation 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2023 for their services as members of the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 Earned or</w:t>
            </w:r>
          </w:p>
        </w:tc>
        <w:tc>
          <w:tcPr>
            <w:tcW w:w="240" w:type="dxa"/>
            <w:vAlign w:val="bottom"/>
          </w:tcPr>
          <w:p>
            <w:pPr>
              <w:spacing w:after="0"/>
              <w:rPr>
                <w:sz w:val="13"/>
                <w:szCs w:val="13"/>
                <w:color w:val="auto"/>
              </w:rPr>
            </w:pPr>
          </w:p>
        </w:tc>
        <w:tc>
          <w:tcPr>
            <w:tcW w:w="166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6"/>
                <w:szCs w:val="16"/>
                <w:color w:val="auto"/>
              </w:rPr>
            </w:pPr>
          </w:p>
        </w:tc>
        <w:tc>
          <w:tcPr>
            <w:tcW w:w="1660" w:type="dxa"/>
            <w:vAlign w:val="bottom"/>
            <w:tcBorders>
              <w:bottom w:val="single" w:sz="8" w:color="auto"/>
            </w:tcBorders>
          </w:tcPr>
          <w:p>
            <w:pPr>
              <w:jc w:val="right"/>
              <w:ind w:right="583"/>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(1)(4)</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Jay Backstrom, M.D., M.P.H.</w:t>
            </w:r>
            <w:r>
              <w:rPr>
                <w:rFonts w:ascii="Times New Roman" w:cs="Times New Roman" w:eastAsia="Times New Roman" w:hAnsi="Times New Roman"/>
                <w:sz w:val="24"/>
                <w:szCs w:val="24"/>
                <w:color w:val="auto"/>
                <w:vertAlign w:val="superscript"/>
              </w:rPr>
              <w:t>(2)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107,137</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Georges Gemayel, Ph.D.</w:t>
            </w:r>
            <w:r>
              <w:rPr>
                <w:rFonts w:ascii="Times New Roman" w:cs="Times New Roman" w:eastAsia="Times New Roman" w:hAnsi="Times New Roman"/>
                <w:sz w:val="24"/>
                <w:szCs w:val="24"/>
                <w:color w:val="auto"/>
                <w:vertAlign w:val="superscript"/>
              </w:rPr>
              <w:t>(3)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215,308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80" w:right="20" w:hanging="372"/>
        <w:spacing w:after="0" w:line="254"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the non-employee directors during fiscal year 2023, calculated in accordance with FASB ASC Topic 718. The assumptions used in calculating the grant date fair value of the awards reported in this column are set forth in Note 2 to our consolidated financial statements included in Annual Report on Form 10-K for the fiscal year ended December 31, 2023. The amounts reported in this column reflect the accounting cost for the stock options and does not correspond to the actual economic value that may be received upon exercise of the stock option or any sale of any of the underlying shares of common stock.</w:t>
      </w:r>
    </w:p>
    <w:p>
      <w:pPr>
        <w:spacing w:after="0" w:line="3" w:lineRule="exact"/>
        <w:rPr>
          <w:rFonts w:ascii="Times New Roman" w:cs="Times New Roman" w:eastAsia="Times New Roman" w:hAnsi="Times New Roman"/>
          <w:sz w:val="18"/>
          <w:szCs w:val="18"/>
          <w:color w:val="auto"/>
        </w:rPr>
      </w:pPr>
    </w:p>
    <w:p>
      <w:pPr>
        <w:ind w:left="380" w:right="160" w:hanging="372"/>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Backstrom resigned from our board on June 9, 2023. Upon Dr. Backstrom's resignation, our board approved an amendment to the stock options held by Dr. Backstrom to accelerate the vesting such that any unvested stock options held by Dr. Backstrom became vested and exercisable in full as of June 9, 2023.</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Gemayel joined our board of directors on December 29, 2022.</w:t>
      </w:r>
    </w:p>
    <w:p>
      <w:pPr>
        <w:spacing w:after="0" w:line="9" w:lineRule="exact"/>
        <w:rPr>
          <w:rFonts w:ascii="Times New Roman" w:cs="Times New Roman" w:eastAsia="Times New Roman" w:hAnsi="Times New Roman"/>
          <w:sz w:val="18"/>
          <w:szCs w:val="18"/>
          <w:color w:val="auto"/>
        </w:rPr>
      </w:pPr>
    </w:p>
    <w:p>
      <w:pPr>
        <w:ind w:left="380" w:right="320" w:hanging="372"/>
        <w:spacing w:after="0" w:line="26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our non-employee members of our board of directors held the following aggregate number of unexercised options as of such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0" w:type="dxa"/>
            <w:vAlign w:val="bottom"/>
          </w:tcPr>
          <w:p>
            <w:pPr>
              <w:spacing w:after="0"/>
              <w:rPr>
                <w:sz w:val="1"/>
                <w:szCs w:val="1"/>
                <w:color w:val="auto"/>
              </w:rPr>
            </w:pPr>
          </w:p>
        </w:tc>
      </w:tr>
      <w:tr>
        <w:trPr>
          <w:trHeight w:val="187"/>
        </w:trPr>
        <w:tc>
          <w:tcPr>
            <w:tcW w:w="3840" w:type="dxa"/>
            <w:vAlign w:val="bottom"/>
            <w:tcBorders>
              <w:bottom w:val="single" w:sz="8" w:color="auto"/>
            </w:tcBorders>
            <w:vMerge w:val="continue"/>
          </w:tcPr>
          <w:p>
            <w:pPr>
              <w:spacing w:after="0"/>
              <w:rPr>
                <w:sz w:val="16"/>
                <w:szCs w:val="16"/>
                <w:color w:val="auto"/>
              </w:rPr>
            </w:pPr>
          </w:p>
        </w:tc>
        <w:tc>
          <w:tcPr>
            <w:tcW w:w="5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7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7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Jay Backstrom, M.D., M.P.H.</w:t>
            </w:r>
          </w:p>
        </w:tc>
        <w:tc>
          <w:tcPr>
            <w:tcW w:w="7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7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7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7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7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7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3840" w:type="dxa"/>
            <w:vAlign w:val="bottom"/>
          </w:tcPr>
          <w:p>
            <w:pPr>
              <w:spacing w:after="0"/>
              <w:rPr>
                <w:sz w:val="24"/>
                <w:szCs w:val="24"/>
                <w:color w:val="auto"/>
              </w:rPr>
            </w:pPr>
          </w:p>
        </w:tc>
        <w:tc>
          <w:tcPr>
            <w:tcW w:w="518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implemented a formal policy pursuant to which our non-employee directors are eligible to receive the following cash retainers: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6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Retainer for</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6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Chair</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06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non-employee director compensation policy also provides that, upon initial election to our board of directors, each non-employee director will be granted an option to purchase 20,000 shares of our common stock, or the Initial Grant. The Initial Grant will vest in equal monthly installments over three years, with a one-year cliff from the date of grant, subject to continued service through the applicable vesting date. Furthermore, on the date of each annual meeting of stockholders, each non-employee director who continues as a non-employee director following such meeting will be granted an annual option to purchase 10,000 shares of our common stock, or the Annual Grant. The Annual Grant will vest in full on the earlier of (i) the first anniversary of the grant date or (ii) our next annual meeting of stockholders, subject to continued service through the applicable vesting date. Such awards are subject to full accelerated vesting upon the sale of the company.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directors receive no additional compensation for their service as a director. We reimburse all reasonable out-of-pocket expenses incurred by directors for their attendance at meetings of our board of directors or any committee thereof.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and their ages as of April 15,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53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Position Held with Disc Medicine, Inc.</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87"/>
        </w:trPr>
        <w:tc>
          <w:tcPr>
            <w:tcW w:w="34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80" w:type="dxa"/>
            <w:vAlign w:val="bottom"/>
            <w:shd w:val="clear" w:color="auto" w:fill="CFF0FC"/>
          </w:tcPr>
          <w:p>
            <w:pPr>
              <w:spacing w:after="0"/>
              <w:rPr>
                <w:sz w:val="20"/>
                <w:szCs w:val="20"/>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1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180" w:type="dxa"/>
            <w:vAlign w:val="bottom"/>
            <w:shd w:val="clear" w:color="auto" w:fill="CFF0FC"/>
          </w:tcPr>
          <w:p>
            <w:pPr>
              <w:spacing w:after="0"/>
              <w:rPr>
                <w:sz w:val="21"/>
                <w:szCs w:val="21"/>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1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180" w:type="dxa"/>
            <w:vAlign w:val="bottom"/>
            <w:shd w:val="clear" w:color="auto" w:fill="CFF0FC"/>
          </w:tcPr>
          <w:p>
            <w:pPr>
              <w:spacing w:after="0"/>
              <w:rPr>
                <w:sz w:val="21"/>
                <w:szCs w:val="21"/>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Rahul Khara, Pharm.D., J.D.</w:t>
            </w:r>
          </w:p>
        </w:tc>
        <w:tc>
          <w:tcPr>
            <w:tcW w:w="1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Class III Director Nominees</w:t>
      </w:r>
      <w:r>
        <w:rPr>
          <w:rFonts w:ascii="Times New Roman" w:cs="Times New Roman" w:eastAsia="Times New Roman" w:hAnsi="Times New Roman"/>
          <w:sz w:val="18"/>
          <w:szCs w:val="18"/>
          <w:color w:val="auto"/>
        </w:rPr>
        <w:t>” above for information about our President and Chief Executive Officer, John Quisel. Biographical information for our other executive officers, as of April 15, 2024, is set forth below.</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Franchi </w:t>
      </w:r>
      <w:r>
        <w:rPr>
          <w:rFonts w:ascii="Times New Roman" w:cs="Times New Roman" w:eastAsia="Times New Roman" w:hAnsi="Times New Roman"/>
          <w:sz w:val="18"/>
          <w:szCs w:val="18"/>
          <w:color w:val="auto"/>
        </w:rPr>
        <w:t>has served as our Chief Financial Officer since February 2024. Previously, Ms. Franchi served as the Chief Financial Officer of Replimune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Inc. (Nasdaq: REPL), a biotechnology company, from December 2019 to June 2023. From August 2017 to May 2019, Ms. Franchi served as the Chief Financial Officer of Merrimack Pharmaceuticals, Inc., a biopharmaceutical company. From August 2015 to July 2017, she served as Chief Financial Officer, Treasurer and Secretary at Dimension Therapeutics, Inc., a biotechnology company. From February 2012 to July 2015, Ms. Franchi served as Chief Financial Officer at Good Start Genetics, Inc., a molecular genetics information company. From 1995 to 2011, Ms. Franchi held various positions at Sanofi S.A., including Senior Vice President of Corporate Finance, Senior Vice President of Business Unit Finance, and Vice President of Finance and Controller, Product Line and International Group. Ms. Franchi holds a B.B.A. from Hofstra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Yu, M.B.A. </w:t>
      </w:r>
      <w:r>
        <w:rPr>
          <w:rFonts w:ascii="Times New Roman" w:cs="Times New Roman" w:eastAsia="Times New Roman" w:hAnsi="Times New Roman"/>
          <w:sz w:val="18"/>
          <w:szCs w:val="18"/>
          <w:color w:val="auto"/>
        </w:rPr>
        <w:t>has served as our Chief Operating Officer since February 2024, and was previously our Chief Business Officer from August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2024, and our Senior Vice President of Corporate Development from July 2020 to August 2021. Previously, Mr. Yu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and Johnson &amp; Johnson, spanning commercial planning and assessment, business development and finance. Mr. Yu holds an A.B. from Harvard College and an M.B.A. from the Wharton School of the University of Pennsylvania.</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Savage, M.D., Ph.D. </w:t>
      </w:r>
      <w:r>
        <w:rPr>
          <w:rFonts w:ascii="Times New Roman" w:cs="Times New Roman" w:eastAsia="Times New Roman" w:hAnsi="Times New Roman"/>
          <w:sz w:val="18"/>
          <w:szCs w:val="18"/>
          <w:color w:val="auto"/>
        </w:rPr>
        <w:t>has served as our Chief Medical Officer since August 2021 and was previously our Vice President, Head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from August 2020 to August 2021. Previously, he served as Senior Medical Director at Magenta Therapeutics, a biotechnology company, from July 2019 to July 2020. Prior to Magenta Therapeutics, he was the Global 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Dr. Savage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Pamela Stephenson, MPH </w:t>
      </w:r>
      <w:r>
        <w:rPr>
          <w:rFonts w:ascii="Times New Roman" w:cs="Times New Roman" w:eastAsia="Times New Roman" w:hAnsi="Times New Roman"/>
          <w:sz w:val="18"/>
          <w:szCs w:val="18"/>
          <w:color w:val="auto"/>
        </w:rPr>
        <w:t>has served as our Chief Commercial Officer since February 2024. Previously, Ms. Stephenson served as Chief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Albireo Pharma, Inc., a biopharmaceutical company, from March 2019 to April 2023. Prior to that, she served as a Vice President at Vertex Pharmaceuticals, Inc. (Nasdaq:VRTX), a biotechnology company, from July 2008 to March 2019. Prior to Vertex, she held roles of increasing strategic importance at Pfizer Inc. (Nasdaq: PFE), a pharmaceutical company, from October 1998 to June 2008. Ms. Stephenson holds a B.A. from Brown University and an M.P.H. from Boston University School of Public Health.</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Rahul Khara, Pharm.D., J.D., </w:t>
      </w:r>
      <w:r>
        <w:rPr>
          <w:rFonts w:ascii="Times New Roman" w:cs="Times New Roman" w:eastAsia="Times New Roman" w:hAnsi="Times New Roman"/>
          <w:sz w:val="18"/>
          <w:szCs w:val="18"/>
          <w:color w:val="auto"/>
        </w:rPr>
        <w:t>has served as our General Counsel since December 2021 and as our Compliance Officer and Secretary since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Dr. Khara previously served as Vice President, Legal and Chief Compliance Officer at Acceleron from August 2018 to December 2021. Prior to joining Acceleron, Dr. Khara was a Senior Associate at the law firm Arnold &amp; Porter LLP from March 2015 to August 2018. Prior to that, Dr. Khara was a Senior Associate at the law firm Sidley Austin LLP from September 2008 to March 2015. Dr. Khara received his J.D. from the University of Michigan Law School and earned a Pharm.D. from Rutgers University.</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in which any such person has a material interest adverse to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incentivize and retain our executive officers, who contribute to our long-term success. Pay that is competitive, rewards performance and effectively aligns the interests of our executive officers with those of our long-term stockholders is key to our compensation program design and decisions. We structure our executive compensation programs to be heavily weighted towards long-term equity incentives that correlate with the growth of sustainable long-term value for our stockholders.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provided to our named executive officers for the fiscal years ended December 31, 2023 and 2022, as applicable, is detailed in the 2023 Summary Compensation Table and accompanying footnotes and narrative that follow. Our named executive officers for the fiscal year ended December 31, 2023, which consisted of our Chief Executive Officer and our three most highly compensated executive officers other than the Chief Executive Officer, were:</w:t>
      </w:r>
    </w:p>
    <w:p>
      <w:pPr>
        <w:spacing w:after="0" w:line="139"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Quisel, J.D., Ph.D., President and Chief Executive Officer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Savage, M.D., Ph.D., Chief Medical Officer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Joanne Bryce, CPA, Chief Financial Officer (who departed from her role as Chief Financial Officer effective February 7,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named executive officers for services rendered to us in all capacities for the fiscal years ended December 31, 2023 and 2022, as applicable.</w:t>
      </w:r>
    </w:p>
    <w:tbl>
      <w:tblPr>
        <w:tblLayout w:type="fixed"/>
        <w:tblInd w:w="0" w:type="dxa"/>
        <w:tblCellMar>
          <w:top w:w="0" w:type="dxa"/>
          <w:left w:w="0" w:type="dxa"/>
          <w:bottom w:w="0" w:type="dxa"/>
          <w:right w:w="0" w:type="dxa"/>
        </w:tblCellMar>
      </w:tblPr>
      <w:tr>
        <w:trPr>
          <w:trHeight w:val="128"/>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4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2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240" w:type="dxa"/>
            <w:vAlign w:val="bottom"/>
          </w:tcPr>
          <w:p>
            <w:pPr>
              <w:spacing w:after="0"/>
              <w:rPr>
                <w:sz w:val="11"/>
                <w:szCs w:val="11"/>
                <w:color w:val="auto"/>
              </w:rPr>
            </w:pPr>
          </w:p>
        </w:tc>
        <w:tc>
          <w:tcPr>
            <w:tcW w:w="800" w:type="dxa"/>
            <w:vAlign w:val="bottom"/>
          </w:tcPr>
          <w:p>
            <w:pPr>
              <w:jc w:val="right"/>
              <w:ind w:right="183"/>
              <w:spacing w:after="0" w:line="128" w:lineRule="exact"/>
              <w:rPr>
                <w:sz w:val="20"/>
                <w:szCs w:val="20"/>
                <w:color w:val="auto"/>
              </w:rPr>
            </w:pPr>
            <w:r>
              <w:rPr>
                <w:rFonts w:ascii="Times New Roman" w:cs="Times New Roman" w:eastAsia="Times New Roman" w:hAnsi="Times New Roman"/>
                <w:sz w:val="13"/>
                <w:szCs w:val="13"/>
                <w:b w:val="1"/>
                <w:bCs w:val="1"/>
                <w:color w:val="auto"/>
              </w:rPr>
              <w:t>Bonus</w:t>
            </w:r>
          </w:p>
        </w:tc>
        <w:tc>
          <w:tcPr>
            <w:tcW w:w="2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400" w:type="dxa"/>
            <w:vAlign w:val="bottom"/>
          </w:tcPr>
          <w:p>
            <w:pPr>
              <w:spacing w:after="0"/>
              <w:rPr>
                <w:sz w:val="11"/>
                <w:szCs w:val="11"/>
                <w:color w:val="auto"/>
              </w:rPr>
            </w:pPr>
          </w:p>
        </w:tc>
        <w:tc>
          <w:tcPr>
            <w:tcW w:w="11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11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1040" w:type="dxa"/>
            <w:vAlign w:val="bottom"/>
            <w:gridSpan w:val="2"/>
          </w:tcPr>
          <w:p>
            <w:pPr>
              <w:ind w:left="32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  Year</w:t>
            </w:r>
          </w:p>
        </w:tc>
        <w:tc>
          <w:tcPr>
            <w:tcW w:w="1000" w:type="dxa"/>
            <w:vAlign w:val="bottom"/>
            <w:gridSpan w:val="2"/>
          </w:tcPr>
          <w:p>
            <w:pPr>
              <w:ind w:left="440"/>
              <w:spacing w:after="0" w:line="17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(1)</w:t>
            </w:r>
          </w:p>
        </w:tc>
        <w:tc>
          <w:tcPr>
            <w:tcW w:w="1040" w:type="dxa"/>
            <w:vAlign w:val="bottom"/>
            <w:gridSpan w:val="2"/>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gridSpan w:val="2"/>
          </w:tcPr>
          <w:p>
            <w:pPr>
              <w:jc w:val="center"/>
              <w:ind w:left="163"/>
              <w:spacing w:after="0" w:line="17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4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(3)</w:t>
            </w:r>
          </w:p>
        </w:tc>
        <w:tc>
          <w:tcPr>
            <w:tcW w:w="1340" w:type="dxa"/>
            <w:vAlign w:val="bottom"/>
            <w:gridSpan w:val="2"/>
          </w:tcPr>
          <w:p>
            <w:pPr>
              <w:jc w:val="center"/>
              <w:ind w:left="145"/>
              <w:spacing w:after="0" w:line="175"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(4)</w:t>
            </w:r>
          </w:p>
        </w:tc>
        <w:tc>
          <w:tcPr>
            <w:tcW w:w="116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r>
      <w:tr>
        <w:trPr>
          <w:trHeight w:val="204"/>
        </w:trPr>
        <w:tc>
          <w:tcPr>
            <w:tcW w:w="3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John Quisel, J.D., Ph.D.</w:t>
            </w:r>
          </w:p>
        </w:tc>
        <w:tc>
          <w:tcPr>
            <w:tcW w:w="12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w w:val="99"/>
              </w:rPr>
              <w:t>562,000</w:t>
            </w:r>
          </w:p>
        </w:tc>
        <w:tc>
          <w:tcPr>
            <w:tcW w:w="24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337,200</w:t>
            </w:r>
          </w:p>
        </w:tc>
        <w:tc>
          <w:tcPr>
            <w:tcW w:w="2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4,261</w:t>
            </w:r>
          </w:p>
        </w:tc>
        <w:tc>
          <w:tcPr>
            <w:tcW w:w="2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903,461</w:t>
            </w:r>
          </w:p>
        </w:tc>
        <w:tc>
          <w:tcPr>
            <w:tcW w:w="100" w:type="dxa"/>
            <w:vAlign w:val="bottom"/>
            <w:shd w:val="clear" w:color="auto" w:fill="CFF0FC"/>
          </w:tcPr>
          <w:p>
            <w:pPr>
              <w:spacing w:after="0"/>
              <w:rPr>
                <w:sz w:val="17"/>
                <w:szCs w:val="17"/>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476,477</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1,081,150</w:t>
            </w: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273,638</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1,831,265</w:t>
            </w:r>
          </w:p>
        </w:tc>
        <w:tc>
          <w:tcPr>
            <w:tcW w:w="100" w:type="dxa"/>
            <w:vAlign w:val="bottom"/>
            <w:shd w:val="clear" w:color="auto" w:fill="CFF0FC"/>
          </w:tcPr>
          <w:p>
            <w:pPr>
              <w:spacing w:after="0"/>
              <w:rPr>
                <w:sz w:val="21"/>
                <w:szCs w:val="2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William Savage, M.D., Ph.D.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458,000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687,740</w:t>
            </w:r>
          </w:p>
        </w:tc>
        <w:tc>
          <w:tcPr>
            <w:tcW w:w="100" w:type="dxa"/>
            <w:vAlign w:val="bottom"/>
          </w:tcPr>
          <w:p>
            <w:pPr>
              <w:spacing w:after="0"/>
              <w:rPr>
                <w:sz w:val="18"/>
                <w:szCs w:val="18"/>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378,234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318,803</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173,719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890,756</w:t>
            </w:r>
          </w:p>
        </w:tc>
        <w:tc>
          <w:tcPr>
            <w:tcW w:w="100" w:type="dxa"/>
            <w:vAlign w:val="bottom"/>
          </w:tcPr>
          <w:p>
            <w:pPr>
              <w:spacing w:after="0"/>
              <w:rPr>
                <w:sz w:val="20"/>
                <w:szCs w:val="20"/>
                <w:color w:val="auto"/>
              </w:rPr>
            </w:pPr>
          </w:p>
        </w:tc>
      </w:tr>
      <w:tr>
        <w:trPr>
          <w:trHeight w:val="239"/>
        </w:trPr>
        <w:tc>
          <w:tcPr>
            <w:tcW w:w="3280" w:type="dxa"/>
            <w:vAlign w:val="bottom"/>
            <w:shd w:val="clear" w:color="auto" w:fill="CFF0FC"/>
          </w:tcPr>
          <w:p>
            <w:pPr>
              <w:ind w:left="60"/>
              <w:spacing w:after="0" w:line="239" w:lineRule="exact"/>
              <w:rPr>
                <w:sz w:val="20"/>
                <w:szCs w:val="20"/>
                <w:color w:val="auto"/>
              </w:rPr>
            </w:pPr>
            <w:r>
              <w:rPr>
                <w:rFonts w:ascii="Times New Roman" w:cs="Times New Roman" w:eastAsia="Times New Roman" w:hAnsi="Times New Roman"/>
                <w:sz w:val="16"/>
                <w:szCs w:val="16"/>
                <w:color w:val="auto"/>
              </w:rPr>
              <w:t>Joanne Bryce, CPA</w:t>
            </w:r>
            <w:r>
              <w:rPr>
                <w:rFonts w:ascii="Times New Roman" w:cs="Times New Roman" w:eastAsia="Times New Roman" w:hAnsi="Times New Roman"/>
                <w:sz w:val="21"/>
                <w:szCs w:val="21"/>
                <w:color w:val="auto"/>
                <w:vertAlign w:val="superscript"/>
              </w:rPr>
              <w:t>(5)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419,000</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1,123,795</w:t>
            </w:r>
          </w:p>
        </w:tc>
        <w:tc>
          <w:tcPr>
            <w:tcW w:w="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201,120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1,752,762</w:t>
            </w:r>
          </w:p>
        </w:tc>
        <w:tc>
          <w:tcPr>
            <w:tcW w:w="100" w:type="dxa"/>
            <w:vAlign w:val="bottom"/>
            <w:shd w:val="clear" w:color="auto" w:fill="CFF0FC"/>
          </w:tcPr>
          <w:p>
            <w:pPr>
              <w:spacing w:after="0"/>
              <w:rPr>
                <w:sz w:val="20"/>
                <w:szCs w:val="20"/>
                <w:color w:val="auto"/>
              </w:rPr>
            </w:pPr>
          </w:p>
        </w:tc>
      </w:tr>
      <w:tr>
        <w:trPr>
          <w:trHeight w:val="23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99"/>
              </w:rPr>
              <w:t>355,884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277,221</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163,438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816,543</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salaries earned by each named executive officer during the respective fiscal year.</w:t>
      </w:r>
    </w:p>
    <w:p>
      <w:pPr>
        <w:spacing w:after="0" w:line="27"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our named executive officers during the 2023 and 2022 fiscal years, as applicable, calculated in accordance with Financial Accounting Standards Board, or FASB, Accounting Standards Codification, or ASC, Topic 718. Such grant date fair values do not take into account any estimated forfeitures. The assumptions used in calculating the grant date fair value of the stock options reported in this column are set forth in Note 2 to our consolidated financial statements included in Annual Report on Form 10-K for the fiscal year ended December 31, 2023. The amounts reported in this column reflect the accounting cost for the stock options and do not correspond to the actual economic value that may be received by our named executive officers upon the exercise of the stock options or any sale of the common stock underlying such stock options.</w:t>
      </w:r>
    </w:p>
    <w:p>
      <w:pPr>
        <w:spacing w:after="0" w:line="2"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bonuses earned as of December 31, 2023, upon the attainment of one or more pre-established performance goals established by our board of directors on an annual basis.</w:t>
      </w: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safe harbor matching contributions under our 401(k) plan to our named executive officers in 2023.</w:t>
      </w:r>
    </w:p>
    <w:p>
      <w:pPr>
        <w:spacing w:after="0" w:line="9"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was a consultant to us until September 14, 2021 when she transitioned to Chief Financial Officer. Effective February 7, 2024, Ms. Bryce departed from her role as Chief Financial Officer and transitioned to an independent contractor advisor.</w:t>
      </w:r>
    </w:p>
    <w:p>
      <w:pPr>
        <w:jc w:val="both"/>
        <w:ind w:left="380" w:hanging="372"/>
        <w:spacing w:after="0" w:line="255"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reflects an accounting charge relating to an amendment of the stock options held by Ms. Bryce as of November 27, 2023. In connection with the Bryce Separation Agreement (as defined below), our board of directors approved an extension of the post-termination exercise period relating to such stock options,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left="380"/>
        <w:spacing w:after="0" w:line="282" w:lineRule="auto"/>
        <w:rPr>
          <w:sz w:val="20"/>
          <w:szCs w:val="20"/>
          <w:color w:val="auto"/>
        </w:rPr>
      </w:pPr>
      <w:r>
        <w:rPr>
          <w:rFonts w:ascii="Times New Roman" w:cs="Times New Roman" w:eastAsia="Times New Roman" w:hAnsi="Times New Roman"/>
          <w:sz w:val="18"/>
          <w:szCs w:val="18"/>
          <w:color w:val="auto"/>
        </w:rPr>
        <w:t>such that the vested and outstanding shares subject to the stock options may be exercised until the earlier of (i) twelve months following the end of the Advisor Period (as defined below) and (ii) the original expiration date of the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named executive officer’s base salary is a fixed component of annual compensation for performing specific duties and functions, and has been established by our board of directors taking into account each individual’s role, responsibilities, skills, and expertise. Base salaries are reviewed annually, typically in connection with our annual performance review process, approved by our board of directors, and adjusted from time to time to realign salaries with market levels after taking into account individual responsibilities, performance and experience. The annual base salaries for Dr. Quisel, Dr. Savage, and Ms. Bryce were $562,000, $458,000 and $419,000, respectively during the fiscal year ended December 31, 2023. There were no annual base salary increases in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2023, each named executive officer was eligible to earn an annual cash bonus based on the achievement of certain corporate performance metrics. Corporate objectives were primarily based on development goals for our product candidates financing and business development goals. The target annual bonus for Dr. Quisel, Dr. Savage, and Ms. Bryce for 2023 was 50%, 40%, and 40%, respectively, of their respective annual base salary as in effect on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equity grants provide executives with a strong link to our long-term performance, create an ownership culture and help to align the interests of our executives and stockholders. In addition, we believe that equity grants promote executive retention because they incentivize executive officers to remain employed during the vesting period. During the fiscal year ended December 31, 2022, in connection with our merger with Gemini, we granted stock options to each of our named executive officers. As a result, during the fiscal year ended December 31, 2023, we did not grant any equity awards to our named executive officers. However, in connection with the Bryce Separation Agreement, our board of directors approved an amendment to the stock options held by Ms. Bryce as of November 27, 2023, pursuant to which the post-termination exercise period relating to such stock options was amended to provide that the vested and outstanding shares subject to the stock options may be exercised until the earlier of (i) twelve months following the end of the Advisor Period and (ii) the original expiration date of the stock option. For additional information regarding equity awards previously granted to our named executive officers, please see the table under “Outstanding Equity Awards at 2023 Fiscal Year-End”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Option Awards</w:t>
            </w:r>
            <w:r>
              <w:rPr>
                <w:rFonts w:ascii="Times New Roman" w:cs="Times New Roman" w:eastAsia="Times New Roman" w:hAnsi="Times New Roman"/>
                <w:sz w:val="14"/>
                <w:szCs w:val="14"/>
                <w:b w:val="1"/>
                <w:bCs w:val="1"/>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13"/>
        </w:trPr>
        <w:tc>
          <w:tcPr>
            <w:tcW w:w="3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60" w:type="dxa"/>
            <w:vAlign w:val="bottom"/>
          </w:tcPr>
          <w:p>
            <w:pPr>
              <w:spacing w:after="0"/>
              <w:rPr>
                <w:sz w:val="9"/>
                <w:szCs w:val="9"/>
                <w:color w:val="auto"/>
              </w:rPr>
            </w:pPr>
          </w:p>
        </w:tc>
        <w:tc>
          <w:tcPr>
            <w:tcW w:w="96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2"/>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21"/>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22"/>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2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22"/>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Vesting</w:t>
            </w:r>
          </w:p>
        </w:tc>
        <w:tc>
          <w:tcPr>
            <w:tcW w:w="1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2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3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r>
      <w:tr>
        <w:trPr>
          <w:trHeight w:val="122"/>
        </w:trPr>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Commencement</w:t>
            </w:r>
          </w:p>
        </w:tc>
        <w:tc>
          <w:tcPr>
            <w:tcW w:w="1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6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3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r>
      <w:tr>
        <w:trPr>
          <w:trHeight w:val="151"/>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220" w:type="dxa"/>
            <w:vAlign w:val="bottom"/>
          </w:tcPr>
          <w:p>
            <w:pPr>
              <w:spacing w:after="0"/>
              <w:rPr>
                <w:sz w:val="13"/>
                <w:szCs w:val="13"/>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2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141"/>
        </w:trPr>
        <w:tc>
          <w:tcPr>
            <w:tcW w:w="3700" w:type="dxa"/>
            <w:vAlign w:val="bottom"/>
            <w:shd w:val="clear" w:color="auto" w:fill="CFF0FC"/>
          </w:tcPr>
          <w:p>
            <w:pPr>
              <w:ind w:left="60"/>
              <w:spacing w:after="0" w:line="141" w:lineRule="exact"/>
              <w:rPr>
                <w:sz w:val="20"/>
                <w:szCs w:val="20"/>
                <w:color w:val="auto"/>
              </w:rPr>
            </w:pPr>
            <w:r>
              <w:rPr>
                <w:rFonts w:ascii="Times New Roman" w:cs="Times New Roman" w:eastAsia="Times New Roman" w:hAnsi="Times New Roman"/>
                <w:sz w:val="14"/>
                <w:szCs w:val="14"/>
                <w:color w:val="auto"/>
              </w:rPr>
              <w:t>John Quisel, J.D., Ph.D.</w:t>
            </w:r>
          </w:p>
        </w:tc>
        <w:tc>
          <w:tcPr>
            <w:tcW w:w="1660" w:type="dxa"/>
            <w:vAlign w:val="bottom"/>
            <w:gridSpan w:val="3"/>
            <w:shd w:val="clear" w:color="auto" w:fill="CFF0FC"/>
          </w:tcPr>
          <w:p>
            <w:pPr>
              <w:jc w:val="right"/>
              <w:ind w:right="212"/>
              <w:spacing w:after="0" w:line="141" w:lineRule="exact"/>
              <w:rPr>
                <w:sz w:val="20"/>
                <w:szCs w:val="20"/>
                <w:color w:val="auto"/>
              </w:rPr>
            </w:pPr>
            <w:r>
              <w:rPr>
                <w:rFonts w:ascii="Times New Roman" w:cs="Times New Roman" w:eastAsia="Times New Roman" w:hAnsi="Times New Roman"/>
                <w:sz w:val="12"/>
                <w:szCs w:val="12"/>
                <w:color w:val="auto"/>
              </w:rPr>
              <w:t xml:space="preserve">12/29/2022 </w:t>
            </w:r>
            <w:r>
              <w:rPr>
                <w:rFonts w:ascii="Times New Roman" w:cs="Times New Roman" w:eastAsia="Times New Roman" w:hAnsi="Times New Roman"/>
                <w:sz w:val="16"/>
                <w:szCs w:val="16"/>
                <w:color w:val="auto"/>
                <w:vertAlign w:val="superscript"/>
              </w:rPr>
              <w:t>(2)</w:t>
            </w:r>
          </w:p>
        </w:tc>
        <w:tc>
          <w:tcPr>
            <w:tcW w:w="1400" w:type="dxa"/>
            <w:vAlign w:val="bottom"/>
            <w:gridSpan w:val="2"/>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12/29/2022</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33,000</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99,002</w:t>
            </w:r>
          </w:p>
        </w:tc>
        <w:tc>
          <w:tcPr>
            <w:tcW w:w="920" w:type="dxa"/>
            <w:vAlign w:val="bottom"/>
            <w:gridSpan w:val="2"/>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13.50</w:t>
            </w:r>
          </w:p>
        </w:tc>
        <w:tc>
          <w:tcPr>
            <w:tcW w:w="3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12/28/2032</w:t>
            </w:r>
          </w:p>
        </w:tc>
      </w:tr>
      <w:tr>
        <w:trPr>
          <w:trHeight w:val="17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12"/>
              <w:spacing w:after="0" w:line="175" w:lineRule="exact"/>
              <w:rPr>
                <w:sz w:val="20"/>
                <w:szCs w:val="20"/>
                <w:color w:val="auto"/>
              </w:rPr>
            </w:pPr>
            <w:r>
              <w:rPr>
                <w:rFonts w:ascii="Times New Roman" w:cs="Times New Roman" w:eastAsia="Times New Roman" w:hAnsi="Times New Roman"/>
                <w:sz w:val="14"/>
                <w:szCs w:val="14"/>
                <w:color w:val="auto"/>
              </w:rPr>
              <w:t xml:space="preserve">9/14/2021 </w:t>
            </w:r>
            <w:r>
              <w:rPr>
                <w:rFonts w:ascii="Times New Roman" w:cs="Times New Roman" w:eastAsia="Times New Roman" w:hAnsi="Times New Roman"/>
                <w:sz w:val="19"/>
                <w:szCs w:val="19"/>
                <w:color w:val="auto"/>
                <w:vertAlign w:val="superscript"/>
              </w:rPr>
              <w:t>(2)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9/1/2021</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94,719</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73,668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9/13/2031</w:t>
            </w:r>
          </w:p>
        </w:tc>
      </w:tr>
      <w:tr>
        <w:trPr>
          <w:trHeight w:val="176"/>
        </w:trPr>
        <w:tc>
          <w:tcPr>
            <w:tcW w:w="3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10/23/2020</w:t>
            </w:r>
          </w:p>
        </w:tc>
        <w:tc>
          <w:tcPr>
            <w:tcW w:w="3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w w:val="85"/>
              </w:rPr>
              <w:t>(3)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10/7/2020</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48,810</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10/22/2030</w:t>
            </w:r>
          </w:p>
        </w:tc>
      </w:tr>
      <w:tr>
        <w:trPr>
          <w:trHeight w:val="204"/>
        </w:trPr>
        <w:tc>
          <w:tcPr>
            <w:tcW w:w="3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3/11/2020</w:t>
            </w:r>
          </w:p>
        </w:tc>
        <w:tc>
          <w:tcPr>
            <w:tcW w:w="3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w w:val="85"/>
              </w:rPr>
              <w:t>(4)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2/25/2020</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231,049</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3/10/2030</w:t>
            </w:r>
          </w:p>
        </w:tc>
      </w:tr>
      <w:tr>
        <w:trPr>
          <w:trHeight w:val="147"/>
        </w:trPr>
        <w:tc>
          <w:tcPr>
            <w:tcW w:w="370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William Savage, M.D., Ph.D.</w:t>
            </w:r>
          </w:p>
        </w:tc>
        <w:tc>
          <w:tcPr>
            <w:tcW w:w="220" w:type="dxa"/>
            <w:vAlign w:val="bottom"/>
          </w:tcPr>
          <w:p>
            <w:pPr>
              <w:spacing w:after="0"/>
              <w:rPr>
                <w:sz w:val="12"/>
                <w:szCs w:val="12"/>
                <w:color w:val="auto"/>
              </w:rPr>
            </w:pPr>
          </w:p>
        </w:tc>
        <w:tc>
          <w:tcPr>
            <w:tcW w:w="10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12/29/2022</w:t>
            </w: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w w:val="85"/>
              </w:rPr>
              <w:t>(2)</w:t>
            </w:r>
          </w:p>
        </w:tc>
        <w:tc>
          <w:tcPr>
            <w:tcW w:w="14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12/29/2022</w:t>
            </w:r>
          </w:p>
        </w:tc>
        <w:tc>
          <w:tcPr>
            <w:tcW w:w="14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9,731</w:t>
            </w:r>
          </w:p>
        </w:tc>
        <w:tc>
          <w:tcPr>
            <w:tcW w:w="2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29,193</w:t>
            </w:r>
          </w:p>
        </w:tc>
        <w:tc>
          <w:tcPr>
            <w:tcW w:w="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13.50</w:t>
            </w:r>
          </w:p>
        </w:tc>
        <w:tc>
          <w:tcPr>
            <w:tcW w:w="32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12/28/2032</w:t>
            </w:r>
          </w:p>
        </w:tc>
      </w:tr>
      <w:tr>
        <w:trPr>
          <w:trHeight w:val="175"/>
        </w:trPr>
        <w:tc>
          <w:tcPr>
            <w:tcW w:w="37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1660" w:type="dxa"/>
            <w:vAlign w:val="bottom"/>
            <w:gridSpan w:val="3"/>
          </w:tcPr>
          <w:p>
            <w:pPr>
              <w:jc w:val="right"/>
              <w:ind w:right="212"/>
              <w:spacing w:after="0" w:line="175" w:lineRule="exact"/>
              <w:rPr>
                <w:sz w:val="20"/>
                <w:szCs w:val="20"/>
                <w:color w:val="auto"/>
              </w:rPr>
            </w:pPr>
            <w:r>
              <w:rPr>
                <w:rFonts w:ascii="Times New Roman" w:cs="Times New Roman" w:eastAsia="Times New Roman" w:hAnsi="Times New Roman"/>
                <w:sz w:val="14"/>
                <w:szCs w:val="14"/>
                <w:color w:val="auto"/>
              </w:rPr>
              <w:t xml:space="preserve">9/14/2021 </w:t>
            </w:r>
            <w:r>
              <w:rPr>
                <w:rFonts w:ascii="Times New Roman" w:cs="Times New Roman" w:eastAsia="Times New Roman" w:hAnsi="Times New Roman"/>
                <w:sz w:val="19"/>
                <w:szCs w:val="19"/>
                <w:color w:val="auto"/>
                <w:vertAlign w:val="superscript"/>
              </w:rPr>
              <w:t>(2)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6,360</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9/13/2031</w:t>
            </w:r>
          </w:p>
        </w:tc>
      </w:tr>
      <w:tr>
        <w:trPr>
          <w:trHeight w:val="176"/>
        </w:trPr>
        <w:tc>
          <w:tcPr>
            <w:tcW w:w="3700" w:type="dxa"/>
            <w:vAlign w:val="bottom"/>
          </w:tcPr>
          <w:p>
            <w:pPr>
              <w:spacing w:after="0"/>
              <w:rPr>
                <w:sz w:val="15"/>
                <w:szCs w:val="15"/>
                <w:color w:val="auto"/>
              </w:rPr>
            </w:pPr>
          </w:p>
        </w:tc>
        <w:tc>
          <w:tcPr>
            <w:tcW w:w="1660" w:type="dxa"/>
            <w:vAlign w:val="bottom"/>
            <w:gridSpan w:val="3"/>
          </w:tcPr>
          <w:p>
            <w:pPr>
              <w:jc w:val="right"/>
              <w:ind w:right="212"/>
              <w:spacing w:after="0" w:line="175" w:lineRule="exact"/>
              <w:rPr>
                <w:sz w:val="20"/>
                <w:szCs w:val="20"/>
                <w:color w:val="auto"/>
              </w:rPr>
            </w:pPr>
            <w:r>
              <w:rPr>
                <w:rFonts w:ascii="Times New Roman" w:cs="Times New Roman" w:eastAsia="Times New Roman" w:hAnsi="Times New Roman"/>
                <w:sz w:val="14"/>
                <w:szCs w:val="14"/>
                <w:color w:val="auto"/>
              </w:rPr>
              <w:t xml:space="preserve">9/14/2021 </w:t>
            </w:r>
            <w:r>
              <w:rPr>
                <w:rFonts w:ascii="Times New Roman" w:cs="Times New Roman" w:eastAsia="Times New Roman" w:hAnsi="Times New Roman"/>
                <w:sz w:val="19"/>
                <w:szCs w:val="19"/>
                <w:color w:val="auto"/>
                <w:vertAlign w:val="superscript"/>
              </w:rPr>
              <w:t>(2)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9/1/2021</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9/13/2031</w:t>
            </w:r>
          </w:p>
        </w:tc>
      </w:tr>
      <w:tr>
        <w:trPr>
          <w:trHeight w:val="175"/>
        </w:trPr>
        <w:tc>
          <w:tcPr>
            <w:tcW w:w="3700" w:type="dxa"/>
            <w:vAlign w:val="bottom"/>
          </w:tcPr>
          <w:p>
            <w:pPr>
              <w:spacing w:after="0"/>
              <w:rPr>
                <w:sz w:val="15"/>
                <w:szCs w:val="15"/>
                <w:color w:val="auto"/>
              </w:rPr>
            </w:pPr>
          </w:p>
        </w:tc>
        <w:tc>
          <w:tcPr>
            <w:tcW w:w="1660" w:type="dxa"/>
            <w:vAlign w:val="bottom"/>
            <w:gridSpan w:val="3"/>
          </w:tcPr>
          <w:p>
            <w:pPr>
              <w:jc w:val="right"/>
              <w:ind w:right="212"/>
              <w:spacing w:after="0" w:line="175" w:lineRule="exact"/>
              <w:rPr>
                <w:sz w:val="20"/>
                <w:szCs w:val="20"/>
                <w:color w:val="auto"/>
              </w:rPr>
            </w:pPr>
            <w:r>
              <w:rPr>
                <w:rFonts w:ascii="Times New Roman" w:cs="Times New Roman" w:eastAsia="Times New Roman" w:hAnsi="Times New Roman"/>
                <w:sz w:val="14"/>
                <w:szCs w:val="14"/>
                <w:color w:val="auto"/>
              </w:rPr>
              <w:t xml:space="preserve">10/23/2020 </w:t>
            </w:r>
            <w:r>
              <w:rPr>
                <w:rFonts w:ascii="Times New Roman" w:cs="Times New Roman" w:eastAsia="Times New Roman" w:hAnsi="Times New Roman"/>
                <w:sz w:val="19"/>
                <w:szCs w:val="19"/>
                <w:color w:val="auto"/>
                <w:vertAlign w:val="superscript"/>
              </w:rPr>
              <w:t>(5)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10/7/2020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10/22/2030</w:t>
            </w:r>
          </w:p>
        </w:tc>
      </w:tr>
      <w:tr>
        <w:trPr>
          <w:trHeight w:val="204"/>
        </w:trPr>
        <w:tc>
          <w:tcPr>
            <w:tcW w:w="3700" w:type="dxa"/>
            <w:vAlign w:val="bottom"/>
          </w:tcPr>
          <w:p>
            <w:pPr>
              <w:spacing w:after="0"/>
              <w:rPr>
                <w:sz w:val="17"/>
                <w:szCs w:val="17"/>
                <w:color w:val="auto"/>
              </w:rPr>
            </w:pPr>
          </w:p>
        </w:tc>
        <w:tc>
          <w:tcPr>
            <w:tcW w:w="1660" w:type="dxa"/>
            <w:vAlign w:val="bottom"/>
            <w:gridSpan w:val="3"/>
          </w:tcPr>
          <w:p>
            <w:pPr>
              <w:jc w:val="right"/>
              <w:ind w:right="212"/>
              <w:spacing w:after="0" w:line="204" w:lineRule="exact"/>
              <w:rPr>
                <w:sz w:val="20"/>
                <w:szCs w:val="20"/>
                <w:color w:val="auto"/>
              </w:rPr>
            </w:pPr>
            <w:r>
              <w:rPr>
                <w:rFonts w:ascii="Times New Roman" w:cs="Times New Roman" w:eastAsia="Times New Roman" w:hAnsi="Times New Roman"/>
                <w:sz w:val="14"/>
                <w:szCs w:val="14"/>
                <w:color w:val="auto"/>
              </w:rPr>
              <w:t xml:space="preserve">8/11/2020 </w:t>
            </w:r>
            <w:r>
              <w:rPr>
                <w:rFonts w:ascii="Times New Roman" w:cs="Times New Roman" w:eastAsia="Times New Roman" w:hAnsi="Times New Roman"/>
                <w:sz w:val="19"/>
                <w:szCs w:val="19"/>
                <w:color w:val="auto"/>
                <w:vertAlign w:val="superscript"/>
              </w:rPr>
              <w:t>(4)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8/3/2020</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8/10/2030</w:t>
            </w:r>
          </w:p>
        </w:tc>
      </w:tr>
      <w:tr>
        <w:trPr>
          <w:trHeight w:val="175"/>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Joanne Bryce, CPA</w:t>
            </w:r>
          </w:p>
        </w:tc>
        <w:tc>
          <w:tcPr>
            <w:tcW w:w="1660" w:type="dxa"/>
            <w:vAlign w:val="bottom"/>
            <w:gridSpan w:val="3"/>
            <w:shd w:val="clear" w:color="auto" w:fill="CFF0FC"/>
          </w:tcPr>
          <w:p>
            <w:pPr>
              <w:jc w:val="right"/>
              <w:ind w:right="212"/>
              <w:spacing w:after="0" w:line="175" w:lineRule="exact"/>
              <w:rPr>
                <w:sz w:val="20"/>
                <w:szCs w:val="20"/>
                <w:color w:val="auto"/>
              </w:rPr>
            </w:pPr>
            <w:r>
              <w:rPr>
                <w:rFonts w:ascii="Times New Roman" w:cs="Times New Roman" w:eastAsia="Times New Roman" w:hAnsi="Times New Roman"/>
                <w:sz w:val="14"/>
                <w:szCs w:val="14"/>
                <w:color w:val="auto"/>
              </w:rPr>
              <w:t xml:space="preserve">12/29/2022 </w:t>
            </w:r>
            <w:r>
              <w:rPr>
                <w:rFonts w:ascii="Times New Roman" w:cs="Times New Roman" w:eastAsia="Times New Roman" w:hAnsi="Times New Roman"/>
                <w:sz w:val="19"/>
                <w:szCs w:val="19"/>
                <w:color w:val="auto"/>
                <w:vertAlign w:val="superscript"/>
              </w:rPr>
              <w:t>(2)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12/29/2022</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25,386</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12/28/2032</w:t>
            </w:r>
          </w:p>
        </w:tc>
      </w:tr>
      <w:tr>
        <w:trPr>
          <w:trHeight w:val="176"/>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12"/>
              <w:spacing w:after="0" w:line="175" w:lineRule="exact"/>
              <w:rPr>
                <w:sz w:val="20"/>
                <w:szCs w:val="20"/>
                <w:color w:val="auto"/>
              </w:rPr>
            </w:pPr>
            <w:r>
              <w:rPr>
                <w:rFonts w:ascii="Times New Roman" w:cs="Times New Roman" w:eastAsia="Times New Roman" w:hAnsi="Times New Roman"/>
                <w:sz w:val="14"/>
                <w:szCs w:val="14"/>
                <w:color w:val="auto"/>
              </w:rPr>
              <w:t xml:space="preserve">9/14/2021 </w:t>
            </w:r>
            <w:r>
              <w:rPr>
                <w:rFonts w:ascii="Times New Roman" w:cs="Times New Roman" w:eastAsia="Times New Roman" w:hAnsi="Times New Roman"/>
                <w:sz w:val="19"/>
                <w:szCs w:val="19"/>
                <w:color w:val="auto"/>
                <w:vertAlign w:val="superscript"/>
              </w:rPr>
              <w:t>(2)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9/1/2021</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39,077</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34,668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9/13/2031</w:t>
            </w:r>
          </w:p>
        </w:tc>
      </w:tr>
      <w:tr>
        <w:trPr>
          <w:trHeight w:val="147"/>
        </w:trPr>
        <w:tc>
          <w:tcPr>
            <w:tcW w:w="3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10/23/2020</w:t>
            </w:r>
          </w:p>
        </w:tc>
        <w:tc>
          <w:tcPr>
            <w:tcW w:w="3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w w:val="85"/>
              </w:rPr>
              <w:t>(2)</w:t>
            </w:r>
          </w:p>
        </w:tc>
        <w:tc>
          <w:tcPr>
            <w:tcW w:w="140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10/7/2020</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2,763</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990</w:t>
            </w:r>
          </w:p>
        </w:tc>
        <w:tc>
          <w:tcPr>
            <w:tcW w:w="920" w:type="dxa"/>
            <w:vAlign w:val="bottom"/>
            <w:gridSpan w:val="2"/>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2.65</w:t>
            </w:r>
          </w:p>
        </w:tc>
        <w:tc>
          <w:tcPr>
            <w:tcW w:w="3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10/22/2030</w:t>
            </w:r>
          </w:p>
        </w:tc>
      </w:tr>
      <w:tr>
        <w:trPr>
          <w:trHeight w:val="175"/>
        </w:trPr>
        <w:tc>
          <w:tcPr>
            <w:tcW w:w="3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10/23/2020</w:t>
            </w:r>
          </w:p>
        </w:tc>
        <w:tc>
          <w:tcPr>
            <w:tcW w:w="3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w w:val="85"/>
              </w:rPr>
              <w:t>(2)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1/1/2020</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10/22/2030</w:t>
            </w:r>
          </w:p>
        </w:tc>
      </w:tr>
      <w:tr>
        <w:trPr>
          <w:trHeight w:val="204"/>
        </w:trPr>
        <w:tc>
          <w:tcPr>
            <w:tcW w:w="3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11/6/2019</w:t>
            </w:r>
          </w:p>
        </w:tc>
        <w:tc>
          <w:tcPr>
            <w:tcW w:w="3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0"/>
                <w:szCs w:val="10"/>
                <w:color w:val="auto"/>
                <w:w w:val="85"/>
              </w:rPr>
              <w:t>(6)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5/1/2020</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11/5/2029</w:t>
            </w:r>
          </w:p>
        </w:tc>
      </w:tr>
    </w:tbl>
    <w:p>
      <w:pPr>
        <w:spacing w:after="0" w:line="198" w:lineRule="exact"/>
        <w:rPr>
          <w:sz w:val="20"/>
          <w:szCs w:val="20"/>
          <w:color w:val="auto"/>
        </w:rPr>
      </w:pPr>
    </w:p>
    <w:p>
      <w:pPr>
        <w:ind w:left="380" w:hanging="372"/>
        <w:spacing w:after="0" w:line="253"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granted in years 2020 and 2021 were granted pursuant to the terms of our 2017 Stock Option and Grant Plan, as amended, or our 2017 Plan. All stock options granted in year 2022 were granted pursuant to the terms of our Amended and Restated 2021 Stock Option and Incentive Plan, or our 2021 Plan. Pursuant to provisions in our stock plans, the exercise price and number of shares subject to certain of these stock options were adjusted in connection with (i) the 1-for-10 reverse stock split that occurred on December 29, 2022 and (ii) our prior merger with Gemini Therapeutics, Inc., pursuant to which all of our shares of common stock were converted into shares of Gemini’s common stock based on an exchange ratio of 0.1096. Accordingly, the exercise prices shown in the table above (and in the corresponding footnotes) reflect our named executive officers’ post-reverse stock split holdings and post-conversion holdings.</w:t>
      </w:r>
    </w:p>
    <w:p>
      <w:pPr>
        <w:spacing w:after="0" w:line="2" w:lineRule="exact"/>
        <w:rPr>
          <w:rFonts w:ascii="Times New Roman" w:cs="Times New Roman" w:eastAsia="Times New Roman" w:hAnsi="Times New Roman"/>
          <w:sz w:val="18"/>
          <w:szCs w:val="18"/>
          <w:color w:val="auto"/>
        </w:rPr>
      </w:pPr>
    </w:p>
    <w:p>
      <w:pPr>
        <w:ind w:left="380" w:right="640" w:hanging="372"/>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vests in 48 equal monthly installments following the Vesting Commencement Date, subject to the named executive officer’s continuous service.</w:t>
      </w:r>
    </w:p>
    <w:p>
      <w:pPr>
        <w:ind w:left="380" w:right="120" w:hanging="372"/>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5,138 shares vested on February 25, 2021. The remaining 56,512 shares vest in 44 equal monthly installments following the Vesting Commencement Date, subject to the named executive officer’s continuous service.</w:t>
      </w:r>
    </w:p>
    <w:p>
      <w:pPr>
        <w:ind w:left="380" w:right="900" w:hanging="372"/>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vested on the one-year anniversary of the Vesting Commencement Date. The remaining shares vest in 36 equal monthly installments following the Vesting Commencement Date, subject to the named executive officer’s continuous service.</w:t>
      </w:r>
    </w:p>
    <w:p>
      <w:pPr>
        <w:ind w:left="380" w:hanging="372"/>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2,140 shares vested on August 3, 2021. The remaining 8,135 shares vest in 38 equal monthly installments following the Vesting Commencement Date, subject to the named executive officer’s continuous service.</w:t>
      </w:r>
    </w:p>
    <w:p>
      <w:pPr>
        <w:ind w:left="380" w:right="40" w:hanging="372"/>
        <w:spacing w:after="0" w:line="26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vests in 16 equal quarterly installments commencing on the three-month anniversary of the Vesting Commencement Date, subject to the named executive officer’s continuous service.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for Named Executive Officers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John Quisel</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Dr. Quisel effective as of December 29, 2022, or the Quisel Employment Agreement, who currently serves as our President and Chief Executive Officer, that supersedes his previous employment agreement. The Quisel Employment Agreement provides for Dr. Quisel’s at-will employment, an annual salary of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 The Quisel Employment Agreement also provides that upon a termination 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the executive’s target bonus pro-rated for the year of termination, any earned, but unpaid bonus for the fiscal year prior to the fiscal year of termination; acceleration of 25% of Dr. Quisel’s unvested and outstanding time-based vesting equity awards and payment of COBRA premiums (subject to Dr. Quisel’s continued copayment of such premiums at the active employees’ rate) for up to 12 months following the termination date. 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 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William Savage</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Dr. Savage effective as of December 29, 2022,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 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this then current base salary, plus 100% of his target bonus for the year of termination, plus any earned, but unpaid bonus for the fiscal year prior to the fiscal year of termination.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 All severance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Joanne Bryce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Ms. Bryce effective as of December 29, 2022, or the Bryce Employment Agreement, who currently serves as our Chief Financial Officer, that supersedes her previous offer letter. The Bryce Employment Agreement provides for Ms. Bryce’s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her base salary and her eligibility to participate in the employee benefit plans generally available to our employees. The Bryce Employment Agreement also provides that upon a termination without cause (and not due to death or disability) or if Ms. Bryce resigns for good reason, in each case, outside of the period that is within 3 months prior to, or within 12 months after, the occurrence of the first event constituting a change in control, then Ms. Bryce is entitled to receive cash severance equal to continued base salary payments for 9 months, any earned, but unpaid bonus for the fiscal year prior to the fiscal year of termination, and payment of COBRA premiums (subject to Ms. Bryce’s continued copayment of such premiums at the active employees’ rate) for up to 9 months. If within 3 months prior to 12 months following a change of control, Ms. Bryce is terminated by the Company or successor involuntarily without cause (and not due to death or disability) or Ms. Bryce resigns for good reason, Ms. Bryce shall be entitled to cash severance equal to a lump sum cash payment equal to 12 months of her then current base salary, plus 100% of her target bonus for the year of termination, plus any earned, but unpaid bonus for the fiscal year prior to the fiscal year of termination. In addition, upon such a termination, all of Ms. Bryce’s outstanding equity awards subject to time-based vesting shall be immediately and fully accelerated and she shall be entitled to the payment of COBRA premiums (subject to Ms. Bryce’s continued copayment of such premiums at the active employees’ rate) for up to 12 months. All severance payments and benefits are conditioned upon Ms. Bryce’s execution of a release of claims in our favor. If as a result of a termination of his employment Ms. Bryce becomes subject to the excise tax imposed by Section 4999 of the Internal Revenue Code, Ms. Bryce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Bryce is also subject to our confidentiality, assignment, non-solicitation, and noncompetition policies.</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7, 2024, Ms. Bryce departed from her role as Chief Financial Officer. In connection with her departure, we entered into a Transition and Separation Agreement with Ms. Bryce, or the Bryce Separation Agreement, which provides that, subject to Ms. Bryce’s execution of the Bryce Separation Agreement, which included a release of claims in favor of the Company, Ms. Bryce will receive 100% of her target annual bonus for 2023, despite her not remaining an employee through the date of payment. In addition, subject to Mr. Bryce’s execution and nonrevocation of the Bryce Separation Agreement, her continued compliance with her Employee Confidentiality, Assignment, Non-solicitation and Noncompetition Agreement, dated as of September 14, 2021, and her cooperation with us to transition her duties and responsibilities, Ms. Bryce will be entitled to the following: (i) we will engage Ms. Bryce as an advisor between the date of her termination of employment (i.e., February 7, 2024) and the date that is nine months after such termination (i.e., November 7, 2024), unless she resigns prior to such date or we terminate her for cause (the “Advisor Period”), and during the Advisor Period we will pay Ms. Bryce $350 per hour of service she provides to the Company, (ii) her base salary for a period of nine months following her termination of employment,</w:t>
      </w:r>
    </w:p>
    <w:p>
      <w:pPr>
        <w:spacing w:after="0" w:line="6" w:lineRule="exact"/>
        <w:rPr>
          <w:sz w:val="20"/>
          <w:szCs w:val="20"/>
          <w:color w:val="auto"/>
        </w:rPr>
      </w:pPr>
    </w:p>
    <w:p>
      <w:pPr>
        <w:jc w:val="both"/>
        <w:ind w:firstLine="8"/>
        <w:spacing w:after="0" w:line="253" w:lineRule="auto"/>
        <w:tabs>
          <w:tab w:leader="none" w:pos="3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her copayment of premium amounts at the applicable active employees’ rate and proper election to continue COBRA health coverage, payment of the portion of the premiums equal to the amount that we would have paid to provide health insurance to Ms. Bryce had she remained employed with us for up to nine months following her termination of employment, (iii) the period during which Ms. Bryce may exercise her vested and outstanding stock options following the cessation of her service relationship with us was extended to the earlier of (A) the date that is twelve months following the end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Advisor Period and (b) the original expiration date of the stock option, and (iv) a prorated portion of her target annual bonus for 2024, prorated based on the number of days in 2024 she remained employed by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like all full-time employees, are eligible to participate in our health and welfare benefit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Personal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do not provide perquisites to our executives.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During 2023, we implemented a safe harbor match under our 401(k) program of 50% of a participant’s eligible contributions, up to a total of 6% of eligible compensation. We did not provide a matching contribution to the named executive officers or to any employees in 2022.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as of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87"/>
        </w:trPr>
        <w:tc>
          <w:tcPr>
            <w:tcW w:w="6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720" w:type="dxa"/>
            <w:vAlign w:val="bottom"/>
            <w:gridSpan w:val="2"/>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69"/>
        </w:trPr>
        <w:tc>
          <w:tcPr>
            <w:tcW w:w="580" w:type="dxa"/>
            <w:vAlign w:val="bottom"/>
            <w:tcBorders>
              <w:top w:val="single" w:sz="8" w:color="auto"/>
            </w:tcBorders>
          </w:tcPr>
          <w:p>
            <w:pPr>
              <w:spacing w:after="0"/>
              <w:rPr>
                <w:sz w:val="14"/>
                <w:szCs w:val="14"/>
                <w:color w:val="auto"/>
              </w:rPr>
            </w:pPr>
          </w:p>
        </w:tc>
        <w:tc>
          <w:tcPr>
            <w:tcW w:w="5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80" w:type="dxa"/>
            <w:vAlign w:val="bottom"/>
          </w:tcPr>
          <w:p>
            <w:pPr>
              <w:spacing w:after="0"/>
              <w:rPr>
                <w:sz w:val="14"/>
                <w:szCs w:val="14"/>
                <w:color w:val="auto"/>
              </w:rPr>
            </w:pPr>
          </w:p>
        </w:tc>
        <w:tc>
          <w:tcPr>
            <w:tcW w:w="14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(3)</w:t>
            </w:r>
          </w:p>
        </w:tc>
        <w:tc>
          <w:tcPr>
            <w:tcW w:w="220" w:type="dxa"/>
            <w:vAlign w:val="bottom"/>
          </w:tcPr>
          <w:p>
            <w:pPr>
              <w:spacing w:after="0"/>
              <w:rPr>
                <w:sz w:val="14"/>
                <w:szCs w:val="14"/>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2021</w:t>
            </w:r>
          </w:p>
        </w:tc>
        <w:tc>
          <w:tcPr>
            <w:tcW w:w="54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 Option and Incentive Plan</w:t>
            </w:r>
            <w:r>
              <w:rPr>
                <w:rFonts w:ascii="Times New Roman" w:cs="Times New Roman" w:eastAsia="Times New Roman" w:hAnsi="Times New Roman"/>
                <w:sz w:val="24"/>
                <w:szCs w:val="24"/>
                <w:color w:val="auto"/>
                <w:vertAlign w:val="superscript"/>
              </w:rPr>
              <w:t>(1)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959,469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1,561,926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2021 Employee Stock Purchase Plan</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2017</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and Grant Plan of Disc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1,491,591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2017</w:t>
            </w:r>
          </w:p>
        </w:tc>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 and Grant Plan of Gemini</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2021</w:t>
            </w:r>
          </w:p>
        </w:tc>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2,459,037</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1,938,591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-156845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0" w:lineRule="exact"/>
        <w:rPr>
          <w:sz w:val="20"/>
          <w:szCs w:val="20"/>
          <w:color w:val="auto"/>
        </w:rPr>
      </w:pPr>
    </w:p>
    <w:p>
      <w:pPr>
        <w:ind w:left="380" w:right="40" w:hanging="372"/>
        <w:spacing w:after="0" w:line="261" w:lineRule="auto"/>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974,409 shares to the 2021 Stock Option and Incentive Plan effective January 1, 2024.</w:t>
      </w:r>
    </w:p>
    <w:p>
      <w:pPr>
        <w:spacing w:after="0" w:line="17" w:lineRule="exact"/>
        <w:rPr>
          <w:rFonts w:ascii="Times New Roman" w:cs="Times New Roman" w:eastAsia="Times New Roman" w:hAnsi="Times New Roman"/>
          <w:sz w:val="14"/>
          <w:szCs w:val="14"/>
          <w:color w:val="auto"/>
        </w:rPr>
      </w:pPr>
    </w:p>
    <w:p>
      <w:pPr>
        <w:ind w:left="380" w:right="140" w:hanging="372"/>
        <w:spacing w:after="0" w:line="282" w:lineRule="auto"/>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number of shares of common stock reserved for issuance under the 2021 Employee Stock Purchase Plan automatically increases on January 1 of each calendar year, starting on January 1, 2023 and continuing through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2" w:lineRule="exact"/>
        <w:rPr>
          <w:sz w:val="20"/>
          <w:szCs w:val="20"/>
          <w:color w:val="auto"/>
        </w:rPr>
      </w:pPr>
    </w:p>
    <w:p>
      <w:pPr>
        <w:ind w:left="372" w:right="60"/>
        <w:spacing w:after="0" w:line="266" w:lineRule="auto"/>
        <w:rPr>
          <w:sz w:val="20"/>
          <w:szCs w:val="20"/>
          <w:color w:val="auto"/>
        </w:rPr>
      </w:pPr>
      <w:r>
        <w:rPr>
          <w:rFonts w:ascii="Times New Roman" w:cs="Times New Roman" w:eastAsia="Times New Roman" w:hAnsi="Times New Roman"/>
          <w:sz w:val="18"/>
          <w:szCs w:val="18"/>
          <w:color w:val="auto"/>
        </w:rPr>
        <w:t>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Board. Subject to this provision, we added 43,055 shares to the 2021 Employee Stock Purchase Plan effective January 1, 2024.</w:t>
      </w:r>
    </w:p>
    <w:p>
      <w:pPr>
        <w:spacing w:after="0" w:line="14" w:lineRule="exact"/>
        <w:rPr>
          <w:sz w:val="20"/>
          <w:szCs w:val="20"/>
          <w:color w:val="auto"/>
        </w:rPr>
      </w:pPr>
    </w:p>
    <w:p>
      <w:pPr>
        <w:ind w:left="372" w:hanging="372"/>
        <w:spacing w:after="0" w:line="282" w:lineRule="auto"/>
        <w:tabs>
          <w:tab w:leader="none" w:pos="37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weighted-average exercise price is calculated based solely on outstanding stock options and does not include outstanding restricted stock awards, which do not have an exercise price.</w:t>
      </w:r>
    </w:p>
    <w:p>
      <w:pPr>
        <w:spacing w:after="0" w:line="378"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440" w:right="419" w:bottom="1440" w:gutter="0" w:footer="0" w:header="0"/>
        </w:sectPr>
      </w:pPr>
    </w:p>
    <w:bookmarkStart w:id="36" w:name="page37"/>
    <w:bookmarkEnd w:id="36"/>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2023, to which we were or will be a party, in which:</w:t>
      </w:r>
    </w:p>
    <w:p>
      <w:pPr>
        <w:spacing w:after="0" w:line="185"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our total assets for the last two completed fiscal years;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Compensation arrangements for our named executive officers and directors are described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section of this proxy statement titled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and sale of 3,015,919 shares of our common stock at a purchase price of $49.00 per share and pre-funded warrants to purchase an aggregate of 204,081 shares of our common stock at a purchase price of $48.9999 per pre-funded warrant, for an aggregate total proceeds of $157.8 million before deducting underwriting discounts, commissions and other offering expenses. The shares of common stock sold included 420,000 shares sold pursuant to an option granted to the underwriters, which was exercised in full. The purchaser of the pre-funded warrants was a beneficial holder of more than 5% of our capital stock.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our</w:t>
            </w:r>
          </w:p>
        </w:tc>
        <w:tc>
          <w:tcPr>
            <w:tcW w:w="220" w:type="dxa"/>
            <w:vAlign w:val="bottom"/>
          </w:tcPr>
          <w:p>
            <w:pPr>
              <w:spacing w:after="0"/>
              <w:rPr>
                <w:sz w:val="13"/>
                <w:szCs w:val="13"/>
                <w:color w:val="auto"/>
              </w:rPr>
            </w:pPr>
          </w:p>
        </w:tc>
        <w:tc>
          <w:tcPr>
            <w:tcW w:w="1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2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204,081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9,999,949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9030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72" w:lineRule="exact"/>
        <w:rPr>
          <w:sz w:val="20"/>
          <w:szCs w:val="20"/>
          <w:color w:val="auto"/>
        </w:rPr>
      </w:pPr>
    </w:p>
    <w:p>
      <w:pPr>
        <w:ind w:left="3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2023, we entered into a securities purchase agreement, or the Purchase Agreement, with certain investors. Pursuant to the Purchase Agreement, we sold (i) an aggregate of 1,488,166 shares of our common stock, at a purchase price of $23.00 per share, and (ii) with respect to certain investors, in lieu of shares of our common stock, pre-funded warrants to purchase an aggregate of 1,229,224 shares of our common stock, at a purchase price of $22.9999 per pre-funded warrant, for aggregate gross proceeds of approximately $62.5 million. During the twelve months ended December 31, 2023, all of the pre-funded warrants were exercised in a cashless transaction which resulted in 1,229,221 shares of common stock being issued to the investor. The investors or their affiliates are beneficial holders of more than 5% of our capital stock, and the table below sets forth the number of shares of our common stock and pre-funded warrants to purchase shares of our common stock purchased by such holders: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our</w:t>
            </w:r>
          </w:p>
        </w:tc>
        <w:tc>
          <w:tcPr>
            <w:tcW w:w="200" w:type="dxa"/>
            <w:vAlign w:val="bottom"/>
          </w:tcPr>
          <w:p>
            <w:pPr>
              <w:spacing w:after="0"/>
              <w:rPr>
                <w:sz w:val="12"/>
                <w:szCs w:val="12"/>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Underlying</w:t>
            </w:r>
          </w:p>
        </w:tc>
        <w:tc>
          <w:tcPr>
            <w:tcW w:w="20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840" w:type="dxa"/>
            <w:vAlign w:val="bottom"/>
          </w:tcPr>
          <w:p>
            <w:pPr>
              <w:spacing w:after="0"/>
              <w:rPr>
                <w:sz w:val="12"/>
                <w:szCs w:val="12"/>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Bain Capital Life Sciences Opportunities III, L.P.</w:t>
            </w:r>
            <w:r>
              <w:rPr>
                <w:rFonts w:ascii="Times New Roman" w:cs="Times New Roman" w:eastAsia="Times New Roman" w:hAnsi="Times New Roman"/>
                <w:sz w:val="24"/>
                <w:szCs w:val="24"/>
                <w:color w:val="auto"/>
                <w:vertAlign w:val="superscript"/>
              </w:rPr>
              <w:t>(1)</w:t>
            </w:r>
          </w:p>
        </w:tc>
        <w:tc>
          <w:tcPr>
            <w:tcW w:w="1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944,687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1,229,224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49,999,830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Entities affiliated with OrbiMed Advisors LLC</w:t>
            </w:r>
            <w:r>
              <w:rPr>
                <w:rFonts w:ascii="Times New Roman" w:cs="Times New Roman" w:eastAsia="Times New Roman" w:hAnsi="Times New Roman"/>
                <w:sz w:val="24"/>
                <w:szCs w:val="24"/>
                <w:color w:val="auto"/>
                <w:vertAlign w:val="superscript"/>
              </w:rPr>
              <w:t>(2)</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108,696</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(3)</w:t>
            </w:r>
          </w:p>
        </w:tc>
        <w:tc>
          <w:tcPr>
            <w:tcW w:w="1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434,783</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184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1"/>
        </w:trPr>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2"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Life Sciences Opportunities III, L.P. beneficially owns more than five percent of our outstanding capital stock.</w:t>
      </w:r>
    </w:p>
    <w:p>
      <w:pPr>
        <w:spacing w:after="0" w:line="6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OrbiMed Advisors LLC beneficially own more than five percent of our outstanding capital stock. Dr. Ashiya is a Partner at OrbiMed Advisors LLC and a member of our board of directors.</w:t>
      </w:r>
    </w:p>
    <w:p>
      <w:pPr>
        <w:spacing w:after="0" w:line="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common stock as of April 15, 2024 by:</w:t>
      </w:r>
    </w:p>
    <w:p>
      <w:pPr>
        <w:spacing w:after="0" w:line="198"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5% or more of the outstanding shares of our common stock;</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84"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 and our other executive officers who served during the year ended December 31, 2023, named in the Summary Compensation table above, whom, collectively, we refer to as our named executive officers;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8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April 15, 2024.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4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24,721,465 shares of our common stock outstanding as of April 15, 2024. Except as otherwise indicated in the footnotes below, the address of the beneficial owner is c/o Disc Medicine, Inc., 321 Arsenal Street, Suite 101, Watertown, MA 02472.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2"/>
                <w:szCs w:val="12"/>
                <w:color w:val="auto"/>
              </w:rPr>
            </w:pPr>
          </w:p>
        </w:tc>
        <w:tc>
          <w:tcPr>
            <w:tcW w:w="17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7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1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6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680" w:type="dxa"/>
            <w:vAlign w:val="bottom"/>
          </w:tcPr>
          <w:p>
            <w:pPr>
              <w:ind w:left="200"/>
              <w:spacing w:after="0" w:line="218"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3,345,840</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13.42 %</w:t>
            </w: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Paradigm</w:t>
            </w:r>
            <w:r>
              <w:rPr>
                <w:rFonts w:ascii="Times New Roman" w:cs="Times New Roman" w:eastAsia="Times New Roman" w:hAnsi="Times New Roman"/>
                <w:sz w:val="24"/>
                <w:szCs w:val="24"/>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2,385,857</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Atlas Venture Fund</w:t>
            </w:r>
            <w:r>
              <w:rPr>
                <w:rFonts w:ascii="Times New Roman" w:cs="Times New Roman" w:eastAsia="Times New Roman" w:hAnsi="Times New Roman"/>
                <w:sz w:val="24"/>
                <w:szCs w:val="24"/>
                <w:color w:val="auto"/>
                <w:vertAlign w:val="superscript"/>
              </w:rPr>
              <w:t>(3)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2,329,015</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FMR LLC (Fidelity)</w:t>
            </w:r>
            <w:r>
              <w:rPr>
                <w:rFonts w:ascii="Times New Roman" w:cs="Times New Roman" w:eastAsia="Times New Roman" w:hAnsi="Times New Roman"/>
                <w:sz w:val="24"/>
                <w:szCs w:val="24"/>
                <w:color w:val="auto"/>
                <w:vertAlign w:val="superscript"/>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2,166,819</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Entities affiliated with OrbiMed</w:t>
            </w:r>
            <w:r>
              <w:rPr>
                <w:rFonts w:ascii="Times New Roman" w:cs="Times New Roman" w:eastAsia="Times New Roman" w:hAnsi="Times New Roman"/>
                <w:sz w:val="24"/>
                <w:szCs w:val="24"/>
                <w:color w:val="auto"/>
                <w:vertAlign w:val="superscript"/>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1,702,237</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0" w:type="dxa"/>
            <w:vAlign w:val="bottom"/>
          </w:tcPr>
          <w:p>
            <w:pPr>
              <w:spacing w:after="0"/>
              <w:rPr>
                <w:sz w:val="1"/>
                <w:szCs w:val="1"/>
                <w:color w:val="auto"/>
              </w:rPr>
            </w:pPr>
          </w:p>
        </w:tc>
      </w:tr>
      <w:tr>
        <w:trPr>
          <w:trHeight w:val="268"/>
        </w:trPr>
        <w:tc>
          <w:tcPr>
            <w:tcW w:w="768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Bain Capital Life Sciences Opportunities III, LP</w:t>
            </w:r>
            <w:r>
              <w:rPr>
                <w:rFonts w:ascii="Times New Roman" w:cs="Times New Roman" w:eastAsia="Times New Roman" w:hAnsi="Times New Roman"/>
                <w:sz w:val="24"/>
                <w:szCs w:val="24"/>
                <w:color w:val="auto"/>
                <w:vertAlign w:val="superscript"/>
              </w:rPr>
              <w:t>(6)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1,332,545</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Other Executive Officers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John Quisel, J.D., Ph.D.</w:t>
            </w:r>
            <w:r>
              <w:rPr>
                <w:rFonts w:ascii="Times New Roman" w:cs="Times New Roman" w:eastAsia="Times New Roman" w:hAnsi="Times New Roman"/>
                <w:sz w:val="24"/>
                <w:szCs w:val="24"/>
                <w:color w:val="auto"/>
                <w:vertAlign w:val="superscript"/>
              </w:rPr>
              <w:t>(7)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68"/>
        </w:trPr>
        <w:tc>
          <w:tcPr>
            <w:tcW w:w="768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William Savage, M.D., Ph.D.</w:t>
            </w:r>
            <w:r>
              <w:rPr>
                <w:rFonts w:ascii="Times New Roman" w:cs="Times New Roman" w:eastAsia="Times New Roman" w:hAnsi="Times New Roman"/>
                <w:sz w:val="24"/>
                <w:szCs w:val="24"/>
                <w:color w:val="auto"/>
                <w:vertAlign w:val="superscript"/>
              </w:rPr>
              <w:t>(8)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Joanne Bryce, CPA </w:t>
            </w:r>
            <w:r>
              <w:rPr>
                <w:rFonts w:ascii="Times New Roman" w:cs="Times New Roman" w:eastAsia="Times New Roman" w:hAnsi="Times New Roman"/>
                <w:sz w:val="24"/>
                <w:szCs w:val="24"/>
                <w:color w:val="auto"/>
                <w:vertAlign w:val="superscript"/>
              </w:rPr>
              <w:t>(9)</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Mona Ashiya, Ph.D.</w:t>
            </w:r>
            <w:r>
              <w:rPr>
                <w:rFonts w:ascii="Times New Roman" w:cs="Times New Roman" w:eastAsia="Times New Roman" w:hAnsi="Times New Roman"/>
                <w:sz w:val="24"/>
                <w:szCs w:val="24"/>
                <w:color w:val="auto"/>
                <w:vertAlign w:val="superscript"/>
              </w:rPr>
              <w:t>(10)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Kevin Bitterman, Ph.D.</w:t>
            </w:r>
            <w:r>
              <w:rPr>
                <w:rFonts w:ascii="Times New Roman" w:cs="Times New Roman" w:eastAsia="Times New Roman" w:hAnsi="Times New Roman"/>
                <w:sz w:val="24"/>
                <w:szCs w:val="24"/>
                <w:color w:val="auto"/>
                <w:vertAlign w:val="superscript"/>
              </w:rPr>
              <w:t>(10)</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Mark Chin, M.S., M.B.A.</w:t>
            </w:r>
            <w:r>
              <w:rPr>
                <w:rFonts w:ascii="Times New Roman" w:cs="Times New Roman" w:eastAsia="Times New Roman" w:hAnsi="Times New Roman"/>
                <w:sz w:val="24"/>
                <w:szCs w:val="24"/>
                <w:color w:val="auto"/>
                <w:vertAlign w:val="superscript"/>
              </w:rPr>
              <w:t>(10)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Georges Gemayel</w:t>
            </w:r>
            <w:r>
              <w:rPr>
                <w:rFonts w:ascii="Times New Roman" w:cs="Times New Roman" w:eastAsia="Times New Roman" w:hAnsi="Times New Roman"/>
                <w:sz w:val="24"/>
                <w:szCs w:val="24"/>
                <w:color w:val="auto"/>
                <w:vertAlign w:val="superscript"/>
              </w:rPr>
              <w:t>(11)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Donald Nicholson, Ph.D.</w:t>
            </w:r>
            <w:r>
              <w:rPr>
                <w:rFonts w:ascii="Times New Roman" w:cs="Times New Roman" w:eastAsia="Times New Roman" w:hAnsi="Times New Roman"/>
                <w:sz w:val="24"/>
                <w:szCs w:val="24"/>
                <w:color w:val="auto"/>
                <w:vertAlign w:val="superscript"/>
              </w:rPr>
              <w:t>(12)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Liam Ratcliffe, M.D., Ph.D.</w:t>
            </w:r>
            <w:r>
              <w:rPr>
                <w:rFonts w:ascii="Times New Roman" w:cs="Times New Roman" w:eastAsia="Times New Roman" w:hAnsi="Times New Roman"/>
                <w:sz w:val="24"/>
                <w:szCs w:val="24"/>
                <w:color w:val="auto"/>
                <w:vertAlign w:val="superscript"/>
              </w:rPr>
              <w:t>(10)</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00"/>
              <w:spacing w:after="0" w:line="214" w:lineRule="exact"/>
              <w:rPr>
                <w:sz w:val="20"/>
                <w:szCs w:val="20"/>
                <w:color w:val="auto"/>
              </w:rPr>
            </w:pPr>
            <w:r>
              <w:rPr>
                <w:rFonts w:ascii="Times New Roman" w:cs="Times New Roman" w:eastAsia="Times New Roman" w:hAnsi="Times New Roman"/>
                <w:sz w:val="18"/>
                <w:szCs w:val="18"/>
                <w:color w:val="auto"/>
              </w:rPr>
              <w:t>William White, M.P.P., J.D.</w:t>
            </w:r>
            <w:r>
              <w:rPr>
                <w:rFonts w:ascii="Times New Roman" w:cs="Times New Roman" w:eastAsia="Times New Roman" w:hAnsi="Times New Roman"/>
                <w:sz w:val="24"/>
                <w:szCs w:val="24"/>
                <w:color w:val="auto"/>
                <w:vertAlign w:val="superscript"/>
              </w:rPr>
              <w:t>(13)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7680" w:type="dxa"/>
            <w:vAlign w:val="bottom"/>
          </w:tcPr>
          <w:p>
            <w:pPr>
              <w:ind w:left="20"/>
              <w:spacing w:after="0" w:line="272" w:lineRule="exact"/>
              <w:rPr>
                <w:sz w:val="20"/>
                <w:szCs w:val="20"/>
                <w:color w:val="auto"/>
              </w:rPr>
            </w:pPr>
            <w:r>
              <w:rPr>
                <w:rFonts w:ascii="Times New Roman" w:cs="Times New Roman" w:eastAsia="Times New Roman" w:hAnsi="Times New Roman"/>
                <w:sz w:val="18"/>
                <w:szCs w:val="18"/>
                <w:b w:val="1"/>
                <w:bCs w:val="1"/>
                <w:color w:val="auto"/>
              </w:rPr>
              <w:t>All executive officers and directors as a group (14 persons)</w:t>
            </w:r>
            <w:r>
              <w:rPr>
                <w:rFonts w:ascii="Times New Roman" w:cs="Times New Roman" w:eastAsia="Times New Roman" w:hAnsi="Times New Roman"/>
                <w:sz w:val="24"/>
                <w:szCs w:val="24"/>
                <w:b w:val="1"/>
                <w:bCs w:val="1"/>
                <w:color w:val="auto"/>
                <w:vertAlign w:val="superscript"/>
              </w:rPr>
              <w:t>(14)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1,092,678</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3" w:lineRule="exact"/>
        <w:rPr>
          <w:sz w:val="20"/>
          <w:szCs w:val="20"/>
          <w:color w:val="auto"/>
        </w:rPr>
      </w:pPr>
    </w:p>
    <w:p>
      <w:pPr>
        <w:ind w:left="380" w:right="6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held by AI DMI LLC may be deemed to be beneficially owned by Access Industries Holdings LLC, or AIH, Access Industries Management, LLC, or AIM, and Len Blavatnik because (i) AIH indirectly controls all</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13" w:right="279" w:bottom="1440" w:gutter="0" w:footer="0" w:header="0"/>
        </w:sectPr>
      </w:pPr>
    </w:p>
    <w:bookmarkStart w:id="39" w:name="page40"/>
    <w:bookmarkEnd w:id="39"/>
    <w:p>
      <w:pPr>
        <w:spacing w:after="0" w:line="32"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of the outstanding voting interests in AI DMI LLC, (ii) AIM controls AIH and (iii) Mr. Blavatnik controls AIM and holds a majority of the outstanding voting interests in AIH. Liam Ratcliffe, a member of our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spacing w:after="0" w:line="21" w:lineRule="exact"/>
        <w:rPr>
          <w:sz w:val="20"/>
          <w:szCs w:val="20"/>
          <w:color w:val="auto"/>
        </w:rPr>
      </w:pPr>
    </w:p>
    <w:p>
      <w:pPr>
        <w:jc w:val="both"/>
        <w:ind w:left="380" w:hanging="372"/>
        <w:spacing w:after="0" w:line="254"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as of December 31, 2023 and based solely on information contained in the Schedule 13G/A filed with the SEC on February 14, 2024 by Paradigm BioCapital Advisors LP, or the Adviser, Paradigm BioCapital Advisors GP LLC, or the Adviser GP, Senai Asefaw, M.D., or Senai Asefaw, and Paradigm BioCapital International Fund Ltd., or the Fund. The Fund is a private investment vehicle. The Fund and one or more separately managed accounts managed by the Adviser, or the Account, directly beneficially own the shares. The Adviser is the investment manager of the Fund and the Account. The Adviser GP is the general partner of the Adviser. Senai Asefaw is the managing member of the Adviser GP. The Adviser, the Adviser GP and Senai Asefaw may be deemed to beneficially own the shares directly beneficially owned by the Fund and the Account. Each Reporting Person disclaims beneficial ownership with respect to any shares other than the shares directly beneficially owned by such Reporting Person. The principal business office address is 767 Third Avenue, 17th Floor, New York, NY 10017.</w:t>
      </w:r>
    </w:p>
    <w:p>
      <w:pPr>
        <w:spacing w:after="0" w:line="29" w:lineRule="exact"/>
        <w:rPr>
          <w:rFonts w:ascii="Times New Roman" w:cs="Times New Roman" w:eastAsia="Times New Roman" w:hAnsi="Times New Roman"/>
          <w:sz w:val="18"/>
          <w:szCs w:val="18"/>
          <w:color w:val="auto"/>
        </w:rPr>
      </w:pPr>
    </w:p>
    <w:p>
      <w:pPr>
        <w:jc w:val="both"/>
        <w:ind w:left="380" w:hanging="372"/>
        <w:spacing w:after="0" w:line="267" w:lineRule="auto"/>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1,402,186 shares held by Atlas Venture Fund X, L.P., or Atlas Fund X, 677,503 shares held by Atlas Venture Opportunity Fund I, L.P., or AVOF I, 198,326 shares held by Atlas Venture Opportunity Fund II, L.P., or AVOF II, and 51,000 shares held by Atlas Venture Fund XII, L.P., or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or AVAO I LP, and the general partner of AVAO I LP is Atlas Venture Associates Opportunity I, LLC, or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or AVAO II LP, and the general partner of AVAO II LP is Atlas Venture Associates Opportunity II, LLC, or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or AVA XII LP. Atlas Venture Associates XII, LLC, or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spacing w:after="0" w:line="240" w:lineRule="exact"/>
        <w:rPr>
          <w:rFonts w:ascii="Times New Roman" w:cs="Times New Roman" w:eastAsia="Times New Roman" w:hAnsi="Times New Roman"/>
          <w:sz w:val="17"/>
          <w:szCs w:val="17"/>
          <w:color w:val="auto"/>
        </w:rPr>
      </w:pPr>
    </w:p>
    <w:p>
      <w:pPr>
        <w:jc w:val="both"/>
        <w:ind w:left="380" w:hanging="372"/>
        <w:spacing w:after="0" w:line="25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beneficially owned, or that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2" w:lineRule="exact"/>
        <w:rPr>
          <w:sz w:val="20"/>
          <w:szCs w:val="20"/>
          <w:color w:val="auto"/>
        </w:rPr>
      </w:pPr>
    </w:p>
    <w:p>
      <w:pPr>
        <w:ind w:left="380"/>
        <w:spacing w:after="0" w:line="281" w:lineRule="auto"/>
        <w:rPr>
          <w:sz w:val="20"/>
          <w:szCs w:val="20"/>
          <w:color w:val="auto"/>
        </w:rPr>
      </w:pPr>
      <w:r>
        <w:rPr>
          <w:rFonts w:ascii="Times New Roman" w:cs="Times New Roman" w:eastAsia="Times New Roman" w:hAnsi="Times New Roman"/>
          <w:sz w:val="18"/>
          <w:szCs w:val="18"/>
          <w:color w:val="auto"/>
        </w:rPr>
        <w:t>deemed, under the Investment Company Act of 1940, to form a controlling group with respect to FMR LLC. The address of FMR LLC is 245 Summer Street, Boston, MA 02210.</w:t>
      </w:r>
    </w:p>
    <w:p>
      <w:pPr>
        <w:spacing w:after="0" w:line="1" w:lineRule="exact"/>
        <w:rPr>
          <w:sz w:val="20"/>
          <w:szCs w:val="20"/>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OrbiMed Advisors LLC exercises voting and investment power through a management committee comprised of Carl L. Gordon, Sven H. Borho, and W. Carter Neild. The business address is 601 Lexington Avenue, 54th Floor, New York, NY 10022.</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Life Sciences Investors, LLC, a Delaware limited liability company, or BCLSI, is the manager of Bain Capital Life Sciences III General Partner, LLC, a Delaware limited liability company, or BCLS Fund III GP, which is the general partner of Bain Capital Life Sciences Fund III, L.P., a Delaware limited partnership, or BCLS Fund III, which is the sole member of Bain Capital Life Sciences Opportunities III GP, a Delaware limited liability company, or BCLS III Opportunities GP, and, together with BCLSI, BCLS Fund III GP and BCLS Fund III, the Bain Capital Life Sciences Entities, which is the general partner of BCLSI. As a result, BCLSI may be deemed to share voting and dispositive power with respect to the securities held by BCLSI. The business address of these entities is 200 Clarendon Street, Boston, Massachusetts 02116. The principal business address for each of the Bain Capital Life Sciences Entities is 200 Clarendon Street, Boston, Massachusetts 02116.</w:t>
      </w:r>
    </w:p>
    <w:p>
      <w:pPr>
        <w:spacing w:after="0" w:line="26"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2,700 shares of common stock and options to purchase 469,327 shares of our common stock that are exercisable within 60 days of April 15, 2024.</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24,870 shares of common stock and options to purchase 58,608 shares of our common stock that are exercisable within 60 days of April 15, 2024.</w:t>
      </w:r>
    </w:p>
    <w:p>
      <w:pPr>
        <w:spacing w:after="0" w:line="1"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5,996 shares of common stock and options to purchase 65,451 shares of our common stock that are exercisable within 60 days of April 15, 2024.</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14,136 shares of our common stock that are exercisable within 60 days of April 15, 2024.</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102,082 shares of our common stock that are exercisable within 60 days of April 15, 2024.</w:t>
      </w:r>
    </w:p>
    <w:p>
      <w:pPr>
        <w:spacing w:after="0" w:line="6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15,332 shares of common stock and options to purchase 124,681 shares of our common stock that are exercisable within 60 days of April 15, 2024.</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9,294 shares of our common stock that are exercisable within 60 days of April 15, 2024.</w:t>
      </w:r>
    </w:p>
    <w:p>
      <w:pPr>
        <w:spacing w:after="0" w:line="63"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shares described in notes 7-13 above, and also consists of (i) 215 shares of common stock and (ii) options to purchase 157,578 shares of our common stock that are exercisable within 60 days of April 15, 2024, which are held by our other executive officers.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Disc Medicine’s financial statements and financial reporting process and systems of internal controls regarding finance, accounting, and compliance with legal and regulatory requirements, (2) the qualifications, independence, and performance of Disc Medicine’s independent registered public accounting firm, (3) the performance of Disc Medicine’s internal audit function, if any, and (4) other matters as set forth in the charter of the audit committee approved by the board of directors.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Disc Medicine’s financial statements and the financial reporting process, including its system of internal control over financial reporting and its disclosure controls and procedures. The independent registered public accounting firm is responsible for performing an audit of Disc Medicine’s financial statements in accordance with the standards of the Public Company Accounting Oversight Board, or PCAOB, and issuing a report thereon. The audit committee’s responsibility is to monitor and oversee these processes.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financial statements of Disc Medicine for the fiscal year ended December 31, 2023.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In addition, the audit committee has received the written disclosures and the letter from the independent accountant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requirements of the PCAOB regarding the independent accountant’s communications with the audit committee concerning independence and has discussed with the independent accountant the independent accountant’s independence.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of Disc Medicine be included in Disc Medicine’s 2023 Annual Report,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DIRECTORS OF DISC MEDICINE, INC.</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White, Chairperson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Liam Ratcliffe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Chin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Disc Medicine, Inc., 321 Arsenal Street, Suite 101, Watertown, Massachusetts 02472, Attention: Corporate Secretary, telephone: (617) 674-9274.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2025 proxy statement must submit the proposal in accordance with the procedures outlined in Rule 14a-8 of the Exchange Act so that it is received by us no later than January 1, 2025. However, if the date of the 2025 Annual Meeting of Stockholders is changed by more than 30 days from the date of the previous year’s meeting, then the deadline is a reasonable time before we begin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print and send our proxy statement for the 2025 Annual Meeting of Stockholders. SEC rules set standards for eligibility and specify the types of stockholder proposals that may be excluded from a proxy statement. Stockholder proposals should be addressed to Disc Medicine, Inc., 321 Arsenal Street, Suite 101, Watertown, Massachusetts 02472, Attention: Corporate Secretary. We also encourage you to submit any such proposals via email to ir@discmedicine.com.</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2025 Annual Meeting of Stockholders, the required notice must be received by our corporate secretary at our principal executive offices no earlier than February 15, 2025 and no later than March 15, 2025. In addition, to comply with the universal proxy rules, stockholders who intend to solicit proxies in support of director nominees other than our nominees must provide notice by the same deadline noted herein to submit a notice of nomination for consideration at the 2025 Annual Meeting of Stockholders. Such notice must comply with the additional requirements of Rule 14a-19(b). Stockholder proposals and the required notice should be addressed to Disc Medicine, Inc., 321 Arsenal Street, Suite 101, Watertown, Massachusetts 02472, Attention: Corporate Secretary.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1186180</wp:posOffset>
            </wp:positionV>
            <wp:extent cx="5220335" cy="6755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220335" cy="675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1049020</wp:posOffset>
            </wp:positionV>
            <wp:extent cx="5220335" cy="6755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220335" cy="675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lowerRoman"/>
      <w:start w:val="3"/>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2024-05-01T16:07:40Z</dcterms:created>
  <dcterms:modified xsi:type="dcterms:W3CDTF">2024-05-01T16:07:40Z</dcterms:modified>
</cp:coreProperties>
</file>