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26, 2024, Disc Medicine, Inc. (the “Company”) issued a press release announcing Pamela Stephenson’s appointment as Chief Commercial Officer and the inducement grant material to Ms. Stephenson’s acceptance of employment with the Company in accordance with Nasdaq Listing Rule 5635(c)(4). A copy of the press release is furnished as Exhibit 99.1 to this Current Report on Form 8-K.</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February 26, 2024, furnished herewith.</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00"/>
          </w:cols>
          <w:pgMar w:left="440"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DISC MEDICINE,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2024</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Disc Medicine Expands Leadership Team with Appointment of Industry Veteran Pamela Stephenson, MPH as Chief Commercial Officer</w:t>
      </w:r>
    </w:p>
    <w:p>
      <w:pPr>
        <w:spacing w:after="0" w:line="227"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Pamela Stephenson is an accomplished industry executive with over 25 years of global commercial leadership experience and a track record of numerous successful launches</w:t>
      </w:r>
    </w:p>
    <w:p>
      <w:pPr>
        <w:spacing w:after="0" w:line="16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WATERTOWN, Mass. February 26, 2024 — Disc Medicine, Inc. (NASDAQ:IRON), a clinical-stage biopharmaceutical company focused on the discovery, development, and commercialization of novel treatments for patients suffering from serious hematologic diseases, today announced the appointment of Pamela Stephenson, MPH as the company’s Chief Commercial Officer. Ms. Stephenson is an experienced biotech executive with significant expertise in commercial and strategic leadership, particularly in therapies for rare diseases, and will be responsible for all aspects of Disc’s global commercialization strategy and execution.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delighted to welcome an accomplished leader such as Pamela to Disc, where her breadth of commercial experience and acumen will be instrumental as the company continues to grow,” said John Quisel, J.D., Ph.D., President and Chief Executive Officer of Disc. “Pamela’s track record of building and executing successful global commercial launches, particularly for rare disease markets, comes at an opportune time for Disc as we enter late-stage development and begin commercial planning and engaging key stakeholders.”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 am excited to be joining Disc at this pivotal time in the company’s trajectory towards building a leading hematology company. Disc’s assets have the potential to make a significant impact on the lives of patients, with compelling value propositions and meaningful market opportunities,” said</w:t>
      </w:r>
    </w:p>
    <w:p>
      <w:pPr>
        <w:ind w:right="20"/>
        <w:spacing w:after="0" w:line="260" w:lineRule="auto"/>
        <w:rPr>
          <w:sz w:val="20"/>
          <w:szCs w:val="20"/>
          <w:color w:val="auto"/>
        </w:rPr>
      </w:pPr>
      <w:r>
        <w:rPr>
          <w:rFonts w:ascii="Times New Roman" w:cs="Times New Roman" w:eastAsia="Times New Roman" w:hAnsi="Times New Roman"/>
          <w:sz w:val="18"/>
          <w:szCs w:val="18"/>
          <w:color w:val="auto"/>
        </w:rPr>
        <w:t>Ms. Stephenson. “With significant milestones this year for all three pipeline programs, I look forward to leading the commercialization efforts to support Disc’s mission of delivering novel treatments to patients with high unmet need.”</w:t>
      </w:r>
    </w:p>
    <w:p>
      <w:pPr>
        <w:spacing w:after="0" w:line="18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Ms. Stephenson has more than 25 years of biopharma commercial leadership experience across multiple functions and disease areas. Most recently, she served as the Chief Commercial Officer of Albireo, which was acquired by Ipsen, spearheading the successful launch of Bylvay for a rare cholestatic liver disease. Before joining Albireo, Ms. Stephenson served as Vice President, Global Market Access and Value, at Vertex Pharmaceuticals, where she led the global market access and pricing strategy for current and future products. Earlier in her tenure at Vertex, she led marketing and sales activities for the company’s hepatitis C and cystic fibrosis lines of business, and oversaw the U.S. launches of Incivek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(telaprevir) and Orkambi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(lumacaftor/ivacaftor). Prior to Vertex, Ms. Stephenson spent 10 years at Pfizer in marketing roles of increasing responsibility for brands such as Viagra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(sildenafil citrate), Lyrica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(pregabalin), and Aromasin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(exemestane). Ms. Stephenson served as board member of Zynerba Pharmaceuticals, a public biotech company focused on developing therapeutics for patients with rare neuropsychiatric conditions, which was acquired by Harmony Biosciences in October 2023. Ms. Stephenson holds a bachelor’s degree from Brown University and received her master’s degree in public health from Boston University School of Public Health.</w:t>
      </w:r>
    </w:p>
    <w:p>
      <w:pPr>
        <w:spacing w:after="0" w:line="20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Ms. Stephenson’s appointment, Disc granted to Ms. Stephenson an inducement equity award outside of Disc’s Amended and Restated 2021 Stock Option and Incentive Plan in accordance with NASDAQ Listing Rule 5635(c)(4), comprised of (i) an option to purchase 55,000 shares (the “Option Award”) of Disc’s common stock (“Common Stock”), at an exercise price equal to the closing price of the Common Stock on the date of grant, and (ii) a restricted stock unit award for 36,666 shares of Common Stock (the “RSU Award” and, together with the Option Award, the “Inducement Award”). The Option Award shall vest 25% on the first anniversary of Ms. Stephenson’s start date, with the remainder vesting in 36 equal monthly installments thereafter. The RSU Award shall vest in equal installments on each of the first, second, third, and fourth anniversaries of the vesting date set by Disc’s company vesting policy. The Inducement Award was approved by Disc’s Board of Directors (the “Board”), including a majority of the independent directors serving on the Board.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 Cautionary Statement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chief commercial officer position, data read-outs, and Disc’s development and commercialization. The use of words such as, but not limited to, “believe,” “expect,” “estimate,” “project,” “intend,” “future,” “potential,” “look forward,”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Disc’s expectations regarding the chief commercial officer position; Disc’s expectations regarding leadership, future growth and innovation; Disc’s expectations regarding the milestones for its research and development programs in 2024; Disc’s expectations of entering late-stage development and planning for commercialization; and the other risks and uncertainties described in the “Risk Factors” section of our Annual Report on Form 10-K for the year ended December 31, 2022, Quarterly Reports on Form 10-Q for the quarters ended March 31, 2023, June 30, 2023, and September 30, 2023 and other documents filed by Disc from time to time with the Securities and Exchange Commission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sectPr>
      <w:pgSz w:w="11900" w:h="16838" w:orient="portrait"/>
      <w:cols w:equalWidth="0" w:num="1">
        <w:col w:w="11000"/>
      </w:cols>
      <w:pgMar w:left="440" w:top="9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2024-02-26T07:48:05Z</dcterms:created>
  <dcterms:modified xsi:type="dcterms:W3CDTF">2024-02-26T07:48:05Z</dcterms:modified>
</cp:coreProperties>
</file>