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560"/>
        <w:spacing w:after="0"/>
        <w:rPr>
          <w:sz w:val="20"/>
          <w:szCs w:val="20"/>
          <w:color w:val="auto"/>
        </w:rPr>
      </w:pPr>
      <w:r>
        <w:rPr>
          <w:rFonts w:ascii="Arial" w:cs="Arial" w:eastAsia="Arial" w:hAnsi="Arial"/>
          <w:sz w:val="18"/>
          <w:szCs w:val="18"/>
          <w:color w:val="auto"/>
        </w:rPr>
        <w:t>As filed with the Securities and Exchange Commission on August 7, 2020.</w:t>
      </w:r>
    </w:p>
    <w:p>
      <w:pPr>
        <w:spacing w:after="0" w:line="14" w:lineRule="exact"/>
        <w:rPr>
          <w:sz w:val="24"/>
          <w:szCs w:val="24"/>
          <w:color w:val="auto"/>
        </w:rPr>
      </w:pPr>
    </w:p>
    <w:p>
      <w:pPr>
        <w:jc w:val="right"/>
        <w:ind w:right="459"/>
        <w:spacing w:after="0"/>
        <w:rPr>
          <w:sz w:val="20"/>
          <w:szCs w:val="20"/>
          <w:color w:val="auto"/>
        </w:rPr>
      </w:pPr>
      <w:r>
        <w:rPr>
          <w:rFonts w:ascii="Arial" w:cs="Arial" w:eastAsia="Arial" w:hAnsi="Arial"/>
          <w:sz w:val="18"/>
          <w:szCs w:val="18"/>
          <w:b w:val="1"/>
          <w:bCs w:val="1"/>
          <w:color w:val="auto"/>
        </w:rPr>
        <w:t>Registration No. 333-240098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54610</wp:posOffset>
            </wp:positionV>
            <wp:extent cx="514350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97155</wp:posOffset>
            </wp:positionV>
            <wp:extent cx="514350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26035"/>
                    </a:xfrm>
                    <a:prstGeom prst="rect">
                      <a:avLst/>
                    </a:prstGeom>
                    <a:noFill/>
                  </pic:spPr>
                </pic:pic>
              </a:graphicData>
            </a:graphic>
          </wp:anchor>
        </w:drawing>
      </w:r>
    </w:p>
    <w:p>
      <w:pPr>
        <w:spacing w:after="0" w:line="29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0" w:lineRule="exact"/>
        <w:rPr>
          <w:sz w:val="24"/>
          <w:szCs w:val="24"/>
          <w:color w:val="auto"/>
        </w:rPr>
      </w:pPr>
    </w:p>
    <w:p>
      <w:pPr>
        <w:ind w:left="3280"/>
        <w:spacing w:after="0"/>
        <w:rPr>
          <w:sz w:val="20"/>
          <w:szCs w:val="20"/>
          <w:color w:val="auto"/>
        </w:rPr>
      </w:pPr>
      <w:r>
        <w:rPr>
          <w:rFonts w:ascii="Arial" w:cs="Arial" w:eastAsia="Arial" w:hAnsi="Arial"/>
          <w:sz w:val="16"/>
          <w:szCs w:val="16"/>
          <w:b w:val="1"/>
          <w:bCs w:val="1"/>
          <w:color w:val="auto"/>
        </w:rPr>
        <w:t>___________________________</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1 to</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S-1</w:t>
      </w:r>
    </w:p>
    <w:p>
      <w:pPr>
        <w:jc w:val="center"/>
        <w:spacing w:after="0" w:line="230" w:lineRule="auto"/>
        <w:rPr>
          <w:sz w:val="20"/>
          <w:szCs w:val="20"/>
          <w:color w:val="auto"/>
        </w:rPr>
      </w:pPr>
      <w:r>
        <w:rPr>
          <w:rFonts w:ascii="Arial" w:cs="Arial" w:eastAsia="Arial" w:hAnsi="Arial"/>
          <w:sz w:val="22"/>
          <w:szCs w:val="22"/>
          <w:b w:val="1"/>
          <w:bCs w:val="1"/>
          <w:color w:val="auto"/>
        </w:rPr>
        <w:t>REGISTRATION STATEMENT</w:t>
      </w:r>
    </w:p>
    <w:p>
      <w:pPr>
        <w:jc w:val="center"/>
        <w:spacing w:after="0" w:line="231" w:lineRule="auto"/>
        <w:rPr>
          <w:sz w:val="20"/>
          <w:szCs w:val="20"/>
          <w:color w:val="auto"/>
        </w:rPr>
      </w:pPr>
      <w:r>
        <w:rPr>
          <w:rFonts w:ascii="Arial" w:cs="Arial" w:eastAsia="Arial" w:hAnsi="Arial"/>
          <w:sz w:val="22"/>
          <w:szCs w:val="22"/>
          <w:b w:val="1"/>
          <w:bCs w:val="1"/>
          <w:i w:val="1"/>
          <w:iCs w:val="1"/>
          <w:color w:val="auto"/>
        </w:rPr>
        <w:t>UNDER</w:t>
      </w:r>
    </w:p>
    <w:p>
      <w:pPr>
        <w:jc w:val="center"/>
        <w:spacing w:after="0" w:line="238" w:lineRule="auto"/>
        <w:rPr>
          <w:sz w:val="20"/>
          <w:szCs w:val="20"/>
          <w:color w:val="auto"/>
        </w:rPr>
      </w:pPr>
      <w:r>
        <w:rPr>
          <w:rFonts w:ascii="Arial" w:cs="Arial" w:eastAsia="Arial" w:hAnsi="Arial"/>
          <w:sz w:val="22"/>
          <w:szCs w:val="22"/>
          <w:b w:val="1"/>
          <w:bCs w:val="1"/>
          <w:i w:val="1"/>
          <w:iCs w:val="1"/>
          <w:color w:val="auto"/>
        </w:rPr>
        <w:t>THE SECURITIES ACT OF 1933</w:t>
      </w:r>
    </w:p>
    <w:p>
      <w:pPr>
        <w:spacing w:after="0" w:line="1" w:lineRule="exact"/>
        <w:rPr>
          <w:sz w:val="24"/>
          <w:szCs w:val="24"/>
          <w:color w:val="auto"/>
        </w:rPr>
      </w:pPr>
    </w:p>
    <w:p>
      <w:pPr>
        <w:ind w:left="3280"/>
        <w:spacing w:after="0"/>
        <w:rPr>
          <w:sz w:val="20"/>
          <w:szCs w:val="20"/>
          <w:color w:val="auto"/>
        </w:rPr>
      </w:pPr>
      <w:r>
        <w:rPr>
          <w:rFonts w:ascii="Arial" w:cs="Arial" w:eastAsia="Arial" w:hAnsi="Arial"/>
          <w:sz w:val="16"/>
          <w:szCs w:val="16"/>
          <w:b w:val="1"/>
          <w:bCs w:val="1"/>
          <w:color w:val="auto"/>
        </w:rPr>
        <w:t>___________________________</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FS Development Corp.</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Exact name of registrant as specified in its charter</w:t>
      </w:r>
      <w:r>
        <w:rPr>
          <w:rFonts w:ascii="Arial" w:cs="Arial" w:eastAsia="Arial" w:hAnsi="Arial"/>
          <w:sz w:val="18"/>
          <w:szCs w:val="18"/>
          <w:b w:val="1"/>
          <w:bCs w:val="1"/>
          <w:color w:val="auto"/>
        </w:rPr>
        <w:t>)</w:t>
      </w:r>
    </w:p>
    <w:p>
      <w:pPr>
        <w:ind w:left="3280"/>
        <w:spacing w:after="0"/>
        <w:rPr>
          <w:sz w:val="20"/>
          <w:szCs w:val="20"/>
          <w:color w:val="auto"/>
        </w:rPr>
      </w:pPr>
      <w:r>
        <w:rPr>
          <w:rFonts w:ascii="Arial" w:cs="Arial" w:eastAsia="Arial" w:hAnsi="Arial"/>
          <w:sz w:val="16"/>
          <w:szCs w:val="16"/>
          <w:b w:val="1"/>
          <w:bCs w:val="1"/>
          <w:color w:val="auto"/>
        </w:rPr>
        <w:t>___________________________</w:t>
      </w:r>
    </w:p>
    <w:p>
      <w:pPr>
        <w:spacing w:after="0" w:line="215" w:lineRule="exact"/>
        <w:rPr>
          <w:sz w:val="24"/>
          <w:szCs w:val="24"/>
          <w:color w:val="auto"/>
        </w:rPr>
      </w:pPr>
    </w:p>
    <w:tbl>
      <w:tblPr>
        <w:tblLayout w:type="fixed"/>
        <w:tblInd w:w="460" w:type="dxa"/>
        <w:tblCellMar>
          <w:top w:w="0" w:type="dxa"/>
          <w:left w:w="0" w:type="dxa"/>
          <w:bottom w:w="0" w:type="dxa"/>
          <w:right w:w="0" w:type="dxa"/>
        </w:tblCellMar>
      </w:tblPr>
      <w:tr>
        <w:trPr>
          <w:trHeight w:val="215"/>
        </w:trPr>
        <w:tc>
          <w:tcPr>
            <w:tcW w:w="2680" w:type="dxa"/>
            <w:vAlign w:val="bottom"/>
            <w:gridSpan w:val="2"/>
          </w:tcPr>
          <w:p>
            <w:pPr>
              <w:ind w:left="920"/>
              <w:spacing w:after="0"/>
              <w:rPr>
                <w:sz w:val="20"/>
                <w:szCs w:val="20"/>
                <w:color w:val="auto"/>
              </w:rPr>
            </w:pPr>
            <w:r>
              <w:rPr>
                <w:rFonts w:ascii="Arial" w:cs="Arial" w:eastAsia="Arial" w:hAnsi="Arial"/>
                <w:sz w:val="16"/>
                <w:szCs w:val="16"/>
                <w:b w:val="1"/>
                <w:bCs w:val="1"/>
                <w:color w:val="auto"/>
              </w:rPr>
              <w:t>Delaware</w:t>
            </w:r>
          </w:p>
        </w:tc>
        <w:tc>
          <w:tcPr>
            <w:tcW w:w="2620" w:type="dxa"/>
            <w:vAlign w:val="bottom"/>
          </w:tcPr>
          <w:p>
            <w:pPr>
              <w:jc w:val="center"/>
              <w:spacing w:after="0"/>
              <w:rPr>
                <w:sz w:val="20"/>
                <w:szCs w:val="20"/>
                <w:color w:val="auto"/>
              </w:rPr>
            </w:pPr>
            <w:r>
              <w:rPr>
                <w:rFonts w:ascii="Arial" w:cs="Arial" w:eastAsia="Arial" w:hAnsi="Arial"/>
                <w:sz w:val="16"/>
                <w:szCs w:val="16"/>
                <w:b w:val="1"/>
                <w:bCs w:val="1"/>
                <w:color w:val="auto"/>
              </w:rPr>
              <w:t>6770</w:t>
            </w:r>
          </w:p>
        </w:tc>
        <w:tc>
          <w:tcPr>
            <w:tcW w:w="8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Arial" w:cs="Arial" w:eastAsia="Arial" w:hAnsi="Arial"/>
                <w:sz w:val="16"/>
                <w:szCs w:val="16"/>
                <w:b w:val="1"/>
                <w:bCs w:val="1"/>
                <w:color w:val="auto"/>
              </w:rPr>
              <w:t>85-1612845</w:t>
            </w:r>
          </w:p>
        </w:tc>
        <w:tc>
          <w:tcPr>
            <w:tcW w:w="0" w:type="dxa"/>
            <w:vAlign w:val="bottom"/>
          </w:tcPr>
          <w:p>
            <w:pPr>
              <w:spacing w:after="0"/>
              <w:rPr>
                <w:sz w:val="1"/>
                <w:szCs w:val="1"/>
                <w:color w:val="auto"/>
              </w:rPr>
            </w:pPr>
          </w:p>
        </w:tc>
      </w:tr>
      <w:tr>
        <w:trPr>
          <w:trHeight w:val="33"/>
        </w:trPr>
        <w:tc>
          <w:tcPr>
            <w:tcW w:w="260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600" w:type="dxa"/>
            <w:vAlign w:val="bottom"/>
          </w:tcPr>
          <w:p>
            <w:pPr>
              <w:ind w:left="160"/>
              <w:spacing w:after="0" w:line="165" w:lineRule="exact"/>
              <w:rPr>
                <w:sz w:val="20"/>
                <w:szCs w:val="20"/>
                <w:color w:val="auto"/>
              </w:rPr>
            </w:pPr>
            <w:r>
              <w:rPr>
                <w:rFonts w:ascii="Arial" w:cs="Arial" w:eastAsia="Arial" w:hAnsi="Arial"/>
                <w:sz w:val="16"/>
                <w:szCs w:val="16"/>
                <w:b w:val="1"/>
                <w:bCs w:val="1"/>
                <w:color w:val="auto"/>
              </w:rPr>
              <w:t>(State or other jurisdiction of</w:t>
            </w:r>
          </w:p>
        </w:tc>
        <w:tc>
          <w:tcPr>
            <w:tcW w:w="80" w:type="dxa"/>
            <w:vAlign w:val="bottom"/>
            <w:vMerge w:val="continue"/>
          </w:tcPr>
          <w:p>
            <w:pPr>
              <w:spacing w:after="0"/>
              <w:rPr>
                <w:sz w:val="14"/>
                <w:szCs w:val="14"/>
                <w:color w:val="auto"/>
              </w:rPr>
            </w:pPr>
          </w:p>
        </w:tc>
        <w:tc>
          <w:tcPr>
            <w:tcW w:w="262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(Primary Standard Industrial</w:t>
            </w:r>
          </w:p>
        </w:tc>
        <w:tc>
          <w:tcPr>
            <w:tcW w:w="80" w:type="dxa"/>
            <w:vAlign w:val="bottom"/>
            <w:vMerge w:val="continue"/>
          </w:tcPr>
          <w:p>
            <w:pPr>
              <w:spacing w:after="0"/>
              <w:rPr>
                <w:sz w:val="14"/>
                <w:szCs w:val="14"/>
                <w:color w:val="auto"/>
              </w:rPr>
            </w:pPr>
          </w:p>
        </w:tc>
        <w:tc>
          <w:tcPr>
            <w:tcW w:w="272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(I.R.S. Employer</w:t>
            </w:r>
          </w:p>
        </w:tc>
        <w:tc>
          <w:tcPr>
            <w:tcW w:w="0" w:type="dxa"/>
            <w:vAlign w:val="bottom"/>
          </w:tcPr>
          <w:p>
            <w:pPr>
              <w:spacing w:after="0"/>
              <w:rPr>
                <w:sz w:val="1"/>
                <w:szCs w:val="1"/>
                <w:color w:val="auto"/>
              </w:rPr>
            </w:pPr>
          </w:p>
        </w:tc>
      </w:tr>
      <w:tr>
        <w:trPr>
          <w:trHeight w:val="215"/>
        </w:trPr>
        <w:tc>
          <w:tcPr>
            <w:tcW w:w="2680" w:type="dxa"/>
            <w:vAlign w:val="bottom"/>
            <w:gridSpan w:val="2"/>
          </w:tcPr>
          <w:p>
            <w:pPr>
              <w:ind w:left="140"/>
              <w:spacing w:after="0"/>
              <w:rPr>
                <w:sz w:val="20"/>
                <w:szCs w:val="20"/>
                <w:color w:val="auto"/>
              </w:rPr>
            </w:pPr>
            <w:r>
              <w:rPr>
                <w:rFonts w:ascii="Arial" w:cs="Arial" w:eastAsia="Arial" w:hAnsi="Arial"/>
                <w:sz w:val="16"/>
                <w:szCs w:val="16"/>
                <w:b w:val="1"/>
                <w:bCs w:val="1"/>
                <w:color w:val="auto"/>
              </w:rPr>
              <w:t>incorporation or organization)</w:t>
            </w:r>
          </w:p>
        </w:tc>
        <w:tc>
          <w:tcPr>
            <w:tcW w:w="27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Classification Code Number)</w:t>
            </w:r>
          </w:p>
        </w:tc>
        <w:tc>
          <w:tcPr>
            <w:tcW w:w="2720" w:type="dxa"/>
            <w:vAlign w:val="bottom"/>
          </w:tcPr>
          <w:p>
            <w:pPr>
              <w:jc w:val="center"/>
              <w:spacing w:after="0"/>
              <w:rPr>
                <w:sz w:val="20"/>
                <w:szCs w:val="20"/>
                <w:color w:val="auto"/>
              </w:rPr>
            </w:pPr>
            <w:r>
              <w:rPr>
                <w:rFonts w:ascii="Arial" w:cs="Arial" w:eastAsia="Arial" w:hAnsi="Arial"/>
                <w:sz w:val="16"/>
                <w:szCs w:val="16"/>
                <w:b w:val="1"/>
                <w:bCs w:val="1"/>
                <w:color w:val="auto"/>
              </w:rPr>
              <w:t>Identification Number)</w:t>
            </w:r>
          </w:p>
        </w:tc>
        <w:tc>
          <w:tcPr>
            <w:tcW w:w="0" w:type="dxa"/>
            <w:vAlign w:val="bottom"/>
          </w:tcPr>
          <w:p>
            <w:pPr>
              <w:spacing w:after="0"/>
              <w:rPr>
                <w:sz w:val="1"/>
                <w:szCs w:val="1"/>
                <w:color w:val="auto"/>
              </w:rPr>
            </w:pPr>
          </w:p>
        </w:tc>
      </w:tr>
    </w:tbl>
    <w:p>
      <w:pPr>
        <w:spacing w:after="0" w:line="19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600 Montgomery Street, Suite 4500</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San Francisco, California 94111</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(415) 877-4887</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(Address, including zip code, and telephone number, including area code, of registrant’s principal</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executive offices)</w:t>
      </w:r>
    </w:p>
    <w:p>
      <w:pPr>
        <w:spacing w:after="0" w:line="26" w:lineRule="exact"/>
        <w:rPr>
          <w:sz w:val="24"/>
          <w:szCs w:val="24"/>
          <w:color w:val="auto"/>
        </w:rPr>
      </w:pPr>
    </w:p>
    <w:p>
      <w:pPr>
        <w:ind w:left="3280"/>
        <w:spacing w:after="0"/>
        <w:rPr>
          <w:sz w:val="20"/>
          <w:szCs w:val="20"/>
          <w:color w:val="auto"/>
        </w:rPr>
      </w:pPr>
      <w:r>
        <w:rPr>
          <w:rFonts w:ascii="Arial" w:cs="Arial" w:eastAsia="Arial" w:hAnsi="Arial"/>
          <w:sz w:val="16"/>
          <w:szCs w:val="16"/>
          <w:b w:val="1"/>
          <w:bCs w:val="1"/>
          <w:color w:val="auto"/>
        </w:rPr>
        <w:t>___________________________</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Jim Tananbaum</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Chief Executive Officer</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600 Montgomery Street, Suite 4500</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San Francisco, California 94111</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(415) 877-4887</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(Name, address, including zip code, and telephone number, including area code, of agent for service)</w:t>
      </w:r>
    </w:p>
    <w:p>
      <w:pPr>
        <w:spacing w:after="0" w:line="26" w:lineRule="exact"/>
        <w:rPr>
          <w:sz w:val="24"/>
          <w:szCs w:val="24"/>
          <w:color w:val="auto"/>
        </w:rPr>
      </w:pPr>
    </w:p>
    <w:p>
      <w:pPr>
        <w:ind w:left="3280"/>
        <w:spacing w:after="0"/>
        <w:rPr>
          <w:sz w:val="20"/>
          <w:szCs w:val="20"/>
          <w:color w:val="auto"/>
        </w:rPr>
      </w:pPr>
      <w:r>
        <w:rPr>
          <w:rFonts w:ascii="Arial" w:cs="Arial" w:eastAsia="Arial" w:hAnsi="Arial"/>
          <w:sz w:val="16"/>
          <w:szCs w:val="16"/>
          <w:b w:val="1"/>
          <w:bCs w:val="1"/>
          <w:color w:val="auto"/>
        </w:rPr>
        <w:t>___________________________</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to:</w:t>
      </w:r>
    </w:p>
    <w:p>
      <w:pPr>
        <w:spacing w:after="0" w:line="176" w:lineRule="exact"/>
        <w:rPr>
          <w:sz w:val="24"/>
          <w:szCs w:val="24"/>
          <w:color w:val="auto"/>
        </w:rPr>
      </w:pPr>
    </w:p>
    <w:tbl>
      <w:tblPr>
        <w:tblLayout w:type="fixed"/>
        <w:tblInd w:w="1320" w:type="dxa"/>
        <w:tblCellMar>
          <w:top w:w="0" w:type="dxa"/>
          <w:left w:w="0" w:type="dxa"/>
          <w:bottom w:w="0" w:type="dxa"/>
          <w:right w:w="0" w:type="dxa"/>
        </w:tblCellMar>
      </w:tblPr>
      <w:tr>
        <w:trPr>
          <w:trHeight w:val="189"/>
        </w:trPr>
        <w:tc>
          <w:tcPr>
            <w:tcW w:w="2900" w:type="dxa"/>
            <w:vAlign w:val="bottom"/>
          </w:tcPr>
          <w:p>
            <w:pPr>
              <w:jc w:val="center"/>
              <w:ind w:right="579"/>
              <w:spacing w:after="0"/>
              <w:rPr>
                <w:sz w:val="20"/>
                <w:szCs w:val="20"/>
                <w:color w:val="auto"/>
              </w:rPr>
            </w:pPr>
            <w:r>
              <w:rPr>
                <w:rFonts w:ascii="Arial" w:cs="Arial" w:eastAsia="Arial" w:hAnsi="Arial"/>
                <w:sz w:val="16"/>
                <w:szCs w:val="16"/>
                <w:b w:val="1"/>
                <w:bCs w:val="1"/>
                <w:color w:val="auto"/>
              </w:rPr>
              <w:t>Joel L. Rubinstein</w:t>
            </w:r>
          </w:p>
        </w:tc>
        <w:tc>
          <w:tcPr>
            <w:tcW w:w="3960" w:type="dxa"/>
            <w:vAlign w:val="bottom"/>
          </w:tcPr>
          <w:p>
            <w:pPr>
              <w:jc w:val="center"/>
              <w:ind w:left="559"/>
              <w:spacing w:after="0"/>
              <w:rPr>
                <w:sz w:val="20"/>
                <w:szCs w:val="20"/>
                <w:color w:val="auto"/>
              </w:rPr>
            </w:pPr>
            <w:r>
              <w:rPr>
                <w:rFonts w:ascii="Arial" w:cs="Arial" w:eastAsia="Arial" w:hAnsi="Arial"/>
                <w:sz w:val="16"/>
                <w:szCs w:val="16"/>
                <w:b w:val="1"/>
                <w:bCs w:val="1"/>
                <w:color w:val="auto"/>
              </w:rPr>
              <w:t>Gregg A. Noel</w:t>
            </w:r>
          </w:p>
        </w:tc>
      </w:tr>
      <w:tr>
        <w:trPr>
          <w:trHeight w:val="189"/>
        </w:trPr>
        <w:tc>
          <w:tcPr>
            <w:tcW w:w="2900" w:type="dxa"/>
            <w:vAlign w:val="bottom"/>
          </w:tcPr>
          <w:p>
            <w:pPr>
              <w:jc w:val="center"/>
              <w:ind w:right="579"/>
              <w:spacing w:after="0"/>
              <w:rPr>
                <w:sz w:val="20"/>
                <w:szCs w:val="20"/>
                <w:color w:val="auto"/>
              </w:rPr>
            </w:pPr>
            <w:r>
              <w:rPr>
                <w:rFonts w:ascii="Arial" w:cs="Arial" w:eastAsia="Arial" w:hAnsi="Arial"/>
                <w:sz w:val="16"/>
                <w:szCs w:val="16"/>
                <w:b w:val="1"/>
                <w:bCs w:val="1"/>
                <w:color w:val="auto"/>
              </w:rPr>
              <w:t>Colin J. Diamond</w:t>
            </w:r>
          </w:p>
        </w:tc>
        <w:tc>
          <w:tcPr>
            <w:tcW w:w="3960" w:type="dxa"/>
            <w:vAlign w:val="bottom"/>
          </w:tcPr>
          <w:p>
            <w:pPr>
              <w:jc w:val="center"/>
              <w:ind w:left="579"/>
              <w:spacing w:after="0"/>
              <w:rPr>
                <w:sz w:val="20"/>
                <w:szCs w:val="20"/>
                <w:color w:val="auto"/>
              </w:rPr>
            </w:pPr>
            <w:r>
              <w:rPr>
                <w:rFonts w:ascii="Arial" w:cs="Arial" w:eastAsia="Arial" w:hAnsi="Arial"/>
                <w:sz w:val="16"/>
                <w:szCs w:val="16"/>
                <w:b w:val="1"/>
                <w:bCs w:val="1"/>
                <w:color w:val="auto"/>
              </w:rPr>
              <w:t>Michael J. Mies</w:t>
            </w:r>
          </w:p>
        </w:tc>
      </w:tr>
      <w:tr>
        <w:trPr>
          <w:trHeight w:val="189"/>
        </w:trPr>
        <w:tc>
          <w:tcPr>
            <w:tcW w:w="2900" w:type="dxa"/>
            <w:vAlign w:val="bottom"/>
          </w:tcPr>
          <w:p>
            <w:pPr>
              <w:jc w:val="center"/>
              <w:ind w:right="579"/>
              <w:spacing w:after="0"/>
              <w:rPr>
                <w:sz w:val="20"/>
                <w:szCs w:val="20"/>
                <w:color w:val="auto"/>
              </w:rPr>
            </w:pPr>
            <w:r>
              <w:rPr>
                <w:rFonts w:ascii="Arial" w:cs="Arial" w:eastAsia="Arial" w:hAnsi="Arial"/>
                <w:sz w:val="16"/>
                <w:szCs w:val="16"/>
                <w:b w:val="1"/>
                <w:bCs w:val="1"/>
                <w:color w:val="auto"/>
              </w:rPr>
              <w:t>Daniel E. Nussen</w:t>
            </w:r>
          </w:p>
        </w:tc>
        <w:tc>
          <w:tcPr>
            <w:tcW w:w="3960" w:type="dxa"/>
            <w:vAlign w:val="bottom"/>
          </w:tcPr>
          <w:p>
            <w:pPr>
              <w:jc w:val="center"/>
              <w:ind w:left="579"/>
              <w:spacing w:after="0"/>
              <w:rPr>
                <w:sz w:val="20"/>
                <w:szCs w:val="20"/>
                <w:color w:val="auto"/>
              </w:rPr>
            </w:pPr>
            <w:r>
              <w:rPr>
                <w:rFonts w:ascii="Arial" w:cs="Arial" w:eastAsia="Arial" w:hAnsi="Arial"/>
                <w:sz w:val="16"/>
                <w:szCs w:val="16"/>
                <w:b w:val="1"/>
                <w:bCs w:val="1"/>
                <w:color w:val="auto"/>
              </w:rPr>
              <w:t>Skadden, Arps, Slate, Meagher &amp; Flom LLP</w:t>
            </w:r>
          </w:p>
        </w:tc>
      </w:tr>
      <w:tr>
        <w:trPr>
          <w:trHeight w:val="189"/>
        </w:trPr>
        <w:tc>
          <w:tcPr>
            <w:tcW w:w="2900" w:type="dxa"/>
            <w:vAlign w:val="bottom"/>
          </w:tcPr>
          <w:p>
            <w:pPr>
              <w:jc w:val="center"/>
              <w:ind w:right="579"/>
              <w:spacing w:after="0"/>
              <w:rPr>
                <w:sz w:val="20"/>
                <w:szCs w:val="20"/>
                <w:color w:val="auto"/>
              </w:rPr>
            </w:pPr>
            <w:r>
              <w:rPr>
                <w:rFonts w:ascii="Arial" w:cs="Arial" w:eastAsia="Arial" w:hAnsi="Arial"/>
                <w:sz w:val="16"/>
                <w:szCs w:val="16"/>
                <w:b w:val="1"/>
                <w:bCs w:val="1"/>
                <w:color w:val="auto"/>
              </w:rPr>
              <w:t>White &amp; Case LLP</w:t>
            </w:r>
          </w:p>
        </w:tc>
        <w:tc>
          <w:tcPr>
            <w:tcW w:w="3960" w:type="dxa"/>
            <w:vAlign w:val="bottom"/>
          </w:tcPr>
          <w:p>
            <w:pPr>
              <w:jc w:val="center"/>
              <w:ind w:left="579"/>
              <w:spacing w:after="0"/>
              <w:rPr>
                <w:sz w:val="20"/>
                <w:szCs w:val="20"/>
                <w:color w:val="auto"/>
              </w:rPr>
            </w:pPr>
            <w:r>
              <w:rPr>
                <w:rFonts w:ascii="Arial" w:cs="Arial" w:eastAsia="Arial" w:hAnsi="Arial"/>
                <w:sz w:val="16"/>
                <w:szCs w:val="16"/>
                <w:b w:val="1"/>
                <w:bCs w:val="1"/>
                <w:color w:val="auto"/>
              </w:rPr>
              <w:t>525 University Avenue, Suite 1400</w:t>
            </w:r>
          </w:p>
        </w:tc>
      </w:tr>
      <w:tr>
        <w:trPr>
          <w:trHeight w:val="189"/>
        </w:trPr>
        <w:tc>
          <w:tcPr>
            <w:tcW w:w="2900" w:type="dxa"/>
            <w:vAlign w:val="bottom"/>
          </w:tcPr>
          <w:p>
            <w:pPr>
              <w:jc w:val="center"/>
              <w:ind w:right="579"/>
              <w:spacing w:after="0"/>
              <w:rPr>
                <w:sz w:val="20"/>
                <w:szCs w:val="20"/>
                <w:color w:val="auto"/>
              </w:rPr>
            </w:pPr>
            <w:r>
              <w:rPr>
                <w:rFonts w:ascii="Arial" w:cs="Arial" w:eastAsia="Arial" w:hAnsi="Arial"/>
                <w:sz w:val="16"/>
                <w:szCs w:val="16"/>
                <w:b w:val="1"/>
                <w:bCs w:val="1"/>
                <w:color w:val="auto"/>
              </w:rPr>
              <w:t>1221 Avenue of the Americas</w:t>
            </w:r>
          </w:p>
        </w:tc>
        <w:tc>
          <w:tcPr>
            <w:tcW w:w="3960" w:type="dxa"/>
            <w:vAlign w:val="bottom"/>
          </w:tcPr>
          <w:p>
            <w:pPr>
              <w:jc w:val="center"/>
              <w:ind w:left="579"/>
              <w:spacing w:after="0"/>
              <w:rPr>
                <w:sz w:val="20"/>
                <w:szCs w:val="20"/>
                <w:color w:val="auto"/>
              </w:rPr>
            </w:pPr>
            <w:r>
              <w:rPr>
                <w:rFonts w:ascii="Arial" w:cs="Arial" w:eastAsia="Arial" w:hAnsi="Arial"/>
                <w:sz w:val="16"/>
                <w:szCs w:val="16"/>
                <w:b w:val="1"/>
                <w:bCs w:val="1"/>
                <w:color w:val="auto"/>
              </w:rPr>
              <w:t>Palo Alto, California 94301</w:t>
            </w:r>
          </w:p>
        </w:tc>
      </w:tr>
      <w:tr>
        <w:trPr>
          <w:trHeight w:val="189"/>
        </w:trPr>
        <w:tc>
          <w:tcPr>
            <w:tcW w:w="2900" w:type="dxa"/>
            <w:vAlign w:val="bottom"/>
          </w:tcPr>
          <w:p>
            <w:pPr>
              <w:jc w:val="center"/>
              <w:ind w:right="579"/>
              <w:spacing w:after="0"/>
              <w:rPr>
                <w:sz w:val="20"/>
                <w:szCs w:val="20"/>
                <w:color w:val="auto"/>
              </w:rPr>
            </w:pPr>
            <w:r>
              <w:rPr>
                <w:rFonts w:ascii="Arial" w:cs="Arial" w:eastAsia="Arial" w:hAnsi="Arial"/>
                <w:sz w:val="16"/>
                <w:szCs w:val="16"/>
                <w:b w:val="1"/>
                <w:bCs w:val="1"/>
                <w:color w:val="auto"/>
              </w:rPr>
              <w:t>New York, New York 10020</w:t>
            </w:r>
          </w:p>
        </w:tc>
        <w:tc>
          <w:tcPr>
            <w:tcW w:w="3960" w:type="dxa"/>
            <w:vAlign w:val="bottom"/>
          </w:tcPr>
          <w:p>
            <w:pPr>
              <w:jc w:val="center"/>
              <w:ind w:left="579"/>
              <w:spacing w:after="0"/>
              <w:rPr>
                <w:sz w:val="20"/>
                <w:szCs w:val="20"/>
                <w:color w:val="auto"/>
              </w:rPr>
            </w:pPr>
            <w:r>
              <w:rPr>
                <w:rFonts w:ascii="Arial" w:cs="Arial" w:eastAsia="Arial" w:hAnsi="Arial"/>
                <w:sz w:val="16"/>
                <w:szCs w:val="16"/>
                <w:b w:val="1"/>
                <w:bCs w:val="1"/>
                <w:color w:val="auto"/>
                <w:w w:val="99"/>
              </w:rPr>
              <w:t>Tel: (650) 470-4500</w:t>
            </w:r>
          </w:p>
        </w:tc>
      </w:tr>
      <w:tr>
        <w:trPr>
          <w:trHeight w:val="215"/>
        </w:trPr>
        <w:tc>
          <w:tcPr>
            <w:tcW w:w="2900" w:type="dxa"/>
            <w:vAlign w:val="bottom"/>
          </w:tcPr>
          <w:p>
            <w:pPr>
              <w:jc w:val="center"/>
              <w:ind w:right="579"/>
              <w:spacing w:after="0"/>
              <w:rPr>
                <w:sz w:val="20"/>
                <w:szCs w:val="20"/>
                <w:color w:val="auto"/>
              </w:rPr>
            </w:pPr>
            <w:r>
              <w:rPr>
                <w:rFonts w:ascii="Arial" w:cs="Arial" w:eastAsia="Arial" w:hAnsi="Arial"/>
                <w:sz w:val="16"/>
                <w:szCs w:val="16"/>
                <w:b w:val="1"/>
                <w:bCs w:val="1"/>
                <w:color w:val="auto"/>
              </w:rPr>
              <w:t>Tel: (212) 819-8200</w:t>
            </w:r>
          </w:p>
        </w:tc>
        <w:tc>
          <w:tcPr>
            <w:tcW w:w="3960" w:type="dxa"/>
            <w:vAlign w:val="bottom"/>
          </w:tcPr>
          <w:p>
            <w:pPr>
              <w:spacing w:after="0"/>
              <w:rPr>
                <w:sz w:val="18"/>
                <w:szCs w:val="18"/>
                <w:color w:val="auto"/>
              </w:rPr>
            </w:pPr>
          </w:p>
        </w:tc>
      </w:tr>
    </w:tbl>
    <w:p>
      <w:pPr>
        <w:spacing w:after="0" w:line="190" w:lineRule="exact"/>
        <w:rPr>
          <w:sz w:val="24"/>
          <w:szCs w:val="24"/>
          <w:color w:val="auto"/>
        </w:rPr>
      </w:pPr>
    </w:p>
    <w:p>
      <w:pPr>
        <w:ind w:left="3280"/>
        <w:spacing w:after="0"/>
        <w:rPr>
          <w:sz w:val="20"/>
          <w:szCs w:val="20"/>
          <w:color w:val="auto"/>
        </w:rPr>
      </w:pPr>
      <w:r>
        <w:rPr>
          <w:rFonts w:ascii="Arial" w:cs="Arial" w:eastAsia="Arial" w:hAnsi="Arial"/>
          <w:sz w:val="16"/>
          <w:szCs w:val="16"/>
          <w:b w:val="1"/>
          <w:bCs w:val="1"/>
          <w:color w:val="auto"/>
        </w:rPr>
        <w:t>___________________________</w:t>
      </w:r>
    </w:p>
    <w:p>
      <w:pPr>
        <w:spacing w:after="0" w:line="59" w:lineRule="exact"/>
        <w:rPr>
          <w:sz w:val="24"/>
          <w:szCs w:val="24"/>
          <w:color w:val="auto"/>
        </w:rPr>
      </w:pPr>
    </w:p>
    <w:p>
      <w:pPr>
        <w:ind w:left="460" w:right="999"/>
        <w:spacing w:after="0" w:line="286" w:lineRule="auto"/>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As soon as practicable after the</w:t>
      </w:r>
      <w:r>
        <w:rPr>
          <w:rFonts w:ascii="Arial" w:cs="Arial" w:eastAsia="Arial" w:hAnsi="Arial"/>
          <w:sz w:val="16"/>
          <w:szCs w:val="16"/>
          <w:b w:val="1"/>
          <w:bCs w:val="1"/>
          <w:color w:val="auto"/>
        </w:rPr>
        <w:t xml:space="preserve"> </w:t>
      </w:r>
      <w:r>
        <w:rPr>
          <w:rFonts w:ascii="Arial" w:cs="Arial" w:eastAsia="Arial" w:hAnsi="Arial"/>
          <w:sz w:val="16"/>
          <w:szCs w:val="16"/>
          <w:color w:val="auto"/>
        </w:rPr>
        <w:t>effective date of this registration statement.</w:t>
      </w:r>
    </w:p>
    <w:p>
      <w:pPr>
        <w:spacing w:after="0" w:line="14" w:lineRule="exact"/>
        <w:rPr>
          <w:sz w:val="24"/>
          <w:szCs w:val="24"/>
          <w:color w:val="auto"/>
        </w:rPr>
      </w:pPr>
    </w:p>
    <w:p>
      <w:pPr>
        <w:ind w:left="460" w:right="519"/>
        <w:spacing w:after="0" w:line="260" w:lineRule="auto"/>
        <w:rPr>
          <w:sz w:val="20"/>
          <w:szCs w:val="20"/>
          <w:color w:val="auto"/>
        </w:rPr>
      </w:pPr>
      <w:r>
        <w:rPr>
          <w:rFonts w:ascii="Arial" w:cs="Arial" w:eastAsia="Arial" w:hAnsi="Arial"/>
          <w:sz w:val="16"/>
          <w:szCs w:val="16"/>
          <w:color w:val="auto"/>
        </w:rPr>
        <w:t>If any of the securities being registered on this Form are to be offered on a delayed or continuous basis pursuant to Rule 415 under the Securities Act of 1933 check the following box. £</w:t>
      </w:r>
    </w:p>
    <w:p>
      <w:pPr>
        <w:spacing w:after="0" w:line="33" w:lineRule="exact"/>
        <w:rPr>
          <w:sz w:val="24"/>
          <w:szCs w:val="24"/>
          <w:color w:val="auto"/>
        </w:rPr>
      </w:pPr>
    </w:p>
    <w:p>
      <w:pPr>
        <w:ind w:left="460" w:right="739"/>
        <w:spacing w:after="0" w:line="253" w:lineRule="auto"/>
        <w:rPr>
          <w:sz w:val="20"/>
          <w:szCs w:val="20"/>
          <w:color w:val="auto"/>
        </w:rPr>
      </w:pPr>
      <w:r>
        <w:rPr>
          <w:rFonts w:ascii="Arial" w:cs="Arial" w:eastAsia="Arial" w:hAnsi="Arial"/>
          <w:sz w:val="16"/>
          <w:szCs w:val="16"/>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spacing w:after="0" w:line="39" w:lineRule="exact"/>
        <w:rPr>
          <w:sz w:val="24"/>
          <w:szCs w:val="24"/>
          <w:color w:val="auto"/>
        </w:rPr>
      </w:pPr>
    </w:p>
    <w:p>
      <w:pPr>
        <w:ind w:left="460" w:right="919"/>
        <w:spacing w:after="0" w:line="253" w:lineRule="auto"/>
        <w:rPr>
          <w:sz w:val="20"/>
          <w:szCs w:val="20"/>
          <w:color w:val="auto"/>
        </w:rPr>
      </w:pPr>
      <w:r>
        <w:rPr>
          <w:rFonts w:ascii="Arial" w:cs="Arial" w:eastAsia="Arial" w:hAnsi="Arial"/>
          <w:sz w:val="16"/>
          <w:szCs w:val="16"/>
          <w:color w:val="auto"/>
        </w:rPr>
        <w:t>If this Form is a post-effective amendment filed pursuant to Rule 462(c) under the Securities Act, check the following box and list the Securities Act registration statement number of the earlier effective registration statement for the same offering. £</w:t>
      </w:r>
    </w:p>
    <w:p>
      <w:pPr>
        <w:spacing w:after="0" w:line="39" w:lineRule="exact"/>
        <w:rPr>
          <w:sz w:val="24"/>
          <w:szCs w:val="24"/>
          <w:color w:val="auto"/>
        </w:rPr>
      </w:pPr>
    </w:p>
    <w:p>
      <w:pPr>
        <w:ind w:left="460" w:right="919"/>
        <w:spacing w:after="0" w:line="253" w:lineRule="auto"/>
        <w:rPr>
          <w:sz w:val="20"/>
          <w:szCs w:val="20"/>
          <w:color w:val="auto"/>
        </w:rPr>
      </w:pPr>
      <w:r>
        <w:rPr>
          <w:rFonts w:ascii="Arial" w:cs="Arial" w:eastAsia="Arial" w:hAnsi="Arial"/>
          <w:sz w:val="16"/>
          <w:szCs w:val="16"/>
          <w:color w:val="auto"/>
        </w:rPr>
        <w:t>If this Form is a post-effective amendment filed pursuant to Rule 462(d) under the Securities Act, check the following box and list the Securities Act registration statement number of the earlier effective registration statement for the same offering. £</w:t>
      </w:r>
    </w:p>
    <w:p>
      <w:pPr>
        <w:spacing w:after="0" w:line="39" w:lineRule="exact"/>
        <w:rPr>
          <w:sz w:val="24"/>
          <w:szCs w:val="24"/>
          <w:color w:val="auto"/>
        </w:rPr>
      </w:pPr>
    </w:p>
    <w:p>
      <w:pPr>
        <w:ind w:left="460" w:right="479"/>
        <w:spacing w:after="0" w:line="25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29" w:lineRule="exact"/>
        <w:rPr>
          <w:sz w:val="24"/>
          <w:szCs w:val="24"/>
          <w:color w:val="auto"/>
        </w:rPr>
      </w:pPr>
    </w:p>
    <w:tbl>
      <w:tblPr>
        <w:tblLayout w:type="fixed"/>
        <w:tblInd w:w="460" w:type="dxa"/>
        <w:tblCellMar>
          <w:top w:w="0" w:type="dxa"/>
          <w:left w:w="0" w:type="dxa"/>
          <w:bottom w:w="0" w:type="dxa"/>
          <w:right w:w="0" w:type="dxa"/>
        </w:tblCellMar>
      </w:tblPr>
      <w:tr>
        <w:trPr>
          <w:trHeight w:val="195"/>
        </w:trPr>
        <w:tc>
          <w:tcPr>
            <w:tcW w:w="16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260" w:type="dxa"/>
            <w:vAlign w:val="bottom"/>
          </w:tcPr>
          <w:p>
            <w:pPr>
              <w:ind w:left="20"/>
              <w:spacing w:after="0"/>
              <w:rPr>
                <w:sz w:val="20"/>
                <w:szCs w:val="20"/>
                <w:color w:val="auto"/>
              </w:rPr>
            </w:pPr>
            <w:r>
              <w:rPr>
                <w:rFonts w:ascii="Arial" w:cs="Arial" w:eastAsia="Arial" w:hAnsi="Arial"/>
                <w:sz w:val="16"/>
                <w:szCs w:val="16"/>
                <w:color w:val="auto"/>
              </w:rPr>
              <w:t>£</w:t>
            </w:r>
          </w:p>
        </w:tc>
        <w:tc>
          <w:tcPr>
            <w:tcW w:w="3100" w:type="dxa"/>
            <w:vAlign w:val="bottom"/>
          </w:tcPr>
          <w:p>
            <w:pPr>
              <w:ind w:left="1120"/>
              <w:spacing w:after="0"/>
              <w:rPr>
                <w:sz w:val="20"/>
                <w:szCs w:val="20"/>
                <w:color w:val="auto"/>
              </w:rPr>
            </w:pPr>
            <w:r>
              <w:rPr>
                <w:rFonts w:ascii="Arial" w:cs="Arial" w:eastAsia="Arial" w:hAnsi="Arial"/>
                <w:sz w:val="16"/>
                <w:szCs w:val="16"/>
                <w:color w:val="auto"/>
              </w:rPr>
              <w:t>Accelerated filer</w:t>
            </w: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r>
      <w:tr>
        <w:trPr>
          <w:trHeight w:val="284"/>
        </w:trPr>
        <w:tc>
          <w:tcPr>
            <w:tcW w:w="1640" w:type="dxa"/>
            <w:vAlign w:val="bottom"/>
          </w:tcPr>
          <w:p>
            <w:pPr>
              <w:spacing w:after="0"/>
              <w:rPr>
                <w:sz w:val="20"/>
                <w:szCs w:val="20"/>
                <w:color w:val="auto"/>
              </w:rPr>
            </w:pPr>
            <w:r>
              <w:rPr>
                <w:rFonts w:ascii="Arial" w:cs="Arial" w:eastAsia="Arial" w:hAnsi="Arial"/>
                <w:sz w:val="16"/>
                <w:szCs w:val="16"/>
                <w:color w:val="auto"/>
              </w:rPr>
              <w:t>Non-accelerated filer</w:t>
            </w:r>
          </w:p>
        </w:tc>
        <w:tc>
          <w:tcPr>
            <w:tcW w:w="1260" w:type="dxa"/>
            <w:vAlign w:val="bottom"/>
          </w:tcPr>
          <w:p>
            <w:pPr>
              <w:ind w:left="20"/>
              <w:spacing w:after="0"/>
              <w:rPr>
                <w:sz w:val="20"/>
                <w:szCs w:val="20"/>
                <w:color w:val="auto"/>
              </w:rPr>
            </w:pPr>
            <w:r>
              <w:rPr>
                <w:rFonts w:ascii="Arial" w:cs="Arial" w:eastAsia="Arial" w:hAnsi="Arial"/>
                <w:sz w:val="16"/>
                <w:szCs w:val="16"/>
                <w:color w:val="auto"/>
              </w:rPr>
              <w:t>S</w:t>
            </w:r>
          </w:p>
        </w:tc>
        <w:tc>
          <w:tcPr>
            <w:tcW w:w="3100" w:type="dxa"/>
            <w:vAlign w:val="bottom"/>
          </w:tcPr>
          <w:p>
            <w:pPr>
              <w:ind w:left="1120"/>
              <w:spacing w:after="0"/>
              <w:rPr>
                <w:sz w:val="20"/>
                <w:szCs w:val="20"/>
                <w:color w:val="auto"/>
              </w:rPr>
            </w:pPr>
            <w:r>
              <w:rPr>
                <w:rFonts w:ascii="Arial" w:cs="Arial" w:eastAsia="Arial" w:hAnsi="Arial"/>
                <w:sz w:val="16"/>
                <w:szCs w:val="16"/>
                <w:color w:val="auto"/>
              </w:rPr>
              <w:t>Smaller reporting company</w:t>
            </w:r>
          </w:p>
        </w:tc>
        <w:tc>
          <w:tcPr>
            <w:tcW w:w="160" w:type="dxa"/>
            <w:vAlign w:val="bottom"/>
          </w:tcPr>
          <w:p>
            <w:pPr>
              <w:ind w:left="40"/>
              <w:spacing w:after="0"/>
              <w:rPr>
                <w:sz w:val="20"/>
                <w:szCs w:val="20"/>
                <w:color w:val="auto"/>
              </w:rPr>
            </w:pPr>
            <w:r>
              <w:rPr>
                <w:rFonts w:ascii="Arial" w:cs="Arial" w:eastAsia="Arial" w:hAnsi="Arial"/>
                <w:sz w:val="16"/>
                <w:szCs w:val="16"/>
                <w:color w:val="auto"/>
                <w:w w:val="93"/>
              </w:rPr>
              <w:t>S</w:t>
            </w:r>
          </w:p>
        </w:tc>
      </w:tr>
      <w:tr>
        <w:trPr>
          <w:trHeight w:val="284"/>
        </w:trPr>
        <w:tc>
          <w:tcPr>
            <w:tcW w:w="1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100" w:type="dxa"/>
            <w:vAlign w:val="bottom"/>
          </w:tcPr>
          <w:p>
            <w:pPr>
              <w:ind w:left="1120"/>
              <w:spacing w:after="0"/>
              <w:rPr>
                <w:sz w:val="20"/>
                <w:szCs w:val="20"/>
                <w:color w:val="auto"/>
              </w:rPr>
            </w:pPr>
            <w:r>
              <w:rPr>
                <w:rFonts w:ascii="Arial" w:cs="Arial" w:eastAsia="Arial" w:hAnsi="Arial"/>
                <w:sz w:val="16"/>
                <w:szCs w:val="16"/>
                <w:color w:val="auto"/>
              </w:rPr>
              <w:t>Emerging growth company</w:t>
            </w:r>
          </w:p>
        </w:tc>
        <w:tc>
          <w:tcPr>
            <w:tcW w:w="160" w:type="dxa"/>
            <w:vAlign w:val="bottom"/>
          </w:tcPr>
          <w:p>
            <w:pPr>
              <w:ind w:left="40"/>
              <w:spacing w:after="0"/>
              <w:rPr>
                <w:sz w:val="20"/>
                <w:szCs w:val="20"/>
                <w:color w:val="auto"/>
              </w:rPr>
            </w:pPr>
            <w:r>
              <w:rPr>
                <w:rFonts w:ascii="Arial" w:cs="Arial" w:eastAsia="Arial" w:hAnsi="Arial"/>
                <w:sz w:val="16"/>
                <w:szCs w:val="16"/>
                <w:color w:val="auto"/>
                <w:w w:val="93"/>
              </w:rPr>
              <w:t>S</w:t>
            </w:r>
          </w:p>
        </w:tc>
      </w:tr>
    </w:tbl>
    <w:p>
      <w:pPr>
        <w:spacing w:after="0" w:line="210" w:lineRule="exact"/>
        <w:rPr>
          <w:sz w:val="24"/>
          <w:szCs w:val="24"/>
          <w:color w:val="auto"/>
        </w:rPr>
      </w:pPr>
    </w:p>
    <w:p>
      <w:pPr>
        <w:jc w:val="both"/>
        <w:ind w:left="460" w:right="839"/>
        <w:spacing w:after="0" w:line="253"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7(a)(2)(B) of the Securities Act.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229235</wp:posOffset>
            </wp:positionV>
            <wp:extent cx="5143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47" w:right="1440" w:bottom="984"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2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Proposed</w:t>
            </w:r>
          </w:p>
        </w:tc>
        <w:tc>
          <w:tcPr>
            <w:tcW w:w="12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Proposed</w:t>
            </w:r>
          </w:p>
        </w:tc>
        <w:tc>
          <w:tcPr>
            <w:tcW w:w="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Maximum</w:t>
            </w:r>
          </w:p>
        </w:tc>
        <w:tc>
          <w:tcPr>
            <w:tcW w:w="12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Maximum</w:t>
            </w:r>
          </w:p>
        </w:tc>
        <w:tc>
          <w:tcPr>
            <w:tcW w:w="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80" w:type="dxa"/>
            <w:vAlign w:val="bottom"/>
            <w:gridSpan w:val="2"/>
          </w:tcPr>
          <w:p>
            <w:pPr>
              <w:spacing w:after="0"/>
              <w:rPr>
                <w:sz w:val="20"/>
                <w:szCs w:val="20"/>
                <w:color w:val="auto"/>
              </w:rPr>
            </w:pPr>
            <w:r>
              <w:rPr>
                <w:rFonts w:ascii="Arial" w:cs="Arial" w:eastAsia="Arial" w:hAnsi="Arial"/>
                <w:sz w:val="14"/>
                <w:szCs w:val="14"/>
                <w:b w:val="1"/>
                <w:bCs w:val="1"/>
                <w:color w:val="auto"/>
              </w:rPr>
              <w:t>Title of Each Class of Security Being</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Amount Being</w:t>
            </w:r>
          </w:p>
        </w:tc>
        <w:tc>
          <w:tcPr>
            <w:tcW w:w="12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Offering Price</w:t>
            </w:r>
          </w:p>
        </w:tc>
        <w:tc>
          <w:tcPr>
            <w:tcW w:w="1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Aggregate</w:t>
            </w:r>
          </w:p>
        </w:tc>
        <w:tc>
          <w:tcPr>
            <w:tcW w:w="6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Amount of</w:t>
            </w:r>
          </w:p>
        </w:tc>
        <w:tc>
          <w:tcPr>
            <w:tcW w:w="0" w:type="dxa"/>
            <w:vAlign w:val="bottom"/>
          </w:tcPr>
          <w:p>
            <w:pPr>
              <w:spacing w:after="0"/>
              <w:rPr>
                <w:sz w:val="1"/>
                <w:szCs w:val="1"/>
                <w:color w:val="auto"/>
              </w:rPr>
            </w:pPr>
          </w:p>
        </w:tc>
      </w:tr>
      <w:tr>
        <w:trPr>
          <w:trHeight w:val="216"/>
        </w:trPr>
        <w:tc>
          <w:tcPr>
            <w:tcW w:w="2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Registered</w:t>
            </w:r>
          </w:p>
        </w:tc>
        <w:tc>
          <w:tcPr>
            <w:tcW w:w="1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Registered</w:t>
            </w:r>
          </w:p>
        </w:tc>
        <w:tc>
          <w:tcPr>
            <w:tcW w:w="1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9"/>
              </w:rPr>
              <w:t>per Security</w:t>
            </w:r>
            <w:r>
              <w:rPr>
                <w:rFonts w:ascii="Arial" w:cs="Arial" w:eastAsia="Arial" w:hAnsi="Arial"/>
                <w:sz w:val="16"/>
                <w:szCs w:val="16"/>
                <w:b w:val="1"/>
                <w:bCs w:val="1"/>
                <w:color w:val="auto"/>
                <w:w w:val="99"/>
                <w:vertAlign w:val="superscript"/>
              </w:rPr>
              <w:t>(1)</w:t>
            </w:r>
          </w:p>
        </w:tc>
        <w:tc>
          <w:tcPr>
            <w:tcW w:w="8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Offering Price</w:t>
            </w:r>
            <w:r>
              <w:rPr>
                <w:rFonts w:ascii="Arial" w:cs="Arial" w:eastAsia="Arial" w:hAnsi="Arial"/>
                <w:sz w:val="16"/>
                <w:szCs w:val="16"/>
                <w:b w:val="1"/>
                <w:bCs w:val="1"/>
                <w:color w:val="auto"/>
                <w:w w:val="98"/>
                <w:vertAlign w:val="superscript"/>
              </w:rPr>
              <w:t>(1)</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Registration Fee</w:t>
            </w:r>
          </w:p>
        </w:tc>
        <w:tc>
          <w:tcPr>
            <w:tcW w:w="0" w:type="dxa"/>
            <w:vAlign w:val="bottom"/>
          </w:tcPr>
          <w:p>
            <w:pPr>
              <w:spacing w:after="0"/>
              <w:rPr>
                <w:sz w:val="1"/>
                <w:szCs w:val="1"/>
                <w:color w:val="auto"/>
              </w:rPr>
            </w:pPr>
          </w:p>
        </w:tc>
      </w:tr>
      <w:tr>
        <w:trPr>
          <w:trHeight w:val="195"/>
        </w:trPr>
        <w:tc>
          <w:tcPr>
            <w:tcW w:w="29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Shares of Class A common stock,</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59"/>
              <w:spacing w:after="0" w:line="195" w:lineRule="exact"/>
              <w:rPr>
                <w:sz w:val="20"/>
                <w:szCs w:val="20"/>
                <w:color w:val="auto"/>
              </w:rPr>
            </w:pPr>
            <w:r>
              <w:rPr>
                <w:rFonts w:ascii="Arial" w:cs="Arial" w:eastAsia="Arial" w:hAnsi="Arial"/>
                <w:sz w:val="18"/>
                <w:szCs w:val="18"/>
                <w:color w:val="auto"/>
              </w:rPr>
              <w:t>11,500,000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340" w:type="dxa"/>
            <w:vAlign w:val="bottom"/>
            <w:gridSpan w:val="2"/>
            <w:vMerge w:val="restart"/>
            <w:shd w:val="clear" w:color="auto" w:fill="CCEEFF"/>
          </w:tcPr>
          <w:p>
            <w:pPr>
              <w:jc w:val="center"/>
              <w:spacing w:after="0"/>
              <w:rPr>
                <w:sz w:val="20"/>
                <w:szCs w:val="20"/>
                <w:color w:val="auto"/>
              </w:rPr>
            </w:pPr>
            <w:r>
              <w:rPr>
                <w:rFonts w:ascii="Arial" w:cs="Arial" w:eastAsia="Arial" w:hAnsi="Arial"/>
                <w:sz w:val="18"/>
                <w:szCs w:val="18"/>
                <w:color w:val="auto"/>
              </w:rPr>
              <w:t>$   14,927.00</w:t>
            </w:r>
            <w:r>
              <w:rPr>
                <w:rFonts w:ascii="Arial" w:cs="Arial" w:eastAsia="Arial" w:hAnsi="Arial"/>
                <w:sz w:val="10"/>
                <w:szCs w:val="10"/>
                <w:color w:val="auto"/>
              </w:rPr>
              <w:t>(4)</w:t>
            </w:r>
          </w:p>
        </w:tc>
        <w:tc>
          <w:tcPr>
            <w:tcW w:w="0" w:type="dxa"/>
            <w:vAlign w:val="bottom"/>
          </w:tcPr>
          <w:p>
            <w:pPr>
              <w:spacing w:after="0"/>
              <w:rPr>
                <w:sz w:val="1"/>
                <w:szCs w:val="1"/>
                <w:color w:val="auto"/>
              </w:rPr>
            </w:pPr>
          </w:p>
        </w:tc>
      </w:tr>
      <w:tr>
        <w:trPr>
          <w:trHeight w:val="244"/>
        </w:trPr>
        <w:tc>
          <w:tcPr>
            <w:tcW w:w="3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par value $0.0001 per share</w:t>
            </w:r>
            <w:r>
              <w:rPr>
                <w:rFonts w:ascii="Arial" w:cs="Arial" w:eastAsia="Arial" w:hAnsi="Arial"/>
                <w:sz w:val="20"/>
                <w:szCs w:val="20"/>
                <w:color w:val="auto"/>
                <w:vertAlign w:val="superscript"/>
              </w:rPr>
              <w:t>(2)(3)</w:t>
            </w:r>
          </w:p>
        </w:tc>
        <w:tc>
          <w:tcPr>
            <w:tcW w:w="12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Shares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124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rPr>
              <w:t>$ 115,000,000</w:t>
            </w:r>
          </w:p>
        </w:tc>
        <w:tc>
          <w:tcPr>
            <w:tcW w:w="134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92" w:lineRule="exact"/>
        <w:rPr>
          <w:sz w:val="20"/>
          <w:szCs w:val="20"/>
          <w:color w:val="auto"/>
        </w:rPr>
      </w:pPr>
    </w:p>
    <w:p>
      <w:pPr>
        <w:ind w:left="880" w:right="579" w:hanging="426"/>
        <w:spacing w:after="0" w:line="216" w:lineRule="auto"/>
        <w:tabs>
          <w:tab w:leader="none" w:pos="847"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calculating the registration fee pursuant to Rule 457(a) under the Securities Act of 1933, as amended (the “Securities Act”).</w:t>
      </w:r>
    </w:p>
    <w:p>
      <w:pPr>
        <w:ind w:left="880" w:right="599" w:hanging="426"/>
        <w:spacing w:after="0" w:line="216" w:lineRule="auto"/>
        <w:tabs>
          <w:tab w:leader="none" w:pos="847" w:val="left"/>
        </w:tabs>
        <w:numPr>
          <w:ilvl w:val="0"/>
          <w:numId w:val="1"/>
        </w:numPr>
        <w:rPr>
          <w:rFonts w:ascii="Arial" w:cs="Arial" w:eastAsia="Arial" w:hAnsi="Arial"/>
          <w:sz w:val="13"/>
          <w:szCs w:val="13"/>
          <w:color w:val="auto"/>
        </w:rPr>
      </w:pPr>
      <w:r>
        <w:rPr>
          <w:rFonts w:ascii="Arial" w:cs="Arial" w:eastAsia="Arial" w:hAnsi="Arial"/>
          <w:sz w:val="13"/>
          <w:szCs w:val="13"/>
          <w:color w:val="auto"/>
        </w:rPr>
        <w:t>Includes 1,500,000 shares of Class A common stock, which may be issued upon exercise of a 45-day option granted to the underwriters to cover over-allotments, if any.</w:t>
      </w:r>
    </w:p>
    <w:p>
      <w:pPr>
        <w:ind w:left="880" w:right="619" w:hanging="426"/>
        <w:spacing w:after="0" w:line="216" w:lineRule="auto"/>
        <w:tabs>
          <w:tab w:leader="none" w:pos="847" w:val="left"/>
        </w:tabs>
        <w:numPr>
          <w:ilvl w:val="0"/>
          <w:numId w:val="1"/>
        </w:numPr>
        <w:rPr>
          <w:rFonts w:ascii="Arial" w:cs="Arial" w:eastAsia="Arial" w:hAnsi="Arial"/>
          <w:sz w:val="13"/>
          <w:szCs w:val="13"/>
          <w:color w:val="auto"/>
        </w:rPr>
      </w:pPr>
      <w:r>
        <w:rPr>
          <w:rFonts w:ascii="Arial" w:cs="Arial" w:eastAsia="Arial" w:hAnsi="Arial"/>
          <w:sz w:val="13"/>
          <w:szCs w:val="13"/>
          <w:color w:val="auto"/>
        </w:rPr>
        <w:t>Pursuant to Rule 416 under the Securities Act, there are also being registered an indeterminable number of additional securities as may be issued to prevent dilution resulting from stock splits, stock dividends or similar transactions.</w:t>
      </w:r>
    </w:p>
    <w:p>
      <w:pPr>
        <w:ind w:left="860" w:hanging="406"/>
        <w:spacing w:after="0"/>
        <w:tabs>
          <w:tab w:leader="none" w:pos="860" w:val="left"/>
        </w:tabs>
        <w:numPr>
          <w:ilvl w:val="0"/>
          <w:numId w:val="1"/>
        </w:numPr>
        <w:rPr>
          <w:rFonts w:ascii="Arial" w:cs="Arial" w:eastAsia="Arial" w:hAnsi="Arial"/>
          <w:sz w:val="13"/>
          <w:szCs w:val="13"/>
          <w:color w:val="auto"/>
        </w:rPr>
      </w:pPr>
      <w:r>
        <w:rPr>
          <w:rFonts w:ascii="Arial" w:cs="Arial" w:eastAsia="Arial" w:hAnsi="Arial"/>
          <w:sz w:val="13"/>
          <w:szCs w:val="13"/>
          <w:color w:val="auto"/>
        </w:rPr>
        <w:t>Previously paid.</w:t>
      </w:r>
    </w:p>
    <w:p>
      <w:pPr>
        <w:spacing w:after="0" w:line="14" w:lineRule="exact"/>
        <w:rPr>
          <w:sz w:val="20"/>
          <w:szCs w:val="20"/>
          <w:color w:val="auto"/>
        </w:rPr>
      </w:pPr>
    </w:p>
    <w:p>
      <w:pPr>
        <w:ind w:left="3280"/>
        <w:spacing w:after="0"/>
        <w:rPr>
          <w:sz w:val="20"/>
          <w:szCs w:val="20"/>
          <w:color w:val="auto"/>
        </w:rPr>
      </w:pPr>
      <w:r>
        <w:rPr>
          <w:rFonts w:ascii="Arial" w:cs="Arial" w:eastAsia="Arial" w:hAnsi="Arial"/>
          <w:sz w:val="16"/>
          <w:szCs w:val="16"/>
          <w:b w:val="1"/>
          <w:bCs w:val="1"/>
          <w:color w:val="auto"/>
        </w:rPr>
        <w:t>___________________________</w:t>
      </w:r>
    </w:p>
    <w:p>
      <w:pPr>
        <w:spacing w:after="0" w:line="135" w:lineRule="exact"/>
        <w:rPr>
          <w:sz w:val="20"/>
          <w:szCs w:val="20"/>
          <w:color w:val="auto"/>
        </w:rPr>
      </w:pPr>
    </w:p>
    <w:p>
      <w:pPr>
        <w:ind w:left="460" w:right="639"/>
        <w:spacing w:after="0" w:line="242"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256540</wp:posOffset>
            </wp:positionV>
            <wp:extent cx="514350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299720</wp:posOffset>
            </wp:positionV>
            <wp:extent cx="514350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574040</wp:posOffset>
            </wp:positionV>
            <wp:extent cx="5143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2" w:name="page3"/>
    <w:bookmarkEnd w:id="2"/>
    <w:p>
      <w:pPr>
        <w:ind w:left="460" w:right="459"/>
        <w:spacing w:after="0" w:line="247" w:lineRule="auto"/>
        <w:rPr>
          <w:sz w:val="20"/>
          <w:szCs w:val="20"/>
          <w:color w:val="auto"/>
        </w:rPr>
      </w:pPr>
      <w:r>
        <w:rPr>
          <w:rFonts w:ascii="Arial" w:cs="Arial" w:eastAsia="Arial" w:hAnsi="Arial"/>
          <w:sz w:val="14"/>
          <w:szCs w:val="14"/>
          <w:color w:val="EA0029"/>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an offer to buy these securities in any jurisdiction where the offer or sale is not permitted.</w:t>
      </w:r>
    </w:p>
    <w:p>
      <w:pPr>
        <w:spacing w:after="0" w:line="280" w:lineRule="exact"/>
        <w:rPr>
          <w:sz w:val="20"/>
          <w:szCs w:val="20"/>
          <w:color w:val="auto"/>
        </w:rPr>
      </w:pPr>
    </w:p>
    <w:tbl>
      <w:tblPr>
        <w:tblLayout w:type="fixed"/>
        <w:tblInd w:w="4560" w:type="dxa"/>
        <w:tblCellMar>
          <w:top w:w="0" w:type="dxa"/>
          <w:left w:w="0" w:type="dxa"/>
          <w:bottom w:w="0" w:type="dxa"/>
          <w:right w:w="0" w:type="dxa"/>
        </w:tblCellMar>
      </w:tblPr>
      <w:tr>
        <w:trPr>
          <w:trHeight w:val="217"/>
        </w:trPr>
        <w:tc>
          <w:tcPr>
            <w:tcW w:w="3260" w:type="dxa"/>
            <w:vAlign w:val="bottom"/>
          </w:tcPr>
          <w:p>
            <w:pPr>
              <w:spacing w:after="0"/>
              <w:rPr>
                <w:sz w:val="20"/>
                <w:szCs w:val="20"/>
                <w:color w:val="auto"/>
              </w:rPr>
            </w:pPr>
            <w:r>
              <w:rPr>
                <w:rFonts w:ascii="Arial" w:cs="Arial" w:eastAsia="Arial" w:hAnsi="Arial"/>
                <w:sz w:val="18"/>
                <w:szCs w:val="18"/>
                <w:color w:val="EA0029"/>
              </w:rPr>
              <w:t>SUBJECT TO COMPLETION, DATED</w:t>
            </w:r>
          </w:p>
        </w:tc>
        <w:tc>
          <w:tcPr>
            <w:tcW w:w="740" w:type="dxa"/>
            <w:vAlign w:val="bottom"/>
          </w:tcPr>
          <w:p>
            <w:pPr>
              <w:jc w:val="right"/>
              <w:spacing w:after="0"/>
              <w:rPr>
                <w:sz w:val="20"/>
                <w:szCs w:val="20"/>
                <w:color w:val="auto"/>
              </w:rPr>
            </w:pPr>
            <w:r>
              <w:rPr>
                <w:rFonts w:ascii="Arial" w:cs="Arial" w:eastAsia="Arial" w:hAnsi="Arial"/>
                <w:sz w:val="18"/>
                <w:szCs w:val="18"/>
                <w:color w:val="EA0029"/>
              </w:rPr>
              <w:t>, 2020</w:t>
            </w:r>
          </w:p>
        </w:tc>
      </w:tr>
    </w:tbl>
    <w:p>
      <w:pPr>
        <w:spacing w:after="0" w:line="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PRELIMINARY PROSPECTUS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$100,000,000</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FS Development Corp.</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10,000,000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92075</wp:posOffset>
            </wp:positionV>
            <wp:extent cx="5143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92" w:lineRule="exact"/>
        <w:rPr>
          <w:sz w:val="20"/>
          <w:szCs w:val="20"/>
          <w:color w:val="auto"/>
        </w:rPr>
      </w:pPr>
    </w:p>
    <w:p>
      <w:pPr>
        <w:ind w:left="460" w:right="619"/>
        <w:spacing w:after="0" w:line="245" w:lineRule="auto"/>
        <w:rPr>
          <w:sz w:val="20"/>
          <w:szCs w:val="20"/>
          <w:color w:val="auto"/>
        </w:rPr>
      </w:pPr>
      <w:r>
        <w:rPr>
          <w:rFonts w:ascii="Arial" w:cs="Arial" w:eastAsia="Arial" w:hAnsi="Arial"/>
          <w:sz w:val="14"/>
          <w:szCs w:val="14"/>
          <w:color w:val="auto"/>
        </w:rPr>
        <w:t>FS Development Corp. is a blank check company formed as a Delaware corporation for the purpose of effecting a merger, capital stock exchange, asset acquisition, stock purchase, reorganization or similar business combination with one or more businesses, which we refer to as our initial business combination. We have not selected any specific business combination target and we have not, nor has anyone on our behalf, engaged in any substantive discussions, directly or indirectly, with any business combination target with respect to an initial business combination with us.</w:t>
      </w:r>
    </w:p>
    <w:p>
      <w:pPr>
        <w:spacing w:after="0" w:line="42" w:lineRule="exact"/>
        <w:rPr>
          <w:sz w:val="20"/>
          <w:szCs w:val="20"/>
          <w:color w:val="auto"/>
        </w:rPr>
      </w:pPr>
    </w:p>
    <w:p>
      <w:pPr>
        <w:ind w:left="460" w:right="519"/>
        <w:spacing w:after="0" w:line="245" w:lineRule="auto"/>
        <w:rPr>
          <w:sz w:val="20"/>
          <w:szCs w:val="20"/>
          <w:color w:val="auto"/>
        </w:rPr>
      </w:pPr>
      <w:r>
        <w:rPr>
          <w:rFonts w:ascii="Arial" w:cs="Arial" w:eastAsia="Arial" w:hAnsi="Arial"/>
          <w:sz w:val="14"/>
          <w:szCs w:val="14"/>
          <w:color w:val="auto"/>
        </w:rPr>
        <w:t>This is the initial public offering of our shares of Class A common stock, par value $0.0001 per share, which we refer to as our public shares, at an initial public offering price of $10.00. The underwriters have a 45-day option from the date of this prospectus to purchase up to 1,500,000 additional shares of our Class A common stock to cover over-allotments, if any. Unlike other special purpose acquisition company initial public offerings (“SPAC IPOs”), investors in this offering will not receive warrants that would become exercisable following completion of our initial business combination.</w:t>
      </w:r>
    </w:p>
    <w:p>
      <w:pPr>
        <w:spacing w:after="0" w:line="42" w:lineRule="exact"/>
        <w:rPr>
          <w:sz w:val="20"/>
          <w:szCs w:val="20"/>
          <w:color w:val="auto"/>
        </w:rPr>
      </w:pPr>
    </w:p>
    <w:p>
      <w:pPr>
        <w:ind w:left="460" w:right="479"/>
        <w:spacing w:after="0" w:line="243" w:lineRule="auto"/>
        <w:rPr>
          <w:sz w:val="20"/>
          <w:szCs w:val="20"/>
          <w:color w:val="auto"/>
        </w:rPr>
      </w:pPr>
      <w:r>
        <w:rPr>
          <w:rFonts w:ascii="Arial" w:cs="Arial" w:eastAsia="Arial" w:hAnsi="Arial"/>
          <w:sz w:val="14"/>
          <w:szCs w:val="14"/>
          <w:color w:val="auto"/>
        </w:rPr>
        <w:t>We will provide our public stockholders with the opportunity to redeem all or a portion of their public shares upon the completion of our initial business combination at a per-share price, payable in cash, equal to the aggregate amount then on deposit in the trust account described below as of two business days prior to the consummation of our initial business combination, including interest earned on the funds held in the trust account and not previously released to us to pay our taxes, divided by the number of then outstanding public shares, subject to the limitations and on the conditions described herein. If we are unable to complete our initial business combination within 24 months from the closing of this offering, we will redeem 100% of the public shares at a per 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subject to applicable law and certain conditions as further described herein.</w:t>
      </w:r>
    </w:p>
    <w:p>
      <w:pPr>
        <w:spacing w:after="0" w:line="44" w:lineRule="exact"/>
        <w:rPr>
          <w:sz w:val="20"/>
          <w:szCs w:val="20"/>
          <w:color w:val="auto"/>
        </w:rPr>
      </w:pPr>
    </w:p>
    <w:p>
      <w:pPr>
        <w:ind w:left="460" w:right="479"/>
        <w:spacing w:after="0" w:line="244" w:lineRule="auto"/>
        <w:rPr>
          <w:sz w:val="20"/>
          <w:szCs w:val="20"/>
          <w:color w:val="auto"/>
        </w:rPr>
      </w:pPr>
      <w:r>
        <w:rPr>
          <w:rFonts w:ascii="Arial" w:cs="Arial" w:eastAsia="Arial" w:hAnsi="Arial"/>
          <w:sz w:val="14"/>
          <w:szCs w:val="14"/>
          <w:color w:val="auto"/>
        </w:rPr>
        <w:t>Our sponsor, FS Development Holdings, LLC has committed to purchase 400,000 shares of Class A common stock (or 430,000 shares of Class A common stock if the underwriters’ over-allotment option is exercised in full), at a price of $10.00 per share in a private placement for an aggregate purchase price of $4,000,000 (or $4,300,000 if the over-allotment option is exercised in full) that will close simultaneously with the closing of this offering. These shares of Class A common stock, which we refer to as the private placement shares, are identical to the shares of Class A common stock sold in this offering, subject to certain limited exceptions as described in this prospectus.</w:t>
      </w:r>
    </w:p>
    <w:p>
      <w:pPr>
        <w:spacing w:after="0" w:line="44" w:lineRule="exact"/>
        <w:rPr>
          <w:sz w:val="20"/>
          <w:szCs w:val="20"/>
          <w:color w:val="auto"/>
        </w:rPr>
      </w:pPr>
    </w:p>
    <w:p>
      <w:pPr>
        <w:ind w:left="460" w:right="639"/>
        <w:spacing w:after="0" w:line="243" w:lineRule="auto"/>
        <w:rPr>
          <w:sz w:val="20"/>
          <w:szCs w:val="20"/>
          <w:color w:val="auto"/>
        </w:rPr>
      </w:pPr>
      <w:r>
        <w:rPr>
          <w:rFonts w:ascii="Arial" w:cs="Arial" w:eastAsia="Arial" w:hAnsi="Arial"/>
          <w:sz w:val="14"/>
          <w:szCs w:val="14"/>
          <w:color w:val="auto"/>
        </w:rPr>
        <w:t>Our sponsor has indicated an interest to purchase an aggregate of $25,000,000 of shares of our Class A common stock in a private placement that would occur concurrently with the consummation of our initial business combination. The capital from such private placement would be used as part of the consideration to the sellers in our initial business combination, and any excess capital from such private placement would be used for working capital in the post-transaction company. However, because indications of interest are not binding agreements or commitments to purchase, our sponsor may determine not to purchase any such shares, or to purchase fewer shares than it has indicated an interest in purchasing. We are not under any obligation to sell any such shares. Such investment would be made on terms and conditions determined at the time of the business combination.</w:t>
      </w:r>
    </w:p>
    <w:p>
      <w:pPr>
        <w:spacing w:after="0" w:line="46" w:lineRule="exact"/>
        <w:rPr>
          <w:sz w:val="20"/>
          <w:szCs w:val="20"/>
          <w:color w:val="auto"/>
        </w:rPr>
      </w:pPr>
    </w:p>
    <w:p>
      <w:pPr>
        <w:ind w:left="460" w:right="479"/>
        <w:spacing w:after="0" w:line="247" w:lineRule="auto"/>
        <w:rPr>
          <w:sz w:val="20"/>
          <w:szCs w:val="20"/>
          <w:color w:val="auto"/>
        </w:rPr>
      </w:pPr>
      <w:r>
        <w:rPr>
          <w:rFonts w:ascii="Arial" w:cs="Arial" w:eastAsia="Arial" w:hAnsi="Arial"/>
          <w:sz w:val="14"/>
          <w:szCs w:val="14"/>
          <w:color w:val="auto"/>
        </w:rPr>
        <w:t>Our initial stockholders currently own an aggregate of 2,875,000 shares of Class B common stock (up to 375,000 shares of which are subject to forfeiture by our sponsor depending on the extent to which the underwriters’ over-allotment option is exercised), which will automatically convert into shares of Class A common stock concurrently with or immediately following the consummation of our initial business combination on a one-for-one basis, subject to the adjustments described herein.</w:t>
      </w:r>
    </w:p>
    <w:p>
      <w:pPr>
        <w:spacing w:after="0" w:line="39" w:lineRule="exact"/>
        <w:rPr>
          <w:sz w:val="20"/>
          <w:szCs w:val="20"/>
          <w:color w:val="auto"/>
        </w:rPr>
      </w:pPr>
    </w:p>
    <w:p>
      <w:pPr>
        <w:jc w:val="both"/>
        <w:ind w:left="460" w:right="599"/>
        <w:spacing w:after="0" w:line="249" w:lineRule="auto"/>
        <w:rPr>
          <w:sz w:val="20"/>
          <w:szCs w:val="20"/>
          <w:color w:val="auto"/>
        </w:rPr>
      </w:pPr>
      <w:r>
        <w:rPr>
          <w:rFonts w:ascii="Arial" w:cs="Arial" w:eastAsia="Arial" w:hAnsi="Arial"/>
          <w:sz w:val="14"/>
          <w:szCs w:val="14"/>
          <w:color w:val="auto"/>
        </w:rPr>
        <w:t>Currently, there is no public market for our Class A common stock. We have applied to have our Class A common stock listed on Nasdaq Capital Market, or Nasdaq, under the symbol “FSDC” on or promptly after the date of this prospectus. We cannot guarantee that our Class A common stock will be approved for listing on Nasdaq.</w:t>
      </w:r>
    </w:p>
    <w:p>
      <w:pPr>
        <w:spacing w:after="0" w:line="21" w:lineRule="exact"/>
        <w:rPr>
          <w:sz w:val="20"/>
          <w:szCs w:val="20"/>
          <w:color w:val="auto"/>
        </w:rPr>
      </w:pPr>
    </w:p>
    <w:p>
      <w:pPr>
        <w:ind w:left="460" w:right="599"/>
        <w:spacing w:after="0" w:line="252" w:lineRule="auto"/>
        <w:rPr>
          <w:sz w:val="20"/>
          <w:szCs w:val="20"/>
          <w:color w:val="auto"/>
        </w:rPr>
      </w:pPr>
      <w:r>
        <w:rPr>
          <w:rFonts w:ascii="Arial" w:cs="Arial" w:eastAsia="Arial" w:hAnsi="Arial"/>
          <w:sz w:val="14"/>
          <w:szCs w:val="14"/>
          <w:b w:val="1"/>
          <w:bCs w:val="1"/>
          <w:color w:val="auto"/>
        </w:rPr>
        <w:t>We are an “emerging growth company” and “small reporting company” under applicable federal securities laws and will be subject to reduced public company reporting requirements. Investing in our securities involves a high degree of risk. See “</w:t>
      </w:r>
      <w:r>
        <w:rPr>
          <w:rFonts w:ascii="Arial" w:cs="Arial" w:eastAsia="Arial" w:hAnsi="Arial"/>
          <w:sz w:val="14"/>
          <w:szCs w:val="14"/>
          <w:b w:val="1"/>
          <w:bCs w:val="1"/>
          <w:u w:val="single" w:color="auto"/>
          <w:color w:val="auto"/>
        </w:rPr>
        <w:t>Risk Factors</w:t>
      </w:r>
      <w:r>
        <w:rPr>
          <w:rFonts w:ascii="Arial" w:cs="Arial" w:eastAsia="Arial" w:hAnsi="Arial"/>
          <w:sz w:val="14"/>
          <w:szCs w:val="14"/>
          <w:b w:val="1"/>
          <w:bCs w:val="1"/>
          <w:color w:val="auto"/>
        </w:rPr>
        <w:t>” beginning on page 25 for a discussion of information that should be considered in connection with an investment in our securities. Investors will not be entitled to protections normally afforded to investors in Rule 419 blank check offerings.</w:t>
      </w:r>
    </w:p>
    <w:p>
      <w:pPr>
        <w:spacing w:after="0" w:line="19" w:lineRule="exact"/>
        <w:rPr>
          <w:sz w:val="20"/>
          <w:szCs w:val="20"/>
          <w:color w:val="auto"/>
        </w:rPr>
      </w:pPr>
    </w:p>
    <w:p>
      <w:pPr>
        <w:ind w:left="460" w:right="779"/>
        <w:spacing w:after="0" w:line="263" w:lineRule="auto"/>
        <w:rPr>
          <w:sz w:val="20"/>
          <w:szCs w:val="20"/>
          <w:color w:val="auto"/>
        </w:rPr>
      </w:pPr>
      <w:r>
        <w:rPr>
          <w:rFonts w:ascii="Arial" w:cs="Arial" w:eastAsia="Arial" w:hAnsi="Arial"/>
          <w:sz w:val="14"/>
          <w:szCs w:val="14"/>
          <w:b w:val="1"/>
          <w:bCs w:val="1"/>
          <w:color w:val="auto"/>
        </w:rPr>
        <w:t>Neither the U.S.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92075</wp:posOffset>
            </wp:positionV>
            <wp:extent cx="5143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25" w:lineRule="exact"/>
        <w:rPr>
          <w:sz w:val="20"/>
          <w:szCs w:val="20"/>
          <w:color w:val="auto"/>
        </w:rPr>
      </w:pPr>
    </w:p>
    <w:tbl>
      <w:tblPr>
        <w:tblLayout w:type="fixed"/>
        <w:tblInd w:w="860" w:type="dxa"/>
        <w:tblCellMar>
          <w:top w:w="0" w:type="dxa"/>
          <w:left w:w="0" w:type="dxa"/>
          <w:bottom w:w="0" w:type="dxa"/>
          <w:right w:w="0" w:type="dxa"/>
        </w:tblCellMar>
      </w:tblPr>
      <w:tr>
        <w:trPr>
          <w:trHeight w:val="168"/>
        </w:trPr>
        <w:tc>
          <w:tcPr>
            <w:tcW w:w="5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97"/>
              </w:rPr>
              <w:t>PER SHARE</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310"/>
              <w:spacing w:after="0"/>
              <w:rPr>
                <w:sz w:val="20"/>
                <w:szCs w:val="20"/>
                <w:color w:val="auto"/>
              </w:rPr>
            </w:pPr>
            <w:r>
              <w:rPr>
                <w:rFonts w:ascii="Arial" w:cs="Arial" w:eastAsia="Arial" w:hAnsi="Arial"/>
                <w:sz w:val="13"/>
                <w:szCs w:val="13"/>
                <w:b w:val="1"/>
                <w:bCs w:val="1"/>
                <w:color w:val="auto"/>
              </w:rPr>
              <w:t>TOTAL</w:t>
            </w:r>
          </w:p>
        </w:tc>
      </w:tr>
      <w:tr>
        <w:trPr>
          <w:trHeight w:val="30"/>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5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Public offering price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10.00</w:t>
            </w:r>
          </w:p>
        </w:tc>
        <w:tc>
          <w:tcPr>
            <w:tcW w:w="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100,000,000</w:t>
            </w:r>
          </w:p>
        </w:tc>
      </w:tr>
      <w:tr>
        <w:trPr>
          <w:trHeight w:val="275"/>
        </w:trPr>
        <w:tc>
          <w:tcPr>
            <w:tcW w:w="5380" w:type="dxa"/>
            <w:vAlign w:val="bottom"/>
          </w:tcPr>
          <w:p>
            <w:pPr>
              <w:spacing w:after="0"/>
              <w:rPr>
                <w:sz w:val="20"/>
                <w:szCs w:val="20"/>
                <w:color w:val="auto"/>
              </w:rPr>
            </w:pPr>
            <w:r>
              <w:rPr>
                <w:rFonts w:ascii="Arial" w:cs="Arial" w:eastAsia="Arial" w:hAnsi="Arial"/>
                <w:sz w:val="14"/>
                <w:szCs w:val="14"/>
                <w:color w:val="auto"/>
              </w:rPr>
              <w:t>Underwriting discounts and commissions</w:t>
            </w:r>
            <w:r>
              <w:rPr>
                <w:rFonts w:ascii="Arial" w:cs="Arial" w:eastAsia="Arial" w:hAnsi="Arial"/>
                <w:sz w:val="14"/>
                <w:szCs w:val="14"/>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0.55</w:t>
            </w:r>
          </w:p>
        </w:tc>
        <w:tc>
          <w:tcPr>
            <w:tcW w:w="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5,500,000</w:t>
            </w:r>
          </w:p>
        </w:tc>
      </w:tr>
      <w:tr>
        <w:trPr>
          <w:trHeight w:val="267"/>
        </w:trPr>
        <w:tc>
          <w:tcPr>
            <w:tcW w:w="5380" w:type="dxa"/>
            <w:vAlign w:val="bottom"/>
            <w:shd w:val="clear" w:color="auto" w:fill="CCEEFF"/>
          </w:tcPr>
          <w:p>
            <w:pPr>
              <w:spacing w:after="0"/>
              <w:rPr>
                <w:sz w:val="20"/>
                <w:szCs w:val="20"/>
                <w:color w:val="auto"/>
              </w:rPr>
            </w:pPr>
            <w:r>
              <w:rPr>
                <w:rFonts w:ascii="Arial" w:cs="Arial" w:eastAsia="Arial" w:hAnsi="Arial"/>
                <w:sz w:val="14"/>
                <w:szCs w:val="14"/>
                <w:color w:val="auto"/>
              </w:rPr>
              <w:t>Proceeds, before expenses, to us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9.45</w:t>
            </w: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94,500,000</w:t>
            </w:r>
          </w:p>
        </w:tc>
      </w:tr>
      <w:tr>
        <w:trPr>
          <w:trHeight w:val="25"/>
        </w:trPr>
        <w:tc>
          <w:tcPr>
            <w:tcW w:w="5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183" w:lineRule="exact"/>
        <w:rPr>
          <w:sz w:val="20"/>
          <w:szCs w:val="20"/>
          <w:color w:val="auto"/>
        </w:rPr>
      </w:pPr>
    </w:p>
    <w:p>
      <w:pPr>
        <w:ind w:left="880" w:right="539" w:hanging="426"/>
        <w:spacing w:after="0"/>
        <w:tabs>
          <w:tab w:leader="none" w:pos="812" w:val="left"/>
        </w:tabs>
        <w:numPr>
          <w:ilvl w:val="0"/>
          <w:numId w:val="2"/>
        </w:numPr>
        <w:rPr>
          <w:rFonts w:ascii="Arial" w:cs="Arial" w:eastAsia="Arial" w:hAnsi="Arial"/>
          <w:sz w:val="12"/>
          <w:szCs w:val="12"/>
          <w:color w:val="auto"/>
        </w:rPr>
      </w:pPr>
      <w:r>
        <w:rPr>
          <w:rFonts w:ascii="Arial" w:cs="Arial" w:eastAsia="Arial" w:hAnsi="Arial"/>
          <w:sz w:val="12"/>
          <w:szCs w:val="12"/>
          <w:color w:val="auto"/>
        </w:rPr>
        <w:t>$0.20 per share, or $2,000,000 in the aggregate (or $2,300,000 if the underwriters’ over-allotment option is exercised in full), is payable upon the closing of this offering. Includes $0.35 per share, or $3,500,000 in the aggregate (or up to $4,025,000 in the aggregate if the underwriters’ over-allotment option is exercised in full) payable to the underwriters for deferred underwriting commissions to be placed in a trust account located in the United States and released to the underwriters only upon the completion of an initial business combination. See also “Underwriting” for a description of compensation and other items of value payable to the underwriters.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114300</wp:posOffset>
            </wp:positionV>
            <wp:extent cx="5143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354" w:lineRule="exact"/>
        <w:rPr>
          <w:sz w:val="20"/>
          <w:szCs w:val="20"/>
          <w:color w:val="auto"/>
        </w:rPr>
      </w:pPr>
    </w:p>
    <w:p>
      <w:pPr>
        <w:jc w:val="both"/>
        <w:ind w:left="460" w:right="479"/>
        <w:spacing w:after="0" w:line="244" w:lineRule="auto"/>
        <w:rPr>
          <w:sz w:val="20"/>
          <w:szCs w:val="20"/>
          <w:color w:val="auto"/>
        </w:rPr>
      </w:pPr>
      <w:r>
        <w:rPr>
          <w:rFonts w:ascii="Arial" w:cs="Arial" w:eastAsia="Arial" w:hAnsi="Arial"/>
          <w:sz w:val="14"/>
          <w:szCs w:val="14"/>
          <w:color w:val="auto"/>
        </w:rPr>
        <w:t>Of the proceeds we receive from this offering and the sale of the private placement shares described in this prospectus, $100 million, or $115 million if the underwriters’ over-allotment option is exercised in full ($10.00 per public share in either case), will be deposited into a trust account in the United States with Continental Stock Transfer &amp; Trust Company acting as trustee, after deducting $2,000,000 in underwriting discounts and commissions payable upon the closing of this offering (or $2,300,000 if the underwriters’ over-allotment option is exercised in full) and an aggregate of $2.0 million to pay fees and expenses in connection with the closing of this offering and for working capital following the closing of this offering.</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underwriters are offering the shares of our Class A common stock for sale on a firm commitment basis. The underwriters</w:t>
      </w:r>
    </w:p>
    <w:p>
      <w:pPr>
        <w:spacing w:after="0" w:line="1" w:lineRule="exact"/>
        <w:rPr>
          <w:sz w:val="20"/>
          <w:szCs w:val="20"/>
          <w:color w:val="auto"/>
        </w:rPr>
      </w:pPr>
    </w:p>
    <w:tbl>
      <w:tblPr>
        <w:tblLayout w:type="fixed"/>
        <w:tblInd w:w="2260" w:type="dxa"/>
        <w:tblCellMar>
          <w:top w:w="0" w:type="dxa"/>
          <w:left w:w="0" w:type="dxa"/>
          <w:bottom w:w="0" w:type="dxa"/>
          <w:right w:w="0" w:type="dxa"/>
        </w:tblCellMar>
      </w:tblPr>
      <w:tr>
        <w:trPr>
          <w:trHeight w:val="172"/>
        </w:trPr>
        <w:tc>
          <w:tcPr>
            <w:tcW w:w="3860" w:type="dxa"/>
            <w:vAlign w:val="bottom"/>
          </w:tcPr>
          <w:p>
            <w:pPr>
              <w:spacing w:after="0"/>
              <w:rPr>
                <w:sz w:val="20"/>
                <w:szCs w:val="20"/>
                <w:color w:val="auto"/>
              </w:rPr>
            </w:pPr>
            <w:r>
              <w:rPr>
                <w:rFonts w:ascii="Arial" w:cs="Arial" w:eastAsia="Arial" w:hAnsi="Arial"/>
                <w:sz w:val="14"/>
                <w:szCs w:val="14"/>
                <w:color w:val="auto"/>
              </w:rPr>
              <w:t>expect to deliver the shares to the purchasers on or about</w:t>
            </w:r>
          </w:p>
        </w:tc>
        <w:tc>
          <w:tcPr>
            <w:tcW w:w="620" w:type="dxa"/>
            <w:vAlign w:val="bottom"/>
          </w:tcPr>
          <w:p>
            <w:pPr>
              <w:jc w:val="right"/>
              <w:spacing w:after="0"/>
              <w:rPr>
                <w:sz w:val="20"/>
                <w:szCs w:val="20"/>
                <w:color w:val="auto"/>
              </w:rPr>
            </w:pPr>
            <w:r>
              <w:rPr>
                <w:rFonts w:ascii="Arial" w:cs="Arial" w:eastAsia="Arial" w:hAnsi="Arial"/>
                <w:sz w:val="14"/>
                <w:szCs w:val="14"/>
                <w:color w:val="auto"/>
              </w:rPr>
              <w:t>, 2020.</w:t>
            </w:r>
          </w:p>
        </w:tc>
      </w:tr>
    </w:tbl>
    <w:p>
      <w:pPr>
        <w:jc w:val="center"/>
        <w:spacing w:after="0"/>
        <w:rPr>
          <w:sz w:val="20"/>
          <w:szCs w:val="20"/>
          <w:color w:val="auto"/>
        </w:rPr>
      </w:pPr>
      <w:r>
        <w:rPr>
          <w:rFonts w:ascii="Arial" w:cs="Arial" w:eastAsia="Arial" w:hAnsi="Arial"/>
          <w:sz w:val="29"/>
          <w:szCs w:val="29"/>
          <w:b w:val="1"/>
          <w:bCs w:val="1"/>
          <w:color w:val="auto"/>
        </w:rPr>
        <w:t>Jefferies</w:t>
      </w:r>
    </w:p>
    <w:p>
      <w:pPr>
        <w:spacing w:after="0" w:line="150"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237490</wp:posOffset>
            </wp:positionV>
            <wp:extent cx="51435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93" w:right="1440" w:bottom="511"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62"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7600" w:type="dxa"/>
            <w:vAlign w:val="bottom"/>
          </w:tcPr>
          <w:p>
            <w:pPr>
              <w:spacing w:after="0"/>
              <w:rPr>
                <w:sz w:val="16"/>
                <w:szCs w:val="16"/>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rPr>
              <w:t>Page</w:t>
            </w:r>
          </w:p>
        </w:tc>
      </w:tr>
      <w:tr>
        <w:trPr>
          <w:trHeight w:val="26"/>
        </w:trPr>
        <w:tc>
          <w:tcPr>
            <w:tcW w:w="76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43"/>
        </w:trPr>
        <w:tc>
          <w:tcPr>
            <w:tcW w:w="76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Summary</w:t>
              </w:r>
            </w:hyperlink>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r>
      <w:tr>
        <w:trPr>
          <w:trHeight w:val="257"/>
        </w:trPr>
        <w:tc>
          <w:tcPr>
            <w:tcW w:w="7600" w:type="dxa"/>
            <w:vAlign w:val="bottom"/>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Summary Financial Data</w:t>
              </w:r>
            </w:hyperlink>
          </w:p>
        </w:tc>
        <w:tc>
          <w:tcPr>
            <w:tcW w:w="500" w:type="dxa"/>
            <w:vAlign w:val="bottom"/>
          </w:tcPr>
          <w:p>
            <w:pPr>
              <w:jc w:val="center"/>
              <w:spacing w:after="0"/>
              <w:rPr>
                <w:sz w:val="20"/>
                <w:szCs w:val="20"/>
                <w:color w:val="auto"/>
              </w:rPr>
            </w:pPr>
            <w:r>
              <w:rPr>
                <w:rFonts w:ascii="Arial" w:cs="Arial" w:eastAsia="Arial" w:hAnsi="Arial"/>
                <w:sz w:val="18"/>
                <w:szCs w:val="18"/>
                <w:color w:val="auto"/>
                <w:w w:val="99"/>
              </w:rPr>
              <w:t>24</w:t>
            </w:r>
          </w:p>
        </w:tc>
      </w:tr>
      <w:tr>
        <w:trPr>
          <w:trHeight w:val="27"/>
        </w:trPr>
        <w:tc>
          <w:tcPr>
            <w:tcW w:w="76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63"/>
        </w:trPr>
        <w:tc>
          <w:tcPr>
            <w:tcW w:w="76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Risk Factors</w:t>
              </w:r>
            </w:hyperlink>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25</w:t>
            </w:r>
          </w:p>
        </w:tc>
      </w:tr>
      <w:tr>
        <w:trPr>
          <w:trHeight w:val="257"/>
        </w:trPr>
        <w:tc>
          <w:tcPr>
            <w:tcW w:w="7600" w:type="dxa"/>
            <w:vAlign w:val="bottom"/>
          </w:tcPr>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Cautionary Note Regarding Forward-Looking Statements</w:t>
              </w:r>
            </w:hyperlink>
          </w:p>
        </w:tc>
        <w:tc>
          <w:tcPr>
            <w:tcW w:w="500" w:type="dxa"/>
            <w:vAlign w:val="bottom"/>
          </w:tcPr>
          <w:p>
            <w:pPr>
              <w:jc w:val="center"/>
              <w:spacing w:after="0"/>
              <w:rPr>
                <w:sz w:val="20"/>
                <w:szCs w:val="20"/>
                <w:color w:val="auto"/>
              </w:rPr>
            </w:pPr>
            <w:r>
              <w:rPr>
                <w:rFonts w:ascii="Arial" w:cs="Arial" w:eastAsia="Arial" w:hAnsi="Arial"/>
                <w:sz w:val="18"/>
                <w:szCs w:val="18"/>
                <w:color w:val="auto"/>
                <w:w w:val="99"/>
              </w:rPr>
              <w:t>52</w:t>
            </w:r>
          </w:p>
        </w:tc>
      </w:tr>
      <w:tr>
        <w:trPr>
          <w:trHeight w:val="27"/>
        </w:trPr>
        <w:tc>
          <w:tcPr>
            <w:tcW w:w="76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63"/>
        </w:trPr>
        <w:tc>
          <w:tcPr>
            <w:tcW w:w="76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Use of Proceeds</w:t>
              </w:r>
            </w:hyperlink>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53</w:t>
            </w:r>
          </w:p>
        </w:tc>
      </w:tr>
      <w:tr>
        <w:trPr>
          <w:trHeight w:val="257"/>
        </w:trPr>
        <w:tc>
          <w:tcPr>
            <w:tcW w:w="7600" w:type="dxa"/>
            <w:vAlign w:val="bottom"/>
          </w:tcPr>
          <w:p>
            <w:pPr>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Dividend Policy</w:t>
              </w:r>
            </w:hyperlink>
          </w:p>
        </w:tc>
        <w:tc>
          <w:tcPr>
            <w:tcW w:w="500" w:type="dxa"/>
            <w:vAlign w:val="bottom"/>
          </w:tcPr>
          <w:p>
            <w:pPr>
              <w:jc w:val="center"/>
              <w:spacing w:after="0"/>
              <w:rPr>
                <w:sz w:val="20"/>
                <w:szCs w:val="20"/>
                <w:color w:val="auto"/>
              </w:rPr>
            </w:pPr>
            <w:r>
              <w:rPr>
                <w:rFonts w:ascii="Arial" w:cs="Arial" w:eastAsia="Arial" w:hAnsi="Arial"/>
                <w:sz w:val="18"/>
                <w:szCs w:val="18"/>
                <w:color w:val="auto"/>
                <w:w w:val="99"/>
              </w:rPr>
              <w:t>56</w:t>
            </w:r>
          </w:p>
        </w:tc>
      </w:tr>
      <w:tr>
        <w:trPr>
          <w:trHeight w:val="27"/>
        </w:trPr>
        <w:tc>
          <w:tcPr>
            <w:tcW w:w="76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64"/>
        </w:trPr>
        <w:tc>
          <w:tcPr>
            <w:tcW w:w="76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Dilution</w:t>
              </w:r>
            </w:hyperlink>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57</w:t>
            </w:r>
          </w:p>
        </w:tc>
      </w:tr>
      <w:tr>
        <w:trPr>
          <w:trHeight w:val="257"/>
        </w:trPr>
        <w:tc>
          <w:tcPr>
            <w:tcW w:w="7600" w:type="dxa"/>
            <w:vAlign w:val="bottom"/>
          </w:tcPr>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Capitalization</w:t>
              </w:r>
            </w:hyperlink>
          </w:p>
        </w:tc>
        <w:tc>
          <w:tcPr>
            <w:tcW w:w="500" w:type="dxa"/>
            <w:vAlign w:val="bottom"/>
          </w:tcPr>
          <w:p>
            <w:pPr>
              <w:jc w:val="center"/>
              <w:spacing w:after="0"/>
              <w:rPr>
                <w:sz w:val="20"/>
                <w:szCs w:val="20"/>
                <w:color w:val="auto"/>
              </w:rPr>
            </w:pPr>
            <w:r>
              <w:rPr>
                <w:rFonts w:ascii="Arial" w:cs="Arial" w:eastAsia="Arial" w:hAnsi="Arial"/>
                <w:sz w:val="18"/>
                <w:szCs w:val="18"/>
                <w:color w:val="auto"/>
                <w:w w:val="99"/>
              </w:rPr>
              <w:t>59</w:t>
            </w:r>
          </w:p>
        </w:tc>
      </w:tr>
      <w:tr>
        <w:trPr>
          <w:trHeight w:val="27"/>
        </w:trPr>
        <w:tc>
          <w:tcPr>
            <w:tcW w:w="76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63"/>
        </w:trPr>
        <w:tc>
          <w:tcPr>
            <w:tcW w:w="76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Management’s Discussion and Analysis of Financial Condition and Results of Operations</w:t>
              </w:r>
            </w:hyperlink>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60</w:t>
            </w:r>
          </w:p>
        </w:tc>
      </w:tr>
      <w:tr>
        <w:trPr>
          <w:trHeight w:val="257"/>
        </w:trPr>
        <w:tc>
          <w:tcPr>
            <w:tcW w:w="7600" w:type="dxa"/>
            <w:vAlign w:val="bottom"/>
          </w:tcPr>
          <w:p>
            <w:pPr>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Proposed Business</w:t>
              </w:r>
            </w:hyperlink>
          </w:p>
        </w:tc>
        <w:tc>
          <w:tcPr>
            <w:tcW w:w="500" w:type="dxa"/>
            <w:vAlign w:val="bottom"/>
          </w:tcPr>
          <w:p>
            <w:pPr>
              <w:jc w:val="center"/>
              <w:spacing w:after="0"/>
              <w:rPr>
                <w:sz w:val="20"/>
                <w:szCs w:val="20"/>
                <w:color w:val="auto"/>
              </w:rPr>
            </w:pPr>
            <w:r>
              <w:rPr>
                <w:rFonts w:ascii="Arial" w:cs="Arial" w:eastAsia="Arial" w:hAnsi="Arial"/>
                <w:sz w:val="18"/>
                <w:szCs w:val="18"/>
                <w:color w:val="auto"/>
                <w:w w:val="99"/>
              </w:rPr>
              <w:t>65</w:t>
            </w:r>
          </w:p>
        </w:tc>
      </w:tr>
      <w:tr>
        <w:trPr>
          <w:trHeight w:val="27"/>
        </w:trPr>
        <w:tc>
          <w:tcPr>
            <w:tcW w:w="76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63"/>
        </w:trPr>
        <w:tc>
          <w:tcPr>
            <w:tcW w:w="76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Management</w:t>
              </w:r>
            </w:hyperlink>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89</w:t>
            </w:r>
          </w:p>
        </w:tc>
      </w:tr>
      <w:tr>
        <w:trPr>
          <w:trHeight w:val="257"/>
        </w:trPr>
        <w:tc>
          <w:tcPr>
            <w:tcW w:w="7600" w:type="dxa"/>
            <w:vAlign w:val="bottom"/>
          </w:tcPr>
          <w:p>
            <w:pPr>
              <w:spacing w:after="0"/>
              <w:rPr>
                <w:rFonts w:ascii="Arial" w:cs="Arial" w:eastAsia="Arial" w:hAnsi="Arial"/>
                <w:sz w:val="18"/>
                <w:szCs w:val="18"/>
                <w:u w:val="single" w:color="auto"/>
                <w:color w:val="0000EE"/>
              </w:rPr>
            </w:pPr>
            <w:hyperlink w:anchor="page101">
              <w:r>
                <w:rPr>
                  <w:rFonts w:ascii="Arial" w:cs="Arial" w:eastAsia="Arial" w:hAnsi="Arial"/>
                  <w:sz w:val="18"/>
                  <w:szCs w:val="18"/>
                  <w:u w:val="single" w:color="auto"/>
                  <w:color w:val="0000EE"/>
                </w:rPr>
                <w:t>Principal Stockholders</w:t>
              </w:r>
            </w:hyperlink>
          </w:p>
        </w:tc>
        <w:tc>
          <w:tcPr>
            <w:tcW w:w="500" w:type="dxa"/>
            <w:vAlign w:val="bottom"/>
          </w:tcPr>
          <w:p>
            <w:pPr>
              <w:jc w:val="center"/>
              <w:spacing w:after="0"/>
              <w:rPr>
                <w:sz w:val="20"/>
                <w:szCs w:val="20"/>
                <w:color w:val="auto"/>
              </w:rPr>
            </w:pPr>
            <w:r>
              <w:rPr>
                <w:rFonts w:ascii="Arial" w:cs="Arial" w:eastAsia="Arial" w:hAnsi="Arial"/>
                <w:sz w:val="18"/>
                <w:szCs w:val="18"/>
                <w:color w:val="auto"/>
                <w:w w:val="99"/>
              </w:rPr>
              <w:t>97</w:t>
            </w:r>
          </w:p>
        </w:tc>
      </w:tr>
      <w:tr>
        <w:trPr>
          <w:trHeight w:val="27"/>
        </w:trPr>
        <w:tc>
          <w:tcPr>
            <w:tcW w:w="76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64"/>
        </w:trPr>
        <w:tc>
          <w:tcPr>
            <w:tcW w:w="76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03">
              <w:r>
                <w:rPr>
                  <w:rFonts w:ascii="Arial" w:cs="Arial" w:eastAsia="Arial" w:hAnsi="Arial"/>
                  <w:sz w:val="18"/>
                  <w:szCs w:val="18"/>
                  <w:u w:val="single" w:color="auto"/>
                  <w:color w:val="0000EE"/>
                </w:rPr>
                <w:t>Certain Relationships and Related Party Transactions</w:t>
              </w:r>
            </w:hyperlink>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99</w:t>
            </w:r>
          </w:p>
        </w:tc>
      </w:tr>
      <w:tr>
        <w:trPr>
          <w:trHeight w:val="257"/>
        </w:trPr>
        <w:tc>
          <w:tcPr>
            <w:tcW w:w="7600" w:type="dxa"/>
            <w:vAlign w:val="bottom"/>
          </w:tcPr>
          <w:p>
            <w:pPr>
              <w:spacing w:after="0"/>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Description of Shares</w:t>
              </w:r>
            </w:hyperlink>
          </w:p>
        </w:tc>
        <w:tc>
          <w:tcPr>
            <w:tcW w:w="500" w:type="dxa"/>
            <w:vAlign w:val="bottom"/>
          </w:tcPr>
          <w:p>
            <w:pPr>
              <w:jc w:val="center"/>
              <w:spacing w:after="0"/>
              <w:rPr>
                <w:sz w:val="20"/>
                <w:szCs w:val="20"/>
                <w:color w:val="auto"/>
              </w:rPr>
            </w:pPr>
            <w:r>
              <w:rPr>
                <w:rFonts w:ascii="Arial" w:cs="Arial" w:eastAsia="Arial" w:hAnsi="Arial"/>
                <w:sz w:val="18"/>
                <w:szCs w:val="18"/>
                <w:color w:val="auto"/>
                <w:w w:val="99"/>
              </w:rPr>
              <w:t>101</w:t>
            </w:r>
          </w:p>
        </w:tc>
      </w:tr>
      <w:tr>
        <w:trPr>
          <w:trHeight w:val="27"/>
        </w:trPr>
        <w:tc>
          <w:tcPr>
            <w:tcW w:w="76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63"/>
        </w:trPr>
        <w:tc>
          <w:tcPr>
            <w:tcW w:w="76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14">
              <w:r>
                <w:rPr>
                  <w:rFonts w:ascii="Arial" w:cs="Arial" w:eastAsia="Arial" w:hAnsi="Arial"/>
                  <w:sz w:val="18"/>
                  <w:szCs w:val="18"/>
                  <w:u w:val="single" w:color="auto"/>
                  <w:color w:val="0000EE"/>
                </w:rPr>
                <w:t>U.S. Federal Income Tax Considerations</w:t>
              </w:r>
            </w:hyperlink>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110</w:t>
            </w:r>
          </w:p>
        </w:tc>
      </w:tr>
      <w:tr>
        <w:trPr>
          <w:trHeight w:val="257"/>
        </w:trPr>
        <w:tc>
          <w:tcPr>
            <w:tcW w:w="7600" w:type="dxa"/>
            <w:vAlign w:val="bottom"/>
          </w:tcPr>
          <w:p>
            <w:pPr>
              <w:spacing w:after="0"/>
              <w:rPr>
                <w:rFonts w:ascii="Arial" w:cs="Arial" w:eastAsia="Arial" w:hAnsi="Arial"/>
                <w:sz w:val="18"/>
                <w:szCs w:val="18"/>
                <w:u w:val="single" w:color="auto"/>
                <w:color w:val="0000EE"/>
              </w:rPr>
            </w:pPr>
            <w:hyperlink w:anchor="page120">
              <w:r>
                <w:rPr>
                  <w:rFonts w:ascii="Arial" w:cs="Arial" w:eastAsia="Arial" w:hAnsi="Arial"/>
                  <w:sz w:val="18"/>
                  <w:szCs w:val="18"/>
                  <w:u w:val="single" w:color="auto"/>
                  <w:color w:val="0000EE"/>
                </w:rPr>
                <w:t>Underwriting</w:t>
              </w:r>
            </w:hyperlink>
          </w:p>
        </w:tc>
        <w:tc>
          <w:tcPr>
            <w:tcW w:w="500" w:type="dxa"/>
            <w:vAlign w:val="bottom"/>
          </w:tcPr>
          <w:p>
            <w:pPr>
              <w:jc w:val="center"/>
              <w:spacing w:after="0"/>
              <w:rPr>
                <w:sz w:val="20"/>
                <w:szCs w:val="20"/>
                <w:color w:val="auto"/>
              </w:rPr>
            </w:pPr>
            <w:r>
              <w:rPr>
                <w:rFonts w:ascii="Arial" w:cs="Arial" w:eastAsia="Arial" w:hAnsi="Arial"/>
                <w:sz w:val="18"/>
                <w:szCs w:val="18"/>
                <w:color w:val="auto"/>
                <w:w w:val="99"/>
              </w:rPr>
              <w:t>116</w:t>
            </w:r>
          </w:p>
        </w:tc>
      </w:tr>
      <w:tr>
        <w:trPr>
          <w:trHeight w:val="27"/>
        </w:trPr>
        <w:tc>
          <w:tcPr>
            <w:tcW w:w="76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63"/>
        </w:trPr>
        <w:tc>
          <w:tcPr>
            <w:tcW w:w="76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28">
              <w:r>
                <w:rPr>
                  <w:rFonts w:ascii="Arial" w:cs="Arial" w:eastAsia="Arial" w:hAnsi="Arial"/>
                  <w:sz w:val="18"/>
                  <w:szCs w:val="18"/>
                  <w:u w:val="single" w:color="auto"/>
                  <w:color w:val="0000EE"/>
                </w:rPr>
                <w:t>Legal Matters</w:t>
              </w:r>
            </w:hyperlink>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124</w:t>
            </w:r>
          </w:p>
        </w:tc>
      </w:tr>
      <w:tr>
        <w:trPr>
          <w:trHeight w:val="257"/>
        </w:trPr>
        <w:tc>
          <w:tcPr>
            <w:tcW w:w="7600" w:type="dxa"/>
            <w:vAlign w:val="bottom"/>
          </w:tcPr>
          <w:p>
            <w:pPr>
              <w:spacing w:after="0"/>
              <w:rPr>
                <w:rFonts w:ascii="Arial" w:cs="Arial" w:eastAsia="Arial" w:hAnsi="Arial"/>
                <w:sz w:val="18"/>
                <w:szCs w:val="18"/>
                <w:u w:val="single" w:color="auto"/>
                <w:color w:val="0000EE"/>
              </w:rPr>
            </w:pPr>
            <w:hyperlink w:anchor="page128">
              <w:r>
                <w:rPr>
                  <w:rFonts w:ascii="Arial" w:cs="Arial" w:eastAsia="Arial" w:hAnsi="Arial"/>
                  <w:sz w:val="18"/>
                  <w:szCs w:val="18"/>
                  <w:u w:val="single" w:color="auto"/>
                  <w:color w:val="0000EE"/>
                </w:rPr>
                <w:t>Experts</w:t>
              </w:r>
            </w:hyperlink>
          </w:p>
        </w:tc>
        <w:tc>
          <w:tcPr>
            <w:tcW w:w="500" w:type="dxa"/>
            <w:vAlign w:val="bottom"/>
          </w:tcPr>
          <w:p>
            <w:pPr>
              <w:jc w:val="center"/>
              <w:spacing w:after="0"/>
              <w:rPr>
                <w:sz w:val="20"/>
                <w:szCs w:val="20"/>
                <w:color w:val="auto"/>
              </w:rPr>
            </w:pPr>
            <w:r>
              <w:rPr>
                <w:rFonts w:ascii="Arial" w:cs="Arial" w:eastAsia="Arial" w:hAnsi="Arial"/>
                <w:sz w:val="18"/>
                <w:szCs w:val="18"/>
                <w:color w:val="auto"/>
                <w:w w:val="99"/>
              </w:rPr>
              <w:t>124</w:t>
            </w:r>
          </w:p>
        </w:tc>
      </w:tr>
      <w:tr>
        <w:trPr>
          <w:trHeight w:val="27"/>
        </w:trPr>
        <w:tc>
          <w:tcPr>
            <w:tcW w:w="76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64"/>
        </w:trPr>
        <w:tc>
          <w:tcPr>
            <w:tcW w:w="76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28">
              <w:r>
                <w:rPr>
                  <w:rFonts w:ascii="Arial" w:cs="Arial" w:eastAsia="Arial" w:hAnsi="Arial"/>
                  <w:sz w:val="18"/>
                  <w:szCs w:val="18"/>
                  <w:u w:val="single" w:color="auto"/>
                  <w:color w:val="0000EE"/>
                </w:rPr>
                <w:t>Where You Can Find Additional Information</w:t>
              </w:r>
            </w:hyperlink>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124</w:t>
            </w:r>
          </w:p>
        </w:tc>
      </w:tr>
      <w:tr>
        <w:trPr>
          <w:trHeight w:val="256"/>
        </w:trPr>
        <w:tc>
          <w:tcPr>
            <w:tcW w:w="7600" w:type="dxa"/>
            <w:vAlign w:val="bottom"/>
          </w:tcPr>
          <w:p>
            <w:pPr>
              <w:spacing w:after="0"/>
              <w:rPr>
                <w:rFonts w:ascii="Arial" w:cs="Arial" w:eastAsia="Arial" w:hAnsi="Arial"/>
                <w:sz w:val="18"/>
                <w:szCs w:val="18"/>
                <w:u w:val="single" w:color="auto"/>
                <w:color w:val="0000EE"/>
              </w:rPr>
            </w:pPr>
            <w:hyperlink w:anchor="page129">
              <w:r>
                <w:rPr>
                  <w:rFonts w:ascii="Arial" w:cs="Arial" w:eastAsia="Arial" w:hAnsi="Arial"/>
                  <w:sz w:val="18"/>
                  <w:szCs w:val="18"/>
                  <w:u w:val="single" w:color="auto"/>
                  <w:color w:val="0000EE"/>
                </w:rPr>
                <w:t>Index to Financial Statements</w:t>
              </w:r>
            </w:hyperlink>
          </w:p>
        </w:tc>
        <w:tc>
          <w:tcPr>
            <w:tcW w:w="500" w:type="dxa"/>
            <w:vAlign w:val="bottom"/>
          </w:tcPr>
          <w:p>
            <w:pPr>
              <w:jc w:val="center"/>
              <w:spacing w:after="0"/>
              <w:rPr>
                <w:sz w:val="20"/>
                <w:szCs w:val="20"/>
                <w:color w:val="auto"/>
              </w:rPr>
            </w:pPr>
            <w:r>
              <w:rPr>
                <w:rFonts w:ascii="Arial" w:cs="Arial" w:eastAsia="Arial" w:hAnsi="Arial"/>
                <w:sz w:val="18"/>
                <w:szCs w:val="18"/>
                <w:color w:val="auto"/>
              </w:rPr>
              <w:t>F-1</w:t>
            </w:r>
          </w:p>
        </w:tc>
      </w:tr>
    </w:tbl>
    <w:p>
      <w:pPr>
        <w:spacing w:after="0" w:line="215"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We are responsible for the information contained in this prospectus. We have not, and the underwriters have not, authorized anyone to provide you with different information, and neither we nor the underwriters take responsibility for any other information others may give to you. We are not, and the underwriters are not, making an offer to sell securities in any jurisdiction where the offer or sale is not permitted. You should not assume that the information contained in this prospectus is accurate as of any date other than the date on the front of this prospectus.</w:t>
      </w:r>
    </w:p>
    <w:p>
      <w:pPr>
        <w:spacing w:after="0" w:line="124"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Until , 2020, all dealers that effect transactions in these securities, whether or not participating in this offering, may be required to deliver a prospectus. This is in addition to the dealer’s obligation to deliver a prospectus when acting as an underwriter and with respect to unsold allotments or subscriptions.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TRADEMARKS</w:t>
      </w:r>
    </w:p>
    <w:p>
      <w:pPr>
        <w:spacing w:after="0" w:line="166" w:lineRule="exact"/>
        <w:rPr>
          <w:sz w:val="20"/>
          <w:szCs w:val="20"/>
          <w:color w:val="auto"/>
        </w:rPr>
      </w:pPr>
    </w:p>
    <w:p>
      <w:pPr>
        <w:ind w:left="460" w:right="479"/>
        <w:spacing w:after="0" w:line="233" w:lineRule="auto"/>
        <w:rPr>
          <w:sz w:val="20"/>
          <w:szCs w:val="20"/>
          <w:color w:val="auto"/>
        </w:rPr>
      </w:pPr>
      <w:r>
        <w:rPr>
          <w:rFonts w:ascii="Arial" w:cs="Arial" w:eastAsia="Arial" w:hAnsi="Arial"/>
          <w:sz w:val="18"/>
          <w:szCs w:val="18"/>
          <w:color w:val="auto"/>
        </w:rPr>
        <w:t xml:space="preserve">This prospectus contains references to trademarks and service marks belonging to other entities. Solely for convenience, trademarks and trade names referred to in this prospectus may appear without the </w:t>
      </w:r>
      <w:r>
        <w:rPr>
          <w:rFonts w:ascii="Arial" w:cs="Arial" w:eastAsia="Arial" w:hAnsi="Arial"/>
          <w:sz w:val="20"/>
          <w:szCs w:val="20"/>
          <w:color w:val="auto"/>
          <w:vertAlign w:val="superscript"/>
        </w:rPr>
        <w:t>®</w:t>
      </w:r>
      <w:r>
        <w:rPr>
          <w:rFonts w:ascii="Arial" w:cs="Arial" w:eastAsia="Arial" w:hAnsi="Arial"/>
          <w:sz w:val="18"/>
          <w:szCs w:val="18"/>
          <w:color w:val="auto"/>
        </w:rPr>
        <w:t xml:space="preserve"> or ™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0772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7310" cy="8077200"/>
                    </a:xfrm>
                    <a:prstGeom prst="rect">
                      <a:avLst/>
                    </a:prstGeom>
                    <a:noFill/>
                  </pic:spPr>
                </pic:pic>
              </a:graphicData>
            </a:graphic>
          </wp:anchor>
        </w:drawing>
        <w:t>SUMMARY</w:t>
      </w:r>
    </w:p>
    <w:p>
      <w:pPr>
        <w:spacing w:after="0" w:line="135" w:lineRule="exact"/>
        <w:rPr>
          <w:sz w:val="20"/>
          <w:szCs w:val="20"/>
          <w:color w:val="auto"/>
        </w:rPr>
      </w:pPr>
    </w:p>
    <w:p>
      <w:pPr>
        <w:ind w:left="540" w:right="619"/>
        <w:spacing w:after="0" w:line="242" w:lineRule="auto"/>
        <w:rPr>
          <w:sz w:val="20"/>
          <w:szCs w:val="20"/>
          <w:color w:val="auto"/>
        </w:rPr>
      </w:pPr>
      <w:r>
        <w:rPr>
          <w:rFonts w:ascii="Arial" w:cs="Arial" w:eastAsia="Arial" w:hAnsi="Arial"/>
          <w:sz w:val="18"/>
          <w:szCs w:val="18"/>
          <w:i w:val="1"/>
          <w:iCs w:val="1"/>
          <w:color w:val="auto"/>
        </w:rPr>
        <w:t>This summary only highlights the more detailed information appearing elsewhere in this prospectus. As this is a summary, it does not contain all of the information that you should consider in making an investment decision. You should read this entire prospectus carefully, including the information under “Risk Factors” and our financial statements and the related notes included elsewhere in this prospectus, before investing.</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Unless otherwise stated in this prospectus or the context otherwise requires, references to:</w:t>
      </w:r>
    </w:p>
    <w:p>
      <w:pPr>
        <w:spacing w:after="0" w:line="18" w:lineRule="exact"/>
        <w:rPr>
          <w:sz w:val="20"/>
          <w:szCs w:val="20"/>
          <w:color w:val="auto"/>
        </w:rPr>
      </w:pPr>
    </w:p>
    <w:p>
      <w:pPr>
        <w:ind w:left="1200" w:right="1359" w:hanging="332"/>
        <w:spacing w:after="0" w:line="258" w:lineRule="auto"/>
        <w:tabs>
          <w:tab w:leader="none" w:pos="1139"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“we,” “us,” “company” or “our company” are to FS Development Corp., a Delaware corporation;</w:t>
      </w:r>
    </w:p>
    <w:p>
      <w:pPr>
        <w:ind w:left="1140" w:hanging="272"/>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“common stock” are to our Class A common stock and our Class B common stock;</w:t>
      </w:r>
    </w:p>
    <w:p>
      <w:pPr>
        <w:spacing w:after="0" w:line="27" w:lineRule="exact"/>
        <w:rPr>
          <w:rFonts w:ascii="Arial" w:cs="Arial" w:eastAsia="Arial" w:hAnsi="Arial"/>
          <w:sz w:val="18"/>
          <w:szCs w:val="18"/>
          <w:color w:val="auto"/>
        </w:rPr>
      </w:pPr>
    </w:p>
    <w:p>
      <w:pPr>
        <w:ind w:left="1200" w:right="919" w:hanging="332"/>
        <w:spacing w:after="0" w:line="255" w:lineRule="auto"/>
        <w:tabs>
          <w:tab w:leader="none" w:pos="1139"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“DGCL” refers to the Delaware General Corporation Law as the same may be amended from time to time;</w:t>
      </w:r>
    </w:p>
    <w:p>
      <w:pPr>
        <w:ind w:left="1140" w:hanging="272"/>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“directors” are to our current directors and director nominees;</w:t>
      </w:r>
    </w:p>
    <w:p>
      <w:pPr>
        <w:spacing w:after="0" w:line="36" w:lineRule="exact"/>
        <w:rPr>
          <w:rFonts w:ascii="Arial" w:cs="Arial" w:eastAsia="Arial" w:hAnsi="Arial"/>
          <w:sz w:val="18"/>
          <w:szCs w:val="18"/>
          <w:color w:val="auto"/>
        </w:rPr>
      </w:pPr>
    </w:p>
    <w:p>
      <w:pPr>
        <w:ind w:left="1200" w:right="559" w:hanging="332"/>
        <w:spacing w:after="0" w:line="244" w:lineRule="auto"/>
        <w:tabs>
          <w:tab w:leader="none" w:pos="1139"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“equity-linked securities” are to any debt or equity securities that are convertible, exercisable or exchangeable for our Class A common stock issued in a financing transaction in connection with our initial business combination, including, but not limited to, a private placement of equity or debt;</w:t>
      </w:r>
    </w:p>
    <w:p>
      <w:pPr>
        <w:ind w:left="1200" w:right="659" w:hanging="332"/>
        <w:spacing w:after="0" w:line="241" w:lineRule="auto"/>
        <w:tabs>
          <w:tab w:leader="none" w:pos="1139"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“founder shares” are to shares of Class B common stock initially purchased by our sponsor in a private placement prior to this offering and shares of Class B common stock transferred by our sponsor to certain of our directors as well as the shares of Class A common stock that will be issued upon the automatic conversion of the shares of Class B common stock at the time of our initial business combination as described herein;</w:t>
      </w:r>
    </w:p>
    <w:p>
      <w:pPr>
        <w:spacing w:after="0" w:line="8" w:lineRule="exact"/>
        <w:rPr>
          <w:rFonts w:ascii="Arial" w:cs="Arial" w:eastAsia="Arial" w:hAnsi="Arial"/>
          <w:sz w:val="18"/>
          <w:szCs w:val="18"/>
          <w:color w:val="auto"/>
        </w:rPr>
      </w:pPr>
    </w:p>
    <w:p>
      <w:pPr>
        <w:ind w:left="1140" w:hanging="272"/>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“initial stockholders” are to holders of our founder shares prior to this offering;</w:t>
      </w:r>
    </w:p>
    <w:p>
      <w:pPr>
        <w:spacing w:after="0" w:line="36" w:lineRule="exact"/>
        <w:rPr>
          <w:rFonts w:ascii="Arial" w:cs="Arial" w:eastAsia="Arial" w:hAnsi="Arial"/>
          <w:sz w:val="18"/>
          <w:szCs w:val="18"/>
          <w:color w:val="auto"/>
        </w:rPr>
      </w:pPr>
    </w:p>
    <w:p>
      <w:pPr>
        <w:ind w:left="1140" w:hanging="272"/>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“management” or our “management team” are to our executive officers and directors;</w:t>
      </w:r>
    </w:p>
    <w:p>
      <w:pPr>
        <w:spacing w:after="0" w:line="27" w:lineRule="exact"/>
        <w:rPr>
          <w:rFonts w:ascii="Arial" w:cs="Arial" w:eastAsia="Arial" w:hAnsi="Arial"/>
          <w:sz w:val="18"/>
          <w:szCs w:val="18"/>
          <w:color w:val="auto"/>
        </w:rPr>
      </w:pPr>
    </w:p>
    <w:p>
      <w:pPr>
        <w:ind w:left="1200" w:right="659" w:hanging="332"/>
        <w:spacing w:after="0" w:line="241" w:lineRule="auto"/>
        <w:tabs>
          <w:tab w:leader="none" w:pos="1139"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“private placement shares” are to the shares of Class A common stock to be issued to our sponsor in a private placement simultaneously with the closing of this offering (which private placement shares are identical to the shares sold in this offering, subject to certain limited exceptions as described in this prospectus) and upon conversion of working capital loans, if any;</w:t>
      </w:r>
    </w:p>
    <w:p>
      <w:pPr>
        <w:spacing w:after="0" w:line="8" w:lineRule="exact"/>
        <w:rPr>
          <w:rFonts w:ascii="Arial" w:cs="Arial" w:eastAsia="Arial" w:hAnsi="Arial"/>
          <w:sz w:val="18"/>
          <w:szCs w:val="18"/>
          <w:color w:val="auto"/>
        </w:rPr>
      </w:pPr>
    </w:p>
    <w:p>
      <w:pPr>
        <w:ind w:left="1200" w:right="839" w:hanging="332"/>
        <w:spacing w:after="0" w:line="258" w:lineRule="auto"/>
        <w:tabs>
          <w:tab w:leader="none" w:pos="1139"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“public shares” are to shares of Class A common stock sold in this offering (whether they are purchased in this offering or thereafter in the open market);</w:t>
      </w:r>
    </w:p>
    <w:p>
      <w:pPr>
        <w:ind w:left="1200" w:right="639" w:hanging="332"/>
        <w:spacing w:after="0" w:line="242" w:lineRule="auto"/>
        <w:tabs>
          <w:tab w:leader="none" w:pos="1139"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“public stockholders” are to the holders of our public shares, including our initial stockholders and management team to the extent our initial stockholders and/or members of our management team purchase public shares, provided that each initial stockholder’s and member of our management team’s status as a “public stockholder” will only exist with respect to such public shares; and</w:t>
      </w:r>
    </w:p>
    <w:p>
      <w:pPr>
        <w:spacing w:after="0" w:line="1" w:lineRule="exact"/>
        <w:rPr>
          <w:rFonts w:ascii="Arial" w:cs="Arial" w:eastAsia="Arial" w:hAnsi="Arial"/>
          <w:sz w:val="18"/>
          <w:szCs w:val="18"/>
          <w:color w:val="auto"/>
        </w:rPr>
      </w:pPr>
    </w:p>
    <w:p>
      <w:pPr>
        <w:jc w:val="center"/>
        <w:ind w:left="1200" w:right="1059" w:hanging="332"/>
        <w:spacing w:after="0" w:line="290" w:lineRule="auto"/>
        <w:tabs>
          <w:tab w:leader="none" w:pos="1139"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“sponsor” are to FS Development Holdings, LLC, a Delaware limited liability company, which is controlled by Foresite Capital Fund V, L.P., the sole member of the sponsor.</w:t>
      </w:r>
    </w:p>
    <w:p>
      <w:pPr>
        <w:spacing w:after="0" w:line="161" w:lineRule="exact"/>
        <w:rPr>
          <w:sz w:val="20"/>
          <w:szCs w:val="20"/>
          <w:color w:val="auto"/>
        </w:rPr>
      </w:pPr>
    </w:p>
    <w:p>
      <w:pPr>
        <w:ind w:left="540" w:right="579"/>
        <w:spacing w:after="0"/>
        <w:rPr>
          <w:sz w:val="20"/>
          <w:szCs w:val="20"/>
          <w:color w:val="auto"/>
        </w:rPr>
      </w:pPr>
      <w:r>
        <w:rPr>
          <w:rFonts w:ascii="Arial" w:cs="Arial" w:eastAsia="Arial" w:hAnsi="Arial"/>
          <w:sz w:val="18"/>
          <w:szCs w:val="18"/>
          <w:color w:val="auto"/>
        </w:rPr>
        <w:t>Unless we tell you otherwise, the information in this prospectus assumes that the underwriters will not exercise their over-allotment option and the forfeiture of 375,000 founder shares by our sponsor for no consideration.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w:t>
      </w:r>
    </w:p>
    <w:p>
      <w:pPr>
        <w:spacing w:after="0" w:line="166" w:lineRule="exact"/>
        <w:rPr>
          <w:sz w:val="20"/>
          <w:szCs w:val="20"/>
          <w:color w:val="auto"/>
        </w:rPr>
      </w:pPr>
    </w:p>
    <w:p>
      <w:pPr>
        <w:ind w:left="540" w:right="619"/>
        <w:spacing w:after="0" w:line="236" w:lineRule="auto"/>
        <w:rPr>
          <w:sz w:val="20"/>
          <w:szCs w:val="20"/>
          <w:color w:val="auto"/>
        </w:rPr>
      </w:pPr>
      <w:r>
        <w:rPr>
          <w:rFonts w:ascii="Arial" w:cs="Arial" w:eastAsia="Arial" w:hAnsi="Arial"/>
          <w:sz w:val="18"/>
          <w:szCs w:val="18"/>
          <w:color w:val="auto"/>
        </w:rPr>
        <w:t>We are a newly organized blank check company incorporated in June 2020 as a Delaware corporation for the purpose of effecting a merger, capital stock exchange, asset acquisition, stock purchase, reorganization or similar business combination with one or more businesses, which we refer to throughout this prospectus as our initial business combination. To date our efforts have been limited to organizational activities as well as activities related to this offering. We have not selected any specific business combination target and we have not, nor has anyone on our behalf, engaged in any substantive discussions, directly or indirectly, with any business combination target with respect to an initial business combination with us. While we may pursue an initial business combination target in any business industry or geographic region, we intend to capitalize on our management team’s background and experience to identify promising opportunities in the biotechnology sector.</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35" w:right="1440"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0860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7310" cy="8086090"/>
                    </a:xfrm>
                    <a:prstGeom prst="rect">
                      <a:avLst/>
                    </a:prstGeom>
                    <a:noFill/>
                  </pic:spPr>
                </pic:pic>
              </a:graphicData>
            </a:graphic>
          </wp:anchor>
        </w:drawing>
        <w:t>OUR FOUNDERS</w:t>
      </w:r>
    </w:p>
    <w:p>
      <w:pPr>
        <w:spacing w:after="0" w:line="153" w:lineRule="exact"/>
        <w:rPr>
          <w:sz w:val="20"/>
          <w:szCs w:val="20"/>
          <w:color w:val="auto"/>
        </w:rPr>
      </w:pPr>
    </w:p>
    <w:p>
      <w:pPr>
        <w:ind w:left="540" w:right="739"/>
        <w:spacing w:after="0" w:line="238" w:lineRule="auto"/>
        <w:rPr>
          <w:sz w:val="20"/>
          <w:szCs w:val="20"/>
          <w:color w:val="auto"/>
        </w:rPr>
      </w:pPr>
      <w:r>
        <w:rPr>
          <w:rFonts w:ascii="Arial" w:cs="Arial" w:eastAsia="Arial" w:hAnsi="Arial"/>
          <w:sz w:val="18"/>
          <w:szCs w:val="18"/>
          <w:color w:val="auto"/>
        </w:rPr>
        <w:t>We were co-founded by Foresite Capital, an investment firm with over $2.6 billion in assets under management as of March 31, 2020 (”Foresite Capital”) and Jim Tananbaum, our President, Chief Executive Officer and a director. Foresite Capital, which is a member of our sponsor and is our affiliate, was established in 2011 by Jim Tananbaum and has been focused on therapeutic companies within the biotechnology sector.</w:t>
      </w:r>
    </w:p>
    <w:p>
      <w:pPr>
        <w:spacing w:after="0" w:line="135" w:lineRule="exact"/>
        <w:rPr>
          <w:sz w:val="20"/>
          <w:szCs w:val="20"/>
          <w:color w:val="auto"/>
        </w:rPr>
      </w:pPr>
    </w:p>
    <w:p>
      <w:pPr>
        <w:ind w:left="540" w:right="559"/>
        <w:spacing w:after="0" w:line="236" w:lineRule="auto"/>
        <w:rPr>
          <w:sz w:val="20"/>
          <w:szCs w:val="20"/>
          <w:color w:val="auto"/>
        </w:rPr>
      </w:pPr>
      <w:r>
        <w:rPr>
          <w:rFonts w:ascii="Arial" w:cs="Arial" w:eastAsia="Arial" w:hAnsi="Arial"/>
          <w:sz w:val="18"/>
          <w:szCs w:val="18"/>
          <w:color w:val="auto"/>
        </w:rPr>
        <w:t>Since its establishment, Foresite Capital has led financings in numerous healthcare companies that have emerged or are emerging as leaders in their respective sectors of the healthcare economy using a systematic process for screening and evaluating potential investments that was designed to quickly identify compelling opportunities and eliminate unattractive opportunities as effectively as possible. We believe Foresite Capital’s combination of traditional investment management techniques with cutting edge tools and methods, its experience in multiple scientific fields (including biology, medicinal chemistry, physiology and pharmacology) and related areas (including reimbursement strategies, regulatory frameworks and processes) and its ability to collect and synthesize significant amounts of information (including academic research, medical journals, medical conference presentations, patent filings, regulatory actions and legal proceedings) and data (including genomic, clinical trial, laboratory, electronic health records, claims/billing, imaging and pathology) will provide us with deep functional expertise and diverse skill sets and contribute insights to each stage of the investment process.</w:t>
      </w:r>
    </w:p>
    <w:p>
      <w:pPr>
        <w:spacing w:after="0" w:line="135" w:lineRule="exact"/>
        <w:rPr>
          <w:sz w:val="20"/>
          <w:szCs w:val="20"/>
          <w:color w:val="auto"/>
        </w:rPr>
      </w:pPr>
    </w:p>
    <w:p>
      <w:pPr>
        <w:ind w:left="540" w:right="599"/>
        <w:spacing w:after="0" w:line="237" w:lineRule="auto"/>
        <w:rPr>
          <w:sz w:val="20"/>
          <w:szCs w:val="20"/>
          <w:color w:val="auto"/>
        </w:rPr>
      </w:pPr>
      <w:r>
        <w:rPr>
          <w:rFonts w:ascii="Arial" w:cs="Arial" w:eastAsia="Arial" w:hAnsi="Arial"/>
          <w:sz w:val="18"/>
          <w:szCs w:val="18"/>
          <w:color w:val="auto"/>
        </w:rPr>
        <w:t>As an affiliate of Foresite Capital, we intend to draw upon its experience and networks, team-based and multidisciplinary investment process and substantial information resources to optimize the sourcing, evaluation, and growth acceleration of prospective target companies. We believe that Foresite Capital’s track record demonstrates the ability of the members of our management team and affiliates to find high quality investment opportunities and achieve liquidity in such investments. Foresite Capital considers investments in hundreds of companies each year and, since inception, has invested in 229 companies in various financing rounds, which can be summarized as follows:</w:t>
      </w:r>
    </w:p>
    <w:p>
      <w:pPr>
        <w:spacing w:after="0" w:line="14" w:lineRule="exact"/>
        <w:rPr>
          <w:sz w:val="20"/>
          <w:szCs w:val="20"/>
          <w:color w:val="auto"/>
        </w:rPr>
      </w:pPr>
    </w:p>
    <w:p>
      <w:pPr>
        <w:ind w:left="1140" w:hanging="272"/>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179 biotechnology companies;</w:t>
      </w:r>
    </w:p>
    <w:p>
      <w:pPr>
        <w:spacing w:after="0" w:line="36" w:lineRule="exact"/>
        <w:rPr>
          <w:rFonts w:ascii="Arial" w:cs="Arial" w:eastAsia="Arial" w:hAnsi="Arial"/>
          <w:sz w:val="18"/>
          <w:szCs w:val="18"/>
          <w:color w:val="auto"/>
        </w:rPr>
      </w:pPr>
    </w:p>
    <w:p>
      <w:pPr>
        <w:ind w:left="1140" w:hanging="272"/>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30 crossover investments;</w:t>
      </w:r>
    </w:p>
    <w:p>
      <w:pPr>
        <w:spacing w:after="0" w:line="36" w:lineRule="exact"/>
        <w:rPr>
          <w:rFonts w:ascii="Arial" w:cs="Arial" w:eastAsia="Arial" w:hAnsi="Arial"/>
          <w:sz w:val="18"/>
          <w:szCs w:val="18"/>
          <w:color w:val="auto"/>
        </w:rPr>
      </w:pPr>
    </w:p>
    <w:p>
      <w:pPr>
        <w:ind w:left="1140" w:hanging="272"/>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28 IPOs following crossover investments; and</w:t>
      </w:r>
    </w:p>
    <w:p>
      <w:pPr>
        <w:spacing w:after="0" w:line="22" w:lineRule="exact"/>
        <w:rPr>
          <w:rFonts w:ascii="Arial" w:cs="Arial" w:eastAsia="Arial" w:hAnsi="Arial"/>
          <w:sz w:val="18"/>
          <w:szCs w:val="18"/>
          <w:color w:val="auto"/>
        </w:rPr>
      </w:pPr>
    </w:p>
    <w:p>
      <w:pPr>
        <w:ind w:left="1140" w:hanging="272"/>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95 IPOs.</w:t>
      </w:r>
    </w:p>
    <w:p>
      <w:pPr>
        <w:spacing w:after="0" w:line="144" w:lineRule="exact"/>
        <w:rPr>
          <w:sz w:val="20"/>
          <w:szCs w:val="20"/>
          <w:color w:val="auto"/>
        </w:rPr>
      </w:pPr>
    </w:p>
    <w:p>
      <w:pPr>
        <w:ind w:left="540" w:right="639"/>
        <w:spacing w:after="0"/>
        <w:rPr>
          <w:sz w:val="20"/>
          <w:szCs w:val="20"/>
          <w:color w:val="auto"/>
        </w:rPr>
      </w:pPr>
      <w:r>
        <w:rPr>
          <w:rFonts w:ascii="Arial" w:cs="Arial" w:eastAsia="Arial" w:hAnsi="Arial"/>
          <w:sz w:val="18"/>
          <w:szCs w:val="18"/>
          <w:color w:val="auto"/>
        </w:rPr>
        <w:t>Representative investments by Foresite include Turning Point Therapeutics, Kinnate Biopharma, Keros Therapeutics, Fulcrum Therapeutics, 10X Genomics, Oric Pharmaceuticals, Generation Bio, Vaxcyte, Relay Therapeutics, Alx Oncology Holdings and Nurix Therapeutics.</w:t>
      </w:r>
    </w:p>
    <w:p>
      <w:pPr>
        <w:spacing w:after="0" w:line="135" w:lineRule="exact"/>
        <w:rPr>
          <w:sz w:val="20"/>
          <w:szCs w:val="20"/>
          <w:color w:val="auto"/>
        </w:rPr>
      </w:pPr>
    </w:p>
    <w:p>
      <w:pPr>
        <w:ind w:left="540" w:right="959"/>
        <w:spacing w:after="0" w:line="246" w:lineRule="auto"/>
        <w:rPr>
          <w:sz w:val="20"/>
          <w:szCs w:val="20"/>
          <w:color w:val="auto"/>
        </w:rPr>
      </w:pPr>
      <w:r>
        <w:rPr>
          <w:rFonts w:ascii="Arial" w:cs="Arial" w:eastAsia="Arial" w:hAnsi="Arial"/>
          <w:sz w:val="18"/>
          <w:szCs w:val="18"/>
          <w:color w:val="auto"/>
        </w:rPr>
        <w:t>We believe that biotechnology companies at the correct stage of development will see material benefits from being publicly traded.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 PROCESS AND COMPETITIVE ADVANTAGES</w:t>
      </w:r>
    </w:p>
    <w:p>
      <w:pPr>
        <w:spacing w:after="0" w:line="153" w:lineRule="exact"/>
        <w:rPr>
          <w:sz w:val="20"/>
          <w:szCs w:val="20"/>
          <w:color w:val="auto"/>
        </w:rPr>
      </w:pPr>
    </w:p>
    <w:p>
      <w:pPr>
        <w:ind w:left="540" w:right="599"/>
        <w:spacing w:after="0" w:line="236" w:lineRule="auto"/>
        <w:rPr>
          <w:sz w:val="20"/>
          <w:szCs w:val="20"/>
          <w:color w:val="auto"/>
        </w:rPr>
      </w:pPr>
      <w:r>
        <w:rPr>
          <w:rFonts w:ascii="Arial" w:cs="Arial" w:eastAsia="Arial" w:hAnsi="Arial"/>
          <w:sz w:val="18"/>
          <w:szCs w:val="18"/>
          <w:color w:val="auto"/>
        </w:rPr>
        <w:t>Since its inception, Foresite Capital has been developing what we believe to be a state-of-the-art information management system and analytical framework designed to capture, store and surface critical information that impacts target markets and companies when it is most useful. In addition to capturing and synthesizing external sources of information, Foresite Capital seeks to capture every material interaction with prospective and existing portfolio companies. Members of Foresite Capital’s investment team receive structured, detailed notes and updates (such as refined product development timelines and revised probabilities of technical success) from these interactions, which also flow to the firm’s detailed financial and investment models. We believe that access to Foresite Capital’s internal database of every company that it has interacted with since inception will provide a competitive advantage to identifying opportunities for the initial business combination.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MANAGEMENT TEAM</w:t>
      </w:r>
    </w:p>
    <w:p>
      <w:pPr>
        <w:spacing w:after="0" w:line="166" w:lineRule="exact"/>
        <w:rPr>
          <w:sz w:val="20"/>
          <w:szCs w:val="20"/>
          <w:color w:val="auto"/>
        </w:rPr>
      </w:pPr>
    </w:p>
    <w:p>
      <w:pPr>
        <w:ind w:left="540" w:right="859"/>
        <w:spacing w:after="0" w:line="238" w:lineRule="auto"/>
        <w:rPr>
          <w:sz w:val="20"/>
          <w:szCs w:val="20"/>
          <w:color w:val="auto"/>
        </w:rPr>
      </w:pPr>
      <w:r>
        <w:rPr>
          <w:rFonts w:ascii="Arial" w:cs="Arial" w:eastAsia="Arial" w:hAnsi="Arial"/>
          <w:sz w:val="18"/>
          <w:szCs w:val="18"/>
          <w:color w:val="auto"/>
        </w:rPr>
        <w:t>Our management team includes healthcare industry veterans who have started, built and/or financed multiple companies with revenue in excess of $1 billion, managed clinical development divisions, designed and managed large-scale data science and machine learning projects, and worked in healthcare venture capital, private equity, hedge funds, investment banking and consulting.</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35" w:right="1440" w:bottom="1440" w:gutter="0" w:footer="0" w:header="0"/>
        </w:sectPr>
      </w:pPr>
    </w:p>
    <w:bookmarkStart w:id="6" w:name="page7"/>
    <w:bookmarkEnd w:id="6"/>
    <w:p>
      <w:pPr>
        <w:ind w:left="540" w:right="579"/>
        <w:spacing w:after="0" w:line="23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8487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7310" cy="8848725"/>
                    </a:xfrm>
                    <a:prstGeom prst="rect">
                      <a:avLst/>
                    </a:prstGeom>
                    <a:noFill/>
                  </pic:spPr>
                </pic:pic>
              </a:graphicData>
            </a:graphic>
          </wp:anchor>
        </w:drawing>
        <w:t>Dr. Jim Tananbaum</w:t>
      </w:r>
      <w:r>
        <w:rPr>
          <w:rFonts w:ascii="Arial" w:cs="Arial" w:eastAsia="Arial" w:hAnsi="Arial"/>
          <w:sz w:val="18"/>
          <w:szCs w:val="18"/>
          <w:color w:val="auto"/>
        </w:rPr>
        <w:t>, President, Chief Executive Officer and Director. Dr. Jim Tananbaum has been</w:t>
      </w:r>
      <w:r>
        <w:rPr>
          <w:rFonts w:ascii="Arial" w:cs="Arial" w:eastAsia="Arial" w:hAnsi="Arial"/>
          <w:sz w:val="18"/>
          <w:szCs w:val="18"/>
          <w:b w:val="1"/>
          <w:bCs w:val="1"/>
          <w:color w:val="auto"/>
        </w:rPr>
        <w:t xml:space="preserve"> </w:t>
      </w:r>
      <w:r>
        <w:rPr>
          <w:rFonts w:ascii="Arial" w:cs="Arial" w:eastAsia="Arial" w:hAnsi="Arial"/>
          <w:sz w:val="18"/>
          <w:szCs w:val="18"/>
          <w:color w:val="auto"/>
        </w:rPr>
        <w:t>our President, Chief Executive Officer and a director since June 2020. He founded Foresite Capital in 2011 and has overseen the development of Foresite Capital’s team and systems. While at Harvard Business School in 1991, Dr. Tananbaum co-founded his first company, GelTex Pharmaceuticals (Nasdaq: GENZ). GelTex ultimately brought two drugs to market, and the company was acquired by Genzyme Corporation in 2000 for $1.4 billion. From 1991 to 1994, Dr. Tananbaum worked at Merck in marketing and had product management responsibilities for Prilosec. In 1994, Dr. Tananbaum decided to leave Merck and join Sierra Ventures, to start Sierra Ventures’ healthcare services investment practice. At Sierra Ventures, Dr. Tananbaum was responsible for leading the firm’s investments in Amerigroup (now Anthem Medicaid division) and Healtheon/WebMD, among others. In 1997, he cofounded his second company, Theravance, Inc. (initially called “Advanced Medicine”). As the founding CEO of Theravance, Dr. Tananbaum hired the company’s first approximately 175 employees and raised over $350 million of private capital. Theravance has since split into two companies, one of which is now part of GlaxoSmithKline’s respiratory franchise through a joint venture, Innoviva (Nasdaq: INVA), and the other, Theravance BioPharma, Inc. (Nasdaq: TBPH). Together, they have a combined market capitalization in excess of approximately $3 billion as of July 2020. In 2000, Dr. Tananbaum co-founded Prospect Ventures</w:t>
      </w:r>
    </w:p>
    <w:p>
      <w:pPr>
        <w:spacing w:after="0" w:line="4" w:lineRule="exact"/>
        <w:rPr>
          <w:sz w:val="20"/>
          <w:szCs w:val="20"/>
          <w:color w:val="auto"/>
        </w:rPr>
      </w:pPr>
    </w:p>
    <w:p>
      <w:pPr>
        <w:ind w:left="540" w:right="699" w:firstLine="4"/>
        <w:spacing w:after="0" w:line="236" w:lineRule="auto"/>
        <w:tabs>
          <w:tab w:leader="none" w:pos="69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(and later III), which raised and deployed approximately $1 billion. During his time at Prospect, Dr. Tananbaum led numerous financings including Jazz Pharmaceuticals and Amira Pharmaceauticals. In 2010, Dr. Tananbaum decided to leave Prospect Ventures to create Foresite Capital. He sought to construct, from the ground up, an investment platform designed and optimized to invest specifically and exclusively in the modern health economy, based on his learnings and observations as a healthcare investor and entrepreneur over the preceding two decades. Dr. Tananbaum earned a BS and BSEE in applied math and electrical engineering/computer science from Yale, an MD from the Harvard-MIT HST program and an MBA from Harvard.</w:t>
      </w:r>
    </w:p>
    <w:p>
      <w:pPr>
        <w:spacing w:after="0" w:line="117" w:lineRule="exact"/>
        <w:rPr>
          <w:sz w:val="20"/>
          <w:szCs w:val="20"/>
          <w:color w:val="auto"/>
        </w:rPr>
      </w:pPr>
    </w:p>
    <w:p>
      <w:pPr>
        <w:ind w:left="540" w:right="559"/>
        <w:spacing w:after="0" w:line="237" w:lineRule="auto"/>
        <w:rPr>
          <w:sz w:val="20"/>
          <w:szCs w:val="20"/>
          <w:color w:val="auto"/>
        </w:rPr>
      </w:pPr>
      <w:r>
        <w:rPr>
          <w:rFonts w:ascii="Arial" w:cs="Arial" w:eastAsia="Arial" w:hAnsi="Arial"/>
          <w:sz w:val="18"/>
          <w:szCs w:val="18"/>
          <w:b w:val="1"/>
          <w:bCs w:val="1"/>
          <w:color w:val="auto"/>
        </w:rPr>
        <w:t>Dennis Ryan</w:t>
      </w:r>
      <w:r>
        <w:rPr>
          <w:rFonts w:ascii="Arial" w:cs="Arial" w:eastAsia="Arial" w:hAnsi="Arial"/>
          <w:sz w:val="18"/>
          <w:szCs w:val="18"/>
          <w:color w:val="auto"/>
        </w:rPr>
        <w:t>, Chief Financial Officer. Dennis Ryan has been our Chief Financial Officer since June</w:t>
      </w:r>
      <w:r>
        <w:rPr>
          <w:rFonts w:ascii="Arial" w:cs="Arial" w:eastAsia="Arial" w:hAnsi="Arial"/>
          <w:sz w:val="18"/>
          <w:szCs w:val="18"/>
          <w:b w:val="1"/>
          <w:bCs w:val="1"/>
          <w:color w:val="auto"/>
        </w:rPr>
        <w:t xml:space="preserve"> </w:t>
      </w:r>
      <w:r>
        <w:rPr>
          <w:rFonts w:ascii="Arial" w:cs="Arial" w:eastAsia="Arial" w:hAnsi="Arial"/>
          <w:sz w:val="18"/>
          <w:szCs w:val="18"/>
          <w:color w:val="auto"/>
        </w:rPr>
        <w:t>2020. Since 2011, Mr. Ryan has also led the Operations Group at Foresite Capital as Chief Financial Officer and Managing Director. Mr. Ryan has over thirty years of experience as a financial executive in the venture capital, private equity, investment and real estate industries. Mr. Ryan began his career with the international accounting firm KPMG (Peat, Marwick &amp; Mitchell). As a licensed certified public accountant (CPA - inactive) in California, Mr. Ryan has served as chief financial officer and senior executive in firms ranging from a publicly owned real estate investment trust (REIT), Western Properties Trust, to a sponsor of a series of venture debt funds, Lighthouse Capital Partners, to a start-up of investment funds, Berkeley Advisors Group. In his role as chief financial officer with these firms, his responsibilities included debt and equity financing, investment structuring, financial reporting, portfolio management and strategic planning. Mr. Ryan currently serves as Board President of Whistlestop, a non-profit providing transportation and nutrition services to seniors. He received a B.A. from University of California, Berkeley in Economics, and an M.B.A from the University of Santa Clara.</w:t>
      </w:r>
    </w:p>
    <w:p>
      <w:pPr>
        <w:spacing w:after="0" w:line="122" w:lineRule="exact"/>
        <w:rPr>
          <w:sz w:val="20"/>
          <w:szCs w:val="20"/>
          <w:color w:val="auto"/>
        </w:rPr>
      </w:pPr>
    </w:p>
    <w:p>
      <w:pPr>
        <w:ind w:left="540" w:right="659"/>
        <w:spacing w:after="0" w:line="237" w:lineRule="auto"/>
        <w:rPr>
          <w:sz w:val="20"/>
          <w:szCs w:val="20"/>
          <w:color w:val="auto"/>
        </w:rPr>
      </w:pPr>
      <w:r>
        <w:rPr>
          <w:rFonts w:ascii="Arial" w:cs="Arial" w:eastAsia="Arial" w:hAnsi="Arial"/>
          <w:sz w:val="18"/>
          <w:szCs w:val="18"/>
          <w:b w:val="1"/>
          <w:bCs w:val="1"/>
          <w:color w:val="auto"/>
        </w:rPr>
        <w:t>Dr. Michael Rome</w:t>
      </w:r>
      <w:r>
        <w:rPr>
          <w:rFonts w:ascii="Arial" w:cs="Arial" w:eastAsia="Arial" w:hAnsi="Arial"/>
          <w:sz w:val="18"/>
          <w:szCs w:val="18"/>
          <w:color w:val="auto"/>
        </w:rPr>
        <w:t>, Vice President and Director. Dr. Michael Rome has been our Vice President</w:t>
      </w:r>
      <w:r>
        <w:rPr>
          <w:rFonts w:ascii="Arial" w:cs="Arial" w:eastAsia="Arial" w:hAnsi="Arial"/>
          <w:sz w:val="18"/>
          <w:szCs w:val="18"/>
          <w:b w:val="1"/>
          <w:bCs w:val="1"/>
          <w:color w:val="auto"/>
        </w:rPr>
        <w:t xml:space="preserve"> </w:t>
      </w:r>
      <w:r>
        <w:rPr>
          <w:rFonts w:ascii="Arial" w:cs="Arial" w:eastAsia="Arial" w:hAnsi="Arial"/>
          <w:sz w:val="18"/>
          <w:szCs w:val="18"/>
          <w:color w:val="auto"/>
        </w:rPr>
        <w:t>and a director on our board of directors since June 2020, and is a Managing Director at Foresite Capital. He joined Foresite Capital in 2016 and is active in the firm’s public and private market investments. Dr. Rome has experience investing across diverse therapeutic areas and has board roles at Kinnate Biopharma, Phavaris B.V., and board observer roles (past and present) at Turning Point Therapeutics, Arcus Biosciences, Maze Therapeutics, and PACT Pharma. Prior to Foresite Capital from 2015 to 2016, he was an equity analyst at DAFNA Capital Management, a long-short healthcare hedge fund, where he analyzed fund positions and formulated investment ideas in small/midcap biotechnology companies. From 2014 to 2015, Dr. Rome worked in early-stage drug development for an academic start-up out of the California NanoSystems Institute at UCLA. He received his Ph.D. in Biochemistry from Caltech as an NSF graduate research fellow, and his B.S. in Molecular, Cell and Developmental Biology from UCLA. He has more than 12 years of experience as a research scientist and has authored numerous publications in top-tier biomedical research journals.</w:t>
      </w:r>
    </w:p>
    <w:p>
      <w:pPr>
        <w:spacing w:after="0" w:line="108" w:lineRule="exact"/>
        <w:rPr>
          <w:sz w:val="20"/>
          <w:szCs w:val="20"/>
          <w:color w:val="auto"/>
        </w:rPr>
      </w:pPr>
    </w:p>
    <w:p>
      <w:pPr>
        <w:ind w:left="540" w:right="599"/>
        <w:spacing w:after="0" w:line="239" w:lineRule="auto"/>
        <w:rPr>
          <w:sz w:val="20"/>
          <w:szCs w:val="20"/>
          <w:color w:val="auto"/>
        </w:rPr>
      </w:pPr>
      <w:r>
        <w:rPr>
          <w:rFonts w:ascii="Arial" w:cs="Arial" w:eastAsia="Arial" w:hAnsi="Arial"/>
          <w:sz w:val="18"/>
          <w:szCs w:val="18"/>
          <w:b w:val="1"/>
          <w:bCs w:val="1"/>
          <w:color w:val="auto"/>
        </w:rPr>
        <w:t>Dr. Vikram Bajaj</w:t>
      </w:r>
      <w:r>
        <w:rPr>
          <w:rFonts w:ascii="Arial" w:cs="Arial" w:eastAsia="Arial" w:hAnsi="Arial"/>
          <w:sz w:val="18"/>
          <w:szCs w:val="18"/>
          <w:color w:val="auto"/>
        </w:rPr>
        <w:t>, Director. Dr. Vikram Bajaj has been a director on our board of directors since</w:t>
      </w:r>
      <w:r>
        <w:rPr>
          <w:rFonts w:ascii="Arial" w:cs="Arial" w:eastAsia="Arial" w:hAnsi="Arial"/>
          <w:sz w:val="18"/>
          <w:szCs w:val="18"/>
          <w:b w:val="1"/>
          <w:bCs w:val="1"/>
          <w:color w:val="auto"/>
        </w:rPr>
        <w:t xml:space="preserve"> </w:t>
      </w:r>
      <w:r>
        <w:rPr>
          <w:rFonts w:ascii="Arial" w:cs="Arial" w:eastAsia="Arial" w:hAnsi="Arial"/>
          <w:sz w:val="18"/>
          <w:szCs w:val="18"/>
          <w:color w:val="auto"/>
        </w:rPr>
        <w:t>June 2020, and is a Managing Director at Foresite Capital, evaluating and pursuing investments at the intersection of technology and life sciences, including personalized and precision healthcare. Prior to joining Foresite Capital, from 2016 to 2017, Dr. Bajaj was the Chief Scientific Officer of GRAIL, a life sciences company working to detect cancer early when it can be cured, and served on its Scientific Advisory Board. He is also the Co-Founder and former Chief Scientific officer of Verily (formerly Google Life Sciences) from 2013 to 2016, and served as Chair of its Scientific Advisory Board. A former academic principal investigator, Dr. Bajaj retains appointments as Associate Professor (Consulting) at the Stanford School of Medicine, and as an Affiliate Scientist of the Lawrence Berkeley National Laboratory and</w:t>
      </w:r>
    </w:p>
    <w:p>
      <w:pPr>
        <w:sectPr>
          <w:pgSz w:w="11900" w:h="16838" w:orient="portrait"/>
          <w:cols w:equalWidth="0" w:num="1">
            <w:col w:w="9019"/>
          </w:cols>
          <w:pgMar w:left="1440" w:top="454" w:right="1440" w:bottom="1440" w:gutter="0" w:footer="0" w:header="0"/>
        </w:sect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54" w:right="1440" w:bottom="1440" w:gutter="0" w:footer="0" w:header="0"/>
          <w:type w:val="continuous"/>
        </w:sectPr>
      </w:pPr>
    </w:p>
    <w:bookmarkStart w:id="7" w:name="page8"/>
    <w:bookmarkEnd w:id="7"/>
    <w:p>
      <w:pPr>
        <w:ind w:left="540" w:right="739"/>
        <w:spacing w:after="0" w:line="25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3000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7310" cy="8300085"/>
                    </a:xfrm>
                    <a:prstGeom prst="rect">
                      <a:avLst/>
                    </a:prstGeom>
                    <a:noFill/>
                  </pic:spPr>
                </pic:pic>
              </a:graphicData>
            </a:graphic>
          </wp:anchor>
        </w:drawing>
        <w:t>the University of California, Berkeley, for which he currently serves on the advisory board of the College of Chemistry. He is also currently an advisor to the Department of Defense through the Defense Science Board’s Task Force on Biology. Dr. Bajaj received a Ph.D. in physical chemistry from the Massachusetts Institute of Technology. His scientific and engineering awards include the Anatole Abragam Prize (2012), the R&amp;D 100 Award for the most promising commercialized technologies (2011 and 2013), and the Department of Energy’s LBL Innovation Grant (2013).</w:t>
      </w:r>
    </w:p>
    <w:p>
      <w:pPr>
        <w:spacing w:after="0" w:line="105" w:lineRule="exact"/>
        <w:rPr>
          <w:sz w:val="20"/>
          <w:szCs w:val="20"/>
          <w:color w:val="auto"/>
        </w:rPr>
      </w:pPr>
    </w:p>
    <w:p>
      <w:pPr>
        <w:ind w:left="540" w:right="559"/>
        <w:spacing w:after="0" w:line="253" w:lineRule="auto"/>
        <w:rPr>
          <w:sz w:val="20"/>
          <w:szCs w:val="20"/>
          <w:color w:val="auto"/>
        </w:rPr>
      </w:pPr>
      <w:r>
        <w:rPr>
          <w:rFonts w:ascii="Arial" w:cs="Arial" w:eastAsia="Arial" w:hAnsi="Arial"/>
          <w:sz w:val="17"/>
          <w:szCs w:val="17"/>
          <w:b w:val="1"/>
          <w:bCs w:val="1"/>
          <w:color w:val="auto"/>
        </w:rPr>
        <w:t xml:space="preserve">Robert Carey, </w:t>
      </w:r>
      <w:r>
        <w:rPr>
          <w:rFonts w:ascii="Arial" w:cs="Arial" w:eastAsia="Arial" w:hAnsi="Arial"/>
          <w:sz w:val="17"/>
          <w:szCs w:val="17"/>
          <w:color w:val="auto"/>
        </w:rPr>
        <w:t>Director Nominee. Mr. Carey served as Executive Vice President and Chief</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 Officer at Horizon Therapeutics plc (Nasdaq: HZNP) from March 2014 until October 2019, during which time Horizon deployed more than $3 billion to acquire or license eight commercial products and three products in development, including TEPEZZA™ and KRYSTEXXA®, resulting in Horizon’s net sales increasing from $74 million in 2013 to $1.2 billion in 2018. Prior to Horizon, Mr. Carey was Managing Director and Head of the Life Sciences Investment Banking Group at JMP Securities International, Inc. from 2003 until 2014 and Managing Director in the healthcare groups at Dresdner Kleinwort Wasserstein, from 2001 until 2003, and Vector Securities, from 1988 until 2001. Mr. Carey currently serves on the board of Sangamo Therapeutics, Inc. (Nasdaq: SGMO) and Beyond Air, Inc. (Nasdaq: XAIR). Mr. Carey also has held roles at Shearson Lehman Hutton and Ernst &amp; Whinney. Mr. Carey received his bachelor’s degree from the University of Notre Dame.</w:t>
      </w:r>
    </w:p>
    <w:p>
      <w:pPr>
        <w:spacing w:after="0" w:line="109" w:lineRule="exact"/>
        <w:rPr>
          <w:sz w:val="20"/>
          <w:szCs w:val="20"/>
          <w:color w:val="auto"/>
        </w:rPr>
      </w:pPr>
    </w:p>
    <w:p>
      <w:pPr>
        <w:ind w:left="540" w:right="779"/>
        <w:spacing w:after="0"/>
        <w:rPr>
          <w:sz w:val="20"/>
          <w:szCs w:val="20"/>
          <w:color w:val="auto"/>
        </w:rPr>
      </w:pPr>
      <w:r>
        <w:rPr>
          <w:rFonts w:ascii="Arial" w:cs="Arial" w:eastAsia="Arial" w:hAnsi="Arial"/>
          <w:sz w:val="18"/>
          <w:szCs w:val="18"/>
          <w:b w:val="1"/>
          <w:bCs w:val="1"/>
          <w:color w:val="auto"/>
        </w:rPr>
        <w:t xml:space="preserve">Dan Dubin, </w:t>
      </w:r>
      <w:r>
        <w:rPr>
          <w:rFonts w:ascii="Arial" w:cs="Arial" w:eastAsia="Arial" w:hAnsi="Arial"/>
          <w:sz w:val="18"/>
          <w:szCs w:val="18"/>
          <w:color w:val="auto"/>
        </w:rPr>
        <w:t>Director Nominee. Dr. Dubin is also the Vice Chairman and Head of Biopharma</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Banking at SVB Leerink, an investment bank specializing in healthcare and life sciences, a role he has held since January 2006. Prior to joining SVB Leerink in 1999, Dr. Dubin co-founded MEDACorp, a provider of insights on the commercial potential of biotherapeutics and medical devices to healthcare companies and investors. He also serves as a director of Olivo Laboratories LLC, a dermatological biotechnology company and sits on the SVB Leerink’s executive committee. Dr. Dubin holds a B.A. from Dartmouth College in Chemistry and an M.D. from Harvard Medical School.</w:t>
      </w:r>
    </w:p>
    <w:p>
      <w:pPr>
        <w:spacing w:after="0" w:line="99" w:lineRule="exact"/>
        <w:rPr>
          <w:sz w:val="20"/>
          <w:szCs w:val="20"/>
          <w:color w:val="auto"/>
        </w:rPr>
      </w:pPr>
    </w:p>
    <w:p>
      <w:pPr>
        <w:ind w:left="540" w:right="599"/>
        <w:spacing w:after="0" w:line="237" w:lineRule="auto"/>
        <w:rPr>
          <w:sz w:val="20"/>
          <w:szCs w:val="20"/>
          <w:color w:val="auto"/>
        </w:rPr>
      </w:pPr>
      <w:r>
        <w:rPr>
          <w:rFonts w:ascii="Arial" w:cs="Arial" w:eastAsia="Arial" w:hAnsi="Arial"/>
          <w:sz w:val="18"/>
          <w:szCs w:val="18"/>
          <w:b w:val="1"/>
          <w:bCs w:val="1"/>
          <w:color w:val="auto"/>
        </w:rPr>
        <w:t xml:space="preserve">Deepa Pakianathan, </w:t>
      </w:r>
      <w:r>
        <w:rPr>
          <w:rFonts w:ascii="Arial" w:cs="Arial" w:eastAsia="Arial" w:hAnsi="Arial"/>
          <w:sz w:val="18"/>
          <w:szCs w:val="18"/>
          <w:color w:val="auto"/>
        </w:rPr>
        <w:t>Director Nominee. Dr. Pakianathan is a Managing Member of Delphi</w:t>
      </w:r>
      <w:r>
        <w:rPr>
          <w:rFonts w:ascii="Arial" w:cs="Arial" w:eastAsia="Arial" w:hAnsi="Arial"/>
          <w:sz w:val="18"/>
          <w:szCs w:val="18"/>
          <w:b w:val="1"/>
          <w:bCs w:val="1"/>
          <w:color w:val="auto"/>
        </w:rPr>
        <w:t xml:space="preserve"> </w:t>
      </w:r>
      <w:r>
        <w:rPr>
          <w:rFonts w:ascii="Arial" w:cs="Arial" w:eastAsia="Arial" w:hAnsi="Arial"/>
          <w:sz w:val="18"/>
          <w:szCs w:val="18"/>
          <w:color w:val="auto"/>
        </w:rPr>
        <w:t>Ventures, which she joined in 2001 to build and lead the firm’s biotechnology investment practice. Prior to joining Delphi, Deepa was an M&amp;A and corporate finance banker in the healthcare group at J.P. Morgan. Prior to that, she was a biotechnology research analyst at Genesis Merchant Group and a postdoctoral scientist in the Immunology Department at Genentech Corporation. Dr. Pakianathan currently serves on the board of Calithera Biosciences, Inc. (Nasdaq: CALA) where she is lead director, as well as the boards of Karyopharm Therapeutics (Nasdaq: KPTI), Mereo BioPharma Group plc (Nasdaq: MREO) and Theravance Biopharma (Nasdaq: TBPH). She serves as Executive Vice-chair and Treasurer on the San Francisco Conservatory of Music’s Board of Trustees. Deepa previously served on the boards of Alder Biopharma (Nasdaq: ALDR), Relypsa (acquired by Vifor), Proteolix (acquired by Onyx Pharmaceuticals), Ilypsa (acquired by Amgen), Forsight V5 (acquired by Allergan), Alexa Pharmaceuticals (acquired by Ferrer), Salmedix (acquired by Cephalon) and led an investment in Seattle Genetics. She was also on the BIO and NVCA boards. Deepa received her Ph.D. and MS from Wake Forest University and her MSc and BSc from the University of Bombay.</w:t>
      </w:r>
    </w:p>
    <w:p>
      <w:pPr>
        <w:spacing w:after="0" w:line="142" w:lineRule="exact"/>
        <w:rPr>
          <w:sz w:val="20"/>
          <w:szCs w:val="20"/>
          <w:color w:val="auto"/>
        </w:rPr>
      </w:pPr>
    </w:p>
    <w:p>
      <w:pPr>
        <w:ind w:left="540" w:right="559"/>
        <w:spacing w:after="0" w:line="235" w:lineRule="auto"/>
        <w:rPr>
          <w:sz w:val="20"/>
          <w:szCs w:val="20"/>
          <w:color w:val="auto"/>
        </w:rPr>
      </w:pPr>
      <w:r>
        <w:rPr>
          <w:rFonts w:ascii="Arial" w:cs="Arial" w:eastAsia="Arial" w:hAnsi="Arial"/>
          <w:sz w:val="18"/>
          <w:szCs w:val="18"/>
          <w:color w:val="auto"/>
        </w:rPr>
        <w:t>Our management team will also be supported by certain of Foresite Capital’s team of investment professionals, who will also serve as our non-executive officers and will assist us in our efforts to consummate our initial business combination, including Dr. Dorothy Margolskee, our Senior Advisor and a Managing Director of Foresite Capital. Dr. Margolskee joined Foresite Capital in 2012 and has overseen the development of Foresite Capital’s Clinical &amp; Research Analysis team. Dr. Margolskee has worked with Dr. Tananbaum for the last 17.5 years, previously at Prospect Ventures as a managing director in charge of research from 2001 to 2011, and now at Foresite Capital. In this capacity, she developed the Foresite Capital investment technical review process, rigorously analyzing biotechnology company portfolios on the basis of scientific validation, clinical efficacy and safety, manufacturing readiness and FDA regulatory risk. Dr. Margolskee had 15 years of drug development experience at Merck Research Labs from 1987 to 2001, ultimately becoming a senior vice president with responsibility for a wide variety of clinical development programs and project planning. In particular, she was deeply involved in the design and execution of several vaccine programs, including Gardisil, RotaTeq and Zostavax. Dr. Margolskee received an MRL Divisional Scientific Award in 1998 for developing one of Merck’s most successful drugs, Singulair. In addition, she led the team that designed and implemented the advanced AIDS program during the development of Crixivan, one of the first HIV protease inhibitors that revolutionized the treatment of HIV infection. Prior to joining Merck, Dr. Margolskee received an M.D. from Johns Hopkins Medical School where she was elected to Alpha Omega Alpha and a B.S. from</w:t>
      </w:r>
    </w:p>
    <w:p>
      <w:pPr>
        <w:sectPr>
          <w:pgSz w:w="11900" w:h="16838" w:orient="portrait"/>
          <w:cols w:equalWidth="0" w:num="1">
            <w:col w:w="9019"/>
          </w:cols>
          <w:pgMar w:left="1440" w:top="476" w:right="1440" w:bottom="1440" w:gutter="0" w:footer="0" w:header="0"/>
        </w:sect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76" w:right="1440" w:bottom="1440" w:gutter="0" w:footer="0" w:header="0"/>
          <w:type w:val="continuous"/>
        </w:sectPr>
      </w:pPr>
    </w:p>
    <w:bookmarkStart w:id="8" w:name="page9"/>
    <w:bookmarkEnd w:id="8"/>
    <w:p>
      <w:pPr>
        <w:ind w:left="540" w:right="6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77514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7310" cy="7751445"/>
                    </a:xfrm>
                    <a:prstGeom prst="rect">
                      <a:avLst/>
                    </a:prstGeom>
                    <a:noFill/>
                  </pic:spPr>
                </pic:pic>
              </a:graphicData>
            </a:graphic>
          </wp:anchor>
        </w:drawing>
        <w:t>Harvard University where she graduated summa cum laude. Dr. Margolskee is boarded in both Internal Medicine and Pulmonary, and completed her residency at the Johns Hopkins Hospital and fellowship training at UCSF.</w:t>
      </w:r>
    </w:p>
    <w:p>
      <w:pPr>
        <w:spacing w:after="0" w:line="135" w:lineRule="exact"/>
        <w:rPr>
          <w:sz w:val="20"/>
          <w:szCs w:val="20"/>
          <w:color w:val="auto"/>
        </w:rPr>
      </w:pPr>
    </w:p>
    <w:p>
      <w:pPr>
        <w:ind w:left="540" w:right="579"/>
        <w:spacing w:after="0" w:line="236" w:lineRule="auto"/>
        <w:rPr>
          <w:sz w:val="20"/>
          <w:szCs w:val="20"/>
          <w:color w:val="auto"/>
        </w:rPr>
      </w:pPr>
      <w:r>
        <w:rPr>
          <w:rFonts w:ascii="Arial" w:cs="Arial" w:eastAsia="Arial" w:hAnsi="Arial"/>
          <w:sz w:val="18"/>
          <w:szCs w:val="18"/>
          <w:color w:val="auto"/>
        </w:rPr>
        <w:t>Past performance of our management team does not guarantee either (i) success with respect to any business combination we may consummate or (ii) that we will be able to identify a suitable candidate for our initial business combination. You should not rely on the historical performance record of our management team or their respective affiliates or any related investment’s performance as indicative of our future performance of an investment in the company or the returns the company will, or is likely to, generate going forward. None of the members of our management team has any experience with blank check companies or special purpose acquisition companies. For more information on the experience and background of our management team, see the section entitled “Management.”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INDUSTRY OPPORTUNITY</w:t>
      </w:r>
    </w:p>
    <w:p>
      <w:pPr>
        <w:spacing w:after="0" w:line="166" w:lineRule="exact"/>
        <w:rPr>
          <w:sz w:val="20"/>
          <w:szCs w:val="20"/>
          <w:color w:val="auto"/>
        </w:rPr>
      </w:pPr>
    </w:p>
    <w:p>
      <w:pPr>
        <w:ind w:left="540" w:right="579"/>
        <w:spacing w:after="0" w:line="250" w:lineRule="auto"/>
        <w:rPr>
          <w:sz w:val="20"/>
          <w:szCs w:val="20"/>
          <w:color w:val="auto"/>
        </w:rPr>
      </w:pPr>
      <w:r>
        <w:rPr>
          <w:rFonts w:ascii="Arial" w:cs="Arial" w:eastAsia="Arial" w:hAnsi="Arial"/>
          <w:sz w:val="17"/>
          <w:szCs w:val="17"/>
          <w:color w:val="auto"/>
        </w:rPr>
        <w:t>Our primary focus will be on the healthcare industry in the United States. We believe the healthcare industry, particularly the biotechnology sector, represents an enormous and growing target market with a large number of potential target acquisition opportunities. Overall, total U.S. national health expenditures currently exceed $3.6 trillion according to the Centers for Medicare and Medicaid Services, which also estimates that total healthcare spending will approach 20% of total U.S. Gross Domestic Product in 2028. In addition to these industry-wide dynamics in healthcare, specifically within biotechnology sector, the past decade has seen a shift in the research and development strategy of the Big Pharma companies to external innovation through licensing partnerships and strategic acquisitions, resulting in 1,195 M&amp;A transactions totaling $801 billion from 2015 to 2019 according to Evaluate Pharma, a data-driven pharma, biotechnology and medtech consultant. Furthermore, there has been a gradual increase in US Food and Drugs Administration (FDA) approval of new drugs, from 163 approvals between 2010 and 2014 to 220 approvals between 2015 and 2019. The global biotechnology market is expecting to grow almost 2.9% to over $294 billion in revenue in 2020, according to IBISWorld, and total sales of prescription drugs worldwide were $843 billion in 2019 according to Evaluate Pharma. We believe that these trends present a favorable opportunity for investors in preclinical to pre-commercial companies within the biotechnology sector, which is where Foresite Capital has largely focused since inception.</w:t>
      </w:r>
    </w:p>
    <w:p>
      <w:pPr>
        <w:spacing w:after="0" w:line="320" w:lineRule="exact"/>
        <w:rPr>
          <w:sz w:val="20"/>
          <w:szCs w:val="20"/>
          <w:color w:val="auto"/>
        </w:rPr>
      </w:pPr>
    </w:p>
    <w:p>
      <w:pPr>
        <w:ind w:left="540" w:right="659"/>
        <w:spacing w:after="0" w:line="236" w:lineRule="auto"/>
        <w:rPr>
          <w:sz w:val="20"/>
          <w:szCs w:val="20"/>
          <w:color w:val="auto"/>
        </w:rPr>
      </w:pPr>
      <w:r>
        <w:rPr>
          <w:rFonts w:ascii="Arial" w:cs="Arial" w:eastAsia="Arial" w:hAnsi="Arial"/>
          <w:sz w:val="18"/>
          <w:szCs w:val="18"/>
          <w:color w:val="auto"/>
        </w:rPr>
        <w:t>We believe that there are major benefits for privately-held, pre-commercial stage biotechnology companies to become publicly-traded, including greater access to capital, broader investor base, more liquid securities, and increased market awareness. An acquisition by a special purpose acquisition company with a management team that is well-known and respected by biotechnology company founders, their investors, and management teams, we believe, will become a preferred route for a high quality private healthcare company to access the public markets. Furthermore, we believe that market volatility caused by the COVID-19 pandemic is likely to make such an on-ramp to the public markets even more attractive to private companies, as it promises more certainty about deal completion, a more efficient path to the public markets, and a defined investor base.</w:t>
      </w:r>
    </w:p>
    <w:p>
      <w:pPr>
        <w:spacing w:after="0" w:line="139" w:lineRule="exact"/>
        <w:rPr>
          <w:sz w:val="20"/>
          <w:szCs w:val="20"/>
          <w:color w:val="auto"/>
        </w:rPr>
      </w:pPr>
    </w:p>
    <w:p>
      <w:pPr>
        <w:ind w:left="540" w:right="579"/>
        <w:spacing w:after="0" w:line="236" w:lineRule="auto"/>
        <w:rPr>
          <w:sz w:val="20"/>
          <w:szCs w:val="20"/>
          <w:color w:val="auto"/>
        </w:rPr>
      </w:pPr>
      <w:r>
        <w:rPr>
          <w:rFonts w:ascii="Arial" w:cs="Arial" w:eastAsia="Arial" w:hAnsi="Arial"/>
          <w:sz w:val="18"/>
          <w:szCs w:val="18"/>
          <w:color w:val="auto"/>
        </w:rPr>
        <w:t>In addition, we believe that the current state of the biotechnology IPO market may enhance our ability to locate an attractive target. According to IBISWorld, in 2019, there were estimated to be approximately 9,500 biotechnology companies globally, only a fraction of which are publicly traded. These privately held biotechnology companies represent an enormous investment opportunity, and recent trends in equity capital markets continue to demonstrate their desire to access public capital. Since 2015, approximately $170 billion has been raised in the public equity markets by biotechnology companies, of which approximately $30 billion has been raised through IPOs by approximately 250 biotechnology companies.</w:t>
      </w:r>
    </w:p>
    <w:p>
      <w:pPr>
        <w:spacing w:after="0" w:line="140" w:lineRule="exact"/>
        <w:rPr>
          <w:sz w:val="20"/>
          <w:szCs w:val="20"/>
          <w:color w:val="auto"/>
        </w:rPr>
      </w:pPr>
    </w:p>
    <w:p>
      <w:pPr>
        <w:ind w:left="540" w:right="619"/>
        <w:spacing w:after="0" w:line="237" w:lineRule="auto"/>
        <w:rPr>
          <w:sz w:val="20"/>
          <w:szCs w:val="20"/>
          <w:color w:val="auto"/>
        </w:rPr>
      </w:pPr>
      <w:r>
        <w:rPr>
          <w:rFonts w:ascii="Arial" w:cs="Arial" w:eastAsia="Arial" w:hAnsi="Arial"/>
          <w:sz w:val="18"/>
          <w:szCs w:val="18"/>
          <w:color w:val="auto"/>
        </w:rPr>
        <w:t>We believe that there is tremendous investor demand for IPOs in the biotechnology sector and that the COVID-19 pandemic has led to a renewed appreciation of the critical contributions the biotechnology sector makes to society, which in turn will continue to fuel investor demand. Given our sponsor’s track record of identifying, evaluating, and investing in leading biotechnology companies, we believe a business combination target we identify will benefit by partnering with us to go public.</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76" w:right="1440"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1203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7310" cy="8120380"/>
                    </a:xfrm>
                    <a:prstGeom prst="rect">
                      <a:avLst/>
                    </a:prstGeom>
                    <a:noFill/>
                  </pic:spPr>
                </pic:pic>
              </a:graphicData>
            </a:graphic>
          </wp:anchor>
        </w:drawing>
        <w:t>ACQUISITION STRATEGY</w:t>
      </w:r>
    </w:p>
    <w:p>
      <w:pPr>
        <w:spacing w:after="0" w:line="153" w:lineRule="exact"/>
        <w:rPr>
          <w:sz w:val="20"/>
          <w:szCs w:val="20"/>
          <w:color w:val="auto"/>
        </w:rPr>
      </w:pPr>
    </w:p>
    <w:p>
      <w:pPr>
        <w:ind w:left="540" w:right="579"/>
        <w:spacing w:after="0" w:line="236" w:lineRule="auto"/>
        <w:rPr>
          <w:sz w:val="20"/>
          <w:szCs w:val="20"/>
          <w:color w:val="auto"/>
        </w:rPr>
      </w:pPr>
      <w:r>
        <w:rPr>
          <w:rFonts w:ascii="Arial" w:cs="Arial" w:eastAsia="Arial" w:hAnsi="Arial"/>
          <w:sz w:val="18"/>
          <w:szCs w:val="18"/>
          <w:color w:val="auto"/>
        </w:rPr>
        <w:t>As Foresite Capital’s affiliate, we will benefit from our access to Foresite Capital’s infrastructure, personnel, network and relationships. Foresite Capital’s investment team is in regular contact with entrepreneurs, key opinion leaders, management teams, and contacts in the venture capital and investment banking communities to source new deals. Our robust screening and due diligence process includes numerous meetings or calls with management and leverages Foresite’s expansive network of key opinion leaders, healthcare company executives, entrepreneurs and leading academics. Foresite Capital has invested heavily in its team, information management systems and data science infrastructure, which we expect will provide us with substantial sourcing and analytical capabilities, as well as other capabilities (including clinical development, translational medicine, chemistry, biostatistics and data science) that would ordinarily be outsourced to specialized third-party consultants. Prospective target companies will need to pass rigorous due diligence criteria, which may include, but are not limited to:</w:t>
      </w:r>
    </w:p>
    <w:p>
      <w:pPr>
        <w:spacing w:after="0" w:line="28" w:lineRule="exact"/>
        <w:rPr>
          <w:sz w:val="20"/>
          <w:szCs w:val="20"/>
          <w:color w:val="auto"/>
        </w:rPr>
      </w:pPr>
    </w:p>
    <w:p>
      <w:pPr>
        <w:ind w:left="1140" w:hanging="272"/>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Compelling risk/reward proposition;</w:t>
      </w:r>
    </w:p>
    <w:p>
      <w:pPr>
        <w:spacing w:after="0" w:line="36" w:lineRule="exact"/>
        <w:rPr>
          <w:rFonts w:ascii="Arial" w:cs="Arial" w:eastAsia="Arial" w:hAnsi="Arial"/>
          <w:sz w:val="18"/>
          <w:szCs w:val="18"/>
          <w:color w:val="auto"/>
        </w:rPr>
      </w:pPr>
    </w:p>
    <w:p>
      <w:pPr>
        <w:ind w:left="1140" w:hanging="272"/>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market leading product;</w:t>
      </w:r>
    </w:p>
    <w:p>
      <w:pPr>
        <w:spacing w:after="0" w:line="22" w:lineRule="exact"/>
        <w:rPr>
          <w:rFonts w:ascii="Arial" w:cs="Arial" w:eastAsia="Arial" w:hAnsi="Arial"/>
          <w:sz w:val="18"/>
          <w:szCs w:val="18"/>
          <w:color w:val="auto"/>
        </w:rPr>
      </w:pPr>
    </w:p>
    <w:p>
      <w:pPr>
        <w:ind w:left="1140" w:hanging="272"/>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Addressing unmet medical need;</w:t>
      </w:r>
    </w:p>
    <w:p>
      <w:pPr>
        <w:spacing w:after="0" w:line="36" w:lineRule="exact"/>
        <w:rPr>
          <w:rFonts w:ascii="Arial" w:cs="Arial" w:eastAsia="Arial" w:hAnsi="Arial"/>
          <w:sz w:val="18"/>
          <w:szCs w:val="18"/>
          <w:color w:val="auto"/>
        </w:rPr>
      </w:pPr>
    </w:p>
    <w:p>
      <w:pPr>
        <w:ind w:left="1200" w:right="759" w:hanging="332"/>
        <w:spacing w:after="0"/>
        <w:tabs>
          <w:tab w:leader="none" w:pos="1139" w:val="left"/>
        </w:tabs>
        <w:numPr>
          <w:ilvl w:val="0"/>
          <w:numId w:val="6"/>
        </w:numPr>
        <w:rPr>
          <w:rFonts w:ascii="Arial" w:cs="Arial" w:eastAsia="Arial" w:hAnsi="Arial"/>
          <w:sz w:val="18"/>
          <w:szCs w:val="18"/>
          <w:color w:val="auto"/>
        </w:rPr>
      </w:pPr>
      <w:r>
        <w:rPr>
          <w:rFonts w:ascii="Arial" w:cs="Arial" w:eastAsia="Arial" w:hAnsi="Arial"/>
          <w:sz w:val="18"/>
          <w:szCs w:val="18"/>
          <w:color w:val="auto"/>
        </w:rPr>
        <w:t>Management team with experience in the public market (our management team has often previously worked with or known management of many of the companies in which they invest);</w:t>
      </w:r>
    </w:p>
    <w:p>
      <w:pPr>
        <w:spacing w:after="0" w:line="27" w:lineRule="exact"/>
        <w:rPr>
          <w:rFonts w:ascii="Arial" w:cs="Arial" w:eastAsia="Arial" w:hAnsi="Arial"/>
          <w:sz w:val="18"/>
          <w:szCs w:val="18"/>
          <w:color w:val="auto"/>
        </w:rPr>
      </w:pPr>
    </w:p>
    <w:p>
      <w:pPr>
        <w:ind w:left="1200" w:right="619" w:hanging="332"/>
        <w:spacing w:after="0" w:line="246" w:lineRule="auto"/>
        <w:tabs>
          <w:tab w:leader="none" w:pos="1139" w:val="left"/>
        </w:tabs>
        <w:numPr>
          <w:ilvl w:val="0"/>
          <w:numId w:val="6"/>
        </w:numPr>
        <w:rPr>
          <w:rFonts w:ascii="Arial" w:cs="Arial" w:eastAsia="Arial" w:hAnsi="Arial"/>
          <w:sz w:val="18"/>
          <w:szCs w:val="18"/>
          <w:color w:val="auto"/>
        </w:rPr>
      </w:pPr>
      <w:r>
        <w:rPr>
          <w:rFonts w:ascii="Arial" w:cs="Arial" w:eastAsia="Arial" w:hAnsi="Arial"/>
          <w:sz w:val="18"/>
          <w:szCs w:val="18"/>
          <w:color w:val="auto"/>
        </w:rPr>
        <w:t>Multiple assets with the ability to create value, diversifying risk, looking for multiple shots on goal; and</w:t>
      </w:r>
    </w:p>
    <w:p>
      <w:pPr>
        <w:spacing w:after="0" w:line="7" w:lineRule="exact"/>
        <w:rPr>
          <w:rFonts w:ascii="Arial" w:cs="Arial" w:eastAsia="Arial" w:hAnsi="Arial"/>
          <w:sz w:val="18"/>
          <w:szCs w:val="18"/>
          <w:color w:val="auto"/>
        </w:rPr>
      </w:pPr>
    </w:p>
    <w:p>
      <w:pPr>
        <w:ind w:left="1140" w:hanging="272"/>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Premier scientific and clinical leadership.</w:t>
      </w:r>
    </w:p>
    <w:p>
      <w:pPr>
        <w:spacing w:after="0" w:line="144" w:lineRule="exact"/>
        <w:rPr>
          <w:sz w:val="20"/>
          <w:szCs w:val="20"/>
          <w:color w:val="auto"/>
        </w:rPr>
      </w:pPr>
    </w:p>
    <w:p>
      <w:pPr>
        <w:ind w:left="540" w:right="559"/>
        <w:spacing w:after="0" w:line="235" w:lineRule="auto"/>
        <w:rPr>
          <w:sz w:val="20"/>
          <w:szCs w:val="20"/>
          <w:color w:val="auto"/>
        </w:rPr>
      </w:pPr>
      <w:r>
        <w:rPr>
          <w:rFonts w:ascii="Arial" w:cs="Arial" w:eastAsia="Arial" w:hAnsi="Arial"/>
          <w:sz w:val="18"/>
          <w:szCs w:val="18"/>
          <w:color w:val="auto"/>
        </w:rPr>
        <w:t>Foresite Capital has carefully curated a multidisciplinary investment team with deep, diverse and complementary experience in order to identify emerging leaders across the health economy, develop comprehensive, 360-degree views of companies and their unique risks, and help portfolio companies achieve technical success and reach liquidity. We believe that this purpose-built structure and process reduces biases and asymmetric information flows that may hamper decisions to enter and exit investments in traditional fund structures. Our management team, through its members’ shared experience at Foresite Capital, has significant and coordinated expertise including: (1) clinical and product development experience, which enables deep understanding and evaluation of every aspect of development and regulatory processes; (2) comprehensive commercialization experience across multiple healthcare sectors, which allows the team to evaluate the entire lifecycle of product launch and market adoption, as well as opportunities and structures for partnership and acquisitions; and (3) broad financing experience across investment banking, buy-side investing and venture capital and private equity investing, which enables the team to evaluate IPO and buyout opportunities and structure terms based on a deep understanding of the entire financing lifecycle.</w:t>
      </w:r>
    </w:p>
    <w:p>
      <w:pPr>
        <w:spacing w:after="0" w:line="14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Our Acquisition and Diligence Process includes:</w:t>
      </w:r>
    </w:p>
    <w:p>
      <w:pPr>
        <w:spacing w:after="0" w:line="23" w:lineRule="exact"/>
        <w:rPr>
          <w:sz w:val="20"/>
          <w:szCs w:val="20"/>
          <w:color w:val="auto"/>
        </w:rPr>
      </w:pPr>
    </w:p>
    <w:p>
      <w:pPr>
        <w:ind w:left="1140" w:hanging="272"/>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Scientific and clinical analysis, with assessment of clinical and regulatory success factors;</w:t>
      </w:r>
    </w:p>
    <w:p>
      <w:pPr>
        <w:spacing w:after="0" w:line="36" w:lineRule="exact"/>
        <w:rPr>
          <w:rFonts w:ascii="Arial" w:cs="Arial" w:eastAsia="Arial" w:hAnsi="Arial"/>
          <w:sz w:val="18"/>
          <w:szCs w:val="18"/>
          <w:color w:val="auto"/>
        </w:rPr>
      </w:pPr>
    </w:p>
    <w:p>
      <w:pPr>
        <w:ind w:left="1200" w:right="799" w:hanging="332"/>
        <w:spacing w:after="0" w:line="246" w:lineRule="auto"/>
        <w:tabs>
          <w:tab w:leader="none" w:pos="1139"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Review of market factors such as size, growth opportunity, competition, and development trends;</w:t>
      </w:r>
    </w:p>
    <w:p>
      <w:pPr>
        <w:spacing w:after="0" w:line="21" w:lineRule="exact"/>
        <w:rPr>
          <w:rFonts w:ascii="Arial" w:cs="Arial" w:eastAsia="Arial" w:hAnsi="Arial"/>
          <w:sz w:val="18"/>
          <w:szCs w:val="18"/>
          <w:color w:val="auto"/>
        </w:rPr>
      </w:pPr>
    </w:p>
    <w:p>
      <w:pPr>
        <w:ind w:left="1140" w:hanging="272"/>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Reimbursement review;</w:t>
      </w:r>
    </w:p>
    <w:p>
      <w:pPr>
        <w:spacing w:after="0" w:line="22" w:lineRule="exact"/>
        <w:rPr>
          <w:rFonts w:ascii="Arial" w:cs="Arial" w:eastAsia="Arial" w:hAnsi="Arial"/>
          <w:sz w:val="18"/>
          <w:szCs w:val="18"/>
          <w:color w:val="auto"/>
        </w:rPr>
      </w:pPr>
    </w:p>
    <w:p>
      <w:pPr>
        <w:ind w:left="1140" w:hanging="272"/>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Full review of proprietary technology content and intellectual property;</w:t>
      </w:r>
    </w:p>
    <w:p>
      <w:pPr>
        <w:spacing w:after="0" w:line="36" w:lineRule="exact"/>
        <w:rPr>
          <w:rFonts w:ascii="Arial" w:cs="Arial" w:eastAsia="Arial" w:hAnsi="Arial"/>
          <w:sz w:val="18"/>
          <w:szCs w:val="18"/>
          <w:color w:val="auto"/>
        </w:rPr>
      </w:pPr>
    </w:p>
    <w:p>
      <w:pPr>
        <w:ind w:left="1140" w:hanging="272"/>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Interviews with key opinion leaders, customers, competitors and industry experts;</w:t>
      </w:r>
    </w:p>
    <w:p>
      <w:pPr>
        <w:spacing w:after="0" w:line="36" w:lineRule="exact"/>
        <w:rPr>
          <w:rFonts w:ascii="Arial" w:cs="Arial" w:eastAsia="Arial" w:hAnsi="Arial"/>
          <w:sz w:val="18"/>
          <w:szCs w:val="18"/>
          <w:color w:val="auto"/>
        </w:rPr>
      </w:pPr>
    </w:p>
    <w:p>
      <w:pPr>
        <w:ind w:left="1200" w:right="1059" w:hanging="332"/>
        <w:spacing w:after="0" w:line="246" w:lineRule="auto"/>
        <w:tabs>
          <w:tab w:leader="none" w:pos="1139" w:val="left"/>
        </w:tabs>
        <w:numPr>
          <w:ilvl w:val="0"/>
          <w:numId w:val="7"/>
        </w:numPr>
        <w:rPr>
          <w:rFonts w:ascii="Arial" w:cs="Arial" w:eastAsia="Arial" w:hAnsi="Arial"/>
          <w:sz w:val="18"/>
          <w:szCs w:val="18"/>
          <w:color w:val="auto"/>
        </w:rPr>
      </w:pPr>
      <w:r>
        <w:rPr>
          <w:rFonts w:ascii="Arial" w:cs="Arial" w:eastAsia="Arial" w:hAnsi="Arial"/>
          <w:sz w:val="18"/>
          <w:szCs w:val="18"/>
          <w:color w:val="auto"/>
        </w:rPr>
        <w:t>Full financial evaluation including analysis of historical results and modeling of various scenarios including product launch forecasting;</w:t>
      </w:r>
    </w:p>
    <w:p>
      <w:pPr>
        <w:spacing w:after="0" w:line="7" w:lineRule="exact"/>
        <w:rPr>
          <w:rFonts w:ascii="Arial" w:cs="Arial" w:eastAsia="Arial" w:hAnsi="Arial"/>
          <w:sz w:val="18"/>
          <w:szCs w:val="18"/>
          <w:color w:val="auto"/>
        </w:rPr>
      </w:pPr>
    </w:p>
    <w:p>
      <w:pPr>
        <w:ind w:left="1140" w:hanging="272"/>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Review and evaluation of operations including R&amp;D, manufacturing, sales, and distribution;</w:t>
      </w:r>
    </w:p>
    <w:p>
      <w:pPr>
        <w:spacing w:after="0" w:line="36" w:lineRule="exact"/>
        <w:rPr>
          <w:rFonts w:ascii="Arial" w:cs="Arial" w:eastAsia="Arial" w:hAnsi="Arial"/>
          <w:sz w:val="18"/>
          <w:szCs w:val="18"/>
          <w:color w:val="auto"/>
        </w:rPr>
      </w:pPr>
    </w:p>
    <w:p>
      <w:pPr>
        <w:ind w:left="1200" w:right="799" w:hanging="332"/>
        <w:spacing w:after="0" w:line="246" w:lineRule="auto"/>
        <w:tabs>
          <w:tab w:leader="none" w:pos="1139" w:val="left"/>
        </w:tabs>
        <w:numPr>
          <w:ilvl w:val="0"/>
          <w:numId w:val="7"/>
        </w:numPr>
        <w:rPr>
          <w:rFonts w:ascii="Arial" w:cs="Arial" w:eastAsia="Arial" w:hAnsi="Arial"/>
          <w:sz w:val="18"/>
          <w:szCs w:val="18"/>
          <w:color w:val="auto"/>
        </w:rPr>
      </w:pPr>
      <w:r>
        <w:rPr>
          <w:rFonts w:ascii="Arial" w:cs="Arial" w:eastAsia="Arial" w:hAnsi="Arial"/>
          <w:sz w:val="18"/>
          <w:szCs w:val="18"/>
          <w:color w:val="auto"/>
        </w:rPr>
        <w:t>Identification of key milestones that will drive liquidity, and assessment of the likelihood of various paths to liquidity;</w:t>
      </w:r>
    </w:p>
    <w:p>
      <w:pPr>
        <w:spacing w:after="0" w:line="7" w:lineRule="exact"/>
        <w:rPr>
          <w:rFonts w:ascii="Arial" w:cs="Arial" w:eastAsia="Arial" w:hAnsi="Arial"/>
          <w:sz w:val="18"/>
          <w:szCs w:val="18"/>
          <w:color w:val="auto"/>
        </w:rPr>
      </w:pPr>
    </w:p>
    <w:p>
      <w:pPr>
        <w:ind w:left="1200" w:right="999" w:hanging="332"/>
        <w:spacing w:after="0" w:line="246" w:lineRule="auto"/>
        <w:tabs>
          <w:tab w:leader="none" w:pos="1139"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Preparation of a detailed financial forecast and potential cash-on-cash returns analysis using several scenarios of financial performance, structure and exit timing;</w:t>
      </w:r>
    </w:p>
    <w:p>
      <w:pPr>
        <w:spacing w:after="0" w:line="21" w:lineRule="exact"/>
        <w:rPr>
          <w:rFonts w:ascii="Arial" w:cs="Arial" w:eastAsia="Arial" w:hAnsi="Arial"/>
          <w:sz w:val="18"/>
          <w:szCs w:val="18"/>
          <w:color w:val="auto"/>
        </w:rPr>
      </w:pPr>
    </w:p>
    <w:p>
      <w:pPr>
        <w:ind w:left="1200" w:right="859" w:hanging="332"/>
        <w:spacing w:after="0" w:line="246" w:lineRule="auto"/>
        <w:tabs>
          <w:tab w:leader="none" w:pos="1139"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Comparison of a company’s progress against tracked prior meetings and its competition; and</w:t>
      </w:r>
    </w:p>
    <w:p>
      <w:pPr>
        <w:spacing w:after="0" w:line="21" w:lineRule="exact"/>
        <w:rPr>
          <w:rFonts w:ascii="Arial" w:cs="Arial" w:eastAsia="Arial" w:hAnsi="Arial"/>
          <w:sz w:val="18"/>
          <w:szCs w:val="18"/>
          <w:color w:val="auto"/>
        </w:rPr>
      </w:pPr>
    </w:p>
    <w:p>
      <w:pPr>
        <w:ind w:left="1200" w:right="1199" w:hanging="332"/>
        <w:spacing w:after="0" w:line="246" w:lineRule="auto"/>
        <w:tabs>
          <w:tab w:leader="none" w:pos="1139" w:val="left"/>
        </w:tabs>
        <w:numPr>
          <w:ilvl w:val="0"/>
          <w:numId w:val="7"/>
        </w:numPr>
        <w:rPr>
          <w:rFonts w:ascii="Arial" w:cs="Arial" w:eastAsia="Arial" w:hAnsi="Arial"/>
          <w:sz w:val="18"/>
          <w:szCs w:val="18"/>
          <w:color w:val="auto"/>
        </w:rPr>
      </w:pPr>
      <w:r>
        <w:rPr>
          <w:rFonts w:ascii="Arial" w:cs="Arial" w:eastAsia="Arial" w:hAnsi="Arial"/>
          <w:sz w:val="18"/>
          <w:szCs w:val="18"/>
          <w:color w:val="auto"/>
        </w:rPr>
        <w:t>Analysis of relevant and available data using advanced data science techniques (for example, claims analysis to identify potential patient population).</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35" w:right="1440" w:bottom="1440" w:gutter="0" w:footer="0" w:header="0"/>
        </w:sectPr>
      </w:pPr>
    </w:p>
    <w:bookmarkStart w:id="10" w:name="page11"/>
    <w:bookmarkEnd w:id="10"/>
    <w:p>
      <w:pPr>
        <w:ind w:left="540" w:right="579"/>
        <w:spacing w:after="0" w:line="23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2486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7310" cy="8248650"/>
                    </a:xfrm>
                    <a:prstGeom prst="rect">
                      <a:avLst/>
                    </a:prstGeom>
                    <a:noFill/>
                  </pic:spPr>
                </pic:pic>
              </a:graphicData>
            </a:graphic>
          </wp:anchor>
        </w:drawing>
        <w:t>Our management team will utilize the information management system of our affiliate, Foresite Capital, to track company progress, milestones, commercial KPIs, future financing needs and timing, action items, key risks and open items. Decisions to proceed with final negotiation and consummation of the initial business combination will be made by consensus of the management team after the completion of what we believe to be appropriate due diligence, which may encompass, among other things, meetings with incumbent management and employees, document reviews, interviews of customers and suppliers, inspections of facilities, as well as reviewing financial and other information which will be made available to us. The time required for the initial business combination to advance from sourcing to final approval will vary depending on the circumstances. If our management team or our affiliate, Foresite Capital, has been previously following a prospective target company and has identified key hurdles, open items, or pieces of data believed essential to making an investment, we will be able leverage these insights and move quickly when our requirements are met. These criteria are not intended to be exhaustive. Any evaluation relating to the merits of a particular initial business combination may be based, to the extent relevant, on these general guidelines as well as other considerations, factors and criteria that our management team may deem relevant. In the event that we decide to enter into our initial business combination with a target business that does not meet the above criteria and guidelines, we will disclose that the target business does not meet the above criteria in our stockholder communications related to our initial business combination, which, as discussed in this prospectus, would be in the form of proxy materials or tender offer documents, as applicable, that we would file with the SEC.</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INITIAL BUSINESS COMBINATION</w:t>
      </w:r>
    </w:p>
    <w:p>
      <w:pPr>
        <w:spacing w:after="0" w:line="166" w:lineRule="exact"/>
        <w:rPr>
          <w:sz w:val="20"/>
          <w:szCs w:val="20"/>
          <w:color w:val="auto"/>
        </w:rPr>
      </w:pPr>
    </w:p>
    <w:p>
      <w:pPr>
        <w:ind w:left="540" w:right="579"/>
        <w:spacing w:after="0" w:line="235" w:lineRule="auto"/>
        <w:rPr>
          <w:sz w:val="20"/>
          <w:szCs w:val="20"/>
          <w:color w:val="auto"/>
        </w:rPr>
      </w:pPr>
      <w:r>
        <w:rPr>
          <w:rFonts w:ascii="Arial" w:cs="Arial" w:eastAsia="Arial" w:hAnsi="Arial"/>
          <w:sz w:val="18"/>
          <w:szCs w:val="18"/>
          <w:color w:val="auto"/>
        </w:rPr>
        <w:t>Nasdaq rules require that we must complete one or more business combinations having an aggregate fair market value of at least 80% of the value of the assets held in the trust account (excluding the deferred underwriting commissions and taxes payable on the interest earned on the trust account) at the time of our signing a definitive agreement in connection with our initial business combination. Our board of directors will make the determination as to the fair market value of our initial business combination. If our board of directors is not able to independently determine the fair market value of our initial business combination, we will obtain an opinion from an independent investment banking firm which is a member of FINRA or a valuation or appraisal firm with respect to the satisfaction of such criteria. While we consider it unlikely that our board of directors will not be able to make an independent determination of the fair market value of our initial business combination, it may be unable to do so if it is less familiar or experienced with the business of a particular target or if there is a significant amount of uncertainty as to the value of the target’s assets or prospects. Additionally, pursuant to Nasdaq rules, any initial business combination must be approved by a majority of our independent directors.</w:t>
      </w:r>
    </w:p>
    <w:p>
      <w:pPr>
        <w:spacing w:after="0" w:line="146" w:lineRule="exact"/>
        <w:rPr>
          <w:sz w:val="20"/>
          <w:szCs w:val="20"/>
          <w:color w:val="auto"/>
        </w:rPr>
      </w:pPr>
    </w:p>
    <w:p>
      <w:pPr>
        <w:ind w:left="540" w:right="559"/>
        <w:spacing w:after="0" w:line="235" w:lineRule="auto"/>
        <w:rPr>
          <w:sz w:val="20"/>
          <w:szCs w:val="20"/>
          <w:color w:val="auto"/>
        </w:rPr>
      </w:pPr>
      <w:r>
        <w:rPr>
          <w:rFonts w:ascii="Arial" w:cs="Arial" w:eastAsia="Arial" w:hAnsi="Arial"/>
          <w:sz w:val="18"/>
          <w:szCs w:val="18"/>
          <w:color w:val="auto"/>
        </w:rPr>
        <w:t>We anticipate structuring our initial business combination so that the post-transaction company in which our public stockholders own shares will own or acquire 100% of the equity interests or assets of the target business or businesses. We may, however, structure our initial business combination such that the post-transaction company owns or acquires less than 100% of such interests or assets of the target business in order to meet certain objectives of the target management team or stockholders or for other reasons, but we will only complete such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of 1940, as amended, or the Investment Company Act. Even if the post-transaction company owns or acquires 50% or more of the voting securities of the target, our stockholders prior to the business combination may collectively own a minority interest in the post-transaction company, depending on valuations ascribed to the target and us in the business combination transaction. For example, we could pursue a transaction in which we issue a substantial number of new shares in exchange for all of the outstanding capital stock of a target. In this case, we would acquire a 100% controlling interest in the target. However, as a result of the issuance of a substantial number of new shares, our stockholders immediately prior to our initial business combination could own less than a majority of our issued and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taken into account for purposes of the 80% of net assets test described above. If the business combination involves more than one target business, the 80% of net assets test will be based on the aggregate value of all of the target businesses.</w:t>
      </w:r>
    </w:p>
    <w:p>
      <w:pPr>
        <w:sectPr>
          <w:pgSz w:w="11900" w:h="16838" w:orient="portrait"/>
          <w:cols w:equalWidth="0" w:num="1">
            <w:col w:w="9019"/>
          </w:cols>
          <w:pgMar w:left="1440" w:top="476"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76" w:right="1440" w:bottom="1440" w:gutter="0" w:footer="0" w:header="0"/>
          <w:type w:val="continuous"/>
        </w:sectPr>
      </w:pPr>
    </w:p>
    <w:bookmarkStart w:id="11" w:name="page12"/>
    <w:bookmarkEnd w:id="11"/>
    <w:p>
      <w:pPr>
        <w:ind w:left="540" w:right="559"/>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2315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7310" cy="8231505"/>
                    </a:xfrm>
                    <a:prstGeom prst="rect">
                      <a:avLst/>
                    </a:prstGeom>
                    <a:noFill/>
                  </pic:spPr>
                </pic:pic>
              </a:graphicData>
            </a:graphic>
          </wp:anchor>
        </w:drawing>
        <w:t>In addition, our sponsor has indicated an interest to purchase $25,000,000 of shares of our Class A common stock in a private placement that would occur concurrently with the consummation of our initial business combination. However, because indications of interest are not binding agreements or commitments to purchase, our sponsor may determine not to purchase any such shares, or to purchase fewer shares than it has indicated an interest in purchasing. Furthermore, we are not under any obligation to sell any such shares. If we sell shares to our sponsor (or any other investor) in connection with our initial business combination, the equity interest of investors in this offering in the combined company may be diluted and the market prices for our securities may be adversely affected. In addition, if the per share trading price of our shares of common stock is greater than the price per share paid in the private placement, the private placement will result in value dilution to you, in addition to the immediate dilution that you will experience in connection with the consummation of this offering. See “Dilution.”</w:t>
      </w:r>
    </w:p>
    <w:p>
      <w:pPr>
        <w:spacing w:after="0" w:line="136" w:lineRule="exact"/>
        <w:rPr>
          <w:sz w:val="20"/>
          <w:szCs w:val="20"/>
          <w:color w:val="auto"/>
        </w:rPr>
      </w:pPr>
    </w:p>
    <w:p>
      <w:pPr>
        <w:ind w:left="540" w:right="579"/>
        <w:spacing w:after="0" w:line="237" w:lineRule="auto"/>
        <w:rPr>
          <w:sz w:val="20"/>
          <w:szCs w:val="20"/>
          <w:color w:val="auto"/>
        </w:rPr>
      </w:pPr>
      <w:r>
        <w:rPr>
          <w:rFonts w:ascii="Arial" w:cs="Arial" w:eastAsia="Arial" w:hAnsi="Arial"/>
          <w:sz w:val="18"/>
          <w:szCs w:val="18"/>
          <w:color w:val="auto"/>
        </w:rPr>
        <w:t>Prior to the date of this prospectus, we will file a Registration Statement on Form 8-A with the SEC to voluntarily register our securities under Section 12 of the Securities Exchange Act of 1934, as amended, or the Exchange Act. As a result, we will be subject to the rules and regulations promulgated under the Exchange Act. We have no current intention of filing a Form 15 to suspend our reporting or other obligations under the Exchange Act prior or subsequent to the consummation of our initial business combination.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SOURCING OF POTENTIAL INITIAL BUSINESS COMBINATION TARGETS</w:t>
      </w:r>
    </w:p>
    <w:p>
      <w:pPr>
        <w:spacing w:after="0" w:line="166" w:lineRule="exact"/>
        <w:rPr>
          <w:sz w:val="20"/>
          <w:szCs w:val="20"/>
          <w:color w:val="auto"/>
        </w:rPr>
      </w:pPr>
    </w:p>
    <w:p>
      <w:pPr>
        <w:ind w:left="540" w:right="579"/>
        <w:spacing w:after="0" w:line="236" w:lineRule="auto"/>
        <w:rPr>
          <w:sz w:val="20"/>
          <w:szCs w:val="20"/>
          <w:color w:val="auto"/>
        </w:rPr>
      </w:pPr>
      <w:r>
        <w:rPr>
          <w:rFonts w:ascii="Arial" w:cs="Arial" w:eastAsia="Arial" w:hAnsi="Arial"/>
          <w:sz w:val="18"/>
          <w:szCs w:val="18"/>
          <w:color w:val="auto"/>
        </w:rPr>
        <w:t>We are not prohibited from pursuing an initial business combination with a company that is affiliated with our sponsor, executive officers or directors, or completing the business combination through a joint venture or other form of shared ownership with our sponsor, executive officers or directors. In the event we seek to complete an initial business combination with a target that is affiliated with our sponsor, executive officers or directors, we, or a committee of independent directors, would obtain an opinion from an independent investment banking firm which is a member of FINRA or a valuation or appraisal firm stating that such an initial business combination is fair to our company from a financial point of view.</w:t>
      </w:r>
    </w:p>
    <w:p>
      <w:pPr>
        <w:spacing w:after="0" w:line="127" w:lineRule="exact"/>
        <w:rPr>
          <w:sz w:val="20"/>
          <w:szCs w:val="20"/>
          <w:color w:val="auto"/>
        </w:rPr>
      </w:pPr>
    </w:p>
    <w:p>
      <w:pPr>
        <w:ind w:left="540" w:right="679"/>
        <w:spacing w:after="0" w:line="237" w:lineRule="auto"/>
        <w:rPr>
          <w:sz w:val="20"/>
          <w:szCs w:val="20"/>
          <w:color w:val="auto"/>
        </w:rPr>
      </w:pPr>
      <w:r>
        <w:rPr>
          <w:rFonts w:ascii="Arial" w:cs="Arial" w:eastAsia="Arial" w:hAnsi="Arial"/>
          <w:sz w:val="18"/>
          <w:szCs w:val="18"/>
          <w:color w:val="auto"/>
        </w:rPr>
        <w:t>Members of our management team and our independent directors will directly or indirectly own founder shares and/or private placement shares following this offering and, accordingly, may have a conflict of interest in determining whether a particular target business is an appropriate business with which to effectuate our initial business combination. Further, each of 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135" w:lineRule="exact"/>
        <w:rPr>
          <w:sz w:val="20"/>
          <w:szCs w:val="20"/>
          <w:color w:val="auto"/>
        </w:rPr>
      </w:pPr>
    </w:p>
    <w:p>
      <w:pPr>
        <w:ind w:left="540" w:right="619"/>
        <w:spacing w:after="0" w:line="235" w:lineRule="auto"/>
        <w:rPr>
          <w:sz w:val="20"/>
          <w:szCs w:val="20"/>
          <w:color w:val="auto"/>
        </w:rPr>
      </w:pPr>
      <w:r>
        <w:rPr>
          <w:rFonts w:ascii="Arial" w:cs="Arial" w:eastAsia="Arial" w:hAnsi="Arial"/>
          <w:sz w:val="18"/>
          <w:szCs w:val="18"/>
          <w:color w:val="auto"/>
        </w:rPr>
        <w:t>Each of our officers and directors presently has, and any of them in the future may have additional, fiduciary or contractual obligations to another entity pursuant to which such officer or director is or will be required to present a business combination opportunity to such entity. Accordingly, if any of our officers or directors becomes aware of a business combination opportunity which is suitable for an entity to which he or she has then current fiduciary or contractual obligations, he or she will honor his or her fiduciary or contractual obligations to present such business combination opportunity to such other entity. Our amended and restated certificate of incorporation will provide that we renounce our interest in any corporate opportunity offered to any director or officer unless such opportunity is expressly offered to such person solely in his or her capacity as a director or officer of the company and such opportunity is one we are legally and contractually permitted to undertake and would otherwise be reasonable for us to pursue, and to the extent the director or officer is permitted to refer that opportunity to us without violating another legal obligation. We do not believe, however, that the fiduciary duties or contractual obligations of our officers or directors will materially affect our ability to complete our initial business combination.</w:t>
      </w:r>
    </w:p>
    <w:p>
      <w:pPr>
        <w:spacing w:after="0" w:line="146" w:lineRule="exact"/>
        <w:rPr>
          <w:sz w:val="20"/>
          <w:szCs w:val="20"/>
          <w:color w:val="auto"/>
        </w:rPr>
      </w:pPr>
    </w:p>
    <w:p>
      <w:pPr>
        <w:ind w:left="540" w:right="699"/>
        <w:spacing w:after="0" w:line="237" w:lineRule="auto"/>
        <w:rPr>
          <w:sz w:val="20"/>
          <w:szCs w:val="20"/>
          <w:color w:val="auto"/>
        </w:rPr>
      </w:pPr>
      <w:r>
        <w:rPr>
          <w:rFonts w:ascii="Arial" w:cs="Arial" w:eastAsia="Arial" w:hAnsi="Arial"/>
          <w:sz w:val="18"/>
          <w:szCs w:val="18"/>
          <w:color w:val="auto"/>
        </w:rPr>
        <w:t>In addition, our sponsor and our officers and directors may sponsor or form other special purpose acquisition companies similar to ours or may pursue other business or investment ventures during the period in which we are seeking an initial business combination. Any such companies, businesses or investments may present additional conflicts of interest in pursuing an initial business combination. However, we do not believe that any such potential conflicts would materially affect our ability to complete our initial business combination.</w:t>
      </w:r>
    </w:p>
    <w:p>
      <w:pPr>
        <w:spacing w:after="0" w:line="124" w:lineRule="exact"/>
        <w:rPr>
          <w:sz w:val="20"/>
          <w:szCs w:val="20"/>
          <w:color w:val="auto"/>
        </w:rPr>
      </w:pPr>
    </w:p>
    <w:p>
      <w:pPr>
        <w:ind w:left="540" w:right="1019"/>
        <w:spacing w:after="0" w:line="246" w:lineRule="auto"/>
        <w:rPr>
          <w:sz w:val="20"/>
          <w:szCs w:val="20"/>
          <w:color w:val="auto"/>
        </w:rPr>
      </w:pPr>
      <w:r>
        <w:rPr>
          <w:rFonts w:ascii="Arial" w:cs="Arial" w:eastAsia="Arial" w:hAnsi="Arial"/>
          <w:sz w:val="18"/>
          <w:szCs w:val="18"/>
          <w:color w:val="auto"/>
        </w:rPr>
        <w:t>Unlike other SPAC IPOs, investors in this offering will not receive warrants that would become exercisable following completion of our initial business combination.</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76" w:right="1440"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52228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7310" cy="5222875"/>
                    </a:xfrm>
                    <a:prstGeom prst="rect">
                      <a:avLst/>
                    </a:prstGeom>
                    <a:noFill/>
                  </pic:spPr>
                </pic:pic>
              </a:graphicData>
            </a:graphic>
          </wp:anchor>
        </w:drawing>
        <w:t>CORPORATE INFORMATION</w:t>
      </w:r>
    </w:p>
    <w:p>
      <w:pPr>
        <w:spacing w:after="0" w:line="153" w:lineRule="exact"/>
        <w:rPr>
          <w:sz w:val="20"/>
          <w:szCs w:val="20"/>
          <w:color w:val="auto"/>
        </w:rPr>
      </w:pPr>
    </w:p>
    <w:p>
      <w:pPr>
        <w:ind w:left="540" w:right="659"/>
        <w:spacing w:after="0" w:line="246" w:lineRule="auto"/>
        <w:rPr>
          <w:sz w:val="20"/>
          <w:szCs w:val="20"/>
          <w:color w:val="auto"/>
        </w:rPr>
      </w:pPr>
      <w:r>
        <w:rPr>
          <w:rFonts w:ascii="Arial" w:cs="Arial" w:eastAsia="Arial" w:hAnsi="Arial"/>
          <w:sz w:val="18"/>
          <w:szCs w:val="18"/>
          <w:color w:val="auto"/>
        </w:rPr>
        <w:t>Our executive offices are located at 600 Montgomery Street, Suite 4500, San Francisco, California 94111, and our telephone number is (415) 877-4887.</w:t>
      </w:r>
    </w:p>
    <w:p>
      <w:pPr>
        <w:spacing w:after="0" w:line="129" w:lineRule="exact"/>
        <w:rPr>
          <w:sz w:val="20"/>
          <w:szCs w:val="20"/>
          <w:color w:val="auto"/>
        </w:rPr>
      </w:pPr>
    </w:p>
    <w:p>
      <w:pPr>
        <w:ind w:left="540" w:right="559"/>
        <w:spacing w:after="0" w:line="236" w:lineRule="auto"/>
        <w:rPr>
          <w:sz w:val="20"/>
          <w:szCs w:val="20"/>
          <w:color w:val="auto"/>
        </w:rPr>
      </w:pPr>
      <w:r>
        <w:rPr>
          <w:rFonts w:ascii="Arial" w:cs="Arial" w:eastAsia="Arial" w:hAnsi="Arial"/>
          <w:sz w:val="18"/>
          <w:szCs w:val="18"/>
          <w:color w:val="auto"/>
        </w:rPr>
        <w:t>We are an “emerging growth company,” as defined in Section 2(a) of the Securities Act, as modified by the Jumpstart Our Business Startups Act of 2012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37" w:lineRule="exact"/>
        <w:rPr>
          <w:sz w:val="20"/>
          <w:szCs w:val="20"/>
          <w:color w:val="auto"/>
        </w:rPr>
      </w:pPr>
    </w:p>
    <w:p>
      <w:pPr>
        <w:ind w:left="540" w:right="559"/>
        <w:spacing w:after="0" w:line="237"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24" w:lineRule="exact"/>
        <w:rPr>
          <w:sz w:val="20"/>
          <w:szCs w:val="20"/>
          <w:color w:val="auto"/>
        </w:rPr>
      </w:pPr>
    </w:p>
    <w:p>
      <w:pPr>
        <w:ind w:left="540" w:right="579"/>
        <w:spacing w:after="0" w:line="237" w:lineRule="auto"/>
        <w:rPr>
          <w:sz w:val="20"/>
          <w:szCs w:val="20"/>
          <w:color w:val="auto"/>
        </w:rPr>
      </w:pPr>
      <w:r>
        <w:rPr>
          <w:rFonts w:ascii="Arial" w:cs="Arial" w:eastAsia="Arial" w:hAnsi="Arial"/>
          <w:sz w:val="18"/>
          <w:szCs w:val="18"/>
          <w:color w:val="auto"/>
        </w:rPr>
        <w:t>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Class A common stock that is held by non-affiliates exceeds $700 million as of the prior June 30, and (2) the date on which we have issued more than $1.0 billion in non-convertible debt securities during the prior three-year period. References herein to “emerging growth company” will have the meaning associated with it in the JOBS Act.</w:t>
      </w:r>
    </w:p>
    <w:p>
      <w:pPr>
        <w:spacing w:after="0" w:line="135" w:lineRule="exact"/>
        <w:rPr>
          <w:sz w:val="20"/>
          <w:szCs w:val="20"/>
          <w:color w:val="auto"/>
        </w:rPr>
      </w:pPr>
    </w:p>
    <w:p>
      <w:pPr>
        <w:ind w:left="540" w:right="719"/>
        <w:spacing w:after="0" w:line="242" w:lineRule="auto"/>
        <w:rPr>
          <w:sz w:val="20"/>
          <w:szCs w:val="20"/>
          <w:color w:val="auto"/>
        </w:rPr>
      </w:pPr>
      <w:r>
        <w:rPr>
          <w:rFonts w:ascii="Arial" w:cs="Arial" w:eastAsia="Arial" w:hAnsi="Arial"/>
          <w:sz w:val="17"/>
          <w:szCs w:val="17"/>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stock held by non-affiliates exceeds $250 million as of the prior June 30</w:t>
      </w:r>
      <w:r>
        <w:rPr>
          <w:rFonts w:ascii="Arial" w:cs="Arial" w:eastAsia="Arial" w:hAnsi="Arial"/>
          <w:sz w:val="19"/>
          <w:szCs w:val="19"/>
          <w:color w:val="auto"/>
          <w:vertAlign w:val="superscript"/>
        </w:rPr>
        <w:t>th</w:t>
      </w:r>
      <w:r>
        <w:rPr>
          <w:rFonts w:ascii="Arial" w:cs="Arial" w:eastAsia="Arial" w:hAnsi="Arial"/>
          <w:sz w:val="17"/>
          <w:szCs w:val="17"/>
          <w:color w:val="auto"/>
        </w:rPr>
        <w:t>, or</w:t>
      </w:r>
    </w:p>
    <w:p>
      <w:pPr>
        <w:spacing w:after="0" w:line="4" w:lineRule="exact"/>
        <w:rPr>
          <w:sz w:val="20"/>
          <w:szCs w:val="20"/>
          <w:color w:val="auto"/>
        </w:rPr>
      </w:pPr>
    </w:p>
    <w:p>
      <w:pPr>
        <w:ind w:left="540" w:right="759" w:firstLine="4"/>
        <w:spacing w:after="0" w:line="274" w:lineRule="auto"/>
        <w:tabs>
          <w:tab w:leader="none" w:pos="81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annual revenues exceeded $100 million during such completed fiscal year and the market value of our common stock held by non-affiliates exceeds $700 million as of the prior June 30.</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535" w:right="1440"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69202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7310" cy="6920230"/>
                    </a:xfrm>
                    <a:prstGeom prst="rect">
                      <a:avLst/>
                    </a:prstGeom>
                    <a:noFill/>
                  </pic:spPr>
                </pic:pic>
              </a:graphicData>
            </a:graphic>
          </wp:anchor>
        </w:drawing>
        <w:t>THE OFFERING</w:t>
      </w:r>
    </w:p>
    <w:p>
      <w:pPr>
        <w:spacing w:after="0" w:line="234" w:lineRule="exact"/>
        <w:rPr>
          <w:sz w:val="20"/>
          <w:szCs w:val="20"/>
          <w:color w:val="auto"/>
        </w:rPr>
      </w:pPr>
    </w:p>
    <w:p>
      <w:pPr>
        <w:ind w:left="540" w:right="779"/>
        <w:spacing w:after="0" w:line="237" w:lineRule="auto"/>
        <w:rPr>
          <w:sz w:val="20"/>
          <w:szCs w:val="20"/>
          <w:color w:val="auto"/>
        </w:rPr>
      </w:pPr>
      <w:r>
        <w:rPr>
          <w:rFonts w:ascii="Arial" w:cs="Arial" w:eastAsia="Arial" w:hAnsi="Arial"/>
          <w:sz w:val="18"/>
          <w:szCs w:val="18"/>
          <w:color w:val="auto"/>
        </w:rPr>
        <w:t>In making your decision on whether to invest in our Class A common stock, you should take into account not only the backgrounds of the members of our management team, but also the special risks we face as a blank check company and the fact that this offering is not being conducted in compliance with Rule 419 promulgated under the Securities Act. You will not be entitled to protections normally afforded to investors in Rule 419 blank check offerings. You should carefully consider these and the other risks set forth in the section below entitled “Risk Factors” in this prospectus.</w:t>
      </w:r>
    </w:p>
    <w:p>
      <w:pPr>
        <w:sectPr>
          <w:pgSz w:w="11900" w:h="16838" w:orient="portrait"/>
          <w:cols w:equalWidth="0" w:num="1">
            <w:col w:w="9019"/>
          </w:cols>
          <w:pgMar w:left="1440" w:top="535" w:right="1440" w:bottom="1440" w:gutter="0" w:footer="0" w:header="0"/>
        </w:sectPr>
      </w:pPr>
    </w:p>
    <w:p>
      <w:pPr>
        <w:spacing w:after="0" w:line="162" w:lineRule="exact"/>
        <w:rPr>
          <w:sz w:val="20"/>
          <w:szCs w:val="20"/>
          <w:color w:val="auto"/>
        </w:rPr>
      </w:pPr>
    </w:p>
    <w:p>
      <w:pPr>
        <w:ind w:left="720" w:hanging="179"/>
        <w:spacing w:after="0" w:line="246" w:lineRule="auto"/>
        <w:rPr>
          <w:sz w:val="20"/>
          <w:szCs w:val="20"/>
          <w:color w:val="auto"/>
        </w:rPr>
      </w:pPr>
      <w:r>
        <w:rPr>
          <w:rFonts w:ascii="Arial" w:cs="Arial" w:eastAsia="Arial" w:hAnsi="Arial"/>
          <w:sz w:val="18"/>
          <w:szCs w:val="18"/>
          <w:color w:val="auto"/>
        </w:rPr>
        <w:t>Shares of Class A common stock offered</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right="739"/>
        <w:spacing w:after="0"/>
        <w:rPr>
          <w:sz w:val="20"/>
          <w:szCs w:val="20"/>
          <w:color w:val="auto"/>
        </w:rPr>
      </w:pPr>
      <w:r>
        <w:rPr>
          <w:rFonts w:ascii="Arial" w:cs="Arial" w:eastAsia="Arial" w:hAnsi="Arial"/>
          <w:sz w:val="18"/>
          <w:szCs w:val="18"/>
          <w:color w:val="auto"/>
        </w:rPr>
        <w:t>10,000,000 shares (or 11,500,000 shares if the underwriter’s over-allotment option is exercised in full), at $10.00 per share.</w:t>
      </w:r>
    </w:p>
    <w:p>
      <w:pPr>
        <w:spacing w:after="0" w:line="176" w:lineRule="exact"/>
        <w:rPr>
          <w:sz w:val="20"/>
          <w:szCs w:val="20"/>
          <w:color w:val="auto"/>
        </w:rPr>
      </w:pPr>
    </w:p>
    <w:p>
      <w:pPr>
        <w:sectPr>
          <w:pgSz w:w="11900" w:h="16838" w:orient="portrait"/>
          <w:cols w:equalWidth="0" w:num="2">
            <w:col w:w="3200" w:space="520"/>
            <w:col w:w="5299"/>
          </w:cols>
          <w:pgMar w:left="1440" w:top="535" w:right="1440" w:bottom="1440" w:gutter="0" w:footer="0" w:header="0"/>
          <w:type w:val="continuous"/>
        </w:sectPr>
      </w:pPr>
    </w:p>
    <w:p>
      <w:pPr>
        <w:ind w:left="540"/>
        <w:spacing w:after="0"/>
        <w:rPr>
          <w:sz w:val="20"/>
          <w:szCs w:val="20"/>
          <w:color w:val="auto"/>
        </w:rPr>
      </w:pPr>
      <w:r>
        <w:rPr>
          <w:rFonts w:ascii="Arial" w:cs="Arial" w:eastAsia="Arial" w:hAnsi="Arial"/>
          <w:sz w:val="18"/>
          <w:szCs w:val="18"/>
          <w:color w:val="auto"/>
        </w:rPr>
        <w:t>Nasdaq symbols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“FSDC”</w:t>
      </w:r>
    </w:p>
    <w:p>
      <w:pPr>
        <w:spacing w:after="0" w:line="185" w:lineRule="exact"/>
        <w:rPr>
          <w:sz w:val="20"/>
          <w:szCs w:val="20"/>
          <w:color w:val="auto"/>
        </w:rPr>
      </w:pPr>
    </w:p>
    <w:p>
      <w:pPr>
        <w:sectPr>
          <w:pgSz w:w="11900" w:h="16838" w:orient="portrait"/>
          <w:cols w:equalWidth="0" w:num="2">
            <w:col w:w="3000" w:space="720"/>
            <w:col w:w="5299"/>
          </w:cols>
          <w:pgMar w:left="1440" w:top="535" w:right="1440" w:bottom="1440" w:gutter="0" w:footer="0" w:header="0"/>
          <w:type w:val="continuous"/>
        </w:sectPr>
      </w:pPr>
    </w:p>
    <w:p>
      <w:pPr>
        <w:ind w:left="540"/>
        <w:spacing w:after="0"/>
        <w:rPr>
          <w:sz w:val="20"/>
          <w:szCs w:val="20"/>
          <w:color w:val="auto"/>
        </w:rPr>
      </w:pPr>
      <w:r>
        <w:rPr>
          <w:rFonts w:ascii="Arial" w:cs="Arial" w:eastAsia="Arial" w:hAnsi="Arial"/>
          <w:sz w:val="17"/>
          <w:szCs w:val="17"/>
          <w:color w:val="auto"/>
        </w:rPr>
        <w:t>Trading commencement</w:t>
      </w:r>
    </w:p>
    <w:p>
      <w:pPr>
        <w:spacing w:after="0" w:line="20" w:lineRule="exact"/>
        <w:rPr>
          <w:sz w:val="20"/>
          <w:szCs w:val="20"/>
          <w:color w:val="auto"/>
        </w:rPr>
      </w:pPr>
      <w:r>
        <w:rPr>
          <w:sz w:val="20"/>
          <w:szCs w:val="20"/>
          <w:color w:val="auto"/>
        </w:rPr>
        <w:br w:type="column"/>
      </w:r>
    </w:p>
    <w:p>
      <w:pPr>
        <w:ind w:right="1019"/>
        <w:spacing w:after="0"/>
        <w:rPr>
          <w:sz w:val="20"/>
          <w:szCs w:val="20"/>
          <w:color w:val="auto"/>
        </w:rPr>
      </w:pPr>
      <w:r>
        <w:rPr>
          <w:rFonts w:ascii="Arial" w:cs="Arial" w:eastAsia="Arial" w:hAnsi="Arial"/>
          <w:sz w:val="18"/>
          <w:szCs w:val="18"/>
          <w:color w:val="auto"/>
        </w:rPr>
        <w:t>The shares of Class A common stock are expected to begin trading on or promptly after the date of this prospectus.</w:t>
      </w:r>
    </w:p>
    <w:p>
      <w:pPr>
        <w:spacing w:after="0" w:line="176" w:lineRule="exact"/>
        <w:rPr>
          <w:sz w:val="20"/>
          <w:szCs w:val="20"/>
          <w:color w:val="auto"/>
        </w:rPr>
      </w:pPr>
    </w:p>
    <w:p>
      <w:pPr>
        <w:sectPr>
          <w:pgSz w:w="11900" w:h="16838" w:orient="portrait"/>
          <w:cols w:equalWidth="0" w:num="2">
            <w:col w:w="3000" w:space="720"/>
            <w:col w:w="5299"/>
          </w:cols>
          <w:pgMar w:left="1440" w:top="535" w:right="1440" w:bottom="1440" w:gutter="0" w:footer="0" w:header="0"/>
          <w:type w:val="continuous"/>
        </w:sectPr>
      </w:pPr>
    </w:p>
    <w:p>
      <w:pPr>
        <w:jc w:val="center"/>
        <w:ind w:left="540"/>
        <w:spacing w:after="0"/>
        <w:rPr>
          <w:sz w:val="20"/>
          <w:szCs w:val="20"/>
          <w:color w:val="auto"/>
        </w:rPr>
      </w:pPr>
      <w:r>
        <w:rPr>
          <w:rFonts w:ascii="Arial" w:cs="Arial" w:eastAsia="Arial" w:hAnsi="Arial"/>
          <w:sz w:val="17"/>
          <w:szCs w:val="17"/>
          <w:color w:val="auto"/>
        </w:rPr>
        <w:t>Number of shares of common stock</w:t>
      </w:r>
    </w:p>
    <w:p>
      <w:pPr>
        <w:spacing w:after="0" w:line="7"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outstanding before this offering</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2,875,000</w:t>
      </w:r>
      <w:r>
        <w:rPr>
          <w:rFonts w:ascii="Arial" w:cs="Arial" w:eastAsia="Arial" w:hAnsi="Arial"/>
          <w:sz w:val="10"/>
          <w:szCs w:val="10"/>
          <w:color w:val="auto"/>
        </w:rPr>
        <w:t>(2)(3)</w:t>
      </w:r>
    </w:p>
    <w:p>
      <w:pPr>
        <w:spacing w:after="0" w:line="185" w:lineRule="exact"/>
        <w:rPr>
          <w:sz w:val="20"/>
          <w:szCs w:val="20"/>
          <w:color w:val="auto"/>
        </w:rPr>
      </w:pPr>
    </w:p>
    <w:p>
      <w:pPr>
        <w:sectPr>
          <w:pgSz w:w="11900" w:h="16838" w:orient="portrait"/>
          <w:cols w:equalWidth="0" w:num="2">
            <w:col w:w="3380" w:space="340"/>
            <w:col w:w="5299"/>
          </w:cols>
          <w:pgMar w:left="1440" w:top="535" w:right="1440" w:bottom="1440" w:gutter="0" w:footer="0" w:header="0"/>
          <w:type w:val="continuous"/>
        </w:sectPr>
      </w:pPr>
    </w:p>
    <w:p>
      <w:pPr>
        <w:ind w:left="720" w:hanging="179"/>
        <w:spacing w:after="0" w:line="274" w:lineRule="auto"/>
        <w:rPr>
          <w:sz w:val="20"/>
          <w:szCs w:val="20"/>
          <w:color w:val="auto"/>
        </w:rPr>
      </w:pPr>
      <w:r>
        <w:rPr>
          <w:rFonts w:ascii="Arial" w:cs="Arial" w:eastAsia="Arial" w:hAnsi="Arial"/>
          <w:sz w:val="17"/>
          <w:szCs w:val="17"/>
          <w:color w:val="auto"/>
        </w:rPr>
        <w:t>Number of shares of common stock outstanding after this offering</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12,900,000</w:t>
      </w:r>
      <w:r>
        <w:rPr>
          <w:rFonts w:ascii="Arial" w:cs="Arial" w:eastAsia="Arial" w:hAnsi="Arial"/>
          <w:sz w:val="10"/>
          <w:szCs w:val="10"/>
          <w:color w:val="auto"/>
        </w:rPr>
        <w:t>(1)(3)(4)(5)</w:t>
      </w:r>
    </w:p>
    <w:p>
      <w:pPr>
        <w:spacing w:after="0" w:line="184" w:lineRule="exact"/>
        <w:rPr>
          <w:sz w:val="20"/>
          <w:szCs w:val="20"/>
          <w:color w:val="auto"/>
        </w:rPr>
      </w:pPr>
    </w:p>
    <w:p>
      <w:pPr>
        <w:sectPr>
          <w:pgSz w:w="11900" w:h="16838" w:orient="portrait"/>
          <w:cols w:equalWidth="0" w:num="2">
            <w:col w:w="3380" w:space="340"/>
            <w:col w:w="5299"/>
          </w:cols>
          <w:pgMar w:left="1440" w:top="535" w:right="1440" w:bottom="1440" w:gutter="0" w:footer="0" w:header="0"/>
          <w:type w:val="continuous"/>
        </w:sectPr>
      </w:pPr>
    </w:p>
    <w:p>
      <w:pPr>
        <w:ind w:left="540"/>
        <w:spacing w:after="0"/>
        <w:rPr>
          <w:sz w:val="20"/>
          <w:szCs w:val="20"/>
          <w:color w:val="auto"/>
        </w:rPr>
      </w:pPr>
      <w:r>
        <w:rPr>
          <w:rFonts w:ascii="Arial" w:cs="Arial" w:eastAsia="Arial" w:hAnsi="Arial"/>
          <w:sz w:val="17"/>
          <w:szCs w:val="17"/>
          <w:color w:val="auto"/>
        </w:rPr>
        <w:t>Indication of Interest</w:t>
      </w:r>
    </w:p>
    <w:p>
      <w:pPr>
        <w:spacing w:after="0" w:line="20" w:lineRule="exact"/>
        <w:rPr>
          <w:sz w:val="20"/>
          <w:szCs w:val="20"/>
          <w:color w:val="auto"/>
        </w:rPr>
      </w:pPr>
      <w:r>
        <w:rPr>
          <w:sz w:val="20"/>
          <w:szCs w:val="20"/>
          <w:color w:val="auto"/>
        </w:rPr>
        <w:br w:type="column"/>
      </w:r>
    </w:p>
    <w:p>
      <w:pPr>
        <w:ind w:right="599"/>
        <w:spacing w:after="0" w:line="235" w:lineRule="auto"/>
        <w:rPr>
          <w:sz w:val="20"/>
          <w:szCs w:val="20"/>
          <w:color w:val="auto"/>
        </w:rPr>
      </w:pPr>
      <w:r>
        <w:rPr>
          <w:rFonts w:ascii="Arial" w:cs="Arial" w:eastAsia="Arial" w:hAnsi="Arial"/>
          <w:sz w:val="18"/>
          <w:szCs w:val="18"/>
          <w:color w:val="auto"/>
        </w:rPr>
        <w:t>Our sponsor has indicated an interest to purchase an aggregate of $ 25,000,000 of shares of our Class A common stock in a private placement that would occur concurrently with the consummation of our initial business combination. The capital from such private placement would be used as part of the consideration to the sellers in our initial business combination, and any excess capital from such private placement would be used for working capital in the post-transaction company. However, because indications of interest are not binding agreements or commitments to purchase, our sponsor may determine not to purchase any such shares, or to purchase fewer shares than it has indicated an interest in purchasing. We are not under any obligation to sell any such shares. Such investment would be made on terms and conditions determined at the time of the business combination.</w:t>
      </w:r>
    </w:p>
    <w:p>
      <w:pPr>
        <w:spacing w:after="0" w:line="94" w:lineRule="exact"/>
        <w:rPr>
          <w:sz w:val="20"/>
          <w:szCs w:val="20"/>
          <w:color w:val="auto"/>
        </w:rPr>
      </w:pPr>
    </w:p>
    <w:p>
      <w:pPr>
        <w:sectPr>
          <w:pgSz w:w="11900" w:h="16838" w:orient="portrait"/>
          <w:cols w:equalWidth="0" w:num="2">
            <w:col w:w="3000" w:space="720"/>
            <w:col w:w="5299"/>
          </w:cols>
          <w:pgMar w:left="1440" w:top="535" w:right="1440" w:bottom="1440" w:gutter="0" w:footer="0" w:header="0"/>
          <w:type w:val="continuous"/>
        </w:sectPr>
      </w:pPr>
    </w:p>
    <w:p>
      <w:pPr>
        <w:ind w:left="540"/>
        <w:spacing w:after="0"/>
        <w:rPr>
          <w:sz w:val="20"/>
          <w:szCs w:val="20"/>
          <w:color w:val="auto"/>
        </w:rPr>
      </w:pPr>
      <w:r>
        <w:rPr>
          <w:rFonts w:ascii="Arial" w:cs="Arial" w:eastAsia="Arial" w:hAnsi="Arial"/>
          <w:sz w:val="16"/>
          <w:szCs w:val="16"/>
          <w:color w:val="auto"/>
        </w:rPr>
        <w:t>____________</w:t>
      </w:r>
    </w:p>
    <w:p>
      <w:pPr>
        <w:sectPr>
          <w:pgSz w:w="11900" w:h="16838" w:orient="portrait"/>
          <w:cols w:equalWidth="0" w:num="1">
            <w:col w:w="9019"/>
          </w:cols>
          <w:pgMar w:left="1440" w:top="535" w:right="1440" w:bottom="1440" w:gutter="0" w:footer="0" w:header="0"/>
          <w:type w:val="continuous"/>
        </w:sectPr>
      </w:pPr>
    </w:p>
    <w:p>
      <w:pPr>
        <w:spacing w:after="0" w:line="92" w:lineRule="exact"/>
        <w:rPr>
          <w:sz w:val="20"/>
          <w:szCs w:val="20"/>
          <w:color w:val="auto"/>
        </w:rPr>
      </w:pPr>
    </w:p>
    <w:p>
      <w:pPr>
        <w:ind w:left="980" w:right="859" w:hanging="436"/>
        <w:spacing w:after="0" w:line="216" w:lineRule="auto"/>
        <w:tabs>
          <w:tab w:leader="none" w:pos="940" w:val="left"/>
        </w:tabs>
        <w:numPr>
          <w:ilvl w:val="0"/>
          <w:numId w:val="9"/>
        </w:numPr>
        <w:rPr>
          <w:rFonts w:ascii="Arial" w:cs="Arial" w:eastAsia="Arial" w:hAnsi="Arial"/>
          <w:sz w:val="13"/>
          <w:szCs w:val="13"/>
          <w:color w:val="auto"/>
        </w:rPr>
      </w:pPr>
      <w:r>
        <w:rPr>
          <w:rFonts w:ascii="Arial" w:cs="Arial" w:eastAsia="Arial" w:hAnsi="Arial"/>
          <w:sz w:val="13"/>
          <w:szCs w:val="13"/>
          <w:color w:val="auto"/>
        </w:rPr>
        <w:t>Assumes no exercise of the underwriters’ over-allotment option and the forfeiture of 375,000 founder shares by our sponsor for no consideration.</w:t>
      </w:r>
    </w:p>
    <w:p>
      <w:pPr>
        <w:ind w:left="980" w:right="759" w:hanging="436"/>
        <w:spacing w:after="0" w:line="216" w:lineRule="auto"/>
        <w:tabs>
          <w:tab w:leader="none" w:pos="947" w:val="left"/>
        </w:tabs>
        <w:numPr>
          <w:ilvl w:val="0"/>
          <w:numId w:val="9"/>
        </w:numPr>
        <w:rPr>
          <w:rFonts w:ascii="Arial" w:cs="Arial" w:eastAsia="Arial" w:hAnsi="Arial"/>
          <w:sz w:val="13"/>
          <w:szCs w:val="13"/>
          <w:color w:val="auto"/>
        </w:rPr>
      </w:pPr>
      <w:r>
        <w:rPr>
          <w:rFonts w:ascii="Arial" w:cs="Arial" w:eastAsia="Arial" w:hAnsi="Arial"/>
          <w:sz w:val="13"/>
          <w:szCs w:val="13"/>
          <w:color w:val="auto"/>
        </w:rPr>
        <w:t>Includes up to 375,000 founder shares that will be forfeited by our sponsor depending on the extent to which the underwriters’ over-allotment option is exercised.</w:t>
      </w:r>
    </w:p>
    <w:p>
      <w:pPr>
        <w:ind w:left="980" w:right="659" w:hanging="436"/>
        <w:spacing w:after="0" w:line="234" w:lineRule="auto"/>
        <w:tabs>
          <w:tab w:leader="none" w:pos="947" w:val="left"/>
        </w:tabs>
        <w:numPr>
          <w:ilvl w:val="0"/>
          <w:numId w:val="9"/>
        </w:numPr>
        <w:rPr>
          <w:rFonts w:ascii="Arial" w:cs="Arial" w:eastAsia="Arial" w:hAnsi="Arial"/>
          <w:sz w:val="12"/>
          <w:szCs w:val="12"/>
          <w:color w:val="auto"/>
        </w:rPr>
      </w:pPr>
      <w:r>
        <w:rPr>
          <w:rFonts w:ascii="Arial" w:cs="Arial" w:eastAsia="Arial" w:hAnsi="Arial"/>
          <w:sz w:val="12"/>
          <w:szCs w:val="12"/>
          <w:color w:val="auto"/>
        </w:rPr>
        <w:t>Founder shares are currently classified as shares of Class B common stock, which shares will automatically convert into shares of Class A common stock concurrently with or immediately following the consummation of our initial business combination on a one-for-one basis, subject to adjustment as described below adjacent to the caption “Founder shares conversion and anti-dilution rights.”</w:t>
      </w:r>
    </w:p>
    <w:p>
      <w:pPr>
        <w:spacing w:after="0" w:line="1" w:lineRule="exact"/>
        <w:rPr>
          <w:rFonts w:ascii="Arial" w:cs="Arial" w:eastAsia="Arial" w:hAnsi="Arial"/>
          <w:sz w:val="12"/>
          <w:szCs w:val="12"/>
          <w:color w:val="auto"/>
        </w:rPr>
      </w:pPr>
    </w:p>
    <w:p>
      <w:pPr>
        <w:ind w:left="980" w:right="1139" w:hanging="436"/>
        <w:spacing w:after="0" w:line="216" w:lineRule="auto"/>
        <w:tabs>
          <w:tab w:leader="none" w:pos="947" w:val="left"/>
        </w:tabs>
        <w:numPr>
          <w:ilvl w:val="0"/>
          <w:numId w:val="9"/>
        </w:numPr>
        <w:rPr>
          <w:rFonts w:ascii="Arial" w:cs="Arial" w:eastAsia="Arial" w:hAnsi="Arial"/>
          <w:sz w:val="13"/>
          <w:szCs w:val="13"/>
          <w:color w:val="auto"/>
        </w:rPr>
      </w:pPr>
      <w:r>
        <w:rPr>
          <w:rFonts w:ascii="Arial" w:cs="Arial" w:eastAsia="Arial" w:hAnsi="Arial"/>
          <w:sz w:val="13"/>
          <w:szCs w:val="13"/>
          <w:color w:val="auto"/>
        </w:rPr>
        <w:t>Includes 10,000,000 public shares, 2,500,000 founder shares and 400,000 private placement shares to be sold in the private placement that will close simultaneously with the closing of the offering.</w:t>
      </w:r>
    </w:p>
    <w:p>
      <w:pPr>
        <w:ind w:left="980" w:right="659" w:hanging="436"/>
        <w:spacing w:after="0" w:line="230" w:lineRule="auto"/>
        <w:tabs>
          <w:tab w:leader="none" w:pos="947" w:val="left"/>
        </w:tabs>
        <w:numPr>
          <w:ilvl w:val="0"/>
          <w:numId w:val="9"/>
        </w:numPr>
        <w:rPr>
          <w:rFonts w:ascii="Arial" w:cs="Arial" w:eastAsia="Arial" w:hAnsi="Arial"/>
          <w:sz w:val="13"/>
          <w:szCs w:val="13"/>
          <w:color w:val="auto"/>
        </w:rPr>
      </w:pPr>
      <w:r>
        <w:rPr>
          <w:rFonts w:ascii="Arial" w:cs="Arial" w:eastAsia="Arial" w:hAnsi="Arial"/>
          <w:sz w:val="13"/>
          <w:szCs w:val="13"/>
          <w:color w:val="auto"/>
        </w:rPr>
        <w:t>Unlike other SPAC IPOs, investors in this offering will not receive warrants that would become exercisable following completion of our initial business combination.</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35" w:right="1440" w:bottom="1440" w:gutter="0" w:footer="0" w:header="0"/>
          <w:type w:val="continuous"/>
        </w:sectPr>
      </w:pPr>
    </w:p>
    <w:bookmarkStart w:id="14" w:name="page15"/>
    <w:bookmarkEnd w:id="14"/>
    <w:p>
      <w:pPr>
        <w:ind w:left="5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8315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7310" cy="8831580"/>
                    </a:xfrm>
                    <a:prstGeom prst="rect">
                      <a:avLst/>
                    </a:prstGeom>
                    <a:noFill/>
                  </pic:spPr>
                </pic:pic>
              </a:graphicData>
            </a:graphic>
          </wp:anchor>
        </w:drawing>
        <w:t>Founder shares</w:t>
      </w:r>
    </w:p>
    <w:p>
      <w:pPr>
        <w:ind w:left="3720" w:right="679"/>
        <w:spacing w:after="0" w:line="238" w:lineRule="auto"/>
        <w:rPr>
          <w:sz w:val="20"/>
          <w:szCs w:val="20"/>
          <w:color w:val="auto"/>
        </w:rPr>
      </w:pPr>
      <w:r>
        <w:rPr>
          <w:rFonts w:ascii="Arial" w:cs="Arial" w:eastAsia="Arial" w:hAnsi="Arial"/>
          <w:sz w:val="18"/>
          <w:szCs w:val="18"/>
          <w:color w:val="auto"/>
        </w:rPr>
        <w:t>On June 30, 2020 our sponsor purchased an aggregate 2,875,000 founder shares for a total purchase price of $25,000, or approximately $0.009 per share. In July 2020, our sponsor transferred 30,000 founder shares to each of Mr. Carey, Dr. Dubin and Dr. Pakianathan.</w:t>
      </w:r>
    </w:p>
    <w:p>
      <w:pPr>
        <w:spacing w:after="0" w:line="121" w:lineRule="exact"/>
        <w:rPr>
          <w:sz w:val="20"/>
          <w:szCs w:val="20"/>
          <w:color w:val="auto"/>
        </w:rPr>
      </w:pPr>
    </w:p>
    <w:p>
      <w:pPr>
        <w:ind w:left="3720" w:right="599"/>
        <w:spacing w:after="0" w:line="235" w:lineRule="auto"/>
        <w:rPr>
          <w:sz w:val="20"/>
          <w:szCs w:val="20"/>
          <w:color w:val="auto"/>
        </w:rPr>
      </w:pPr>
      <w:r>
        <w:rPr>
          <w:rFonts w:ascii="Arial" w:cs="Arial" w:eastAsia="Arial" w:hAnsi="Arial"/>
          <w:sz w:val="18"/>
          <w:szCs w:val="18"/>
          <w:color w:val="auto"/>
        </w:rPr>
        <w:t>Prior to the initial investment in the company of $25,000 by the sponsor, the company had no assets, tangible or intangible. The per share price of the founder shares was determined by dividing the amount of cash contributed to the company by the number of founder shares issued. The number of founder shares outstanding was determined based on the expectation that the total size of this offering would be a maximum of 11,500,000 shares of Class A common stock if the underwriters’ over-allotment option is exercised in full, and therefore that such founder shares would represent 20% of the issued and outstanding shares of common stock after this offering (excluding the private placement shares). Up to 375,000 of the founder shares will be forfeited by our sponsor depending on the extent to which the underwriters’ over-allotment option is not exercised. If we increase or decrease the size of the offering pursuant to Rule 462(b) under the Securities Act, we will effect a stock dividend or share contribution back to capital or other appropriate mechanism, as applicable, with respect to our Class B common stock immediately prior to the consummation of the offering in such amount as to maintain the ownership of founder shares by our initial stockholders, on an as-converted basis, at 20.0% of our issued and outstanding common stock upon the consummation of this offering (excluding the private placement shares).</w:t>
      </w:r>
    </w:p>
    <w:p>
      <w:pPr>
        <w:spacing w:after="0" w:line="185" w:lineRule="exact"/>
        <w:rPr>
          <w:sz w:val="20"/>
          <w:szCs w:val="20"/>
          <w:color w:val="auto"/>
        </w:rPr>
      </w:pPr>
    </w:p>
    <w:p>
      <w:pPr>
        <w:ind w:left="3720" w:right="739"/>
        <w:spacing w:after="0" w:line="246" w:lineRule="auto"/>
        <w:rPr>
          <w:sz w:val="20"/>
          <w:szCs w:val="20"/>
          <w:color w:val="auto"/>
        </w:rPr>
      </w:pPr>
      <w:r>
        <w:rPr>
          <w:rFonts w:ascii="Arial" w:cs="Arial" w:eastAsia="Arial" w:hAnsi="Arial"/>
          <w:sz w:val="18"/>
          <w:szCs w:val="18"/>
          <w:color w:val="auto"/>
        </w:rPr>
        <w:t>The founder shares are identical to the shares of Class A common stock being sold in this offering, except that:</w:t>
      </w:r>
    </w:p>
    <w:p>
      <w:pPr>
        <w:spacing w:after="0" w:line="89" w:lineRule="exact"/>
        <w:rPr>
          <w:sz w:val="20"/>
          <w:szCs w:val="20"/>
          <w:color w:val="auto"/>
        </w:rPr>
      </w:pPr>
    </w:p>
    <w:p>
      <w:pPr>
        <w:ind w:left="4160" w:right="659" w:hanging="214"/>
        <w:spacing w:after="0"/>
        <w:tabs>
          <w:tab w:leader="none" w:pos="4157"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founder shares and the private placement shares are subject to certain transfer restrictions, as described in more detail below;</w:t>
      </w:r>
    </w:p>
    <w:p>
      <w:pPr>
        <w:spacing w:after="0" w:line="175" w:lineRule="exact"/>
        <w:rPr>
          <w:rFonts w:ascii="Arial" w:cs="Arial" w:eastAsia="Arial" w:hAnsi="Arial"/>
          <w:sz w:val="18"/>
          <w:szCs w:val="18"/>
          <w:color w:val="auto"/>
        </w:rPr>
      </w:pPr>
    </w:p>
    <w:p>
      <w:pPr>
        <w:ind w:left="4160" w:hanging="214"/>
        <w:spacing w:after="0"/>
        <w:tabs>
          <w:tab w:leader="none" w:pos="4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founder shares are entitled to registration rights;</w:t>
      </w:r>
    </w:p>
    <w:p>
      <w:pPr>
        <w:spacing w:after="0" w:line="184" w:lineRule="exact"/>
        <w:rPr>
          <w:rFonts w:ascii="Arial" w:cs="Arial" w:eastAsia="Arial" w:hAnsi="Arial"/>
          <w:sz w:val="18"/>
          <w:szCs w:val="18"/>
          <w:color w:val="auto"/>
        </w:rPr>
      </w:pPr>
    </w:p>
    <w:p>
      <w:pPr>
        <w:ind w:left="4160" w:right="579" w:hanging="214"/>
        <w:spacing w:after="0" w:line="249" w:lineRule="auto"/>
        <w:tabs>
          <w:tab w:leader="none" w:pos="4157"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initial stockholders, sponsor, officers and directors have entered into a letter agreement with us, pursuant to which they have agreed to (i) waive their redemption rights with respect to any founder shares and private placement shares and any public shares they may acquire during or after this offering in connection with the completion of our initial business combination, (ii) waive their redemption rights with respect to any founder shares and private placement shares they hold in connection with a stockholder vote to approve an amendment to our amended and restated certificate of incorporation to modify the substance or timing of our obligation to redeem 100% of our public shares if we have not consummated an initial business combination within 24 months from the closing of this offering or with respect to any other material provisions relating to stockholders’ rights or pre-initial business combination activity and (iii) waive their rights to liquidating distributions from the trust account with respect to any founder shares and private placement shares they hold if we fail to complete our initial business combination within 24 months from the closing of this offering</w:t>
      </w:r>
    </w:p>
    <w:p>
      <w:pPr>
        <w:sectPr>
          <w:pgSz w:w="11900" w:h="16838" w:orient="portrait"/>
          <w:cols w:equalWidth="0" w:num="1">
            <w:col w:w="9019"/>
          </w:cols>
          <w:pgMar w:left="1440" w:top="45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58" w:right="1440" w:bottom="1440" w:gutter="0" w:footer="0" w:header="0"/>
          <w:type w:val="continuous"/>
        </w:sectPr>
      </w:pPr>
    </w:p>
    <w:bookmarkStart w:id="15" w:name="page16"/>
    <w:bookmarkEnd w:id="1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left="720" w:hanging="179"/>
        <w:spacing w:after="0"/>
        <w:rPr>
          <w:sz w:val="20"/>
          <w:szCs w:val="20"/>
          <w:color w:val="auto"/>
        </w:rPr>
      </w:pPr>
      <w:r>
        <w:rPr>
          <w:rFonts w:ascii="Arial" w:cs="Arial" w:eastAsia="Arial" w:hAnsi="Arial"/>
          <w:sz w:val="18"/>
          <w:szCs w:val="18"/>
          <w:color w:val="auto"/>
        </w:rPr>
        <w:t>Transfer restrictions on founder shares and private placement shares</w:t>
      </w:r>
    </w:p>
    <w:p>
      <w:pPr>
        <w:spacing w:after="0" w:line="20" w:lineRule="exact"/>
        <w:rPr>
          <w:sz w:val="20"/>
          <w:szCs w:val="20"/>
          <w:color w:val="auto"/>
        </w:rPr>
      </w:pPr>
      <w:r>
        <w:rPr>
          <w:sz w:val="20"/>
          <w:szCs w:val="20"/>
          <w:color w:val="auto"/>
        </w:rPr>
        <w:br w:type="column"/>
      </w:r>
    </w:p>
    <w:p>
      <w:pPr>
        <w:ind w:left="440" w:right="579"/>
        <w:spacing w:after="0" w:line="235" w:lineRule="auto"/>
        <w:rPr>
          <w:sz w:val="20"/>
          <w:szCs w:val="20"/>
          <w:color w:val="auto"/>
        </w:rPr>
      </w:pPr>
      <w:r>
        <w:rPr>
          <w:rFonts w:ascii="Arial" w:cs="Arial" w:eastAsia="Arial" w:hAnsi="Arial"/>
          <w:sz w:val="18"/>
          <w:szCs w:val="18"/>
          <w:color w:val="auto"/>
        </w:rPr>
        <w:t>or any extended period of time that we may have to consummate an initial business combination as a result of an amendment to our amended and restated certificate of incorporation (an “Extension Period”) (although they will be entitled to liquidating distributions from the trust account with respect to any public shares they hold if we fail to complete our initial business combination within the prescribed time frame). If we submit our initial business combination to our public stockholders for a vote, our initial stockholders have agreed to vote their founder shares, the private placement shares and any public shares purchased during or after this offering in favor of our initial business combination. As a result, in addition to our initial stockholders’ founder shares and private placement shares, we would need 3,550,001, or 35.5%, of the 10,000,000 public shares sold in this offering to be voted in favor of an initial business combination in order to have our initial business combination approved (assuming all issued and outstanding shares are voted, the private placement shares to be issued to our sponsor are voted in favor of the transaction and the over-allotment option is not exercised);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-2075180</wp:posOffset>
            </wp:positionH>
            <wp:positionV relativeFrom="paragraph">
              <wp:posOffset>-3422015</wp:posOffset>
            </wp:positionV>
            <wp:extent cx="5147310" cy="84632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7310" cy="8463280"/>
                    </a:xfrm>
                    <a:prstGeom prst="rect">
                      <a:avLst/>
                    </a:prstGeom>
                    <a:noFill/>
                  </pic:spPr>
                </pic:pic>
              </a:graphicData>
            </a:graphic>
          </wp:anchor>
        </w:drawing>
      </w:r>
    </w:p>
    <w:p>
      <w:pPr>
        <w:spacing w:after="0" w:line="165" w:lineRule="exact"/>
        <w:rPr>
          <w:sz w:val="20"/>
          <w:szCs w:val="20"/>
          <w:color w:val="auto"/>
        </w:rPr>
      </w:pPr>
    </w:p>
    <w:p>
      <w:pPr>
        <w:ind w:left="440" w:right="599" w:hanging="214"/>
        <w:spacing w:after="0" w:line="237" w:lineRule="auto"/>
        <w:tabs>
          <w:tab w:leader="none" w:pos="437"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founder shares are automatically convertible into our Class A common stock concurrently with or immediately following the consummation of our initial business combination on a one-for-one basis, subject to adjustment pursuant to certain anti-dilution rights, as described below adjacent to the caption “Founder shares conversion and anti-dilution rights.”</w:t>
      </w:r>
    </w:p>
    <w:p>
      <w:pPr>
        <w:spacing w:after="0" w:line="230" w:lineRule="exact"/>
        <w:rPr>
          <w:sz w:val="20"/>
          <w:szCs w:val="20"/>
          <w:color w:val="auto"/>
        </w:rPr>
      </w:pPr>
    </w:p>
    <w:p>
      <w:pPr>
        <w:ind w:right="619"/>
        <w:spacing w:after="0" w:line="234" w:lineRule="auto"/>
        <w:rPr>
          <w:sz w:val="20"/>
          <w:szCs w:val="20"/>
          <w:color w:val="auto"/>
        </w:rPr>
      </w:pPr>
      <w:r>
        <w:rPr>
          <w:rFonts w:ascii="Arial" w:cs="Arial" w:eastAsia="Arial" w:hAnsi="Arial"/>
          <w:sz w:val="18"/>
          <w:szCs w:val="18"/>
          <w:color w:val="auto"/>
        </w:rPr>
        <w:t>Our initial stockholders have agreed not to transfer, assign or sell any of their founder shares or private placement shares until the earlier to occur of: (i) one year after the completion of our initial business combination and (ii) the date on which we complete a liquidation, merger, capital stock exchange or other similar transaction after our initial business combination that results in all of our stockholders having the right to exchange their Class A common stock for cash, securities or other property; except to certain permitted transferees and under certain circumstances as described herein under “Principal Stockholders — Transfers of Founder Shares and Private Placement Shares”. Any permitted transferees will be subject to the same restrictions and other agreements of our initial stockholders with respect to any founder shares or private placement shares. We refer to such transfer restrictions throughout this prospectus as the lock-up. Notwithstanding the foregoing, if (1) the closing price of our Class A common stock equals or exceeds $12.00 per share (as adjusted for stock splits, stock capitalizations, reorganizations, recapitalizations and the like) for any 20 trading days within any 30-trading day period commencing at least 150 days after our initial business combination or</w:t>
      </w:r>
    </w:p>
    <w:p>
      <w:pPr>
        <w:spacing w:after="0" w:line="16" w:lineRule="exact"/>
        <w:rPr>
          <w:sz w:val="20"/>
          <w:szCs w:val="20"/>
          <w:color w:val="auto"/>
        </w:rPr>
      </w:pPr>
    </w:p>
    <w:p>
      <w:pPr>
        <w:ind w:right="619" w:firstLine="10"/>
        <w:spacing w:after="0" w:line="255" w:lineRule="auto"/>
        <w:tabs>
          <w:tab w:leader="none" w:pos="27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if we consummate a transaction after our initial business combination which results in our stockholders having the right to exchange their shares for cash, securities or other property, the founder shares and private placement shares will be released from the lock-up.</w:t>
      </w:r>
    </w:p>
    <w:p>
      <w:pPr>
        <w:spacing w:after="0" w:line="200" w:lineRule="exact"/>
        <w:rPr>
          <w:sz w:val="20"/>
          <w:szCs w:val="20"/>
          <w:color w:val="auto"/>
        </w:rPr>
      </w:pPr>
    </w:p>
    <w:p>
      <w:pPr>
        <w:sectPr>
          <w:pgSz w:w="11900" w:h="16838" w:orient="portrait"/>
          <w:cols w:equalWidth="0" w:num="2">
            <w:col w:w="3080" w:space="640"/>
            <w:col w:w="5299"/>
          </w:cols>
          <w:pgMar w:left="1440" w:top="665" w:right="1440" w:bottom="1440" w:gutter="0" w:footer="0" w:header="0"/>
        </w:sect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type w:val="continuous"/>
        </w:sectPr>
      </w:pPr>
    </w:p>
    <w:bookmarkStart w:id="16" w:name="page17"/>
    <w:bookmarkEnd w:id="16"/>
    <w:tbl>
      <w:tblPr>
        <w:tblLayout w:type="fixed"/>
        <w:tblInd w:w="470" w:type="dxa"/>
        <w:tblCellMar>
          <w:top w:w="0" w:type="dxa"/>
          <w:left w:w="0" w:type="dxa"/>
          <w:bottom w:w="0" w:type="dxa"/>
          <w:right w:w="0" w:type="dxa"/>
        </w:tblCellMar>
      </w:tblPr>
      <w:tr>
        <w:trPr>
          <w:trHeight w:val="580"/>
        </w:trPr>
        <w:tc>
          <w:tcPr>
            <w:tcW w:w="2940" w:type="dxa"/>
            <w:vAlign w:val="bottom"/>
            <w:tcBorders>
              <w:top w:val="single" w:sz="8" w:color="auto"/>
              <w:left w:val="single" w:sz="8" w:color="auto"/>
            </w:tcBorders>
          </w:tcPr>
          <w:p>
            <w:pPr>
              <w:ind w:left="80"/>
              <w:spacing w:after="0"/>
              <w:rPr>
                <w:sz w:val="20"/>
                <w:szCs w:val="20"/>
                <w:color w:val="auto"/>
              </w:rPr>
            </w:pPr>
            <w:r>
              <w:rPr>
                <w:rFonts w:ascii="Arial" w:cs="Arial" w:eastAsia="Arial" w:hAnsi="Arial"/>
                <w:sz w:val="18"/>
                <w:szCs w:val="18"/>
                <w:color w:val="auto"/>
              </w:rPr>
              <w:t>Founder shares conversion and</w:t>
            </w:r>
          </w:p>
        </w:tc>
        <w:tc>
          <w:tcPr>
            <w:tcW w:w="5160" w:type="dxa"/>
            <w:vAlign w:val="bottom"/>
            <w:tcBorders>
              <w:top w:val="single" w:sz="8" w:color="auto"/>
              <w:right w:val="single" w:sz="8" w:color="auto"/>
            </w:tcBorders>
          </w:tcPr>
          <w:p>
            <w:pPr>
              <w:spacing w:after="0"/>
              <w:rPr>
                <w:sz w:val="24"/>
                <w:szCs w:val="24"/>
                <w:color w:val="auto"/>
              </w:rPr>
            </w:pPr>
          </w:p>
        </w:tc>
      </w:tr>
      <w:tr>
        <w:trPr>
          <w:trHeight w:val="203"/>
        </w:trPr>
        <w:tc>
          <w:tcPr>
            <w:tcW w:w="2940" w:type="dxa"/>
            <w:vAlign w:val="bottom"/>
            <w:tcBorders>
              <w:left w:val="single" w:sz="8" w:color="auto"/>
            </w:tcBorders>
          </w:tcPr>
          <w:p>
            <w:pPr>
              <w:ind w:left="260"/>
              <w:spacing w:after="0" w:line="202" w:lineRule="exact"/>
              <w:rPr>
                <w:sz w:val="20"/>
                <w:szCs w:val="20"/>
                <w:color w:val="auto"/>
              </w:rPr>
            </w:pPr>
            <w:r>
              <w:rPr>
                <w:rFonts w:ascii="Arial" w:cs="Arial" w:eastAsia="Arial" w:hAnsi="Arial"/>
                <w:sz w:val="18"/>
                <w:szCs w:val="18"/>
                <w:color w:val="auto"/>
              </w:rPr>
              <w:t>anti-dilution rights</w:t>
            </w: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The founder shares will automatically convert into shares</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of Class A common stock concurrently with or immediately</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following the consummation of our initial business</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combination on a one-for-one basis, subject to adjustment</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for stock splits, stock dividends, reorganizations,</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recapitalizations and the like, and subject to further</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adjustment as provided herein. In the case that additional</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shares of Class A common stock or equity-linked securities</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are issued or deemed issued in connection with our initial</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business combination, the number of shares of Class A</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common stock issuable upon conversion of all founder</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shares will equal, in the aggregate, on an as-converted</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basis, 20% of the total number of shares of Class A</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common stock issued and outstanding (excluding the</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private placement shares) after such conversion (after</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giving effect to any redemptions of shares of Class A</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common stock by public stockholders), including the total</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number of shares of Class A common stock issued, or</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deemed issued or issuable upon conversion or exercise of</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any equity-linked securities or rights issued or deemed</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issued, by the Company in connection with or in relation to</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the consummation of the initial business combination,</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excluding any shares of Class A common stock or equity-</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linked securities or rights exercisable for or convertible into</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shares of Class A common stock issued, or to be issued, to</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any seller in the initial business combination and any</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private placement shares issued to our sponsor, officers or</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directors upon conversion of working capital loans,</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provided that such conversion of founder shares will never</w:t>
            </w:r>
          </w:p>
        </w:tc>
      </w:tr>
      <w:tr>
        <w:trPr>
          <w:trHeight w:val="217"/>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occur on a less than one-for-one basis.</w:t>
            </w:r>
          </w:p>
        </w:tc>
      </w:tr>
      <w:tr>
        <w:trPr>
          <w:trHeight w:val="229"/>
        </w:trPr>
        <w:tc>
          <w:tcPr>
            <w:tcW w:w="29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Voting Rights</w:t>
            </w: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Holders of record of our Class A common stock and</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holders of record of our Class B common stock will vote</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together as a single class on all matters submitted to a</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vote of our stockholders, with each share of common stock</w:t>
            </w:r>
          </w:p>
        </w:tc>
      </w:tr>
      <w:tr>
        <w:trPr>
          <w:trHeight w:val="217"/>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entitling the holder to one vote except as required by law.</w:t>
            </w:r>
          </w:p>
        </w:tc>
      </w:tr>
      <w:tr>
        <w:trPr>
          <w:trHeight w:val="229"/>
        </w:trPr>
        <w:tc>
          <w:tcPr>
            <w:tcW w:w="29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Private placement shares</w:t>
            </w: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Our sponsor has committed, pursuant to a written</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agreement, to purchase 400,000 private placement shares</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(or 430,000 private placement shares if the underwriters’</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over-allotment option is exercised in full) at a price of</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$10.00 per private placement share ($4,000,000 in the</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aggregate or $4,300,000 if the underwriters’ over-allotment</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option is exercised in full), in a private placement that will</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close simultaneously with the closing of this offering. Our</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sponsor has entered into an agreement with us, pursuant</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to which it has agreed to waive its redemption rights with</w:t>
            </w:r>
          </w:p>
        </w:tc>
      </w:tr>
      <w:tr>
        <w:trPr>
          <w:trHeight w:val="217"/>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respect to the private placement shares.</w:t>
            </w:r>
          </w:p>
        </w:tc>
      </w:tr>
      <w:tr>
        <w:trPr>
          <w:trHeight w:val="388"/>
        </w:trPr>
        <w:tc>
          <w:tcPr>
            <w:tcW w:w="2940" w:type="dxa"/>
            <w:vAlign w:val="bottom"/>
            <w:tcBorders>
              <w:left w:val="single" w:sz="8" w:color="auto"/>
              <w:bottom w:val="single" w:sz="8" w:color="auto"/>
            </w:tcBorders>
          </w:tcPr>
          <w:p>
            <w:pPr>
              <w:spacing w:after="0"/>
              <w:rPr>
                <w:sz w:val="24"/>
                <w:szCs w:val="24"/>
                <w:color w:val="auto"/>
              </w:rPr>
            </w:pPr>
          </w:p>
        </w:tc>
        <w:tc>
          <w:tcPr>
            <w:tcW w:w="5160" w:type="dxa"/>
            <w:vAlign w:val="bottom"/>
            <w:tcBorders>
              <w:bottom w:val="single" w:sz="8" w:color="auto"/>
              <w:right w:val="single" w:sz="8" w:color="auto"/>
            </w:tcBorders>
          </w:tcPr>
          <w:p>
            <w:pPr>
              <w:spacing w:after="0"/>
              <w:rPr>
                <w:sz w:val="24"/>
                <w:szCs w:val="24"/>
                <w:color w:val="auto"/>
              </w:rPr>
            </w:pPr>
          </w:p>
        </w:tc>
      </w:tr>
      <w:tr>
        <w:trPr>
          <w:trHeight w:val="375"/>
        </w:trPr>
        <w:tc>
          <w:tcPr>
            <w:tcW w:w="294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13</w:t>
            </w:r>
          </w:p>
        </w:tc>
      </w:tr>
    </w:tbl>
    <w:p>
      <w:pPr>
        <w:sectPr>
          <w:pgSz w:w="11900" w:h="16838" w:orient="portrait"/>
          <w:cols w:equalWidth="0" w:num="1">
            <w:col w:w="9019"/>
          </w:cols>
          <w:pgMar w:left="1440" w:top="120" w:right="1440" w:bottom="1440" w:gutter="0" w:footer="0" w:header="0"/>
        </w:sectPr>
      </w:pPr>
    </w:p>
    <w:bookmarkStart w:id="17" w:name="page18"/>
    <w:bookmarkEnd w:id="17"/>
    <w:p>
      <w:pPr>
        <w:ind w:left="540"/>
        <w:spacing w:after="0"/>
        <w:tabs>
          <w:tab w:leader="none" w:pos="40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9423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7310" cy="9423400"/>
                    </a:xfrm>
                    <a:prstGeom prst="rect">
                      <a:avLst/>
                    </a:prstGeom>
                    <a:noFill/>
                  </pic:spPr>
                </pic:pic>
              </a:graphicData>
            </a:graphic>
          </wp:anchor>
        </w:drawing>
        <w:t>Proceeds to be held in trust account</w:t>
      </w:r>
      <w:r>
        <w:rPr>
          <w:sz w:val="20"/>
          <w:szCs w:val="20"/>
          <w:color w:val="auto"/>
        </w:rPr>
        <w:tab/>
      </w:r>
      <w:r>
        <w:rPr>
          <w:rFonts w:ascii="Arial" w:cs="Arial" w:eastAsia="Arial" w:hAnsi="Arial"/>
          <w:sz w:val="17"/>
          <w:szCs w:val="17"/>
          <w:color w:val="auto"/>
        </w:rPr>
        <w:t>Nasdaq rules provide that at least 90% of the gross</w:t>
      </w:r>
    </w:p>
    <w:p>
      <w:pPr>
        <w:ind w:left="4020"/>
        <w:spacing w:after="0" w:line="234" w:lineRule="auto"/>
        <w:rPr>
          <w:sz w:val="20"/>
          <w:szCs w:val="20"/>
          <w:color w:val="auto"/>
        </w:rPr>
      </w:pPr>
      <w:r>
        <w:rPr>
          <w:rFonts w:ascii="Arial" w:cs="Arial" w:eastAsia="Arial" w:hAnsi="Arial"/>
          <w:sz w:val="18"/>
          <w:szCs w:val="18"/>
          <w:color w:val="auto"/>
        </w:rPr>
        <w:t>proceeds from this offering and the sale of the private</w:t>
      </w:r>
    </w:p>
    <w:p>
      <w:pPr>
        <w:ind w:left="4020"/>
        <w:spacing w:after="0" w:line="235" w:lineRule="auto"/>
        <w:rPr>
          <w:sz w:val="20"/>
          <w:szCs w:val="20"/>
          <w:color w:val="auto"/>
        </w:rPr>
      </w:pPr>
      <w:r>
        <w:rPr>
          <w:rFonts w:ascii="Arial" w:cs="Arial" w:eastAsia="Arial" w:hAnsi="Arial"/>
          <w:sz w:val="18"/>
          <w:szCs w:val="18"/>
          <w:color w:val="auto"/>
        </w:rPr>
        <w:t>placement shares be deposited in a trust account. Of</w:t>
      </w:r>
    </w:p>
    <w:p>
      <w:pPr>
        <w:ind w:left="4020"/>
        <w:spacing w:after="0" w:line="235" w:lineRule="auto"/>
        <w:rPr>
          <w:sz w:val="20"/>
          <w:szCs w:val="20"/>
          <w:color w:val="auto"/>
        </w:rPr>
      </w:pPr>
      <w:r>
        <w:rPr>
          <w:rFonts w:ascii="Arial" w:cs="Arial" w:eastAsia="Arial" w:hAnsi="Arial"/>
          <w:sz w:val="18"/>
          <w:szCs w:val="18"/>
          <w:color w:val="auto"/>
        </w:rPr>
        <w:t>the proceeds we will receive from this offering and the</w:t>
      </w:r>
    </w:p>
    <w:p>
      <w:pPr>
        <w:ind w:left="4020"/>
        <w:spacing w:after="0" w:line="235" w:lineRule="auto"/>
        <w:rPr>
          <w:sz w:val="20"/>
          <w:szCs w:val="20"/>
          <w:color w:val="auto"/>
        </w:rPr>
      </w:pPr>
      <w:r>
        <w:rPr>
          <w:rFonts w:ascii="Arial" w:cs="Arial" w:eastAsia="Arial" w:hAnsi="Arial"/>
          <w:sz w:val="18"/>
          <w:szCs w:val="18"/>
          <w:color w:val="auto"/>
        </w:rPr>
        <w:t>sale of the private placement shares described in this</w:t>
      </w:r>
    </w:p>
    <w:p>
      <w:pPr>
        <w:ind w:left="4020"/>
        <w:spacing w:after="0" w:line="235" w:lineRule="auto"/>
        <w:rPr>
          <w:sz w:val="20"/>
          <w:szCs w:val="20"/>
          <w:color w:val="auto"/>
        </w:rPr>
      </w:pPr>
      <w:r>
        <w:rPr>
          <w:rFonts w:ascii="Arial" w:cs="Arial" w:eastAsia="Arial" w:hAnsi="Arial"/>
          <w:sz w:val="18"/>
          <w:szCs w:val="18"/>
          <w:color w:val="auto"/>
        </w:rPr>
        <w:t>prospectus, $100 million, or $115 million if the</w:t>
      </w:r>
    </w:p>
    <w:p>
      <w:pPr>
        <w:ind w:left="4020"/>
        <w:spacing w:after="0" w:line="234" w:lineRule="auto"/>
        <w:rPr>
          <w:sz w:val="20"/>
          <w:szCs w:val="20"/>
          <w:color w:val="auto"/>
        </w:rPr>
      </w:pPr>
      <w:r>
        <w:rPr>
          <w:rFonts w:ascii="Arial" w:cs="Arial" w:eastAsia="Arial" w:hAnsi="Arial"/>
          <w:sz w:val="18"/>
          <w:szCs w:val="18"/>
          <w:color w:val="auto"/>
        </w:rPr>
        <w:t>underwriters’ over-allotment option is exercised in full</w:t>
      </w:r>
    </w:p>
    <w:p>
      <w:pPr>
        <w:ind w:left="4020"/>
        <w:spacing w:after="0" w:line="235" w:lineRule="auto"/>
        <w:rPr>
          <w:sz w:val="20"/>
          <w:szCs w:val="20"/>
          <w:color w:val="auto"/>
        </w:rPr>
      </w:pPr>
      <w:r>
        <w:rPr>
          <w:rFonts w:ascii="Arial" w:cs="Arial" w:eastAsia="Arial" w:hAnsi="Arial"/>
          <w:sz w:val="18"/>
          <w:szCs w:val="18"/>
          <w:color w:val="auto"/>
        </w:rPr>
        <w:t>($10.00 per share in either case), will be deposited into</w:t>
      </w:r>
    </w:p>
    <w:p>
      <w:pPr>
        <w:ind w:left="4020"/>
        <w:spacing w:after="0" w:line="235" w:lineRule="auto"/>
        <w:rPr>
          <w:sz w:val="20"/>
          <w:szCs w:val="20"/>
          <w:color w:val="auto"/>
        </w:rPr>
      </w:pPr>
      <w:r>
        <w:rPr>
          <w:rFonts w:ascii="Arial" w:cs="Arial" w:eastAsia="Arial" w:hAnsi="Arial"/>
          <w:sz w:val="18"/>
          <w:szCs w:val="18"/>
          <w:color w:val="auto"/>
        </w:rPr>
        <w:t>a segregated trust account located in the United States</w:t>
      </w:r>
    </w:p>
    <w:p>
      <w:pPr>
        <w:ind w:left="4020"/>
        <w:spacing w:after="0" w:line="235" w:lineRule="auto"/>
        <w:rPr>
          <w:sz w:val="20"/>
          <w:szCs w:val="20"/>
          <w:color w:val="auto"/>
        </w:rPr>
      </w:pPr>
      <w:r>
        <w:rPr>
          <w:rFonts w:ascii="Arial" w:cs="Arial" w:eastAsia="Arial" w:hAnsi="Arial"/>
          <w:sz w:val="18"/>
          <w:szCs w:val="18"/>
          <w:color w:val="auto"/>
        </w:rPr>
        <w:t>at JP Morgan Chase Bank, N.A. with Continental Stock</w:t>
      </w:r>
    </w:p>
    <w:p>
      <w:pPr>
        <w:ind w:left="4020"/>
        <w:spacing w:after="0" w:line="235" w:lineRule="auto"/>
        <w:rPr>
          <w:sz w:val="20"/>
          <w:szCs w:val="20"/>
          <w:color w:val="auto"/>
        </w:rPr>
      </w:pPr>
      <w:r>
        <w:rPr>
          <w:rFonts w:ascii="Arial" w:cs="Arial" w:eastAsia="Arial" w:hAnsi="Arial"/>
          <w:sz w:val="18"/>
          <w:szCs w:val="18"/>
          <w:color w:val="auto"/>
        </w:rPr>
        <w:t>Transfer &amp; Trust Company acting as trustee, after</w:t>
      </w:r>
    </w:p>
    <w:p>
      <w:pPr>
        <w:ind w:left="4020"/>
        <w:spacing w:after="0" w:line="234" w:lineRule="auto"/>
        <w:rPr>
          <w:sz w:val="20"/>
          <w:szCs w:val="20"/>
          <w:color w:val="auto"/>
        </w:rPr>
      </w:pPr>
      <w:r>
        <w:rPr>
          <w:rFonts w:ascii="Arial" w:cs="Arial" w:eastAsia="Arial" w:hAnsi="Arial"/>
          <w:sz w:val="18"/>
          <w:szCs w:val="18"/>
          <w:color w:val="auto"/>
        </w:rPr>
        <w:t>deducting $2,000,000 in underwriting discounts and</w:t>
      </w:r>
    </w:p>
    <w:p>
      <w:pPr>
        <w:ind w:left="4020"/>
        <w:spacing w:after="0" w:line="235" w:lineRule="auto"/>
        <w:rPr>
          <w:sz w:val="20"/>
          <w:szCs w:val="20"/>
          <w:color w:val="auto"/>
        </w:rPr>
      </w:pPr>
      <w:r>
        <w:rPr>
          <w:rFonts w:ascii="Arial" w:cs="Arial" w:eastAsia="Arial" w:hAnsi="Arial"/>
          <w:sz w:val="18"/>
          <w:szCs w:val="18"/>
          <w:color w:val="auto"/>
        </w:rPr>
        <w:t>commissions payable upon the closing of this offering</w:t>
      </w:r>
    </w:p>
    <w:p>
      <w:pPr>
        <w:ind w:left="4020"/>
        <w:spacing w:after="0" w:line="235" w:lineRule="auto"/>
        <w:rPr>
          <w:sz w:val="20"/>
          <w:szCs w:val="20"/>
          <w:color w:val="auto"/>
        </w:rPr>
      </w:pPr>
      <w:r>
        <w:rPr>
          <w:rFonts w:ascii="Arial" w:cs="Arial" w:eastAsia="Arial" w:hAnsi="Arial"/>
          <w:sz w:val="18"/>
          <w:szCs w:val="18"/>
          <w:color w:val="auto"/>
        </w:rPr>
        <w:t>(or $2,300,000 if the underwriters’ over-allotment option</w:t>
      </w:r>
    </w:p>
    <w:p>
      <w:pPr>
        <w:ind w:left="4020"/>
        <w:spacing w:after="0" w:line="235" w:lineRule="auto"/>
        <w:rPr>
          <w:sz w:val="20"/>
          <w:szCs w:val="20"/>
          <w:color w:val="auto"/>
        </w:rPr>
      </w:pPr>
      <w:r>
        <w:rPr>
          <w:rFonts w:ascii="Arial" w:cs="Arial" w:eastAsia="Arial" w:hAnsi="Arial"/>
          <w:sz w:val="18"/>
          <w:szCs w:val="18"/>
          <w:color w:val="auto"/>
        </w:rPr>
        <w:t>is exercised in full) and an aggregate of $2.0 million to</w:t>
      </w:r>
    </w:p>
    <w:p>
      <w:pPr>
        <w:ind w:left="4020"/>
        <w:spacing w:after="0"/>
        <w:rPr>
          <w:sz w:val="20"/>
          <w:szCs w:val="20"/>
          <w:color w:val="auto"/>
        </w:rPr>
      </w:pPr>
      <w:r>
        <w:rPr>
          <w:rFonts w:ascii="Arial" w:cs="Arial" w:eastAsia="Arial" w:hAnsi="Arial"/>
          <w:sz w:val="17"/>
          <w:szCs w:val="17"/>
          <w:color w:val="auto"/>
        </w:rPr>
        <w:t>pay fees and expenses in connection with the closing of</w:t>
      </w:r>
    </w:p>
    <w:p>
      <w:pPr>
        <w:spacing w:after="0" w:line="7" w:lineRule="exact"/>
        <w:rPr>
          <w:sz w:val="20"/>
          <w:szCs w:val="20"/>
          <w:color w:val="auto"/>
        </w:rPr>
      </w:pPr>
    </w:p>
    <w:p>
      <w:pPr>
        <w:ind w:left="4020"/>
        <w:spacing w:after="0"/>
        <w:rPr>
          <w:sz w:val="20"/>
          <w:szCs w:val="20"/>
          <w:color w:val="auto"/>
        </w:rPr>
      </w:pPr>
      <w:r>
        <w:rPr>
          <w:rFonts w:ascii="Arial" w:cs="Arial" w:eastAsia="Arial" w:hAnsi="Arial"/>
          <w:sz w:val="17"/>
          <w:szCs w:val="17"/>
          <w:color w:val="auto"/>
        </w:rPr>
        <w:t>this offering and for working capital following the closing</w:t>
      </w:r>
    </w:p>
    <w:p>
      <w:pPr>
        <w:spacing w:after="0" w:line="3"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of this offering. The proceeds to be placed in the trust</w:t>
      </w:r>
    </w:p>
    <w:p>
      <w:pPr>
        <w:ind w:left="4020"/>
        <w:spacing w:after="0" w:line="234" w:lineRule="auto"/>
        <w:rPr>
          <w:sz w:val="20"/>
          <w:szCs w:val="20"/>
          <w:color w:val="auto"/>
        </w:rPr>
      </w:pPr>
      <w:r>
        <w:rPr>
          <w:rFonts w:ascii="Arial" w:cs="Arial" w:eastAsia="Arial" w:hAnsi="Arial"/>
          <w:sz w:val="18"/>
          <w:szCs w:val="18"/>
          <w:color w:val="auto"/>
        </w:rPr>
        <w:t>account include $3,500,000 (or up to $4,025,000 if the</w:t>
      </w:r>
    </w:p>
    <w:p>
      <w:pPr>
        <w:ind w:left="4020"/>
        <w:spacing w:after="0" w:line="235" w:lineRule="auto"/>
        <w:rPr>
          <w:sz w:val="20"/>
          <w:szCs w:val="20"/>
          <w:color w:val="auto"/>
        </w:rPr>
      </w:pPr>
      <w:r>
        <w:rPr>
          <w:rFonts w:ascii="Arial" w:cs="Arial" w:eastAsia="Arial" w:hAnsi="Arial"/>
          <w:sz w:val="18"/>
          <w:szCs w:val="18"/>
          <w:color w:val="auto"/>
        </w:rPr>
        <w:t>underwriters’ over-allotment option is exercised in full)</w:t>
      </w:r>
    </w:p>
    <w:p>
      <w:pPr>
        <w:spacing w:after="0" w:line="1"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in deferred underwriting commissions.</w:t>
      </w:r>
    </w:p>
    <w:p>
      <w:pPr>
        <w:spacing w:after="0" w:line="36" w:lineRule="exact"/>
        <w:rPr>
          <w:sz w:val="20"/>
          <w:szCs w:val="20"/>
          <w:color w:val="auto"/>
        </w:rPr>
      </w:pPr>
    </w:p>
    <w:p>
      <w:pPr>
        <w:ind w:left="4020"/>
        <w:spacing w:after="0"/>
        <w:rPr>
          <w:sz w:val="20"/>
          <w:szCs w:val="20"/>
          <w:color w:val="auto"/>
        </w:rPr>
      </w:pPr>
      <w:r>
        <w:rPr>
          <w:rFonts w:ascii="Arial" w:cs="Arial" w:eastAsia="Arial" w:hAnsi="Arial"/>
          <w:sz w:val="17"/>
          <w:szCs w:val="17"/>
          <w:color w:val="auto"/>
        </w:rPr>
        <w:t>Except with respect to interest earned on the funds held</w:t>
      </w:r>
    </w:p>
    <w:p>
      <w:pPr>
        <w:spacing w:after="0" w:line="3"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in the trust account that may be released to us to pay</w:t>
      </w:r>
    </w:p>
    <w:p>
      <w:pPr>
        <w:ind w:left="4020"/>
        <w:spacing w:after="0" w:line="234" w:lineRule="auto"/>
        <w:rPr>
          <w:sz w:val="20"/>
          <w:szCs w:val="20"/>
          <w:color w:val="auto"/>
        </w:rPr>
      </w:pPr>
      <w:r>
        <w:rPr>
          <w:rFonts w:ascii="Arial" w:cs="Arial" w:eastAsia="Arial" w:hAnsi="Arial"/>
          <w:sz w:val="18"/>
          <w:szCs w:val="18"/>
          <w:color w:val="auto"/>
        </w:rPr>
        <w:t>our taxes, the proceeds from this offering and the sale</w:t>
      </w:r>
    </w:p>
    <w:p>
      <w:pPr>
        <w:ind w:left="4020"/>
        <w:spacing w:after="0" w:line="235" w:lineRule="auto"/>
        <w:rPr>
          <w:sz w:val="20"/>
          <w:szCs w:val="20"/>
          <w:color w:val="auto"/>
        </w:rPr>
      </w:pPr>
      <w:r>
        <w:rPr>
          <w:rFonts w:ascii="Arial" w:cs="Arial" w:eastAsia="Arial" w:hAnsi="Arial"/>
          <w:sz w:val="18"/>
          <w:szCs w:val="18"/>
          <w:color w:val="auto"/>
        </w:rPr>
        <w:t>of the private placement shares will not be released</w:t>
      </w:r>
    </w:p>
    <w:p>
      <w:pPr>
        <w:ind w:left="4020"/>
        <w:spacing w:after="0" w:line="235" w:lineRule="auto"/>
        <w:rPr>
          <w:sz w:val="20"/>
          <w:szCs w:val="20"/>
          <w:color w:val="auto"/>
        </w:rPr>
      </w:pPr>
      <w:r>
        <w:rPr>
          <w:rFonts w:ascii="Arial" w:cs="Arial" w:eastAsia="Arial" w:hAnsi="Arial"/>
          <w:sz w:val="18"/>
          <w:szCs w:val="18"/>
          <w:color w:val="auto"/>
        </w:rPr>
        <w:t>from the trust account until the earliest of (i) the</w:t>
      </w:r>
    </w:p>
    <w:p>
      <w:pPr>
        <w:ind w:left="4020"/>
        <w:spacing w:after="0" w:line="235" w:lineRule="auto"/>
        <w:rPr>
          <w:sz w:val="20"/>
          <w:szCs w:val="20"/>
          <w:color w:val="auto"/>
        </w:rPr>
      </w:pPr>
      <w:r>
        <w:rPr>
          <w:rFonts w:ascii="Arial" w:cs="Arial" w:eastAsia="Arial" w:hAnsi="Arial"/>
          <w:sz w:val="18"/>
          <w:szCs w:val="18"/>
          <w:color w:val="auto"/>
        </w:rPr>
        <w:t>completion of our initial business combination, (ii) the</w:t>
      </w:r>
    </w:p>
    <w:p>
      <w:pPr>
        <w:ind w:left="4020"/>
        <w:spacing w:after="0" w:line="235" w:lineRule="auto"/>
        <w:rPr>
          <w:sz w:val="20"/>
          <w:szCs w:val="20"/>
          <w:color w:val="auto"/>
        </w:rPr>
      </w:pPr>
      <w:r>
        <w:rPr>
          <w:rFonts w:ascii="Arial" w:cs="Arial" w:eastAsia="Arial" w:hAnsi="Arial"/>
          <w:sz w:val="18"/>
          <w:szCs w:val="18"/>
          <w:color w:val="auto"/>
        </w:rPr>
        <w:t>redemption of our public shares if we are unable to</w:t>
      </w:r>
    </w:p>
    <w:p>
      <w:pPr>
        <w:ind w:left="4020"/>
        <w:spacing w:after="0" w:line="234" w:lineRule="auto"/>
        <w:rPr>
          <w:sz w:val="20"/>
          <w:szCs w:val="20"/>
          <w:color w:val="auto"/>
        </w:rPr>
      </w:pPr>
      <w:r>
        <w:rPr>
          <w:rFonts w:ascii="Arial" w:cs="Arial" w:eastAsia="Arial" w:hAnsi="Arial"/>
          <w:sz w:val="18"/>
          <w:szCs w:val="18"/>
          <w:color w:val="auto"/>
        </w:rPr>
        <w:t>complete our initial business combination within 24</w:t>
      </w:r>
    </w:p>
    <w:p>
      <w:pPr>
        <w:ind w:left="4020"/>
        <w:spacing w:after="0" w:line="235" w:lineRule="auto"/>
        <w:rPr>
          <w:sz w:val="20"/>
          <w:szCs w:val="20"/>
          <w:color w:val="auto"/>
        </w:rPr>
      </w:pPr>
      <w:r>
        <w:rPr>
          <w:rFonts w:ascii="Arial" w:cs="Arial" w:eastAsia="Arial" w:hAnsi="Arial"/>
          <w:sz w:val="18"/>
          <w:szCs w:val="18"/>
          <w:color w:val="auto"/>
        </w:rPr>
        <w:t>months from the closing of this offering, subject to</w:t>
      </w:r>
    </w:p>
    <w:p>
      <w:pPr>
        <w:ind w:left="4020"/>
        <w:spacing w:after="0" w:line="235" w:lineRule="auto"/>
        <w:rPr>
          <w:sz w:val="20"/>
          <w:szCs w:val="20"/>
          <w:color w:val="auto"/>
        </w:rPr>
      </w:pPr>
      <w:r>
        <w:rPr>
          <w:rFonts w:ascii="Arial" w:cs="Arial" w:eastAsia="Arial" w:hAnsi="Arial"/>
          <w:sz w:val="18"/>
          <w:szCs w:val="18"/>
          <w:color w:val="auto"/>
        </w:rPr>
        <w:t>applicable law, and (iii) the redemption of our public</w:t>
      </w:r>
    </w:p>
    <w:p>
      <w:pPr>
        <w:ind w:left="4020"/>
        <w:spacing w:after="0" w:line="235" w:lineRule="auto"/>
        <w:rPr>
          <w:sz w:val="20"/>
          <w:szCs w:val="20"/>
          <w:color w:val="auto"/>
        </w:rPr>
      </w:pPr>
      <w:r>
        <w:rPr>
          <w:rFonts w:ascii="Arial" w:cs="Arial" w:eastAsia="Arial" w:hAnsi="Arial"/>
          <w:sz w:val="18"/>
          <w:szCs w:val="18"/>
          <w:color w:val="auto"/>
        </w:rPr>
        <w:t>shares properly submitted in connection with a</w:t>
      </w:r>
    </w:p>
    <w:p>
      <w:pPr>
        <w:ind w:left="4020"/>
        <w:spacing w:after="0" w:line="235" w:lineRule="auto"/>
        <w:rPr>
          <w:sz w:val="20"/>
          <w:szCs w:val="20"/>
          <w:color w:val="auto"/>
        </w:rPr>
      </w:pPr>
      <w:r>
        <w:rPr>
          <w:rFonts w:ascii="Arial" w:cs="Arial" w:eastAsia="Arial" w:hAnsi="Arial"/>
          <w:sz w:val="18"/>
          <w:szCs w:val="18"/>
          <w:color w:val="auto"/>
        </w:rPr>
        <w:t>stockholder vote to amend our amended and restated</w:t>
      </w:r>
    </w:p>
    <w:p>
      <w:pPr>
        <w:ind w:left="4020"/>
        <w:spacing w:after="0" w:line="234" w:lineRule="auto"/>
        <w:rPr>
          <w:sz w:val="20"/>
          <w:szCs w:val="20"/>
          <w:color w:val="auto"/>
        </w:rPr>
      </w:pPr>
      <w:r>
        <w:rPr>
          <w:rFonts w:ascii="Arial" w:cs="Arial" w:eastAsia="Arial" w:hAnsi="Arial"/>
          <w:sz w:val="18"/>
          <w:szCs w:val="18"/>
          <w:color w:val="auto"/>
        </w:rPr>
        <w:t>certificate of incorporation to modify the substance or</w:t>
      </w:r>
    </w:p>
    <w:p>
      <w:pPr>
        <w:ind w:left="4020"/>
        <w:spacing w:after="0" w:line="235" w:lineRule="auto"/>
        <w:rPr>
          <w:sz w:val="20"/>
          <w:szCs w:val="20"/>
          <w:color w:val="auto"/>
        </w:rPr>
      </w:pPr>
      <w:r>
        <w:rPr>
          <w:rFonts w:ascii="Arial" w:cs="Arial" w:eastAsia="Arial" w:hAnsi="Arial"/>
          <w:sz w:val="18"/>
          <w:szCs w:val="18"/>
          <w:color w:val="auto"/>
        </w:rPr>
        <w:t>timing of our obligation to redeem 100% of our public</w:t>
      </w:r>
    </w:p>
    <w:p>
      <w:pPr>
        <w:ind w:left="4020"/>
        <w:spacing w:after="0" w:line="235" w:lineRule="auto"/>
        <w:rPr>
          <w:sz w:val="20"/>
          <w:szCs w:val="20"/>
          <w:color w:val="auto"/>
        </w:rPr>
      </w:pPr>
      <w:r>
        <w:rPr>
          <w:rFonts w:ascii="Arial" w:cs="Arial" w:eastAsia="Arial" w:hAnsi="Arial"/>
          <w:sz w:val="18"/>
          <w:szCs w:val="18"/>
          <w:color w:val="auto"/>
        </w:rPr>
        <w:t>shares if we have not consummated an initial business</w:t>
      </w:r>
    </w:p>
    <w:p>
      <w:pPr>
        <w:ind w:left="4020"/>
        <w:spacing w:after="0" w:line="235" w:lineRule="auto"/>
        <w:rPr>
          <w:sz w:val="20"/>
          <w:szCs w:val="20"/>
          <w:color w:val="auto"/>
        </w:rPr>
      </w:pPr>
      <w:r>
        <w:rPr>
          <w:rFonts w:ascii="Arial" w:cs="Arial" w:eastAsia="Arial" w:hAnsi="Arial"/>
          <w:sz w:val="18"/>
          <w:szCs w:val="18"/>
          <w:color w:val="auto"/>
        </w:rPr>
        <w:t>combination within 24 months from the closing of this</w:t>
      </w:r>
    </w:p>
    <w:p>
      <w:pPr>
        <w:ind w:left="4020"/>
        <w:spacing w:after="0" w:line="235" w:lineRule="auto"/>
        <w:rPr>
          <w:sz w:val="20"/>
          <w:szCs w:val="20"/>
          <w:color w:val="auto"/>
        </w:rPr>
      </w:pPr>
      <w:r>
        <w:rPr>
          <w:rFonts w:ascii="Arial" w:cs="Arial" w:eastAsia="Arial" w:hAnsi="Arial"/>
          <w:sz w:val="18"/>
          <w:szCs w:val="18"/>
          <w:color w:val="auto"/>
        </w:rPr>
        <w:t>offering or with respect to any other material provisions</w:t>
      </w:r>
    </w:p>
    <w:p>
      <w:pPr>
        <w:ind w:left="4020"/>
        <w:spacing w:after="0" w:line="234" w:lineRule="auto"/>
        <w:rPr>
          <w:sz w:val="20"/>
          <w:szCs w:val="20"/>
          <w:color w:val="auto"/>
        </w:rPr>
      </w:pPr>
      <w:r>
        <w:rPr>
          <w:rFonts w:ascii="Arial" w:cs="Arial" w:eastAsia="Arial" w:hAnsi="Arial"/>
          <w:sz w:val="18"/>
          <w:szCs w:val="18"/>
          <w:color w:val="auto"/>
        </w:rPr>
        <w:t>relating to stockholders’ rights or pre-initial business</w:t>
      </w:r>
    </w:p>
    <w:p>
      <w:pPr>
        <w:ind w:left="4020"/>
        <w:spacing w:after="0" w:line="235" w:lineRule="auto"/>
        <w:rPr>
          <w:sz w:val="20"/>
          <w:szCs w:val="20"/>
          <w:color w:val="auto"/>
        </w:rPr>
      </w:pPr>
      <w:r>
        <w:rPr>
          <w:rFonts w:ascii="Arial" w:cs="Arial" w:eastAsia="Arial" w:hAnsi="Arial"/>
          <w:sz w:val="18"/>
          <w:szCs w:val="18"/>
          <w:color w:val="auto"/>
        </w:rPr>
        <w:t>combination activity. The proceeds deposited in the</w:t>
      </w:r>
    </w:p>
    <w:p>
      <w:pPr>
        <w:ind w:left="4020"/>
        <w:spacing w:after="0" w:line="235" w:lineRule="auto"/>
        <w:rPr>
          <w:sz w:val="20"/>
          <w:szCs w:val="20"/>
          <w:color w:val="auto"/>
        </w:rPr>
      </w:pPr>
      <w:r>
        <w:rPr>
          <w:rFonts w:ascii="Arial" w:cs="Arial" w:eastAsia="Arial" w:hAnsi="Arial"/>
          <w:sz w:val="18"/>
          <w:szCs w:val="18"/>
          <w:color w:val="auto"/>
        </w:rPr>
        <w:t>trust account could become subject to the claims of our</w:t>
      </w:r>
    </w:p>
    <w:p>
      <w:pPr>
        <w:ind w:left="4020"/>
        <w:spacing w:after="0" w:line="235" w:lineRule="auto"/>
        <w:rPr>
          <w:sz w:val="20"/>
          <w:szCs w:val="20"/>
          <w:color w:val="auto"/>
        </w:rPr>
      </w:pPr>
      <w:r>
        <w:rPr>
          <w:rFonts w:ascii="Arial" w:cs="Arial" w:eastAsia="Arial" w:hAnsi="Arial"/>
          <w:sz w:val="18"/>
          <w:szCs w:val="18"/>
          <w:color w:val="auto"/>
        </w:rPr>
        <w:t>creditors, if any, which could have priority over the</w:t>
      </w:r>
    </w:p>
    <w:p>
      <w:pPr>
        <w:ind w:left="4020"/>
        <w:spacing w:after="0"/>
        <w:rPr>
          <w:sz w:val="20"/>
          <w:szCs w:val="20"/>
          <w:color w:val="auto"/>
        </w:rPr>
      </w:pPr>
      <w:r>
        <w:rPr>
          <w:rFonts w:ascii="Arial" w:cs="Arial" w:eastAsia="Arial" w:hAnsi="Arial"/>
          <w:sz w:val="18"/>
          <w:szCs w:val="18"/>
          <w:color w:val="auto"/>
        </w:rPr>
        <w:t>claims of our public stockholders.</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Anticipated expenses and funding sources Unless and until we complete our initial business</w:t>
      </w:r>
    </w:p>
    <w:p>
      <w:pPr>
        <w:ind w:left="4020"/>
        <w:spacing w:after="0" w:line="234" w:lineRule="auto"/>
        <w:rPr>
          <w:sz w:val="20"/>
          <w:szCs w:val="20"/>
          <w:color w:val="auto"/>
        </w:rPr>
      </w:pPr>
      <w:r>
        <w:rPr>
          <w:rFonts w:ascii="Arial" w:cs="Arial" w:eastAsia="Arial" w:hAnsi="Arial"/>
          <w:sz w:val="18"/>
          <w:szCs w:val="18"/>
          <w:color w:val="auto"/>
        </w:rPr>
        <w:t>combination, no proceeds held in the trust account will</w:t>
      </w:r>
    </w:p>
    <w:p>
      <w:pPr>
        <w:ind w:left="4020"/>
        <w:spacing w:after="0" w:line="235" w:lineRule="auto"/>
        <w:rPr>
          <w:sz w:val="20"/>
          <w:szCs w:val="20"/>
          <w:color w:val="auto"/>
        </w:rPr>
      </w:pPr>
      <w:r>
        <w:rPr>
          <w:rFonts w:ascii="Arial" w:cs="Arial" w:eastAsia="Arial" w:hAnsi="Arial"/>
          <w:sz w:val="18"/>
          <w:szCs w:val="18"/>
          <w:color w:val="auto"/>
        </w:rPr>
        <w:t>be available for our use, except the withdrawal of</w:t>
      </w:r>
    </w:p>
    <w:p>
      <w:pPr>
        <w:ind w:left="4020"/>
        <w:spacing w:after="0" w:line="235" w:lineRule="auto"/>
        <w:rPr>
          <w:sz w:val="20"/>
          <w:szCs w:val="20"/>
          <w:color w:val="auto"/>
        </w:rPr>
      </w:pPr>
      <w:r>
        <w:rPr>
          <w:rFonts w:ascii="Arial" w:cs="Arial" w:eastAsia="Arial" w:hAnsi="Arial"/>
          <w:sz w:val="18"/>
          <w:szCs w:val="18"/>
          <w:color w:val="auto"/>
        </w:rPr>
        <w:t>interest to pay our taxes and/or to redeem our public</w:t>
      </w:r>
    </w:p>
    <w:p>
      <w:pPr>
        <w:ind w:left="4020"/>
        <w:spacing w:after="0" w:line="235" w:lineRule="auto"/>
        <w:rPr>
          <w:sz w:val="20"/>
          <w:szCs w:val="20"/>
          <w:color w:val="auto"/>
        </w:rPr>
      </w:pPr>
      <w:r>
        <w:rPr>
          <w:rFonts w:ascii="Arial" w:cs="Arial" w:eastAsia="Arial" w:hAnsi="Arial"/>
          <w:sz w:val="18"/>
          <w:szCs w:val="18"/>
          <w:color w:val="auto"/>
        </w:rPr>
        <w:t>shares in connection with an amendment to our</w:t>
      </w:r>
    </w:p>
    <w:p>
      <w:pPr>
        <w:ind w:left="4020"/>
        <w:spacing w:after="0" w:line="235" w:lineRule="auto"/>
        <w:rPr>
          <w:sz w:val="20"/>
          <w:szCs w:val="20"/>
          <w:color w:val="auto"/>
        </w:rPr>
      </w:pPr>
      <w:r>
        <w:rPr>
          <w:rFonts w:ascii="Arial" w:cs="Arial" w:eastAsia="Arial" w:hAnsi="Arial"/>
          <w:sz w:val="18"/>
          <w:szCs w:val="18"/>
          <w:color w:val="auto"/>
        </w:rPr>
        <w:t>amended and restated certificate of incorporation, as</w:t>
      </w:r>
    </w:p>
    <w:p>
      <w:pPr>
        <w:ind w:left="4020"/>
        <w:spacing w:after="0" w:line="234" w:lineRule="auto"/>
        <w:rPr>
          <w:sz w:val="20"/>
          <w:szCs w:val="20"/>
          <w:color w:val="auto"/>
        </w:rPr>
      </w:pPr>
      <w:r>
        <w:rPr>
          <w:rFonts w:ascii="Arial" w:cs="Arial" w:eastAsia="Arial" w:hAnsi="Arial"/>
          <w:sz w:val="18"/>
          <w:szCs w:val="18"/>
          <w:color w:val="auto"/>
        </w:rPr>
        <w:t>described above. The proceeds held in the trust</w:t>
      </w:r>
    </w:p>
    <w:p>
      <w:pPr>
        <w:ind w:left="4020"/>
        <w:spacing w:after="0" w:line="235" w:lineRule="auto"/>
        <w:rPr>
          <w:sz w:val="20"/>
          <w:szCs w:val="20"/>
          <w:color w:val="auto"/>
        </w:rPr>
      </w:pPr>
      <w:r>
        <w:rPr>
          <w:rFonts w:ascii="Arial" w:cs="Arial" w:eastAsia="Arial" w:hAnsi="Arial"/>
          <w:sz w:val="18"/>
          <w:szCs w:val="18"/>
          <w:color w:val="auto"/>
        </w:rPr>
        <w:t>account will be invested only in U.S. government</w:t>
      </w:r>
    </w:p>
    <w:p>
      <w:pPr>
        <w:ind w:left="4020"/>
        <w:spacing w:after="0" w:line="235" w:lineRule="auto"/>
        <w:rPr>
          <w:sz w:val="20"/>
          <w:szCs w:val="20"/>
          <w:color w:val="auto"/>
        </w:rPr>
      </w:pPr>
      <w:r>
        <w:rPr>
          <w:rFonts w:ascii="Arial" w:cs="Arial" w:eastAsia="Arial" w:hAnsi="Arial"/>
          <w:sz w:val="18"/>
          <w:szCs w:val="18"/>
          <w:color w:val="auto"/>
        </w:rPr>
        <w:t>treasury obligations with a maturity of 185 days or less</w:t>
      </w:r>
    </w:p>
    <w:p>
      <w:pPr>
        <w:ind w:left="4020"/>
        <w:spacing w:after="0" w:line="235" w:lineRule="auto"/>
        <w:rPr>
          <w:sz w:val="20"/>
          <w:szCs w:val="20"/>
          <w:color w:val="auto"/>
        </w:rPr>
      </w:pPr>
      <w:r>
        <w:rPr>
          <w:rFonts w:ascii="Arial" w:cs="Arial" w:eastAsia="Arial" w:hAnsi="Arial"/>
          <w:sz w:val="18"/>
          <w:szCs w:val="18"/>
          <w:color w:val="auto"/>
        </w:rPr>
        <w:t>or in money market funds meeting certain conditions</w:t>
      </w:r>
    </w:p>
    <w:p>
      <w:pPr>
        <w:ind w:left="4020"/>
        <w:spacing w:after="0" w:line="235" w:lineRule="auto"/>
        <w:rPr>
          <w:sz w:val="20"/>
          <w:szCs w:val="20"/>
          <w:color w:val="auto"/>
        </w:rPr>
      </w:pPr>
      <w:r>
        <w:rPr>
          <w:rFonts w:ascii="Arial" w:cs="Arial" w:eastAsia="Arial" w:hAnsi="Arial"/>
          <w:sz w:val="18"/>
          <w:szCs w:val="18"/>
          <w:color w:val="auto"/>
        </w:rPr>
        <w:t>under Rule 2a-7 under the Investment Company Act</w:t>
      </w:r>
    </w:p>
    <w:p>
      <w:pPr>
        <w:ind w:left="4020"/>
        <w:spacing w:after="0" w:line="234" w:lineRule="auto"/>
        <w:rPr>
          <w:sz w:val="20"/>
          <w:szCs w:val="20"/>
          <w:color w:val="auto"/>
        </w:rPr>
      </w:pPr>
      <w:r>
        <w:rPr>
          <w:rFonts w:ascii="Arial" w:cs="Arial" w:eastAsia="Arial" w:hAnsi="Arial"/>
          <w:sz w:val="18"/>
          <w:szCs w:val="18"/>
          <w:color w:val="auto"/>
        </w:rPr>
        <w:t>which invest only in direct U.S. government treasury</w:t>
      </w:r>
    </w:p>
    <w:p>
      <w:pPr>
        <w:ind w:left="4020"/>
        <w:spacing w:after="0" w:line="235" w:lineRule="auto"/>
        <w:rPr>
          <w:sz w:val="20"/>
          <w:szCs w:val="20"/>
          <w:color w:val="auto"/>
        </w:rPr>
      </w:pPr>
      <w:r>
        <w:rPr>
          <w:rFonts w:ascii="Arial" w:cs="Arial" w:eastAsia="Arial" w:hAnsi="Arial"/>
          <w:sz w:val="18"/>
          <w:szCs w:val="18"/>
          <w:color w:val="auto"/>
        </w:rPr>
        <w:t>obligations. We estimate the interest earned on the</w:t>
      </w:r>
    </w:p>
    <w:p>
      <w:pPr>
        <w:ind w:left="4020"/>
        <w:spacing w:after="0" w:line="235" w:lineRule="auto"/>
        <w:rPr>
          <w:sz w:val="20"/>
          <w:szCs w:val="20"/>
          <w:color w:val="auto"/>
        </w:rPr>
      </w:pPr>
      <w:r>
        <w:rPr>
          <w:rFonts w:ascii="Arial" w:cs="Arial" w:eastAsia="Arial" w:hAnsi="Arial"/>
          <w:sz w:val="18"/>
          <w:szCs w:val="18"/>
          <w:color w:val="auto"/>
        </w:rPr>
        <w:t>trust account will be approximately $100,000 per year,</w:t>
      </w:r>
    </w:p>
    <w:p>
      <w:pPr>
        <w:ind w:left="4020"/>
        <w:spacing w:after="0" w:line="235" w:lineRule="auto"/>
        <w:rPr>
          <w:sz w:val="20"/>
          <w:szCs w:val="20"/>
          <w:color w:val="auto"/>
        </w:rPr>
      </w:pPr>
      <w:r>
        <w:rPr>
          <w:rFonts w:ascii="Arial" w:cs="Arial" w:eastAsia="Arial" w:hAnsi="Arial"/>
          <w:sz w:val="18"/>
          <w:szCs w:val="18"/>
          <w:color w:val="auto"/>
        </w:rPr>
        <w:t>assuming an interest rate of 0.1% per year; however</w:t>
      </w:r>
    </w:p>
    <w:p>
      <w:pPr>
        <w:ind w:left="4020"/>
        <w:spacing w:after="0" w:line="235" w:lineRule="auto"/>
        <w:rPr>
          <w:sz w:val="20"/>
          <w:szCs w:val="20"/>
          <w:color w:val="auto"/>
        </w:rPr>
      </w:pPr>
      <w:r>
        <w:rPr>
          <w:rFonts w:ascii="Arial" w:cs="Arial" w:eastAsia="Arial" w:hAnsi="Arial"/>
          <w:sz w:val="18"/>
          <w:szCs w:val="18"/>
          <w:color w:val="auto"/>
        </w:rPr>
        <w:t>we can provide no assurances regarding this amount.</w:t>
      </w:r>
    </w:p>
    <w:p>
      <w:pPr>
        <w:ind w:left="4020"/>
        <w:spacing w:after="0" w:line="234" w:lineRule="auto"/>
        <w:rPr>
          <w:sz w:val="20"/>
          <w:szCs w:val="20"/>
          <w:color w:val="auto"/>
        </w:rPr>
      </w:pPr>
      <w:r>
        <w:rPr>
          <w:rFonts w:ascii="Arial" w:cs="Arial" w:eastAsia="Arial" w:hAnsi="Arial"/>
          <w:sz w:val="18"/>
          <w:szCs w:val="18"/>
          <w:color w:val="auto"/>
        </w:rPr>
        <w:t>Unless and until we complete our initial business</w:t>
      </w:r>
    </w:p>
    <w:p>
      <w:pPr>
        <w:ind w:left="4020"/>
        <w:spacing w:after="0" w:line="235" w:lineRule="auto"/>
        <w:rPr>
          <w:sz w:val="20"/>
          <w:szCs w:val="20"/>
          <w:color w:val="auto"/>
        </w:rPr>
      </w:pPr>
      <w:r>
        <w:rPr>
          <w:rFonts w:ascii="Arial" w:cs="Arial" w:eastAsia="Arial" w:hAnsi="Arial"/>
          <w:sz w:val="18"/>
          <w:szCs w:val="18"/>
          <w:color w:val="auto"/>
        </w:rPr>
        <w:t>combination, we may pay our expenses only from such</w:t>
      </w:r>
    </w:p>
    <w:p>
      <w:pPr>
        <w:spacing w:after="0" w:line="1"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interest withdrawn from the trust account and:</w:t>
      </w:r>
    </w:p>
    <w:p>
      <w:pPr>
        <w:spacing w:after="0" w:line="185" w:lineRule="exact"/>
        <w:rPr>
          <w:sz w:val="20"/>
          <w:szCs w:val="20"/>
          <w:color w:val="auto"/>
        </w:rPr>
      </w:pPr>
    </w:p>
    <w:p>
      <w:pPr>
        <w:ind w:left="4440" w:right="599" w:hanging="211"/>
        <w:spacing w:after="0" w:line="237" w:lineRule="auto"/>
        <w:tabs>
          <w:tab w:leader="none" w:pos="4437"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net proceeds of this offering and the sale of the private placement shares not held in the trust account, which initially will be approximately $1,000,000 in working capital after the payment of approximately $1,000,000 in expenses relating to this offering; and</w:t>
      </w:r>
    </w:p>
    <w:p>
      <w:pPr>
        <w:sectPr>
          <w:pgSz w:w="11900" w:h="16838" w:orient="portrait"/>
          <w:cols w:equalWidth="0" w:num="1">
            <w:col w:w="9019"/>
          </w:cols>
          <w:pgMar w:left="1440" w:top="512" w:right="1440" w:bottom="927"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512" w:right="1440" w:bottom="927" w:gutter="0" w:footer="0" w:header="0"/>
          <w:type w:val="continuous"/>
        </w:sectPr>
      </w:pPr>
    </w:p>
    <w:bookmarkStart w:id="18" w:name="page19"/>
    <w:bookmarkEnd w:id="1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720" w:hanging="179"/>
        <w:spacing w:after="0" w:line="246" w:lineRule="auto"/>
        <w:rPr>
          <w:sz w:val="20"/>
          <w:szCs w:val="20"/>
          <w:color w:val="auto"/>
        </w:rPr>
      </w:pPr>
      <w:r>
        <w:rPr>
          <w:rFonts w:ascii="Arial" w:cs="Arial" w:eastAsia="Arial" w:hAnsi="Arial"/>
          <w:sz w:val="18"/>
          <w:szCs w:val="18"/>
          <w:color w:val="auto"/>
        </w:rPr>
        <w:t>Conditions to completing our initial business combination</w:t>
      </w:r>
    </w:p>
    <w:p>
      <w:pPr>
        <w:spacing w:after="0" w:line="20" w:lineRule="exact"/>
        <w:rPr>
          <w:sz w:val="20"/>
          <w:szCs w:val="20"/>
          <w:color w:val="auto"/>
        </w:rPr>
      </w:pPr>
      <w:r>
        <w:rPr>
          <w:sz w:val="20"/>
          <w:szCs w:val="20"/>
          <w:color w:val="auto"/>
        </w:rPr>
        <w:br w:type="column"/>
      </w:r>
    </w:p>
    <w:p>
      <w:pPr>
        <w:ind w:left="440" w:right="579" w:hanging="214"/>
        <w:spacing w:after="0" w:line="236" w:lineRule="auto"/>
        <w:tabs>
          <w:tab w:leader="none" w:pos="437"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loans or additional investments from our sponsor, members of our management team or their affiliates or other third parties, although they are under no obligation to advance funds or invest in us, and provided that any such loans will not have any claim on the proceeds held in the trust account unless such proceeds are released to us upon completion of our initial business combination. Up to $1,500,000 of such loans may be convertible into private placement shares, at a price of $10.00 per share, at the option of the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-2075180</wp:posOffset>
            </wp:positionH>
            <wp:positionV relativeFrom="paragraph">
              <wp:posOffset>-1660525</wp:posOffset>
            </wp:positionV>
            <wp:extent cx="5147310" cy="93719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7310" cy="9371965"/>
                    </a:xfrm>
                    <a:prstGeom prst="rect">
                      <a:avLst/>
                    </a:prstGeom>
                    <a:noFill/>
                  </pic:spPr>
                </pic:pic>
              </a:graphicData>
            </a:graphic>
          </wp:anchor>
        </w:drawing>
      </w:r>
    </w:p>
    <w:p>
      <w:pPr>
        <w:spacing w:after="0" w:line="212" w:lineRule="exact"/>
        <w:rPr>
          <w:sz w:val="20"/>
          <w:szCs w:val="20"/>
          <w:color w:val="auto"/>
        </w:rPr>
      </w:pPr>
    </w:p>
    <w:p>
      <w:pPr>
        <w:ind w:right="579"/>
        <w:spacing w:after="0" w:line="235" w:lineRule="auto"/>
        <w:rPr>
          <w:sz w:val="20"/>
          <w:szCs w:val="20"/>
          <w:color w:val="auto"/>
        </w:rPr>
      </w:pPr>
      <w:r>
        <w:rPr>
          <w:rFonts w:ascii="Arial" w:cs="Arial" w:eastAsia="Arial" w:hAnsi="Arial"/>
          <w:sz w:val="18"/>
          <w:szCs w:val="18"/>
          <w:color w:val="auto"/>
        </w:rPr>
        <w:t>Nasdaq rules require that we must complete one or more business combinations having an aggregate fair market value of at least 80% of the value of the assets held in the trust account (excluding the deferred underwriting commissions and taxes payable on the interest earned on the trust account) at the time of our signing a definitive agreement in connection with our initial business combination. Our board of directors will make the determination as to the fair market value of our initial business combination. If our board of directors is not able to independently determine the fair market value of our initial business combination, we will obtain an opinion from an independent investment banking firm which is a member of FINRA or a valuation or appraisal firm. While we consider it unlikely that our board of directors will not be able to make an independent determination of the fair market value of our initial business combination, it may be unable to do so if it is less familiar or experienced with the business of a particular target or if there is a significant amount of uncertainty as to the value of the target’s assets or prospects. Additionally, pursuant to Nasdaq rules, any initial business combination must be approved by a majority of our independent directors.</w:t>
      </w:r>
    </w:p>
    <w:p>
      <w:pPr>
        <w:spacing w:after="0" w:line="145" w:lineRule="exact"/>
        <w:rPr>
          <w:sz w:val="20"/>
          <w:szCs w:val="20"/>
          <w:color w:val="auto"/>
        </w:rPr>
      </w:pPr>
    </w:p>
    <w:p>
      <w:pPr>
        <w:ind w:right="579"/>
        <w:spacing w:after="0" w:line="235" w:lineRule="auto"/>
        <w:rPr>
          <w:sz w:val="20"/>
          <w:szCs w:val="20"/>
          <w:color w:val="auto"/>
        </w:rPr>
      </w:pPr>
      <w:r>
        <w:rPr>
          <w:rFonts w:ascii="Arial" w:cs="Arial" w:eastAsia="Arial" w:hAnsi="Arial"/>
          <w:sz w:val="18"/>
          <w:szCs w:val="18"/>
          <w:color w:val="auto"/>
        </w:rPr>
        <w:t>We will complete our initial business combination only if the post-transaction company in which our public stockholders own shares will own or acquire 50% or more of the outstanding voting securities of the target or is otherwise not required to register as an investment company under the Investment Company Act. Even if the post-transaction company owns or acquires 50% or more of the voting securities of the target, our stockholders prior to our initial business combination may collectively own a minority interest in the post business combination company, depending on valuations ascribed to the target and us in the business combination transaction. For example, we could pursue a transaction in which we issue a substantial number of new shares in exchange for all of the outstanding capital stock or shares of a target. In this case, we would acquire a 100% controlling interest in the target. However, as a result of the issuance of a substantial number of new shares, our stockholders immediately prior to our initial business combination could own less than a majority of our issued and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taken into account for purposes of the 80% of net assets test described above, provided that in the event that the business combination involves more than one target business, the 80% of net assets test will be based on the aggregate value of all of the target businesses and we will treat the target businesses together as our initial business combination for purposes of a seeking stockholder approval or conducting a tender offer, as applicable.</w:t>
      </w:r>
    </w:p>
    <w:p>
      <w:pPr>
        <w:spacing w:after="0" w:line="200" w:lineRule="exact"/>
        <w:rPr>
          <w:sz w:val="20"/>
          <w:szCs w:val="20"/>
          <w:color w:val="auto"/>
        </w:rPr>
      </w:pPr>
    </w:p>
    <w:p>
      <w:pPr>
        <w:sectPr>
          <w:pgSz w:w="11900" w:h="16838" w:orient="portrait"/>
          <w:cols w:equalWidth="0" w:num="2">
            <w:col w:w="3280" w:space="440"/>
            <w:col w:w="5299"/>
          </w:cols>
          <w:pgMar w:left="1440" w:top="517" w:right="1440" w:bottom="1008" w:gutter="0" w:footer="0" w:header="0"/>
        </w:sect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17" w:right="1440" w:bottom="1008" w:gutter="0" w:footer="0" w:header="0"/>
          <w:type w:val="continuous"/>
        </w:sectPr>
      </w:pPr>
    </w:p>
    <w:bookmarkStart w:id="19" w:name="page20"/>
    <w:bookmarkEnd w:id="19"/>
    <w:p>
      <w:pPr>
        <w:ind w:left="720" w:hanging="179"/>
        <w:spacing w:after="0" w:line="246" w:lineRule="auto"/>
        <w:rPr>
          <w:sz w:val="20"/>
          <w:szCs w:val="20"/>
          <w:color w:val="auto"/>
        </w:rPr>
      </w:pPr>
      <w:r>
        <w:rPr>
          <w:rFonts w:ascii="Arial" w:cs="Arial" w:eastAsia="Arial" w:hAnsi="Arial"/>
          <w:sz w:val="18"/>
          <w:szCs w:val="18"/>
          <w:color w:val="auto"/>
        </w:rPr>
        <w:t>Permitted purchases of public shares by our affiliates</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right="559"/>
        <w:spacing w:after="0" w:line="235" w:lineRule="auto"/>
        <w:rPr>
          <w:sz w:val="20"/>
          <w:szCs w:val="20"/>
          <w:color w:val="auto"/>
        </w:rPr>
      </w:pPr>
      <w:r>
        <w:rPr>
          <w:rFonts w:ascii="Arial" w:cs="Arial" w:eastAsia="Arial" w:hAnsi="Arial"/>
          <w:sz w:val="18"/>
          <w:szCs w:val="18"/>
          <w:color w:val="auto"/>
        </w:rPr>
        <w:t>If we seek stockholder approval of our initial business combination and we do not conduct redemptions in connection with our initial business combination pursuant to the tender offer rules, our sponsor, initial stockholders, directors, executive officers, advisors or their respective affiliates may purchase public shares in privately negotiated transactions or in the open market either prior to or following the completion of our initial business combination. There is no limit on the number of shares our initial stockholders, directors, officers, advisors or their respective affiliates may purchase in such transactions, subject to compliance with applicable law and Nasdaq rules. However, they have no current commitments, plans or intentions to engage in such purchases or other transactions and have not formulated any terms or conditions for any such purchases or other transactions. None of the funds held in the trust account will be used to purchase shares in such transactions. If they engage in such transactions, they will be restricted from making any such purchases when they are in possession of any material nonpublic information not disclosed to the seller or if such purchases are prohibited by Regulation M under the Exchange Act.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be required to comply with such rules. We expect any such purchases will be reported pursuant to Section 13 and Section 16 of the Exchange Act to the extent such purchasers are subject to such reporting requirements. See “Proposed Business — Permitted Purchases of Our Securities” for a description of how our sponsor, initial stockholders, directors, executive officers, advisors or any of their affiliates will select which stockholders to purchase securities from in any private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-2075180</wp:posOffset>
            </wp:positionH>
            <wp:positionV relativeFrom="paragraph">
              <wp:posOffset>-5257800</wp:posOffset>
            </wp:positionV>
            <wp:extent cx="5147310" cy="78289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7310" cy="7828915"/>
                    </a:xfrm>
                    <a:prstGeom prst="rect">
                      <a:avLst/>
                    </a:prstGeom>
                    <a:noFill/>
                  </pic:spPr>
                </pic:pic>
              </a:graphicData>
            </a:graphic>
          </wp:anchor>
        </w:drawing>
      </w:r>
    </w:p>
    <w:p>
      <w:pPr>
        <w:spacing w:after="0" w:line="162" w:lineRule="exact"/>
        <w:rPr>
          <w:sz w:val="20"/>
          <w:szCs w:val="20"/>
          <w:color w:val="auto"/>
        </w:rPr>
      </w:pPr>
    </w:p>
    <w:p>
      <w:pPr>
        <w:ind w:right="579"/>
        <w:spacing w:after="0" w:line="235" w:lineRule="auto"/>
        <w:rPr>
          <w:sz w:val="20"/>
          <w:szCs w:val="20"/>
          <w:color w:val="auto"/>
        </w:rPr>
      </w:pPr>
      <w:r>
        <w:rPr>
          <w:rFonts w:ascii="Arial" w:cs="Arial" w:eastAsia="Arial" w:hAnsi="Arial"/>
          <w:sz w:val="18"/>
          <w:szCs w:val="18"/>
          <w:color w:val="auto"/>
        </w:rPr>
        <w:t>The purpose of any such purchases of shares could be to vote such shares in favor of the business combination and thereby increase the likelihood of obtaining the requisite stockholder approval of the business combination or to satisfy a closing condition in an agreement with a target that requires us to have a minimum net worth or a certain amount of cash at the closing of our initial business combination, where it appears that such requirement would otherwise not be met. Any such purchases of our shares of Class A common stock may result in the completion of our initial business combination that may not otherwise have been possible. In addition, if such purchases are made, the public “float” of our Class A common stock may be reduced and the number of beneficial holders of our Class A common stock may be reduced, which may make it difficult to maintain or obtain the quotation, listing or trading of our Class A common stock on a national securities exchange.</w:t>
      </w:r>
    </w:p>
    <w:p>
      <w:pPr>
        <w:spacing w:after="0" w:line="200" w:lineRule="exact"/>
        <w:rPr>
          <w:sz w:val="20"/>
          <w:szCs w:val="20"/>
          <w:color w:val="auto"/>
        </w:rPr>
      </w:pPr>
    </w:p>
    <w:p>
      <w:pPr>
        <w:sectPr>
          <w:pgSz w:w="11900" w:h="16838" w:orient="portrait"/>
          <w:cols w:equalWidth="0" w:num="2">
            <w:col w:w="3500" w:space="220"/>
            <w:col w:w="5299"/>
          </w:cols>
          <w:pgMar w:left="1440" w:top="517" w:right="1440" w:bottom="1440" w:gutter="0" w:footer="0" w:header="0"/>
        </w:sect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720" w:hanging="179"/>
        <w:spacing w:after="0"/>
        <w:rPr>
          <w:sz w:val="20"/>
          <w:szCs w:val="20"/>
          <w:color w:val="auto"/>
        </w:rPr>
      </w:pPr>
      <w:r>
        <w:rPr>
          <w:rFonts w:ascii="Arial" w:cs="Arial" w:eastAsia="Arial" w:hAnsi="Arial"/>
          <w:sz w:val="18"/>
          <w:szCs w:val="18"/>
          <w:color w:val="auto"/>
        </w:rPr>
        <w:t>Redemption rights for public stockholders upon completion of our initial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Limitations on redemptions</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ind w:right="579"/>
        <w:spacing w:after="0" w:line="235" w:lineRule="auto"/>
        <w:rPr>
          <w:sz w:val="20"/>
          <w:szCs w:val="20"/>
          <w:color w:val="auto"/>
        </w:rPr>
      </w:pPr>
      <w:r>
        <w:rPr>
          <w:rFonts w:ascii="Arial" w:cs="Arial" w:eastAsia="Arial" w:hAnsi="Arial"/>
          <w:sz w:val="18"/>
          <w:szCs w:val="18"/>
          <w:color w:val="auto"/>
        </w:rPr>
        <w:t>We will provide our public stockholders with the opportunity to redeem all or a portion of their public shares upon the completion of our initial business combination at a per-share price, payable in cash, equal to the aggregate amount then on deposit in the trust account calculated as of two business days prior to the consummation of our initial business combination, including interest earned on the funds held in the trust account and not previously released to us to pay our taxes, divided by the number of then outstanding public shares, subject to the limitations and on the conditions described herein. The amount in the trust account is initially anticipated to be $10.00 per public share. The per share amount we will distribute to investors who properly redeem their shares will not be reduced by the deferred underwriting commissions we will pay to the underwriters. There will be no redemption rights upon the completion of our initial business combination with respect to our private placement shares. Our initial stockholders, sponsor, officers and directors have entered into a letter agreement with us, pursuant to which they have agreed to waive their redemption rights with respect to any founder shares, private placement shares and any public shares they may acquire during or after this offering in connection with the completion of our initial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-2075180</wp:posOffset>
            </wp:positionH>
            <wp:positionV relativeFrom="paragraph">
              <wp:posOffset>-3584575</wp:posOffset>
            </wp:positionV>
            <wp:extent cx="5147310" cy="88487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7310" cy="8848725"/>
                    </a:xfrm>
                    <a:prstGeom prst="rect">
                      <a:avLst/>
                    </a:prstGeom>
                    <a:noFill/>
                  </pic:spPr>
                </pic:pic>
              </a:graphicData>
            </a:graphic>
          </wp:anchor>
        </w:drawing>
      </w:r>
    </w:p>
    <w:p>
      <w:pPr>
        <w:spacing w:after="0" w:line="165" w:lineRule="exact"/>
        <w:rPr>
          <w:sz w:val="20"/>
          <w:szCs w:val="20"/>
          <w:color w:val="auto"/>
        </w:rPr>
      </w:pPr>
    </w:p>
    <w:p>
      <w:pPr>
        <w:ind w:right="559"/>
        <w:spacing w:after="0" w:line="235" w:lineRule="auto"/>
        <w:rPr>
          <w:sz w:val="20"/>
          <w:szCs w:val="20"/>
          <w:color w:val="auto"/>
        </w:rPr>
      </w:pPr>
      <w:r>
        <w:rPr>
          <w:rFonts w:ascii="Arial" w:cs="Arial" w:eastAsia="Arial" w:hAnsi="Arial"/>
          <w:sz w:val="18"/>
          <w:szCs w:val="18"/>
          <w:color w:val="auto"/>
        </w:rPr>
        <w:t>Our amended and restated certificate of incorporation will provide that in no event will we redeem our public shares in an amount that would cause our net tangible assets to be less than $5,000,001. In addition, our proposed initial business combination may impose a minimum cash requirement for: (i) cash consideration to be paid to the target or its owners, (ii) cash for working capital or other general corporate purposes or (iii) the retention of cash to satisfy other conditions. In the event the aggregate cash consideration we would be required to pay for all shares of Class A common stock that are validly submitted for redemption plus any amount required to satisfy cash conditions pursuant to the terms of the proposed initial business combination exceed the aggregate amount of cash available to us, we will not complete the initial business combination or redeem any shares in connection with such initial business combination, and all shares of Class A common stock submitted for redemption will be returned to the holders thereof. We may, however, raise funds through the issuance of equity-linked securities or through loans, advances or other indebtedness in connection with our initial business combination, including pursuant to forward purchase agreements or backstop arrangements we may enter into following consummation of this offering, in order to, among other reasons, satisfy such net tangible assets or minimum cash requirements.</w:t>
      </w:r>
    </w:p>
    <w:p>
      <w:pPr>
        <w:spacing w:after="0" w:line="180" w:lineRule="exact"/>
        <w:rPr>
          <w:sz w:val="20"/>
          <w:szCs w:val="20"/>
          <w:color w:val="auto"/>
        </w:rPr>
      </w:pPr>
    </w:p>
    <w:p>
      <w:pPr>
        <w:sectPr>
          <w:pgSz w:w="11900" w:h="16838" w:orient="portrait"/>
          <w:cols w:equalWidth="0" w:num="2">
            <w:col w:w="3620" w:space="100"/>
            <w:col w:w="5299"/>
          </w:cols>
          <w:pgMar w:left="1440" w:top="517" w:right="1440" w:bottom="1440" w:gutter="0" w:footer="0" w:header="0"/>
        </w:sectPr>
      </w:pPr>
    </w:p>
    <w:p>
      <w:pPr>
        <w:ind w:left="540"/>
        <w:spacing w:after="0"/>
        <w:tabs>
          <w:tab w:leader="none" w:pos="3700" w:val="left"/>
        </w:tabs>
        <w:rPr>
          <w:sz w:val="20"/>
          <w:szCs w:val="20"/>
          <w:color w:val="auto"/>
        </w:rPr>
      </w:pPr>
      <w:r>
        <w:rPr>
          <w:rFonts w:ascii="Arial" w:cs="Arial" w:eastAsia="Arial" w:hAnsi="Arial"/>
          <w:sz w:val="18"/>
          <w:szCs w:val="18"/>
          <w:color w:val="auto"/>
        </w:rPr>
        <w:t>Manner of conducting redemptions</w:t>
      </w:r>
      <w:r>
        <w:rPr>
          <w:sz w:val="20"/>
          <w:szCs w:val="20"/>
          <w:color w:val="auto"/>
        </w:rPr>
        <w:tab/>
      </w:r>
      <w:r>
        <w:rPr>
          <w:rFonts w:ascii="Arial" w:cs="Arial" w:eastAsia="Arial" w:hAnsi="Arial"/>
          <w:sz w:val="18"/>
          <w:szCs w:val="18"/>
          <w:color w:val="auto"/>
        </w:rPr>
        <w:t>We will provide our public stockholders with the opportunity</w:t>
      </w:r>
    </w:p>
    <w:p>
      <w:pPr>
        <w:ind w:left="3720" w:right="659"/>
        <w:spacing w:after="0" w:line="236" w:lineRule="auto"/>
        <w:rPr>
          <w:sz w:val="20"/>
          <w:szCs w:val="20"/>
          <w:color w:val="auto"/>
        </w:rPr>
      </w:pPr>
      <w:r>
        <w:rPr>
          <w:rFonts w:ascii="Arial" w:cs="Arial" w:eastAsia="Arial" w:hAnsi="Arial"/>
          <w:sz w:val="18"/>
          <w:szCs w:val="18"/>
          <w:color w:val="auto"/>
        </w:rPr>
        <w:t>to redeem all or a portion of their public shares upon the completion of our initial business combination either (i) in connection with a stockholder meeting called to approve the business combination or (ii) without a stockholder vote by means of a tender offer. The decision as to whether we will seek stockholder approval of a proposed business combination or conduct a tender offer will be made by us, solely in our discretion, and will be based on a variety of factors such as the timing of the transaction and whether the terms of the transaction would require us</w:t>
      </w:r>
    </w:p>
    <w:p>
      <w:pPr>
        <w:sectPr>
          <w:pgSz w:w="11900" w:h="16838" w:orient="portrait"/>
          <w:cols w:equalWidth="0" w:num="1">
            <w:col w:w="9019"/>
          </w:cols>
          <w:pgMar w:left="1440" w:top="517" w:right="1440" w:bottom="1440" w:gutter="0" w:footer="0" w:header="0"/>
          <w:type w:val="continuous"/>
        </w:sect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3720" w:right="599"/>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98520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7310" cy="9852025"/>
                    </a:xfrm>
                    <a:prstGeom prst="rect">
                      <a:avLst/>
                    </a:prstGeom>
                    <a:noFill/>
                  </pic:spPr>
                </pic:pic>
              </a:graphicData>
            </a:graphic>
          </wp:anchor>
        </w:drawing>
        <w:t>to seek stockholder approval under applicable law or stock exchange listing requirement. Asset acquisitions and share purchases would not typically require stockholder approval while direct mergers with our company where we do not survive and any transactions where we issue more than 20% of our outstanding Class A common stock (excluding the private placement shares) or seek to amend our amended and restated certificate of incorporation would require stockholder approval. So long as we obtain and maintain a listing for our securities on Nasdaq we will be required to comply with Nasdaq’s stockholder approval rules.</w:t>
      </w:r>
    </w:p>
    <w:p>
      <w:pPr>
        <w:spacing w:after="0" w:line="177" w:lineRule="exact"/>
        <w:rPr>
          <w:sz w:val="20"/>
          <w:szCs w:val="20"/>
          <w:color w:val="auto"/>
        </w:rPr>
      </w:pPr>
    </w:p>
    <w:p>
      <w:pPr>
        <w:ind w:left="3720" w:right="559"/>
        <w:spacing w:after="0" w:line="236" w:lineRule="auto"/>
        <w:rPr>
          <w:sz w:val="20"/>
          <w:szCs w:val="20"/>
          <w:color w:val="auto"/>
        </w:rPr>
      </w:pPr>
      <w:r>
        <w:rPr>
          <w:rFonts w:ascii="Arial" w:cs="Arial" w:eastAsia="Arial" w:hAnsi="Arial"/>
          <w:sz w:val="18"/>
          <w:szCs w:val="18"/>
          <w:color w:val="auto"/>
        </w:rPr>
        <w:t>The requirement that we provide our public stockholders with the opportunity to redeem their public shares by one of the two methods listed above will be contained in provisions of our amended and restated certificate of incorporation and will apply whether or not we maintain our registration under the Exchange Act or our listing on Nasdaq. Such provisions of our amended and restated certificate of incorporation may be amended if approved by holders of at least 65% of all then issued and outstanding shares of our common stock entitled to vote thereon.</w:t>
      </w:r>
    </w:p>
    <w:p>
      <w:pPr>
        <w:spacing w:after="0" w:line="179" w:lineRule="exact"/>
        <w:rPr>
          <w:sz w:val="20"/>
          <w:szCs w:val="20"/>
          <w:color w:val="auto"/>
        </w:rPr>
      </w:pPr>
    </w:p>
    <w:p>
      <w:pPr>
        <w:jc w:val="both"/>
        <w:ind w:left="3720" w:right="559"/>
        <w:spacing w:after="0"/>
        <w:rPr>
          <w:sz w:val="20"/>
          <w:szCs w:val="20"/>
          <w:color w:val="auto"/>
        </w:rPr>
      </w:pPr>
      <w:r>
        <w:rPr>
          <w:rFonts w:ascii="Arial" w:cs="Arial" w:eastAsia="Arial" w:hAnsi="Arial"/>
          <w:sz w:val="18"/>
          <w:szCs w:val="18"/>
          <w:color w:val="auto"/>
        </w:rPr>
        <w:t>If we provide our public stockholders with the opportunity to redeem their public shares in connection with a stockholder meeting, we will:</w:t>
      </w:r>
    </w:p>
    <w:p>
      <w:pPr>
        <w:spacing w:after="0" w:line="176" w:lineRule="exact"/>
        <w:rPr>
          <w:sz w:val="20"/>
          <w:szCs w:val="20"/>
          <w:color w:val="auto"/>
        </w:rPr>
      </w:pPr>
    </w:p>
    <w:p>
      <w:pPr>
        <w:ind w:left="4160" w:right="739" w:hanging="214"/>
        <w:spacing w:after="0" w:line="238" w:lineRule="auto"/>
        <w:tabs>
          <w:tab w:leader="none" w:pos="4157"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conduct the redemptions in conjunction with a proxy solicitation pursuant to Regulation 14A of the Exchange Act, which regulates the solicitation of proxies, and not pursuant to the tender offer rules, and</w:t>
      </w:r>
    </w:p>
    <w:p>
      <w:pPr>
        <w:spacing w:after="0" w:line="175" w:lineRule="exact"/>
        <w:rPr>
          <w:rFonts w:ascii="Arial" w:cs="Arial" w:eastAsia="Arial" w:hAnsi="Arial"/>
          <w:sz w:val="18"/>
          <w:szCs w:val="18"/>
          <w:color w:val="auto"/>
        </w:rPr>
      </w:pPr>
    </w:p>
    <w:p>
      <w:pPr>
        <w:ind w:left="4160" w:hanging="214"/>
        <w:spacing w:after="0"/>
        <w:tabs>
          <w:tab w:leader="none" w:pos="4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file proxy materials with the SEC.</w:t>
      </w:r>
    </w:p>
    <w:p>
      <w:pPr>
        <w:spacing w:after="0" w:line="185" w:lineRule="exact"/>
        <w:rPr>
          <w:sz w:val="20"/>
          <w:szCs w:val="20"/>
          <w:color w:val="auto"/>
        </w:rPr>
      </w:pPr>
    </w:p>
    <w:p>
      <w:pPr>
        <w:ind w:left="3720" w:right="579"/>
        <w:spacing w:after="0" w:line="235" w:lineRule="auto"/>
        <w:rPr>
          <w:sz w:val="20"/>
          <w:szCs w:val="20"/>
          <w:color w:val="auto"/>
        </w:rPr>
      </w:pPr>
      <w:r>
        <w:rPr>
          <w:rFonts w:ascii="Arial" w:cs="Arial" w:eastAsia="Arial" w:hAnsi="Arial"/>
          <w:sz w:val="18"/>
          <w:szCs w:val="18"/>
          <w:color w:val="auto"/>
        </w:rPr>
        <w:t>If we seek stockholder approval, we will complete our initial business combination only if a majority of the issued and outstanding shares of common stock voted are voted in favor of the initial business combination. A quorum for such meeting will consist of the holders present in person or by proxy of shares of outstanding capital stock of the Company representing a majority of the voting power of all issued and outstanding shares of capital stock of the Company entitled to vote at such meeting. Our initial stockholders will count towards this quorum and, pursuant to the letter agreement, our sponsor, officers and directors have agreed to vote any founder shares and private placement shares they hold and any public shares purchased during or after this offering (including in open market and privately-negotiated transactions) in favor of our initial business combination. For purposes of seeking approval of the majority of our issued and outstanding shares of common stock voted, non-votes will have no effect on the approval of our initial business combination once a quorum is obtained. As a result, in addition to our initial stockholders’ founder shares and private placement shares, we would need only 3,550,001, or 35.5%, of the 10,000,000 public shares sold in this offering to be voted in favor of an initial business combination in order to have our initial business combination approved (assuming all issued and outstanding shares of common stock are voted, the private placement shares to be issued to our sponsor are voted in favor of the transaction and the over-allotment option is not exercised). These quorum and voting thresholds, and the voting agreements of our initial stockholders, may make it more likely that we will consummate our initial business combination. Each public stockholder may elect to redeem its public shares irrespective of whether they vote for or against the proposed transaction or whether they were a stockholder on the record date for the stockholder meeting held to approve the proposed transaction.</w:t>
      </w:r>
    </w:p>
    <w:p>
      <w:pPr>
        <w:sectPr>
          <w:pgSz w:w="11900" w:h="16838" w:orient="portrait"/>
          <w:cols w:equalWidth="0" w:num="1">
            <w:col w:w="9019"/>
          </w:cols>
          <w:pgMar w:left="1440" w:top="517" w:right="1440" w:bottom="252"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517" w:right="1440" w:bottom="252" w:gutter="0" w:footer="0" w:header="0"/>
          <w:type w:val="continuous"/>
        </w:sectPr>
      </w:pPr>
    </w:p>
    <w:bookmarkStart w:id="22" w:name="page23"/>
    <w:bookmarkEnd w:id="22"/>
    <w:p>
      <w:pPr>
        <w:ind w:left="3720" w:right="7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91147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7310" cy="9114790"/>
                    </a:xfrm>
                    <a:prstGeom prst="rect">
                      <a:avLst/>
                    </a:prstGeom>
                    <a:noFill/>
                  </pic:spPr>
                </pic:pic>
              </a:graphicData>
            </a:graphic>
          </wp:anchor>
        </w:drawing>
        <w:t>If a stockholder vote is not required and we do not decide to hold a stockholder vote for business or other legal reasons, we will:</w:t>
      </w:r>
    </w:p>
    <w:p>
      <w:pPr>
        <w:spacing w:after="0" w:line="176" w:lineRule="exact"/>
        <w:rPr>
          <w:sz w:val="20"/>
          <w:szCs w:val="20"/>
          <w:color w:val="auto"/>
        </w:rPr>
      </w:pPr>
    </w:p>
    <w:p>
      <w:pPr>
        <w:jc w:val="both"/>
        <w:ind w:left="4160" w:right="659" w:hanging="214"/>
        <w:spacing w:after="0"/>
        <w:tabs>
          <w:tab w:leader="none" w:pos="4157"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conduct the redemptions pursuant to Rule 13e-4 and Regulation 14E of the Exchange Act, which regulate issuer tender offers, and</w:t>
      </w:r>
    </w:p>
    <w:p>
      <w:pPr>
        <w:spacing w:after="0" w:line="175" w:lineRule="exact"/>
        <w:rPr>
          <w:rFonts w:ascii="Arial" w:cs="Arial" w:eastAsia="Arial" w:hAnsi="Arial"/>
          <w:sz w:val="18"/>
          <w:szCs w:val="18"/>
          <w:color w:val="auto"/>
        </w:rPr>
      </w:pPr>
    </w:p>
    <w:p>
      <w:pPr>
        <w:ind w:left="4160" w:right="559" w:hanging="214"/>
        <w:spacing w:after="0" w:line="237" w:lineRule="auto"/>
        <w:tabs>
          <w:tab w:leader="none" w:pos="4157"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file tender offer documents with the SEC prior to completing our initial business combination which contain substantially the same financial and other information about our initial business combination and the redemption rights as is required under Regulation 14A of the Exchange Act, which regulates the solicitation of proxies.</w:t>
      </w:r>
    </w:p>
    <w:p>
      <w:pPr>
        <w:spacing w:after="0" w:line="176" w:lineRule="exact"/>
        <w:rPr>
          <w:sz w:val="20"/>
          <w:szCs w:val="20"/>
          <w:color w:val="auto"/>
        </w:rPr>
      </w:pPr>
    </w:p>
    <w:p>
      <w:pPr>
        <w:ind w:left="3720" w:right="639"/>
        <w:spacing w:after="0" w:line="236" w:lineRule="auto"/>
        <w:rPr>
          <w:sz w:val="20"/>
          <w:szCs w:val="20"/>
          <w:color w:val="auto"/>
        </w:rPr>
      </w:pPr>
      <w:r>
        <w:rPr>
          <w:rFonts w:ascii="Arial" w:cs="Arial" w:eastAsia="Arial" w:hAnsi="Arial"/>
          <w:sz w:val="18"/>
          <w:szCs w:val="18"/>
          <w:color w:val="auto"/>
        </w:rPr>
        <w:t>In the event we conduct redemptions pursuant to the tender offer rules, our offer to redeem will remain open for at least 20 business days, in accordance with Rule 14e-1(a) under the Exchange Act, and we will not be permitted to complete our initial business combination until the expiration of the tender offer period. In addition, the tender offer will be conditioned on public stockholders not tendering more than the number of public shares we are permitted to redeem. If public stockholders tender more shares than we have offered to purchase, we will withdraw the tender offer and not complete such initial business combination.</w:t>
      </w:r>
    </w:p>
    <w:p>
      <w:pPr>
        <w:spacing w:after="0" w:line="28" w:lineRule="exact"/>
        <w:rPr>
          <w:sz w:val="20"/>
          <w:szCs w:val="20"/>
          <w:color w:val="auto"/>
        </w:rPr>
      </w:pPr>
    </w:p>
    <w:p>
      <w:pPr>
        <w:ind w:left="3720" w:right="619"/>
        <w:spacing w:after="0" w:line="237" w:lineRule="auto"/>
        <w:rPr>
          <w:sz w:val="20"/>
          <w:szCs w:val="20"/>
          <w:color w:val="auto"/>
        </w:rPr>
      </w:pPr>
      <w:r>
        <w:rPr>
          <w:rFonts w:ascii="Arial" w:cs="Arial" w:eastAsia="Arial" w:hAnsi="Arial"/>
          <w:sz w:val="18"/>
          <w:szCs w:val="18"/>
          <w:color w:val="auto"/>
        </w:rPr>
        <w:t>Upon the public announcement of our initial business combination, if we elect to conduct redemptions pursuant to the tender offer rules, we and our sponsor will terminate any plan established in accordance with Rule 10b5-1 to purchase shares of our Class A common stock in the open market, in order to comply with Rule 14e-5 under the Exchange Act.</w:t>
      </w:r>
    </w:p>
    <w:p>
      <w:pPr>
        <w:spacing w:after="0" w:line="176" w:lineRule="exact"/>
        <w:rPr>
          <w:sz w:val="20"/>
          <w:szCs w:val="20"/>
          <w:color w:val="auto"/>
        </w:rPr>
      </w:pPr>
    </w:p>
    <w:p>
      <w:pPr>
        <w:ind w:left="3720" w:right="579"/>
        <w:spacing w:after="0" w:line="235" w:lineRule="auto"/>
        <w:rPr>
          <w:sz w:val="20"/>
          <w:szCs w:val="20"/>
          <w:color w:val="auto"/>
        </w:rPr>
      </w:pPr>
      <w:r>
        <w:rPr>
          <w:rFonts w:ascii="Arial" w:cs="Arial" w:eastAsia="Arial" w:hAnsi="Arial"/>
          <w:sz w:val="18"/>
          <w:szCs w:val="18"/>
          <w:color w:val="auto"/>
        </w:rPr>
        <w:t>We intend to require our public stockholders seeking to exercise their redemption rights, whether they are record holders or hold their shares in “street name,” to, at the holder’s option, either deliver their stock certificates to our transfer agent or deliver their shares to our transfer agent electronically using The Depository Trust Company’s DWAC (Deposit/Withdrawal At Custodian) system, prior to the date set forth in the proxy materials or tender offer documents, as applicable. In the case of proxy materials, this date may be up to two business days prior to the date on which the vote on the proposal to approve the initial business combination is to be held. In addition, if we conduct redemptions in connection with a stockholder vote, we intend to require a public stockholder seeking redemption of its public shares to also submit a written request for redemption to our transfer agent two business days prior to the vote in which the name of the beneficial owner of such shares is included. The proxy materials or tender offer documents, as applicable, that we will furnish to holders of our public shares in connection with our initial business combination will indicate whether we are requiring public stockholders to satisfy such delivery requirements. We believe that this will allow our transfer agent to efficiently process any redemptions without the need for further communication or action from the redeeming public stockholders, which could delay redemptions and result in additional administrative cost. If the proposed initial business combination is not approved and we continue to search for a target company, we will promptly return any certificates or shares delivered by public stockholders who elected to redeem their shares.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720" w:right="80" w:hanging="179"/>
        <w:spacing w:after="0" w:line="238" w:lineRule="auto"/>
        <w:rPr>
          <w:sz w:val="20"/>
          <w:szCs w:val="20"/>
          <w:color w:val="auto"/>
        </w:rPr>
      </w:pPr>
      <w:r>
        <w:rPr>
          <w:rFonts w:ascii="Arial" w:cs="Arial" w:eastAsia="Arial" w:hAnsi="Arial"/>
          <w:sz w:val="18"/>
          <w:szCs w:val="18"/>
          <w:color w:val="auto"/>
        </w:rPr>
        <w:t>Limitation on redemption rights of stockholders holding 20% or more of the shares sold in this offering if we hold stockholder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720" w:hanging="179"/>
        <w:spacing w:after="0" w:line="274" w:lineRule="auto"/>
        <w:rPr>
          <w:sz w:val="20"/>
          <w:szCs w:val="20"/>
          <w:color w:val="auto"/>
        </w:rPr>
      </w:pPr>
      <w:r>
        <w:rPr>
          <w:rFonts w:ascii="Arial" w:cs="Arial" w:eastAsia="Arial" w:hAnsi="Arial"/>
          <w:sz w:val="17"/>
          <w:szCs w:val="17"/>
          <w:color w:val="auto"/>
        </w:rPr>
        <w:t>Release of funds in trust account on closing of our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ind w:right="579"/>
        <w:spacing w:after="0" w:line="235" w:lineRule="auto"/>
        <w:rPr>
          <w:sz w:val="20"/>
          <w:szCs w:val="20"/>
          <w:color w:val="auto"/>
        </w:rPr>
      </w:pPr>
      <w:r>
        <w:rPr>
          <w:rFonts w:ascii="Arial" w:cs="Arial" w:eastAsia="Arial" w:hAnsi="Arial"/>
          <w:sz w:val="18"/>
          <w:szCs w:val="18"/>
          <w:color w:val="auto"/>
        </w:rPr>
        <w:t>Notwithstanding the foregoing redemption rights, if we seek stockholder approval of our initial business combination and we do not conduct redemptions in connection with our initial business combination pursuant to the tender offer rules, our amended and restated certificate of incorporation provides that a public stockholder, together with any affiliate of such stockholder or any other person with whom such stockholder is acting in concert or as a “group” (as defined under Section 13 of the Exchange Act), will be restricted from redeeming its shares with respect to more than an aggregate of 20% of the shares sold in this offering, without our prior consent. We believe the restriction described above will discourage stockholders from accumulating large blocks of shares, and subsequent attempts by such holders to use their ability to redeem their shares as a means to force us or our management to purchase their shares at a significant premium to the then-current market price or on other undesirable terms. Absent this provision, a public stockholder holding more than an aggregate of 20% of the shares sold in this offering could threaten to exercise its redemption rights against a business combination if such holder’s shares are not purchased by us, our sponsor or our management at a premium to the then-current market price or on other undesirable terms. By limiting our stockholders’ ability to redeem to no more than 20% of the shares sold in this offering, we believe we will limit the ability of a small group of stockholders to unreasonably attempt to block our ability to complete our initial business combination, particularly in connection with a business combination with a target that requires as a closing condition that we have a minimum net worth or a certain amount of cash. However, we would not be restricting our stockholders’ ability to vote all of their shares (including all shares held by those stockholders that hold more than 20% of the shares sold in this offering) for or against our initial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-2443480</wp:posOffset>
            </wp:positionH>
            <wp:positionV relativeFrom="paragraph">
              <wp:posOffset>-6029960</wp:posOffset>
            </wp:positionV>
            <wp:extent cx="5147310" cy="97574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7310" cy="9757410"/>
                    </a:xfrm>
                    <a:prstGeom prst="rect">
                      <a:avLst/>
                    </a:prstGeom>
                    <a:noFill/>
                  </pic:spPr>
                </pic:pic>
              </a:graphicData>
            </a:graphic>
          </wp:anchor>
        </w:drawing>
      </w:r>
    </w:p>
    <w:p>
      <w:pPr>
        <w:spacing w:after="0" w:line="364" w:lineRule="exact"/>
        <w:rPr>
          <w:sz w:val="20"/>
          <w:szCs w:val="20"/>
          <w:color w:val="auto"/>
        </w:rPr>
      </w:pPr>
    </w:p>
    <w:p>
      <w:pPr>
        <w:ind w:right="599"/>
        <w:spacing w:after="0" w:line="249" w:lineRule="auto"/>
        <w:rPr>
          <w:sz w:val="20"/>
          <w:szCs w:val="20"/>
          <w:color w:val="auto"/>
        </w:rPr>
      </w:pPr>
      <w:r>
        <w:rPr>
          <w:rFonts w:ascii="Arial" w:cs="Arial" w:eastAsia="Arial" w:hAnsi="Arial"/>
          <w:sz w:val="17"/>
          <w:szCs w:val="17"/>
          <w:color w:val="auto"/>
        </w:rPr>
        <w:t>On the completion of our initial business combination, the funds held in the trust account will be used to pay amounts due to any public stockholders who properly exercise their redemption rights as described above under “Redemption rights for public stockholders upon completion of our initial business combination,” to pay the underwriters their deferred underwriting commissions, to pay all or a portion of the consideration payable to the target or owners of the target of our initial business combination and to pay other expenses associated with our initial business combination. If our initial business combination is paid for using equity or debt securities, or not all of the funds released from the trust account are used for payment of the consideration in connection with our initial business combination or the redemption of our public shares, we may apply the balance of the cash released to us from the trust account for general corporate purposes, including for maintenance or expansion of operations of post-transaction businesses, the payment of principal or interest due on indebtedness incurred in completing our initial business combination, to fund the purchase of other companies or for working capital.</w:t>
      </w:r>
    </w:p>
    <w:p>
      <w:pPr>
        <w:spacing w:after="0" w:line="200" w:lineRule="exact"/>
        <w:rPr>
          <w:sz w:val="20"/>
          <w:szCs w:val="20"/>
          <w:color w:val="auto"/>
        </w:rPr>
      </w:pPr>
    </w:p>
    <w:p>
      <w:pPr>
        <w:sectPr>
          <w:pgSz w:w="11900" w:h="16838" w:orient="portrait"/>
          <w:cols w:equalWidth="0" w:num="2">
            <w:col w:w="4020" w:space="280"/>
            <w:col w:w="4719"/>
          </w:cols>
          <w:pgMar w:left="1440" w:top="517" w:right="1440" w:bottom="401"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517" w:right="1440" w:bottom="401" w:gutter="0" w:footer="0" w:header="0"/>
          <w:type w:val="continuous"/>
        </w:sectPr>
      </w:pPr>
    </w:p>
    <w:bookmarkStart w:id="24" w:name="page25"/>
    <w:bookmarkEnd w:id="24"/>
    <w:p>
      <w:pPr>
        <w:jc w:val="both"/>
        <w:ind w:left="720" w:hanging="179"/>
        <w:spacing w:after="0"/>
        <w:rPr>
          <w:sz w:val="20"/>
          <w:szCs w:val="20"/>
          <w:color w:val="auto"/>
        </w:rPr>
      </w:pPr>
      <w:r>
        <w:rPr>
          <w:rFonts w:ascii="Arial" w:cs="Arial" w:eastAsia="Arial" w:hAnsi="Arial"/>
          <w:sz w:val="18"/>
          <w:szCs w:val="18"/>
          <w:color w:val="auto"/>
        </w:rPr>
        <w:t>Redemption of public shares and distribution and liquidation if no initial business combination</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ind w:right="579"/>
        <w:spacing w:after="0" w:line="248" w:lineRule="auto"/>
        <w:rPr>
          <w:sz w:val="20"/>
          <w:szCs w:val="20"/>
          <w:color w:val="auto"/>
        </w:rPr>
      </w:pPr>
      <w:r>
        <w:rPr>
          <w:rFonts w:ascii="Arial" w:cs="Arial" w:eastAsia="Arial" w:hAnsi="Arial"/>
          <w:sz w:val="17"/>
          <w:szCs w:val="17"/>
          <w:color w:val="auto"/>
        </w:rPr>
        <w:t>Our amended and restated certificate of incorporation provides that we will have only 24 months from the closing of this offering to complete our initial business combination or during any Extension Period. If we are unable to complete our initial business combination within such 24-month period,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taxes (less up to $ 100,000 of interest to pay dissolution expenses), divided by the number of then outstanding public shares, which redemption will completely extinguish public stockholders’ rights as stockholders (including the right to receive further liquidating distributions, if any),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-2075180</wp:posOffset>
            </wp:positionH>
            <wp:positionV relativeFrom="paragraph">
              <wp:posOffset>-2676525</wp:posOffset>
            </wp:positionV>
            <wp:extent cx="5147310" cy="87458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7310" cy="8745855"/>
                    </a:xfrm>
                    <a:prstGeom prst="rect">
                      <a:avLst/>
                    </a:prstGeom>
                    <a:noFill/>
                  </pic:spPr>
                </pic:pic>
              </a:graphicData>
            </a:graphic>
          </wp:anchor>
        </w:drawing>
      </w:r>
    </w:p>
    <w:p>
      <w:pPr>
        <w:ind w:right="879" w:firstLine="10"/>
        <w:spacing w:after="0" w:line="237" w:lineRule="auto"/>
        <w:tabs>
          <w:tab w:leader="none" w:pos="29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 promptly as reasonably possible following such redemption, subject to the approval of our remaining stockholders and our board of directors, liquidate and dissolve, subject, in each case, to our obligations under Delaware law to provide for claims of creditors and the requirements of other applicable law.</w:t>
      </w:r>
    </w:p>
    <w:p>
      <w:pPr>
        <w:spacing w:after="0" w:line="178" w:lineRule="exact"/>
        <w:rPr>
          <w:sz w:val="20"/>
          <w:szCs w:val="20"/>
          <w:color w:val="auto"/>
        </w:rPr>
      </w:pPr>
    </w:p>
    <w:p>
      <w:pPr>
        <w:ind w:right="599"/>
        <w:spacing w:after="0" w:line="236" w:lineRule="auto"/>
        <w:rPr>
          <w:sz w:val="20"/>
          <w:szCs w:val="20"/>
          <w:color w:val="auto"/>
        </w:rPr>
      </w:pPr>
      <w:r>
        <w:rPr>
          <w:rFonts w:ascii="Arial" w:cs="Arial" w:eastAsia="Arial" w:hAnsi="Arial"/>
          <w:sz w:val="18"/>
          <w:szCs w:val="18"/>
          <w:color w:val="auto"/>
        </w:rPr>
        <w:t>Our initial stockholders have entered into agreements with us, pursuant to which they have waived their rights to liquidating distributions from the trust account with respect to their founder shares and private placement shares if we fail to complete our initial business combination within 24 months from the closing of this offering or during any Extension Period. However, if our initial stockholders or management team acquire public shares in or after this offering, they will be entitled to liquidating distributions from the trust account with respect to such public shares if we fail to complete our initial business combination within the allotted 24-month time frame.</w:t>
      </w:r>
    </w:p>
    <w:p>
      <w:pPr>
        <w:spacing w:after="0" w:line="177" w:lineRule="exact"/>
        <w:rPr>
          <w:sz w:val="20"/>
          <w:szCs w:val="20"/>
          <w:color w:val="auto"/>
        </w:rPr>
      </w:pPr>
    </w:p>
    <w:p>
      <w:pPr>
        <w:ind w:right="619"/>
        <w:spacing w:after="0" w:line="236" w:lineRule="auto"/>
        <w:rPr>
          <w:sz w:val="20"/>
          <w:szCs w:val="20"/>
          <w:color w:val="auto"/>
        </w:rPr>
      </w:pPr>
      <w:r>
        <w:rPr>
          <w:rFonts w:ascii="Arial" w:cs="Arial" w:eastAsia="Arial" w:hAnsi="Arial"/>
          <w:sz w:val="18"/>
          <w:szCs w:val="18"/>
          <w:color w:val="auto"/>
        </w:rPr>
        <w:t>The underwriters have agreed to waive their rights to their deferred underwriting commission held in the trust account in the event we do not complete our initial business combination within 24 months from the closing of this offering or during any Extension Period and, in such event, such amounts will be included with the funds held in the trust account that will be available to fund the redemption of our public shares.</w:t>
      </w:r>
    </w:p>
    <w:p>
      <w:pPr>
        <w:spacing w:after="0" w:line="32" w:lineRule="exact"/>
        <w:rPr>
          <w:sz w:val="20"/>
          <w:szCs w:val="20"/>
          <w:color w:val="auto"/>
        </w:rPr>
      </w:pPr>
    </w:p>
    <w:p>
      <w:pPr>
        <w:ind w:right="599"/>
        <w:spacing w:after="0" w:line="235" w:lineRule="auto"/>
        <w:rPr>
          <w:sz w:val="20"/>
          <w:szCs w:val="20"/>
          <w:color w:val="auto"/>
        </w:rPr>
      </w:pPr>
      <w:r>
        <w:rPr>
          <w:rFonts w:ascii="Arial" w:cs="Arial" w:eastAsia="Arial" w:hAnsi="Arial"/>
          <w:sz w:val="18"/>
          <w:szCs w:val="18"/>
          <w:color w:val="auto"/>
        </w:rPr>
        <w:t>Our sponsor, executive officers, directors and director nominees have agreed, pursuant to a written agreement with us, that they will not propose any amendment to our amended and restated certificate of incorporation to modify the substance or timing of our obligation to redeem 100% of our public shares if we do not complete our initial business combination within 24 months from the closing of this offering or with respect to any other material provisions relating to stockholders’ rights or pre-initial business combination activity, unless we provide our public stockholders with the opportunity to redeem their Class A common stock upon approval of any such amendment at a per-share price, payable in cash, equal to the aggregate amount then on deposit in the trust account, including interest earned on the funds held in the trust account and not previously released to us to pay our taxes, divided by the number of</w:t>
      </w:r>
    </w:p>
    <w:p>
      <w:pPr>
        <w:spacing w:after="0" w:line="200" w:lineRule="exact"/>
        <w:rPr>
          <w:sz w:val="20"/>
          <w:szCs w:val="20"/>
          <w:color w:val="auto"/>
        </w:rPr>
      </w:pPr>
    </w:p>
    <w:p>
      <w:pPr>
        <w:sectPr>
          <w:pgSz w:w="11900" w:h="16838" w:orient="portrait"/>
          <w:cols w:equalWidth="0" w:num="2">
            <w:col w:w="3200" w:space="520"/>
            <w:col w:w="5299"/>
          </w:cols>
          <w:pgMar w:left="1440" w:top="517" w:right="1440" w:bottom="1440" w:gutter="0" w:footer="0" w:header="0"/>
        </w:sect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tbl>
      <w:tblPr>
        <w:tblLayout w:type="fixed"/>
        <w:tblInd w:w="470" w:type="dxa"/>
        <w:tblCellMar>
          <w:top w:w="0" w:type="dxa"/>
          <w:left w:w="0" w:type="dxa"/>
          <w:bottom w:w="0" w:type="dxa"/>
          <w:right w:w="0" w:type="dxa"/>
        </w:tblCellMar>
      </w:tblPr>
      <w:tr>
        <w:trPr>
          <w:trHeight w:val="580"/>
        </w:trPr>
        <w:tc>
          <w:tcPr>
            <w:tcW w:w="2820" w:type="dxa"/>
            <w:vAlign w:val="bottom"/>
            <w:tcBorders>
              <w:top w:val="single" w:sz="8" w:color="auto"/>
              <w:left w:val="single" w:sz="8" w:color="auto"/>
            </w:tcBorders>
          </w:tcPr>
          <w:p>
            <w:pPr>
              <w:spacing w:after="0"/>
              <w:rPr>
                <w:sz w:val="24"/>
                <w:szCs w:val="24"/>
                <w:color w:val="auto"/>
              </w:rPr>
            </w:pPr>
          </w:p>
        </w:tc>
        <w:tc>
          <w:tcPr>
            <w:tcW w:w="5280" w:type="dxa"/>
            <w:vAlign w:val="bottom"/>
            <w:tcBorders>
              <w:top w:val="single" w:sz="8" w:color="auto"/>
              <w:right w:val="single" w:sz="8" w:color="auto"/>
            </w:tcBorders>
          </w:tcPr>
          <w:p>
            <w:pPr>
              <w:ind w:left="440"/>
              <w:spacing w:after="0"/>
              <w:rPr>
                <w:sz w:val="20"/>
                <w:szCs w:val="20"/>
                <w:color w:val="auto"/>
              </w:rPr>
            </w:pPr>
            <w:r>
              <w:rPr>
                <w:rFonts w:ascii="Arial" w:cs="Arial" w:eastAsia="Arial" w:hAnsi="Arial"/>
                <w:sz w:val="18"/>
                <w:szCs w:val="18"/>
                <w:color w:val="auto"/>
              </w:rPr>
              <w:t>then outstanding public shares, subject to the limitations</w:t>
            </w:r>
          </w:p>
        </w:tc>
      </w:tr>
      <w:tr>
        <w:trPr>
          <w:trHeight w:val="202"/>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described above under “Limitations on redemptions.” For</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example, our board of directors may propose such an</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amendment if it determines that additional time is</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necessary to complete our initial business combination. In</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such event, we will conduct a proxy solicitation and</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distribute proxy materials pursuant to Regulation 14A of</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the Exchange Act seeking stockholder approval of such</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proposal, and in connection therewith, provide our public</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stockholders with the redemption rights described above</w:t>
            </w:r>
          </w:p>
        </w:tc>
      </w:tr>
      <w:tr>
        <w:trPr>
          <w:trHeight w:val="217"/>
        </w:trPr>
        <w:tc>
          <w:tcPr>
            <w:tcW w:w="2820" w:type="dxa"/>
            <w:vAlign w:val="bottom"/>
            <w:tcBorders>
              <w:left w:val="single" w:sz="8" w:color="auto"/>
            </w:tcBorders>
          </w:tcPr>
          <w:p>
            <w:pPr>
              <w:spacing w:after="0"/>
              <w:rPr>
                <w:sz w:val="18"/>
                <w:szCs w:val="18"/>
                <w:color w:val="auto"/>
              </w:rPr>
            </w:pPr>
          </w:p>
        </w:tc>
        <w:tc>
          <w:tcPr>
            <w:tcW w:w="528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upon stockholder approval of such amendment.</w:t>
            </w:r>
          </w:p>
        </w:tc>
      </w:tr>
      <w:tr>
        <w:trPr>
          <w:trHeight w:val="377"/>
        </w:trPr>
        <w:tc>
          <w:tcPr>
            <w:tcW w:w="282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Limited payments to insiders</w:t>
            </w:r>
          </w:p>
        </w:tc>
        <w:tc>
          <w:tcPr>
            <w:tcW w:w="528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There will be no finder’s fees, reimbursement, consulting</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fee, monies in respect of any payment of a loan or other</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compensation paid by us to our sponsor, officers or</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directors, or any affiliate of our sponsor or officers prior to,</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or in connection with any services rendered in order to</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effectuate, the consummation of our initial business</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combination (regardless of the type of transaction that it is).</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However, the following payments will be made to our</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sponsor, officers or directors, or our or their affiliates, and,</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if made prior to our initial business combination will be</w:t>
            </w:r>
          </w:p>
        </w:tc>
      </w:tr>
      <w:tr>
        <w:trPr>
          <w:trHeight w:val="217"/>
        </w:trPr>
        <w:tc>
          <w:tcPr>
            <w:tcW w:w="2820" w:type="dxa"/>
            <w:vAlign w:val="bottom"/>
            <w:tcBorders>
              <w:left w:val="single" w:sz="8" w:color="auto"/>
            </w:tcBorders>
          </w:tcPr>
          <w:p>
            <w:pPr>
              <w:spacing w:after="0"/>
              <w:rPr>
                <w:sz w:val="18"/>
                <w:szCs w:val="18"/>
                <w:color w:val="auto"/>
              </w:rPr>
            </w:pPr>
          </w:p>
        </w:tc>
        <w:tc>
          <w:tcPr>
            <w:tcW w:w="528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made from funds held outside the trust account.</w:t>
            </w:r>
          </w:p>
        </w:tc>
      </w:tr>
      <w:tr>
        <w:trPr>
          <w:trHeight w:val="377"/>
        </w:trPr>
        <w:tc>
          <w:tcPr>
            <w:tcW w:w="2820" w:type="dxa"/>
            <w:vAlign w:val="bottom"/>
            <w:tcBorders>
              <w:left w:val="single" w:sz="8" w:color="auto"/>
            </w:tcBorders>
          </w:tcPr>
          <w:p>
            <w:pPr>
              <w:spacing w:after="0"/>
              <w:rPr>
                <w:sz w:val="24"/>
                <w:szCs w:val="24"/>
                <w:color w:val="auto"/>
              </w:rPr>
            </w:pPr>
          </w:p>
        </w:tc>
        <w:tc>
          <w:tcPr>
            <w:tcW w:w="528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  Repayment of up to an aggregate of $200,000 in</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880"/>
              <w:spacing w:after="0" w:line="202" w:lineRule="exact"/>
              <w:rPr>
                <w:sz w:val="20"/>
                <w:szCs w:val="20"/>
                <w:color w:val="auto"/>
              </w:rPr>
            </w:pPr>
            <w:r>
              <w:rPr>
                <w:rFonts w:ascii="Arial" w:cs="Arial" w:eastAsia="Arial" w:hAnsi="Arial"/>
                <w:sz w:val="18"/>
                <w:szCs w:val="18"/>
                <w:color w:val="auto"/>
              </w:rPr>
              <w:t>loans made to us by our sponsor to cover offering-</w:t>
            </w:r>
          </w:p>
        </w:tc>
      </w:tr>
      <w:tr>
        <w:trPr>
          <w:trHeight w:val="217"/>
        </w:trPr>
        <w:tc>
          <w:tcPr>
            <w:tcW w:w="2820" w:type="dxa"/>
            <w:vAlign w:val="bottom"/>
            <w:tcBorders>
              <w:left w:val="single" w:sz="8" w:color="auto"/>
            </w:tcBorders>
          </w:tcPr>
          <w:p>
            <w:pPr>
              <w:spacing w:after="0"/>
              <w:rPr>
                <w:sz w:val="18"/>
                <w:szCs w:val="18"/>
                <w:color w:val="auto"/>
              </w:rPr>
            </w:pPr>
          </w:p>
        </w:tc>
        <w:tc>
          <w:tcPr>
            <w:tcW w:w="528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rPr>
              <w:t>related and organizational expenses;</w:t>
            </w:r>
          </w:p>
        </w:tc>
      </w:tr>
      <w:tr>
        <w:trPr>
          <w:trHeight w:val="377"/>
        </w:trPr>
        <w:tc>
          <w:tcPr>
            <w:tcW w:w="2820" w:type="dxa"/>
            <w:vAlign w:val="bottom"/>
            <w:tcBorders>
              <w:left w:val="single" w:sz="8" w:color="auto"/>
            </w:tcBorders>
          </w:tcPr>
          <w:p>
            <w:pPr>
              <w:spacing w:after="0"/>
              <w:rPr>
                <w:sz w:val="24"/>
                <w:szCs w:val="24"/>
                <w:color w:val="auto"/>
              </w:rPr>
            </w:pPr>
          </w:p>
        </w:tc>
        <w:tc>
          <w:tcPr>
            <w:tcW w:w="528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  Payment to our sponsor of $10,000 per month for</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880"/>
              <w:spacing w:after="0" w:line="202" w:lineRule="exact"/>
              <w:rPr>
                <w:sz w:val="20"/>
                <w:szCs w:val="20"/>
                <w:color w:val="auto"/>
              </w:rPr>
            </w:pPr>
            <w:r>
              <w:rPr>
                <w:rFonts w:ascii="Arial" w:cs="Arial" w:eastAsia="Arial" w:hAnsi="Arial"/>
                <w:sz w:val="18"/>
                <w:szCs w:val="18"/>
                <w:color w:val="auto"/>
              </w:rPr>
              <w:t>office space, secretarial and administrative services</w:t>
            </w:r>
          </w:p>
        </w:tc>
      </w:tr>
      <w:tr>
        <w:trPr>
          <w:trHeight w:val="217"/>
        </w:trPr>
        <w:tc>
          <w:tcPr>
            <w:tcW w:w="2820" w:type="dxa"/>
            <w:vAlign w:val="bottom"/>
            <w:tcBorders>
              <w:left w:val="single" w:sz="8" w:color="auto"/>
            </w:tcBorders>
          </w:tcPr>
          <w:p>
            <w:pPr>
              <w:spacing w:after="0"/>
              <w:rPr>
                <w:sz w:val="18"/>
                <w:szCs w:val="18"/>
                <w:color w:val="auto"/>
              </w:rPr>
            </w:pPr>
          </w:p>
        </w:tc>
        <w:tc>
          <w:tcPr>
            <w:tcW w:w="528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rPr>
              <w:t>provided to members of our management team;</w:t>
            </w:r>
          </w:p>
        </w:tc>
      </w:tr>
      <w:tr>
        <w:trPr>
          <w:trHeight w:val="377"/>
        </w:trPr>
        <w:tc>
          <w:tcPr>
            <w:tcW w:w="2820" w:type="dxa"/>
            <w:vAlign w:val="bottom"/>
            <w:tcBorders>
              <w:left w:val="single" w:sz="8" w:color="auto"/>
            </w:tcBorders>
          </w:tcPr>
          <w:p>
            <w:pPr>
              <w:spacing w:after="0"/>
              <w:rPr>
                <w:sz w:val="24"/>
                <w:szCs w:val="24"/>
                <w:color w:val="auto"/>
              </w:rPr>
            </w:pPr>
          </w:p>
        </w:tc>
        <w:tc>
          <w:tcPr>
            <w:tcW w:w="528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  Reimbursement for any out-of-pocket expenses</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880"/>
              <w:spacing w:after="0" w:line="202" w:lineRule="exact"/>
              <w:rPr>
                <w:sz w:val="20"/>
                <w:szCs w:val="20"/>
                <w:color w:val="auto"/>
              </w:rPr>
            </w:pPr>
            <w:r>
              <w:rPr>
                <w:rFonts w:ascii="Arial" w:cs="Arial" w:eastAsia="Arial" w:hAnsi="Arial"/>
                <w:sz w:val="18"/>
                <w:szCs w:val="18"/>
                <w:color w:val="auto"/>
              </w:rPr>
              <w:t>related to identifying, investigating, negotiating and</w:t>
            </w:r>
          </w:p>
        </w:tc>
      </w:tr>
      <w:tr>
        <w:trPr>
          <w:trHeight w:val="217"/>
        </w:trPr>
        <w:tc>
          <w:tcPr>
            <w:tcW w:w="2820" w:type="dxa"/>
            <w:vAlign w:val="bottom"/>
            <w:tcBorders>
              <w:left w:val="single" w:sz="8" w:color="auto"/>
            </w:tcBorders>
          </w:tcPr>
          <w:p>
            <w:pPr>
              <w:spacing w:after="0"/>
              <w:rPr>
                <w:sz w:val="18"/>
                <w:szCs w:val="18"/>
                <w:color w:val="auto"/>
              </w:rPr>
            </w:pPr>
          </w:p>
        </w:tc>
        <w:tc>
          <w:tcPr>
            <w:tcW w:w="528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rPr>
              <w:t>completing an initial business combination; and</w:t>
            </w:r>
          </w:p>
        </w:tc>
      </w:tr>
      <w:tr>
        <w:trPr>
          <w:trHeight w:val="377"/>
        </w:trPr>
        <w:tc>
          <w:tcPr>
            <w:tcW w:w="2820" w:type="dxa"/>
            <w:vAlign w:val="bottom"/>
            <w:tcBorders>
              <w:left w:val="single" w:sz="8" w:color="auto"/>
            </w:tcBorders>
          </w:tcPr>
          <w:p>
            <w:pPr>
              <w:spacing w:after="0"/>
              <w:rPr>
                <w:sz w:val="24"/>
                <w:szCs w:val="24"/>
                <w:color w:val="auto"/>
              </w:rPr>
            </w:pPr>
          </w:p>
        </w:tc>
        <w:tc>
          <w:tcPr>
            <w:tcW w:w="528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  Repayment of loans which may be made by our</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880"/>
              <w:spacing w:after="0" w:line="202" w:lineRule="exact"/>
              <w:rPr>
                <w:sz w:val="20"/>
                <w:szCs w:val="20"/>
                <w:color w:val="auto"/>
              </w:rPr>
            </w:pPr>
            <w:r>
              <w:rPr>
                <w:rFonts w:ascii="Arial" w:cs="Arial" w:eastAsia="Arial" w:hAnsi="Arial"/>
                <w:sz w:val="18"/>
                <w:szCs w:val="18"/>
                <w:color w:val="auto"/>
              </w:rPr>
              <w:t>sponsor or an affiliate of our sponsor or certain of our</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880"/>
              <w:spacing w:after="0" w:line="202" w:lineRule="exact"/>
              <w:rPr>
                <w:sz w:val="20"/>
                <w:szCs w:val="20"/>
                <w:color w:val="auto"/>
              </w:rPr>
            </w:pPr>
            <w:r>
              <w:rPr>
                <w:rFonts w:ascii="Arial" w:cs="Arial" w:eastAsia="Arial" w:hAnsi="Arial"/>
                <w:sz w:val="18"/>
                <w:szCs w:val="18"/>
                <w:color w:val="auto"/>
              </w:rPr>
              <w:t>officers and directors to finance transaction costs in</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880"/>
              <w:spacing w:after="0" w:line="202" w:lineRule="exact"/>
              <w:rPr>
                <w:sz w:val="20"/>
                <w:szCs w:val="20"/>
                <w:color w:val="auto"/>
              </w:rPr>
            </w:pPr>
            <w:r>
              <w:rPr>
                <w:rFonts w:ascii="Arial" w:cs="Arial" w:eastAsia="Arial" w:hAnsi="Arial"/>
                <w:sz w:val="18"/>
                <w:szCs w:val="18"/>
                <w:color w:val="auto"/>
              </w:rPr>
              <w:t>connection with an intended initial business</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880"/>
              <w:spacing w:after="0" w:line="202" w:lineRule="exact"/>
              <w:rPr>
                <w:sz w:val="20"/>
                <w:szCs w:val="20"/>
                <w:color w:val="auto"/>
              </w:rPr>
            </w:pPr>
            <w:r>
              <w:rPr>
                <w:rFonts w:ascii="Arial" w:cs="Arial" w:eastAsia="Arial" w:hAnsi="Arial"/>
                <w:sz w:val="18"/>
                <w:szCs w:val="18"/>
                <w:color w:val="auto"/>
              </w:rPr>
              <w:t>combination. Up to $1,500,000 of such loans may be</w:t>
            </w:r>
          </w:p>
        </w:tc>
      </w:tr>
      <w:tr>
        <w:trPr>
          <w:trHeight w:val="202"/>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880"/>
              <w:spacing w:after="0" w:line="202" w:lineRule="exact"/>
              <w:rPr>
                <w:sz w:val="20"/>
                <w:szCs w:val="20"/>
                <w:color w:val="auto"/>
              </w:rPr>
            </w:pPr>
            <w:r>
              <w:rPr>
                <w:rFonts w:ascii="Arial" w:cs="Arial" w:eastAsia="Arial" w:hAnsi="Arial"/>
                <w:sz w:val="18"/>
                <w:szCs w:val="18"/>
                <w:color w:val="auto"/>
              </w:rPr>
              <w:t>convertible into private placement shares of the post-</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880"/>
              <w:spacing w:after="0" w:line="202" w:lineRule="exact"/>
              <w:rPr>
                <w:sz w:val="20"/>
                <w:szCs w:val="20"/>
                <w:color w:val="auto"/>
              </w:rPr>
            </w:pPr>
            <w:r>
              <w:rPr>
                <w:rFonts w:ascii="Arial" w:cs="Arial" w:eastAsia="Arial" w:hAnsi="Arial"/>
                <w:sz w:val="18"/>
                <w:szCs w:val="18"/>
                <w:color w:val="auto"/>
              </w:rPr>
              <w:t>business combination entity at a price of $10.00 per</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880"/>
              <w:spacing w:after="0" w:line="202" w:lineRule="exact"/>
              <w:rPr>
                <w:sz w:val="20"/>
                <w:szCs w:val="20"/>
                <w:color w:val="auto"/>
              </w:rPr>
            </w:pPr>
            <w:r>
              <w:rPr>
                <w:rFonts w:ascii="Arial" w:cs="Arial" w:eastAsia="Arial" w:hAnsi="Arial"/>
                <w:sz w:val="18"/>
                <w:szCs w:val="18"/>
                <w:color w:val="auto"/>
              </w:rPr>
              <w:t>share at the option of the lender. Except for the</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880"/>
              <w:spacing w:after="0" w:line="202" w:lineRule="exact"/>
              <w:rPr>
                <w:sz w:val="20"/>
                <w:szCs w:val="20"/>
                <w:color w:val="auto"/>
              </w:rPr>
            </w:pPr>
            <w:r>
              <w:rPr>
                <w:rFonts w:ascii="Arial" w:cs="Arial" w:eastAsia="Arial" w:hAnsi="Arial"/>
                <w:sz w:val="18"/>
                <w:szCs w:val="18"/>
                <w:color w:val="auto"/>
              </w:rPr>
              <w:t>foregoing, the terms of such loans, if any, have not</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880"/>
              <w:spacing w:after="0" w:line="202" w:lineRule="exact"/>
              <w:rPr>
                <w:sz w:val="20"/>
                <w:szCs w:val="20"/>
                <w:color w:val="auto"/>
              </w:rPr>
            </w:pPr>
            <w:r>
              <w:rPr>
                <w:rFonts w:ascii="Arial" w:cs="Arial" w:eastAsia="Arial" w:hAnsi="Arial"/>
                <w:sz w:val="18"/>
                <w:szCs w:val="18"/>
                <w:color w:val="auto"/>
              </w:rPr>
              <w:t>been determined and no written agreements exist</w:t>
            </w:r>
          </w:p>
        </w:tc>
      </w:tr>
      <w:tr>
        <w:trPr>
          <w:trHeight w:val="217"/>
        </w:trPr>
        <w:tc>
          <w:tcPr>
            <w:tcW w:w="2820" w:type="dxa"/>
            <w:vAlign w:val="bottom"/>
            <w:tcBorders>
              <w:left w:val="single" w:sz="8" w:color="auto"/>
            </w:tcBorders>
          </w:tcPr>
          <w:p>
            <w:pPr>
              <w:spacing w:after="0"/>
              <w:rPr>
                <w:sz w:val="18"/>
                <w:szCs w:val="18"/>
                <w:color w:val="auto"/>
              </w:rPr>
            </w:pPr>
          </w:p>
        </w:tc>
        <w:tc>
          <w:tcPr>
            <w:tcW w:w="528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rPr>
              <w:t>with respect to such loans.</w:t>
            </w:r>
          </w:p>
        </w:tc>
      </w:tr>
      <w:tr>
        <w:trPr>
          <w:trHeight w:val="229"/>
        </w:trPr>
        <w:tc>
          <w:tcPr>
            <w:tcW w:w="282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Audit Committee</w:t>
            </w:r>
          </w:p>
        </w:tc>
        <w:tc>
          <w:tcPr>
            <w:tcW w:w="528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We will establish and maintain an audit committee. Among</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its responsibilities, the audit committee will review on a</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quarterly basis all payments that were made to our</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sponsor, officers or directors, or our or their respective</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affiliates and monitor compliance with the other terms</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relating to this offering. If any noncompliance is identified,</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then the audit committee will be charged with the</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responsibility to promptly take all action necessary to</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rectify such noncompliance or otherwise to cause</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compliance with the terms of this offering. For more</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information, see the section entitled “Management —</w:t>
            </w:r>
          </w:p>
        </w:tc>
      </w:tr>
      <w:tr>
        <w:trPr>
          <w:trHeight w:val="217"/>
        </w:trPr>
        <w:tc>
          <w:tcPr>
            <w:tcW w:w="2820" w:type="dxa"/>
            <w:vAlign w:val="bottom"/>
            <w:tcBorders>
              <w:left w:val="single" w:sz="8" w:color="auto"/>
            </w:tcBorders>
          </w:tcPr>
          <w:p>
            <w:pPr>
              <w:spacing w:after="0"/>
              <w:rPr>
                <w:sz w:val="18"/>
                <w:szCs w:val="18"/>
                <w:color w:val="auto"/>
              </w:rPr>
            </w:pPr>
          </w:p>
        </w:tc>
        <w:tc>
          <w:tcPr>
            <w:tcW w:w="528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Committees of the Board of Directors — Audit Committee.”</w:t>
            </w:r>
          </w:p>
        </w:tc>
      </w:tr>
      <w:tr>
        <w:trPr>
          <w:trHeight w:val="388"/>
        </w:trPr>
        <w:tc>
          <w:tcPr>
            <w:tcW w:w="2820" w:type="dxa"/>
            <w:vAlign w:val="bottom"/>
            <w:tcBorders>
              <w:left w:val="single" w:sz="8" w:color="auto"/>
              <w:bottom w:val="single" w:sz="8" w:color="auto"/>
            </w:tcBorders>
          </w:tcPr>
          <w:p>
            <w:pPr>
              <w:spacing w:after="0"/>
              <w:rPr>
                <w:sz w:val="24"/>
                <w:szCs w:val="24"/>
                <w:color w:val="auto"/>
              </w:rPr>
            </w:pPr>
          </w:p>
        </w:tc>
        <w:tc>
          <w:tcPr>
            <w:tcW w:w="5280" w:type="dxa"/>
            <w:vAlign w:val="bottom"/>
            <w:tcBorders>
              <w:bottom w:val="single" w:sz="8" w:color="auto"/>
              <w:right w:val="single" w:sz="8" w:color="auto"/>
            </w:tcBorders>
          </w:tcPr>
          <w:p>
            <w:pPr>
              <w:spacing w:after="0"/>
              <w:rPr>
                <w:sz w:val="24"/>
                <w:szCs w:val="24"/>
                <w:color w:val="auto"/>
              </w:rPr>
            </w:pPr>
          </w:p>
        </w:tc>
      </w:tr>
      <w:tr>
        <w:trPr>
          <w:trHeight w:val="375"/>
        </w:trPr>
        <w:tc>
          <w:tcPr>
            <w:tcW w:w="28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22</w:t>
            </w:r>
          </w:p>
        </w:tc>
      </w:tr>
    </w:tbl>
    <w:p>
      <w:pPr>
        <w:sectPr>
          <w:pgSz w:w="11900" w:h="16838" w:orient="portrait"/>
          <w:cols w:equalWidth="0" w:num="1">
            <w:col w:w="9019"/>
          </w:cols>
          <w:pgMar w:left="1440" w:top="120" w:right="1440"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20250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7310" cy="2025015"/>
                    </a:xfrm>
                    <a:prstGeom prst="rect">
                      <a:avLst/>
                    </a:prstGeom>
                    <a:noFill/>
                  </pic:spPr>
                </pic:pic>
              </a:graphicData>
            </a:graphic>
          </wp:anchor>
        </w:drawing>
        <w:t>RISKS</w:t>
      </w:r>
    </w:p>
    <w:p>
      <w:pPr>
        <w:spacing w:after="0" w:line="153" w:lineRule="exact"/>
        <w:rPr>
          <w:sz w:val="20"/>
          <w:szCs w:val="20"/>
          <w:color w:val="auto"/>
        </w:rPr>
      </w:pPr>
    </w:p>
    <w:p>
      <w:pPr>
        <w:ind w:left="540" w:right="659"/>
        <w:spacing w:after="0" w:line="236" w:lineRule="auto"/>
        <w:rPr>
          <w:sz w:val="20"/>
          <w:szCs w:val="20"/>
          <w:color w:val="auto"/>
        </w:rPr>
      </w:pPr>
      <w:r>
        <w:rPr>
          <w:rFonts w:ascii="Arial" w:cs="Arial" w:eastAsia="Arial" w:hAnsi="Arial"/>
          <w:sz w:val="18"/>
          <w:szCs w:val="18"/>
          <w:color w:val="auto"/>
        </w:rPr>
        <w:t>We are a blank check company that has conducted no operations and has generated no revenues to date. Until we complete our initial business combination, we will have no operations and will generate no operating revenues. In making your decision whether to invest in our securities, you should take into account not only the background of our management team, but also the special risks we face as a blank check company. This offering is not being conducted in compliance with Rule 419 promulgated under the Securities Act. Accordingly, you will not be entitled to protections normally afforded to investors in Rule 419 blank check offerings. For additional information concerning how Rule 419 blank check offerings differ from this offering, please see “Proposed Business — Comparison of This Offering to Those of Blank Check Companies Subject to Rule 419.” You should carefully consider these and the other risks set forth in the section entitled “Risk Factors” in this prospectus.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35" w:right="1440"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23164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7310" cy="2316480"/>
                    </a:xfrm>
                    <a:prstGeom prst="rect">
                      <a:avLst/>
                    </a:prstGeom>
                    <a:noFill/>
                  </pic:spPr>
                </pic:pic>
              </a:graphicData>
            </a:graphic>
          </wp:anchor>
        </w:drawing>
        <w:t>SUMMARY FINANCIAL DATA</w:t>
      </w:r>
    </w:p>
    <w:p>
      <w:pPr>
        <w:spacing w:after="0" w:line="153" w:lineRule="exact"/>
        <w:rPr>
          <w:sz w:val="20"/>
          <w:szCs w:val="20"/>
          <w:color w:val="auto"/>
        </w:rPr>
      </w:pPr>
    </w:p>
    <w:p>
      <w:pPr>
        <w:ind w:left="540" w:right="559"/>
        <w:spacing w:after="0"/>
        <w:rPr>
          <w:sz w:val="20"/>
          <w:szCs w:val="20"/>
          <w:color w:val="auto"/>
        </w:rPr>
      </w:pPr>
      <w:r>
        <w:rPr>
          <w:rFonts w:ascii="Arial" w:cs="Arial" w:eastAsia="Arial" w:hAnsi="Arial"/>
          <w:sz w:val="18"/>
          <w:szCs w:val="18"/>
          <w:color w:val="auto"/>
        </w:rPr>
        <w:t>The following table summarizes the relevant financial data for our business and should be read with our financial statements, which are included in this prospectus. We have not had any significant operations to date, so only balance sheet data is presented.</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June 30, 2020</w:t>
            </w:r>
          </w:p>
        </w:tc>
      </w:tr>
      <w:tr>
        <w:trPr>
          <w:trHeight w:val="26"/>
        </w:trPr>
        <w:tc>
          <w:tcPr>
            <w:tcW w:w="3120" w:type="dxa"/>
            <w:vAlign w:val="bottom"/>
            <w:gridSpan w:val="2"/>
          </w:tcPr>
          <w:p>
            <w:pPr>
              <w:spacing w:after="0"/>
              <w:rPr>
                <w:sz w:val="2"/>
                <w:szCs w:val="2"/>
                <w:color w:val="auto"/>
              </w:rPr>
            </w:pPr>
          </w:p>
        </w:tc>
        <w:tc>
          <w:tcPr>
            <w:tcW w:w="3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7"/>
        </w:trPr>
        <w:tc>
          <w:tcPr>
            <w:tcW w:w="80" w:type="dxa"/>
            <w:vAlign w:val="bottom"/>
          </w:tcPr>
          <w:p>
            <w:pPr>
              <w:spacing w:after="0"/>
              <w:rPr>
                <w:sz w:val="22"/>
                <w:szCs w:val="22"/>
                <w:color w:val="auto"/>
              </w:rPr>
            </w:pPr>
          </w:p>
        </w:tc>
        <w:tc>
          <w:tcPr>
            <w:tcW w:w="3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37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106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Pr>
          <w:p>
            <w:pPr>
              <w:spacing w:after="0"/>
              <w:rPr>
                <w:sz w:val="22"/>
                <w:szCs w:val="22"/>
                <w:color w:val="auto"/>
              </w:rPr>
            </w:pPr>
          </w:p>
        </w:tc>
      </w:tr>
      <w:tr>
        <w:trPr>
          <w:trHeight w:val="257"/>
        </w:trPr>
        <w:tc>
          <w:tcPr>
            <w:tcW w:w="3120" w:type="dxa"/>
            <w:vAlign w:val="bottom"/>
            <w:gridSpan w:val="2"/>
          </w:tcPr>
          <w:p>
            <w:pPr>
              <w:ind w:left="80"/>
              <w:spacing w:after="0"/>
              <w:rPr>
                <w:sz w:val="20"/>
                <w:szCs w:val="20"/>
                <w:color w:val="auto"/>
              </w:rPr>
            </w:pPr>
            <w:r>
              <w:rPr>
                <w:rFonts w:ascii="Arial" w:cs="Arial" w:eastAsia="Arial" w:hAnsi="Arial"/>
                <w:sz w:val="18"/>
                <w:szCs w:val="18"/>
                <w:color w:val="auto"/>
              </w:rPr>
              <w:t>Working capital (deficiency)</w:t>
            </w:r>
          </w:p>
        </w:tc>
        <w:tc>
          <w:tcPr>
            <w:tcW w:w="3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(29,500)</w:t>
            </w:r>
          </w:p>
        </w:tc>
        <w:tc>
          <w:tcPr>
            <w:tcW w:w="100" w:type="dxa"/>
            <w:vAlign w:val="bottom"/>
          </w:tcPr>
          <w:p>
            <w:pPr>
              <w:spacing w:after="0"/>
              <w:rPr>
                <w:sz w:val="22"/>
                <w:szCs w:val="22"/>
                <w:color w:val="auto"/>
              </w:rPr>
            </w:pPr>
          </w:p>
        </w:tc>
      </w:tr>
      <w:tr>
        <w:trPr>
          <w:trHeight w:val="27"/>
        </w:trPr>
        <w:tc>
          <w:tcPr>
            <w:tcW w:w="3120" w:type="dxa"/>
            <w:vAlign w:val="bottom"/>
            <w:gridSpan w:val="2"/>
          </w:tcPr>
          <w:p>
            <w:pPr>
              <w:spacing w:after="0"/>
              <w:rPr>
                <w:sz w:val="2"/>
                <w:szCs w:val="2"/>
                <w:color w:val="auto"/>
              </w:rPr>
            </w:pPr>
          </w:p>
        </w:tc>
        <w:tc>
          <w:tcPr>
            <w:tcW w:w="3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63"/>
        </w:trPr>
        <w:tc>
          <w:tcPr>
            <w:tcW w:w="80" w:type="dxa"/>
            <w:vAlign w:val="bottom"/>
          </w:tcPr>
          <w:p>
            <w:pPr>
              <w:spacing w:after="0"/>
              <w:rPr>
                <w:sz w:val="22"/>
                <w:szCs w:val="22"/>
                <w:color w:val="auto"/>
              </w:rPr>
            </w:pPr>
          </w:p>
        </w:tc>
        <w:tc>
          <w:tcPr>
            <w:tcW w:w="3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3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78,000</w:t>
            </w:r>
          </w:p>
        </w:tc>
        <w:tc>
          <w:tcPr>
            <w:tcW w:w="100" w:type="dxa"/>
            <w:vAlign w:val="bottom"/>
          </w:tcPr>
          <w:p>
            <w:pPr>
              <w:spacing w:after="0"/>
              <w:rPr>
                <w:sz w:val="22"/>
                <w:szCs w:val="22"/>
                <w:color w:val="auto"/>
              </w:rPr>
            </w:pPr>
          </w:p>
        </w:tc>
      </w:tr>
      <w:tr>
        <w:trPr>
          <w:trHeight w:val="257"/>
        </w:trPr>
        <w:tc>
          <w:tcPr>
            <w:tcW w:w="3120" w:type="dxa"/>
            <w:vAlign w:val="bottom"/>
            <w:gridSpan w:val="2"/>
          </w:tcPr>
          <w:p>
            <w:pPr>
              <w:ind w:left="80"/>
              <w:spacing w:after="0"/>
              <w:rPr>
                <w:sz w:val="20"/>
                <w:szCs w:val="20"/>
                <w:color w:val="auto"/>
              </w:rPr>
            </w:pPr>
            <w:r>
              <w:rPr>
                <w:rFonts w:ascii="Arial" w:cs="Arial" w:eastAsia="Arial" w:hAnsi="Arial"/>
                <w:sz w:val="18"/>
                <w:szCs w:val="18"/>
                <w:color w:val="auto"/>
              </w:rPr>
              <w:t>Total liabilities</w:t>
            </w:r>
          </w:p>
        </w:tc>
        <w:tc>
          <w:tcPr>
            <w:tcW w:w="3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54,500</w:t>
            </w:r>
          </w:p>
        </w:tc>
        <w:tc>
          <w:tcPr>
            <w:tcW w:w="100" w:type="dxa"/>
            <w:vAlign w:val="bottom"/>
          </w:tcPr>
          <w:p>
            <w:pPr>
              <w:spacing w:after="0"/>
              <w:rPr>
                <w:sz w:val="22"/>
                <w:szCs w:val="22"/>
                <w:color w:val="auto"/>
              </w:rPr>
            </w:pPr>
          </w:p>
        </w:tc>
      </w:tr>
      <w:tr>
        <w:trPr>
          <w:trHeight w:val="27"/>
        </w:trPr>
        <w:tc>
          <w:tcPr>
            <w:tcW w:w="3120" w:type="dxa"/>
            <w:vAlign w:val="bottom"/>
            <w:gridSpan w:val="2"/>
          </w:tcPr>
          <w:p>
            <w:pPr>
              <w:spacing w:after="0"/>
              <w:rPr>
                <w:sz w:val="2"/>
                <w:szCs w:val="2"/>
                <w:color w:val="auto"/>
              </w:rPr>
            </w:pPr>
          </w:p>
        </w:tc>
        <w:tc>
          <w:tcPr>
            <w:tcW w:w="3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63"/>
        </w:trPr>
        <w:tc>
          <w:tcPr>
            <w:tcW w:w="80" w:type="dxa"/>
            <w:vAlign w:val="bottom"/>
          </w:tcPr>
          <w:p>
            <w:pPr>
              <w:spacing w:after="0"/>
              <w:rPr>
                <w:sz w:val="22"/>
                <w:szCs w:val="22"/>
                <w:color w:val="auto"/>
              </w:rPr>
            </w:pPr>
          </w:p>
        </w:tc>
        <w:tc>
          <w:tcPr>
            <w:tcW w:w="3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23,500</w:t>
            </w:r>
          </w:p>
        </w:tc>
        <w:tc>
          <w:tcPr>
            <w:tcW w:w="100" w:type="dxa"/>
            <w:vAlign w:val="bottom"/>
          </w:tcPr>
          <w:p>
            <w:pPr>
              <w:spacing w:after="0"/>
              <w:rPr>
                <w:sz w:val="22"/>
                <w:szCs w:val="22"/>
                <w:color w:val="auto"/>
              </w:rPr>
            </w:pPr>
          </w:p>
        </w:tc>
      </w:tr>
      <w:tr>
        <w:trPr>
          <w:trHeight w:val="361"/>
        </w:trPr>
        <w:tc>
          <w:tcPr>
            <w:tcW w:w="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375"/>
        </w:trPr>
        <w:tc>
          <w:tcPr>
            <w:tcW w:w="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jc w:val="right"/>
              <w:ind w:right="261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35" w:right="1440"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RISK FACTORS</w:t>
      </w:r>
    </w:p>
    <w:p>
      <w:pPr>
        <w:spacing w:after="0" w:line="148" w:lineRule="exact"/>
        <w:rPr>
          <w:sz w:val="20"/>
          <w:szCs w:val="20"/>
          <w:color w:val="auto"/>
        </w:rPr>
      </w:pPr>
    </w:p>
    <w:p>
      <w:pPr>
        <w:ind w:left="460" w:right="499"/>
        <w:spacing w:after="0" w:line="241" w:lineRule="auto"/>
        <w:rPr>
          <w:sz w:val="20"/>
          <w:szCs w:val="20"/>
          <w:color w:val="auto"/>
        </w:rPr>
      </w:pPr>
      <w:r>
        <w:rPr>
          <w:rFonts w:ascii="Arial" w:cs="Arial" w:eastAsia="Arial" w:hAnsi="Arial"/>
          <w:sz w:val="18"/>
          <w:szCs w:val="18"/>
          <w:i w:val="1"/>
          <w:iCs w:val="1"/>
          <w:color w:val="auto"/>
        </w:rPr>
        <w:t>An investment in our securities involves a high degree of risk. You should consider carefully all of the risks described below, together with the other information contained in this prospectus, before making a decision to invest in our Class A common stock. If any of the following events occur, our business, financial condition and operating results may be materially adversely affected. In that event, the trading price of our Class A common stock could decline, and you could lose all or part of your investment.</w:t>
      </w:r>
    </w:p>
    <w:p>
      <w:pPr>
        <w:spacing w:after="0" w:line="180" w:lineRule="exact"/>
        <w:rPr>
          <w:sz w:val="20"/>
          <w:szCs w:val="20"/>
          <w:color w:val="auto"/>
        </w:rPr>
      </w:pPr>
    </w:p>
    <w:p>
      <w:pPr>
        <w:ind w:left="460" w:right="719"/>
        <w:spacing w:after="0" w:line="271" w:lineRule="auto"/>
        <w:rPr>
          <w:sz w:val="20"/>
          <w:szCs w:val="20"/>
          <w:color w:val="auto"/>
        </w:rPr>
      </w:pPr>
      <w:r>
        <w:rPr>
          <w:rFonts w:ascii="Arial" w:cs="Arial" w:eastAsia="Arial" w:hAnsi="Arial"/>
          <w:sz w:val="18"/>
          <w:szCs w:val="18"/>
          <w:b w:val="1"/>
          <w:bCs w:val="1"/>
          <w:color w:val="auto"/>
        </w:rPr>
        <w:t>We are a blank check company with no operating history and no revenues, and you have no basis on which to evaluate our ability to achieve our business objective.</w:t>
      </w:r>
    </w:p>
    <w:p>
      <w:pPr>
        <w:spacing w:after="0" w:line="95" w:lineRule="exact"/>
        <w:rPr>
          <w:sz w:val="20"/>
          <w:szCs w:val="20"/>
          <w:color w:val="auto"/>
        </w:rPr>
      </w:pPr>
    </w:p>
    <w:p>
      <w:pPr>
        <w:ind w:left="460" w:right="459"/>
        <w:spacing w:after="0" w:line="237" w:lineRule="auto"/>
        <w:rPr>
          <w:sz w:val="20"/>
          <w:szCs w:val="20"/>
          <w:color w:val="auto"/>
        </w:rPr>
      </w:pPr>
      <w:r>
        <w:rPr>
          <w:rFonts w:ascii="Arial" w:cs="Arial" w:eastAsia="Arial" w:hAnsi="Arial"/>
          <w:sz w:val="18"/>
          <w:szCs w:val="18"/>
          <w:color w:val="auto"/>
        </w:rPr>
        <w:t>We are a blank check company incorporated under the laws of the State of Delaware with no operating results, and we will not commence operations until obtaining funding through this offering. Because we lack an operating history, you have no basis upon which to evaluate our ability to achieve our business objective of completing our initial business combination. We have no plans, arrangements or understandings with any prospective target business concerning a business combination and may be unable to complete our initial business combination. If we fail to complete our initial business combination, we will never generate any operating revenues.</w:t>
      </w:r>
    </w:p>
    <w:p>
      <w:pPr>
        <w:spacing w:after="0" w:line="181" w:lineRule="exact"/>
        <w:rPr>
          <w:sz w:val="20"/>
          <w:szCs w:val="20"/>
          <w:color w:val="auto"/>
        </w:rPr>
      </w:pPr>
    </w:p>
    <w:p>
      <w:pPr>
        <w:ind w:left="460" w:right="519"/>
        <w:spacing w:after="0" w:line="247" w:lineRule="auto"/>
        <w:rPr>
          <w:sz w:val="20"/>
          <w:szCs w:val="20"/>
          <w:color w:val="auto"/>
        </w:rPr>
      </w:pPr>
      <w:r>
        <w:rPr>
          <w:rFonts w:ascii="Arial" w:cs="Arial" w:eastAsia="Arial" w:hAnsi="Arial"/>
          <w:sz w:val="18"/>
          <w:szCs w:val="18"/>
          <w:b w:val="1"/>
          <w:bCs w:val="1"/>
          <w:color w:val="auto"/>
        </w:rPr>
        <w:t>Our public stockholders may not be afforded an opportunity to vote on our proposed initial business combination, and even if we hold a vote, holders of our founder shares will participate in such vote, which means we may complete our initial business combination even though a majority of our public stockholders do not support such a combination.</w:t>
      </w:r>
    </w:p>
    <w:p>
      <w:pPr>
        <w:spacing w:after="0" w:line="128" w:lineRule="exact"/>
        <w:rPr>
          <w:sz w:val="20"/>
          <w:szCs w:val="20"/>
          <w:color w:val="auto"/>
        </w:rPr>
      </w:pPr>
    </w:p>
    <w:p>
      <w:pPr>
        <w:ind w:left="460" w:right="499"/>
        <w:spacing w:after="0" w:line="235" w:lineRule="auto"/>
        <w:rPr>
          <w:sz w:val="20"/>
          <w:szCs w:val="20"/>
          <w:color w:val="auto"/>
        </w:rPr>
      </w:pPr>
      <w:r>
        <w:rPr>
          <w:rFonts w:ascii="Arial" w:cs="Arial" w:eastAsia="Arial" w:hAnsi="Arial"/>
          <w:sz w:val="18"/>
          <w:szCs w:val="18"/>
          <w:color w:val="auto"/>
        </w:rPr>
        <w:t>We may choose not to hold a stockholder vote to approve our initial business combination if the business combination would not require stockholder approval under applicable law or stock exchange listing requirement. For instance, Nasdaq rules currently allow us to engage in a tender offer in lieu of a stockholder meeting but would still require us to obtain stockholder approval if we were seeking to issue more than 20% of our issued and outstanding shares of common stock (excluding the private placement shares) to a target business as consideration in any business combination. Therefore, if we were structuring a business combination that required us to issue more than 20% of our issued and outstanding common stock (excluding the private placement shares), we would seek stockholder approval of such business combination. However, except for as required by applicable law or stock exchange requirement, the decision as to whether we will seek stockholder approval of a proposed business combination or will allow stockholders to sell their shares to us in a tender offer will be made by us, solely in our discretion, and will be based on a variety of factors, such as the timing of the transaction and whether the terms of the transaction would otherwise require us to seek stockholder approval. Even if we seek stockholder approval, the holders of our founder shares will participate in the vote on such approval. Accordingly, we may complete our initial business combination even if a majority of our public stockholders do not approve of the business combination we complete. Please see the section entitled “Proposed Business — Stockholders May Not Have the Ability to Approve Our Initial Business Combination” for additional information.</w:t>
      </w:r>
    </w:p>
    <w:p>
      <w:pPr>
        <w:spacing w:after="0" w:line="191" w:lineRule="exact"/>
        <w:rPr>
          <w:sz w:val="20"/>
          <w:szCs w:val="20"/>
          <w:color w:val="auto"/>
        </w:rPr>
      </w:pPr>
    </w:p>
    <w:p>
      <w:pPr>
        <w:ind w:left="460" w:right="799"/>
        <w:spacing w:after="0" w:line="253" w:lineRule="auto"/>
        <w:rPr>
          <w:sz w:val="20"/>
          <w:szCs w:val="20"/>
          <w:color w:val="auto"/>
        </w:rPr>
      </w:pPr>
      <w:r>
        <w:rPr>
          <w:rFonts w:ascii="Arial" w:cs="Arial" w:eastAsia="Arial" w:hAnsi="Arial"/>
          <w:sz w:val="18"/>
          <w:szCs w:val="18"/>
          <w:b w:val="1"/>
          <w:bCs w:val="1"/>
          <w:color w:val="auto"/>
        </w:rPr>
        <w:t>Your only opportunity to affect the investment decision regarding a potential business combination may be limited to the exercise of your right to redeem your shares from us for cash.</w:t>
      </w:r>
    </w:p>
    <w:p>
      <w:pPr>
        <w:spacing w:after="0" w:line="123" w:lineRule="exact"/>
        <w:rPr>
          <w:sz w:val="20"/>
          <w:szCs w:val="20"/>
          <w:color w:val="auto"/>
        </w:rPr>
      </w:pPr>
    </w:p>
    <w:p>
      <w:pPr>
        <w:ind w:left="460" w:right="459"/>
        <w:spacing w:after="0" w:line="236" w:lineRule="auto"/>
        <w:rPr>
          <w:sz w:val="20"/>
          <w:szCs w:val="20"/>
          <w:color w:val="auto"/>
        </w:rPr>
      </w:pPr>
      <w:r>
        <w:rPr>
          <w:rFonts w:ascii="Arial" w:cs="Arial" w:eastAsia="Arial" w:hAnsi="Arial"/>
          <w:sz w:val="18"/>
          <w:szCs w:val="18"/>
          <w:color w:val="auto"/>
        </w:rPr>
        <w:t>At the time of your investment in us, you will not be provided with an opportunity to evaluate the specific merits or risks of our initial business combination. Since our board of directors may complete a business combination without seeking stockholder approval, public stockholders may not have the right or opportunity to vote on the business combination, unless we seek such stockholder vote. Accordingly, your only opportunity to affect the investment decision regarding our initial business combination may be limited to exercising your redemption rights within the period of time (which will be at least 20 business days) set forth in our tender offer documents mailed to our public stockholders in which we describe our initial business combination.</w:t>
      </w:r>
    </w:p>
    <w:p>
      <w:pPr>
        <w:spacing w:after="0" w:line="186" w:lineRule="exact"/>
        <w:rPr>
          <w:sz w:val="20"/>
          <w:szCs w:val="20"/>
          <w:color w:val="auto"/>
        </w:rPr>
      </w:pPr>
    </w:p>
    <w:p>
      <w:pPr>
        <w:ind w:left="460" w:right="739"/>
        <w:spacing w:after="0" w:line="253" w:lineRule="auto"/>
        <w:rPr>
          <w:sz w:val="20"/>
          <w:szCs w:val="20"/>
          <w:color w:val="auto"/>
        </w:rPr>
      </w:pPr>
      <w:r>
        <w:rPr>
          <w:rFonts w:ascii="Arial" w:cs="Arial" w:eastAsia="Arial" w:hAnsi="Arial"/>
          <w:sz w:val="18"/>
          <w:szCs w:val="18"/>
          <w:b w:val="1"/>
          <w:bCs w:val="1"/>
          <w:color w:val="auto"/>
        </w:rPr>
        <w:t>If we seek stockholder approval of our initial business combination, our initial stockholders and management team have agreed to vote in favor of such initial business combination, regardless of how our public stockholders vote.</w:t>
      </w:r>
    </w:p>
    <w:p>
      <w:pPr>
        <w:spacing w:after="0" w:line="110" w:lineRule="exact"/>
        <w:rPr>
          <w:sz w:val="20"/>
          <w:szCs w:val="20"/>
          <w:color w:val="auto"/>
        </w:rPr>
      </w:pPr>
    </w:p>
    <w:p>
      <w:pPr>
        <w:jc w:val="both"/>
        <w:ind w:left="460" w:right="759"/>
        <w:spacing w:after="0" w:line="238" w:lineRule="auto"/>
        <w:rPr>
          <w:sz w:val="20"/>
          <w:szCs w:val="20"/>
          <w:color w:val="auto"/>
        </w:rPr>
      </w:pPr>
      <w:r>
        <w:rPr>
          <w:rFonts w:ascii="Arial" w:cs="Arial" w:eastAsia="Arial" w:hAnsi="Arial"/>
          <w:sz w:val="18"/>
          <w:szCs w:val="18"/>
          <w:color w:val="auto"/>
        </w:rPr>
        <w:t>Our initial stockholders will own, on an as-converted basis, 20% of our outstanding common stock immediately following the completion of this offering (excluding the private placement shares). Our initial stockholders and management team also may from time to time purchase Class A common stock prior to the completion of our initial</w:t>
      </w:r>
    </w:p>
    <w:p>
      <w:pPr>
        <w:sectPr>
          <w:pgSz w:w="11900" w:h="16838" w:orient="portrait"/>
          <w:cols w:equalWidth="0" w:num="1">
            <w:col w:w="9019"/>
          </w:cols>
          <w:pgMar w:left="1440" w:top="333" w:right="1440" w:bottom="1440" w:gutter="0" w:footer="0" w:header="0"/>
        </w:sectPr>
      </w:pP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29" w:name="page30"/>
    <w:bookmarkEnd w:id="29"/>
    <w:p>
      <w:pPr>
        <w:ind w:left="460" w:right="479"/>
        <w:spacing w:after="0" w:line="236" w:lineRule="auto"/>
        <w:rPr>
          <w:sz w:val="20"/>
          <w:szCs w:val="20"/>
          <w:color w:val="auto"/>
        </w:rPr>
      </w:pPr>
      <w:r>
        <w:rPr>
          <w:rFonts w:ascii="Arial" w:cs="Arial" w:eastAsia="Arial" w:hAnsi="Arial"/>
          <w:sz w:val="18"/>
          <w:szCs w:val="18"/>
          <w:color w:val="auto"/>
        </w:rPr>
        <w:t>business combination. Our amended and restated certificate of incorporation provides that, if we seek stockholder approval of an initial business combination, such initial business combination will be approved if we receive the affirmative vote of a majority of the shares voted at such meeting, including the founder shares and private placement shares. As a result, in addition to our initial stockholders’ founder shares and private placement shares, we would need 3,550,001, or 35.5%, of the 10,000,000 public shares sold in this offering to be voted in favor of an initial business combination in order to have our initial business combination approved (assuming all issued and outstanding shares of common stock are voted, the private placement shares to be issued to our sponsor are voted in favor of the transaction and the over-allotment option is not exercised). Accordingly, if we seek stockholder approval of our initial business combination, the agreement by our initial stockholders and management team to vote in favor of our initial business combination will increase the likelihood that we will receive the requisite stockholder approval for such initial business combination.</w:t>
      </w:r>
    </w:p>
    <w:p>
      <w:pPr>
        <w:spacing w:after="0" w:line="181" w:lineRule="exact"/>
        <w:rPr>
          <w:sz w:val="20"/>
          <w:szCs w:val="20"/>
          <w:color w:val="auto"/>
        </w:rPr>
      </w:pPr>
    </w:p>
    <w:p>
      <w:pPr>
        <w:jc w:val="both"/>
        <w:ind w:left="460" w:right="599"/>
        <w:spacing w:after="0" w:line="253" w:lineRule="auto"/>
        <w:rPr>
          <w:sz w:val="20"/>
          <w:szCs w:val="20"/>
          <w:color w:val="auto"/>
        </w:rPr>
      </w:pPr>
      <w:r>
        <w:rPr>
          <w:rFonts w:ascii="Arial" w:cs="Arial" w:eastAsia="Arial" w:hAnsi="Arial"/>
          <w:sz w:val="18"/>
          <w:szCs w:val="18"/>
          <w:b w:val="1"/>
          <w:bCs w:val="1"/>
          <w:color w:val="auto"/>
        </w:rPr>
        <w:t>The ability of our public stockholders to redeem their shares for cash may make our financial condition unattractive to potential business combination targets, which may make it difficult for us to enter into a business combination with a target.</w:t>
      </w:r>
    </w:p>
    <w:p>
      <w:pPr>
        <w:spacing w:after="0" w:line="110" w:lineRule="exact"/>
        <w:rPr>
          <w:sz w:val="20"/>
          <w:szCs w:val="20"/>
          <w:color w:val="auto"/>
        </w:rPr>
      </w:pPr>
    </w:p>
    <w:p>
      <w:pPr>
        <w:ind w:left="460" w:right="539"/>
        <w:spacing w:after="0" w:line="236" w:lineRule="auto"/>
        <w:rPr>
          <w:sz w:val="20"/>
          <w:szCs w:val="20"/>
          <w:color w:val="auto"/>
        </w:rPr>
      </w:pPr>
      <w:r>
        <w:rPr>
          <w:rFonts w:ascii="Arial" w:cs="Arial" w:eastAsia="Arial" w:hAnsi="Arial"/>
          <w:sz w:val="18"/>
          <w:szCs w:val="18"/>
          <w:color w:val="auto"/>
        </w:rPr>
        <w:t>We may seek to enter into a business combination transaction agreement with minimum cash requirement for (i) cash consideration to be paid to the target or its owners, (ii) cash for working capital or other general corporate purposes or (iii) the retention of cash to satisfy other conditions. If too many public stockholders exercise their redemption rights, we would not be able to meet such closing condition and, as a result, would not be able to proceed with the business combination. Furthermore, in no event will we redeem our public shares in an amount that would cause our net tangible assets to be less than $5,000,001. Consequently, if accepting all properly submitted redemption requests would cause our net tangible assets to be less than $ 5,000,001 or make us unable to satisfy a minimum cash condition as described above, we would not proceed with such redemption and the related business combination and may instead search for an alternate business combination. Prospective targets will be aware of these risks and, thus, may be reluctant to enter into a business combination transaction with us.</w:t>
      </w:r>
    </w:p>
    <w:p>
      <w:pPr>
        <w:spacing w:after="0" w:line="182" w:lineRule="exact"/>
        <w:rPr>
          <w:sz w:val="20"/>
          <w:szCs w:val="20"/>
          <w:color w:val="auto"/>
        </w:rPr>
      </w:pPr>
    </w:p>
    <w:p>
      <w:pPr>
        <w:ind w:left="460" w:right="559"/>
        <w:spacing w:after="0" w:line="253" w:lineRule="auto"/>
        <w:rPr>
          <w:sz w:val="20"/>
          <w:szCs w:val="20"/>
          <w:color w:val="auto"/>
        </w:rPr>
      </w:pPr>
      <w:r>
        <w:rPr>
          <w:rFonts w:ascii="Arial" w:cs="Arial" w:eastAsia="Arial" w:hAnsi="Arial"/>
          <w:sz w:val="18"/>
          <w:szCs w:val="18"/>
          <w:b w:val="1"/>
          <w:bCs w:val="1"/>
          <w:color w:val="auto"/>
        </w:rPr>
        <w:t>The ability of our public stockholders to exercise redemption rights with respect to a large number of our shares may not allow us to complete the most desirable business combination or optimize our capital structure.</w:t>
      </w:r>
    </w:p>
    <w:p>
      <w:pPr>
        <w:spacing w:after="0" w:line="123"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At the time we enter into an agreement for our initial business combination, we will not know how many stockholders may exercise their redemption rights, and therefore will need to structure the transaction based on our expectations as to the number of shares that will be submitted for redemption. If our initial business combination agreement requires us to use a portion of the cash in the trust account to pay the purchase price, or requires us to have a minimum amount of cash at closing, we will need to reserve a portion of the cash in the trust account to meet such requirements, or arrange for third party financing. In addition, if a larger number of shares is submitted for redemption than we initially expected, we may need to restructure the transaction to reserve a greater portion of the cash in the trust account or arrange for third party financing. Raising additional third party financing may involve dilutive equity issuances or the incurrence of indebtedness at higher than desirable levels. Furthermore, this dilution would increase to the extent that the anti-dilution provision of the Class B common stock results in the issues of shares of Class A common stock on a greater than one-to-one basis upon conversion of the shares of Class B common stock at the time of our initial business combination. In addition, the amount of the deferred underwriting commissions payable to the underwriters will not be adjusted for any shares that are redeemed in connection with an initial business combination. The per share amount we will distribute to stockholders who properly exercise their redemption rights will not be reduced by the deferred underwriting commission and after such redemptions, the amount held in trust will continue to reflect our obligation to pay the entire deferred underwriting commissions. The above considerations may limit our ability to complete the most desirable business combination available to us or optimize our capital structure.</w:t>
      </w:r>
    </w:p>
    <w:p>
      <w:pPr>
        <w:spacing w:after="0" w:line="191" w:lineRule="exact"/>
        <w:rPr>
          <w:sz w:val="20"/>
          <w:szCs w:val="20"/>
          <w:color w:val="auto"/>
        </w:rPr>
      </w:pPr>
    </w:p>
    <w:p>
      <w:pPr>
        <w:ind w:left="460" w:right="499"/>
        <w:spacing w:after="0" w:line="247" w:lineRule="auto"/>
        <w:rPr>
          <w:sz w:val="20"/>
          <w:szCs w:val="20"/>
          <w:color w:val="auto"/>
        </w:rPr>
      </w:pPr>
      <w:r>
        <w:rPr>
          <w:rFonts w:ascii="Arial" w:cs="Arial" w:eastAsia="Arial" w:hAnsi="Arial"/>
          <w:sz w:val="18"/>
          <w:szCs w:val="18"/>
          <w:b w:val="1"/>
          <w:bCs w:val="1"/>
          <w:color w:val="auto"/>
        </w:rPr>
        <w:t>The ability of our public stockholders to exercise redemption rights with respect to a large number of our shares could increase the probability that our initial business combination would be unsuccessful and that you would have to wait for liquidation in order to redeem your shares.</w:t>
      </w:r>
    </w:p>
    <w:p>
      <w:pPr>
        <w:spacing w:after="0" w:line="128"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If our initial business combination agreement requires us to use a portion of the cash in the trust account to pay the purchase price, or requires us to have a minimum amount of cash at closing, the probability that our initial business combination would be unsuccessful is increased. If our initial business combination is unsuccessful, you would not receive your pro rata portion of the trust account until we liquidate the trust account. If you are in need of immediate</w:t>
      </w:r>
    </w:p>
    <w:p>
      <w:pPr>
        <w:sectPr>
          <w:pgSz w:w="11900" w:h="16838" w:orient="portrait"/>
          <w:cols w:equalWidth="0" w:num="1">
            <w:col w:w="9019"/>
          </w:cols>
          <w:pgMar w:left="1440" w:top="287" w:right="1440"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30" w:name="page31"/>
    <w:bookmarkEnd w:id="30"/>
    <w:p>
      <w:pPr>
        <w:ind w:left="460" w:right="519"/>
        <w:spacing w:after="0" w:line="238" w:lineRule="auto"/>
        <w:rPr>
          <w:sz w:val="20"/>
          <w:szCs w:val="20"/>
          <w:color w:val="auto"/>
        </w:rPr>
      </w:pPr>
      <w:r>
        <w:rPr>
          <w:rFonts w:ascii="Arial" w:cs="Arial" w:eastAsia="Arial" w:hAnsi="Arial"/>
          <w:sz w:val="18"/>
          <w:szCs w:val="18"/>
          <w:color w:val="auto"/>
        </w:rPr>
        <w:t>liquidity, you could attempt to sell your shares in the open market; however, at such time our shares may trade at a discount to the pro rata amount per share in the trust account. In either situation, you may suffer a material loss on your investment or lose the benefit of funds expected in connection with your exercise of redemption rights until we liquidate or you are able to sell your shares in the open market.</w:t>
      </w:r>
    </w:p>
    <w:p>
      <w:pPr>
        <w:spacing w:after="0" w:line="180" w:lineRule="exact"/>
        <w:rPr>
          <w:sz w:val="20"/>
          <w:szCs w:val="20"/>
          <w:color w:val="auto"/>
        </w:rPr>
      </w:pPr>
    </w:p>
    <w:p>
      <w:pPr>
        <w:ind w:left="460" w:right="499"/>
        <w:spacing w:after="0" w:line="242" w:lineRule="auto"/>
        <w:rPr>
          <w:sz w:val="20"/>
          <w:szCs w:val="20"/>
          <w:color w:val="auto"/>
        </w:rPr>
      </w:pPr>
      <w:r>
        <w:rPr>
          <w:rFonts w:ascii="Arial" w:cs="Arial" w:eastAsia="Arial" w:hAnsi="Arial"/>
          <w:sz w:val="18"/>
          <w:szCs w:val="18"/>
          <w:b w:val="1"/>
          <w:bCs w:val="1"/>
          <w:color w:val="auto"/>
        </w:rPr>
        <w:t>The requirement that we complete our initial business combination within 24 months after the closing of this offering may give potential target businesses leverage over us in negotiating a business combination and may limit the time we have in which to conduct due diligence on potential business combination targets, in particular as we approach our dissolution deadline, which could undermine our ability to complete our initial business combination on terms that would produce value for our stockholders.</w:t>
      </w:r>
    </w:p>
    <w:p>
      <w:pPr>
        <w:spacing w:after="0" w:line="120" w:lineRule="exact"/>
        <w:rPr>
          <w:sz w:val="20"/>
          <w:szCs w:val="20"/>
          <w:color w:val="auto"/>
        </w:rPr>
      </w:pPr>
    </w:p>
    <w:p>
      <w:pPr>
        <w:ind w:left="460" w:right="659"/>
        <w:spacing w:after="0" w:line="236" w:lineRule="auto"/>
        <w:rPr>
          <w:sz w:val="20"/>
          <w:szCs w:val="20"/>
          <w:color w:val="auto"/>
        </w:rPr>
      </w:pPr>
      <w:r>
        <w:rPr>
          <w:rFonts w:ascii="Arial" w:cs="Arial" w:eastAsia="Arial" w:hAnsi="Arial"/>
          <w:sz w:val="18"/>
          <w:szCs w:val="18"/>
          <w:color w:val="auto"/>
        </w:rPr>
        <w:t>Any potential target business with which we enter into negotiations concerning a business combination will be aware that we must complete our initial business combination within 24 months from the closing of this offering. Consequently, such target business may obtain leverage over us in negotiating a business combination, knowing that if we do not complete our initial business combination with that particular target business, we may be unable to complete our initial business combination with any target business. This risk will increase as we get closer to the timeframe described above. In addition, we may have limited time to conduct due diligence and may enter into our initial business combination on terms that we would have rejected upon a more comprehensive investigation.</w:t>
      </w:r>
    </w:p>
    <w:p>
      <w:pPr>
        <w:spacing w:after="0" w:line="185" w:lineRule="exact"/>
        <w:rPr>
          <w:sz w:val="20"/>
          <w:szCs w:val="20"/>
          <w:color w:val="auto"/>
        </w:rPr>
      </w:pPr>
    </w:p>
    <w:p>
      <w:pPr>
        <w:jc w:val="both"/>
        <w:ind w:left="460" w:right="919"/>
        <w:spacing w:after="0" w:line="253" w:lineRule="auto"/>
        <w:rPr>
          <w:sz w:val="20"/>
          <w:szCs w:val="20"/>
          <w:color w:val="auto"/>
        </w:rPr>
      </w:pPr>
      <w:r>
        <w:rPr>
          <w:rFonts w:ascii="Arial" w:cs="Arial" w:eastAsia="Arial" w:hAnsi="Arial"/>
          <w:sz w:val="18"/>
          <w:szCs w:val="18"/>
          <w:b w:val="1"/>
          <w:bCs w:val="1"/>
          <w:color w:val="auto"/>
        </w:rPr>
        <w:t>Our search for a business combination, and any target business with which we ultimately consummate a business combination, may be materially adversely affected by the recent coronavirus (COVID-19) outbreak and the status of debt and equity markets.</w:t>
      </w:r>
    </w:p>
    <w:p>
      <w:pPr>
        <w:spacing w:after="0" w:line="123" w:lineRule="exact"/>
        <w:rPr>
          <w:sz w:val="20"/>
          <w:szCs w:val="20"/>
          <w:color w:val="auto"/>
        </w:rPr>
      </w:pPr>
    </w:p>
    <w:p>
      <w:pPr>
        <w:ind w:left="460" w:right="499"/>
        <w:spacing w:after="0" w:line="235" w:lineRule="auto"/>
        <w:rPr>
          <w:sz w:val="20"/>
          <w:szCs w:val="20"/>
          <w:color w:val="auto"/>
        </w:rPr>
      </w:pPr>
      <w:r>
        <w:rPr>
          <w:rFonts w:ascii="Arial" w:cs="Arial" w:eastAsia="Arial" w:hAnsi="Arial"/>
          <w:sz w:val="18"/>
          <w:szCs w:val="18"/>
          <w:color w:val="auto"/>
        </w:rPr>
        <w:t>In December 2019, a novel strain of coronavirus was reported to have surfaced in Wuhan, China, which has and is continuing to spread throughout China and other parts of the world, including the United States. On January 30, 2020, the World Health Organization declared the outbreak of the coronavirus disease (COVID-19) a “Public Health Emergency of International Concern.” On January 31, 2020, U.S. Health and Human Services Secretary Alex M. Azar II declared a public health emergency for the United States to aid the U.S. healthcare community in responding to COVID-19, and on March 11, 2020 the World Health Organization characterized the outbreak as a “pandemic”. The COVID-19 outbreak has and a significant outbreak of other infectious diseases could result in a widespread health crisis that could adversely affect the economies and financial markets worldwide, and the business of any potential target business with which we consummate a business combination could be materially and adversely affected. Furthermore, we may be unable to complete a business combination if continued concerns relating to COVID-19 continues to restrict travel, limit the ability to have meetings with potential investors or the target company’s personnel, vendors and services providers are unavailable to negotiate and consummate a transaction in a timely manner. The extent to which COVID-19 impacts our search for a business combination will depend on future developments, which are highly uncertain and cannot be predicted, including new information which may emerge concerning the severity of COVID-19 and the actions to contain COVID-19 or treat its impact, among others. If the disruptions posed by COVID-19 or other matters of global concern continue for an extensive period of time, our ability to consummate a business combination, or the operations of a target business with which we ultimately consummate a business combination, may be materially adversely affected.</w:t>
      </w:r>
    </w:p>
    <w:p>
      <w:pPr>
        <w:spacing w:after="0" w:line="145" w:lineRule="exact"/>
        <w:rPr>
          <w:sz w:val="20"/>
          <w:szCs w:val="20"/>
          <w:color w:val="auto"/>
        </w:rPr>
      </w:pPr>
    </w:p>
    <w:p>
      <w:pPr>
        <w:jc w:val="both"/>
        <w:ind w:left="460" w:right="739"/>
        <w:spacing w:after="0" w:line="238" w:lineRule="auto"/>
        <w:rPr>
          <w:sz w:val="20"/>
          <w:szCs w:val="20"/>
          <w:color w:val="auto"/>
        </w:rPr>
      </w:pPr>
      <w:r>
        <w:rPr>
          <w:rFonts w:ascii="Arial" w:cs="Arial" w:eastAsia="Arial" w:hAnsi="Arial"/>
          <w:sz w:val="18"/>
          <w:szCs w:val="18"/>
          <w:color w:val="auto"/>
        </w:rPr>
        <w:t>In addition, our ability to consummate a transaction may be dependent on the ability to raise equity and debt financing which may be impacted by COVID-19 and other events, including as a result of increased market volatility, decreased market liquidity in third-party financing being unavailable on terms acceptable to us or at all.</w:t>
      </w:r>
    </w:p>
    <w:p>
      <w:pPr>
        <w:spacing w:after="0" w:line="183" w:lineRule="exact"/>
        <w:rPr>
          <w:sz w:val="20"/>
          <w:szCs w:val="20"/>
          <w:color w:val="auto"/>
        </w:rPr>
      </w:pPr>
    </w:p>
    <w:p>
      <w:pPr>
        <w:ind w:left="460" w:right="519"/>
        <w:spacing w:after="0" w:line="253" w:lineRule="auto"/>
        <w:rPr>
          <w:sz w:val="20"/>
          <w:szCs w:val="20"/>
          <w:color w:val="auto"/>
        </w:rPr>
      </w:pPr>
      <w:r>
        <w:rPr>
          <w:rFonts w:ascii="Arial" w:cs="Arial" w:eastAsia="Arial" w:hAnsi="Arial"/>
          <w:sz w:val="18"/>
          <w:szCs w:val="18"/>
          <w:b w:val="1"/>
          <w:bCs w:val="1"/>
          <w:color w:val="auto"/>
        </w:rPr>
        <w:t>We may not be able to complete our initial business combination within 24 months after the closing of this offering, in which case we would cease all operations except for the purpose of winding up and we would redeem our public shares and liquidate.</w:t>
      </w:r>
    </w:p>
    <w:p>
      <w:pPr>
        <w:spacing w:after="0" w:line="110"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We may not be able to find a suitable target business and complete our initial business combination within 24 months after the closing of this offering. Our ability to complete our initial business combination may be negatively impacted by general market conditions, volatility in the capital and debt markets and the other risks described herein. For example, the outbreak of COVID-19 continues to grow both in the U.S. and globally and, while the extent of the impact of the outbreak on us will depend on future developments, it could limit our ability to complete our initial business combination, including as a result of increased market volatility, decreased market liquidity and third-party financing being unavailable on terms acceptable to us or at all. Additionally, the outbreak of COVID-19 may negatively</w:t>
      </w:r>
    </w:p>
    <w:p>
      <w:pPr>
        <w:sectPr>
          <w:pgSz w:w="11900" w:h="16838" w:orient="portrait"/>
          <w:cols w:equalWidth="0" w:num="1">
            <w:col w:w="9019"/>
          </w:cols>
          <w:pgMar w:left="1440" w:top="287" w:right="1440" w:bottom="144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31" w:name="page32"/>
    <w:bookmarkEnd w:id="31"/>
    <w:p>
      <w:pPr>
        <w:ind w:left="460" w:right="499"/>
        <w:spacing w:after="0" w:line="236" w:lineRule="auto"/>
        <w:rPr>
          <w:sz w:val="20"/>
          <w:szCs w:val="20"/>
          <w:color w:val="auto"/>
        </w:rPr>
      </w:pPr>
      <w:r>
        <w:rPr>
          <w:rFonts w:ascii="Arial" w:cs="Arial" w:eastAsia="Arial" w:hAnsi="Arial"/>
          <w:sz w:val="18"/>
          <w:szCs w:val="18"/>
          <w:color w:val="auto"/>
        </w:rPr>
        <w:t>impact businesses we may seek to acquire. If we have not completed our initial business combination within such time period,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our remaining stockholders and our board of directors, liquidate and dissolve, subject in each case, to our obligations under Delaware law to provide for claims of creditors and the requirements of other applicable law.</w:t>
      </w:r>
    </w:p>
    <w:p>
      <w:pPr>
        <w:spacing w:after="0" w:line="182" w:lineRule="exact"/>
        <w:rPr>
          <w:sz w:val="20"/>
          <w:szCs w:val="20"/>
          <w:color w:val="auto"/>
        </w:rPr>
      </w:pPr>
    </w:p>
    <w:p>
      <w:pPr>
        <w:ind w:left="460" w:right="579"/>
        <w:spacing w:after="0" w:line="247" w:lineRule="auto"/>
        <w:rPr>
          <w:sz w:val="20"/>
          <w:szCs w:val="20"/>
          <w:color w:val="auto"/>
        </w:rPr>
      </w:pPr>
      <w:r>
        <w:rPr>
          <w:rFonts w:ascii="Arial" w:cs="Arial" w:eastAsia="Arial" w:hAnsi="Arial"/>
          <w:sz w:val="18"/>
          <w:szCs w:val="18"/>
          <w:b w:val="1"/>
          <w:bCs w:val="1"/>
          <w:color w:val="auto"/>
        </w:rPr>
        <w:t>If we seek stockholder approval of our initial business combination, our sponsor, initial stockholders, directors, executive officers, advisors and their affiliates may elect to purchase public shares from stockholders, which may influence a vote on a proposed business combination and reduce the public “float” of our Class A common stock.</w:t>
      </w:r>
    </w:p>
    <w:p>
      <w:pPr>
        <w:spacing w:after="0" w:line="115"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If we seek stockholder approval of our initial business combination and we do not conduct redemptions in connection with our initial business combination pursuant to the tender offer rules, our sponsor, initial stockholders, directors, executive officers, advisors or their respective affiliates may purchase public shares or equity-linked securities in privately negotiated transactions or in the open market either prior to or following the completion of our initial business combination, although they are under no obligation to do so. There is no limit on the number of shares our initial stockholders, directors, officers, advisors or their respective affiliates may purchase in such transactions, subject to compliance with applicable law and Nasdaq rules. However, other than as expressly stated herein, they have no current commitments, plans or intentions to engage in such purchases or transactions and have not formulated any terms or conditions for any such purchases or transactions. None of the funds in the trust account will be used to purchase public shares or equity-linked securities in such transactions. Such purchases may include a contractual acknowledgment that such stockholder, although still the record holder of our shares, is no longer the beneficial owner thereof and therefore agrees not to exercise its redemption rights.</w:t>
      </w:r>
    </w:p>
    <w:p>
      <w:pPr>
        <w:spacing w:after="0" w:line="146" w:lineRule="exact"/>
        <w:rPr>
          <w:sz w:val="20"/>
          <w:szCs w:val="20"/>
          <w:color w:val="auto"/>
        </w:rPr>
      </w:pPr>
    </w:p>
    <w:p>
      <w:pPr>
        <w:ind w:left="460" w:right="459"/>
        <w:spacing w:after="0" w:line="250" w:lineRule="auto"/>
        <w:rPr>
          <w:sz w:val="20"/>
          <w:szCs w:val="20"/>
          <w:color w:val="auto"/>
        </w:rPr>
      </w:pPr>
      <w:r>
        <w:rPr>
          <w:rFonts w:ascii="Arial" w:cs="Arial" w:eastAsia="Arial" w:hAnsi="Arial"/>
          <w:sz w:val="17"/>
          <w:szCs w:val="17"/>
          <w:color w:val="auto"/>
        </w:rPr>
        <w:t>In the event that our sponsor, initial stockholders, directors, executive officers, advisors or their respective affiliates purchase shares in privately negotiated transactions from public stockholders who have already elected to exercise their redemption rights, such selling stockholders would be required to revoke their prior elections to redeem their shares. The purpose of any such purchases could be to vote such shares in favor of the business combination and thereby increase the likelihood of obtaining the requisite stockholder approval of the business combination or to satisfy a closing condition in an agreement with a target that requires us to have a minimum net worth or a certain amount of cash at the closing of our initial business combination, where it appears that such requirement would otherwise not be met. Any such purchases may result in the completion of our initial business combination that may not otherwise have been possible. We expect any such purchases will be reported pursuant to Section 13 and Section 16 of the Exchange Act to the extent such purchasers are subject to such reporting requirements. See “Proposed Business — Permitted Purchases of Our Securities” for a description of how our sponsor, directors, executive officers, advisors or any of their affiliates will select which stockholders to purchase securities from in any private transaction.</w:t>
      </w:r>
    </w:p>
    <w:p>
      <w:pPr>
        <w:spacing w:after="0" w:line="133" w:lineRule="exact"/>
        <w:rPr>
          <w:sz w:val="20"/>
          <w:szCs w:val="20"/>
          <w:color w:val="auto"/>
        </w:rPr>
      </w:pPr>
    </w:p>
    <w:p>
      <w:pPr>
        <w:jc w:val="both"/>
        <w:ind w:left="460" w:right="1019"/>
        <w:spacing w:after="0" w:line="238" w:lineRule="auto"/>
        <w:rPr>
          <w:sz w:val="20"/>
          <w:szCs w:val="20"/>
          <w:color w:val="auto"/>
        </w:rPr>
      </w:pPr>
      <w:r>
        <w:rPr>
          <w:rFonts w:ascii="Arial" w:cs="Arial" w:eastAsia="Arial" w:hAnsi="Arial"/>
          <w:sz w:val="18"/>
          <w:szCs w:val="18"/>
          <w:color w:val="auto"/>
        </w:rPr>
        <w:t>In addition, if such purchases are made, the public “float” of our Class A common stock and the number of beneficial holders of our Class A common stock may be reduced, possibly making it difficult to obtain or maintain the quotation, listing or trading of our Class A common stock on a national securities exchange.</w:t>
      </w:r>
    </w:p>
    <w:p>
      <w:pPr>
        <w:spacing w:after="0" w:line="183" w:lineRule="exact"/>
        <w:rPr>
          <w:sz w:val="20"/>
          <w:szCs w:val="20"/>
          <w:color w:val="auto"/>
        </w:rPr>
      </w:pPr>
    </w:p>
    <w:p>
      <w:pPr>
        <w:jc w:val="both"/>
        <w:ind w:left="460" w:right="619"/>
        <w:spacing w:after="0" w:line="253" w:lineRule="auto"/>
        <w:rPr>
          <w:sz w:val="20"/>
          <w:szCs w:val="20"/>
          <w:color w:val="auto"/>
        </w:rPr>
      </w:pPr>
      <w:r>
        <w:rPr>
          <w:rFonts w:ascii="Arial" w:cs="Arial" w:eastAsia="Arial" w:hAnsi="Arial"/>
          <w:sz w:val="18"/>
          <w:szCs w:val="18"/>
          <w:b w:val="1"/>
          <w:bCs w:val="1"/>
          <w:color w:val="auto"/>
        </w:rPr>
        <w:t>If a stockholder fails to receive notice of our offer to redeem our public shares in connection with our initial business combination, or fails to comply with the procedures for tendering its shares, such shares may not be redeemed.</w:t>
      </w:r>
    </w:p>
    <w:p>
      <w:pPr>
        <w:spacing w:after="0" w:line="110"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We will comply with the proxy rules or tender offer rules, as applicable, when conducting redemptions in connection with our initial business combination. Despite our compliance with these rules, if a stockholder fails to receive our proxy materials or tender offer documents, as applicable, such stockholder may not become aware of the opportunity to redeem its shares. In addition, proxy materials or tender offer documents, as applicable, that we will furnish to holders of our public shares in connection with our initial business combination will describe the various procedures that must be complied with in order to validly tender or submit public shares for redemption. For example, we intend</w:t>
      </w:r>
    </w:p>
    <w:p>
      <w:pPr>
        <w:sectPr>
          <w:pgSz w:w="11900" w:h="16838" w:orient="portrait"/>
          <w:cols w:equalWidth="0" w:num="1">
            <w:col w:w="9019"/>
          </w:cols>
          <w:pgMar w:left="1440" w:top="287" w:right="1440" w:bottom="1440"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32" w:name="page33"/>
    <w:bookmarkEnd w:id="32"/>
    <w:p>
      <w:pPr>
        <w:ind w:left="460" w:right="479"/>
        <w:spacing w:after="0" w:line="236" w:lineRule="auto"/>
        <w:rPr>
          <w:sz w:val="20"/>
          <w:szCs w:val="20"/>
          <w:color w:val="auto"/>
        </w:rPr>
      </w:pPr>
      <w:r>
        <w:rPr>
          <w:rFonts w:ascii="Arial" w:cs="Arial" w:eastAsia="Arial" w:hAnsi="Arial"/>
          <w:sz w:val="18"/>
          <w:szCs w:val="18"/>
          <w:color w:val="auto"/>
        </w:rPr>
        <w:t>to require our public stockholders seeking to exercise their redemption rights, whether they are record holders or hold their shares in “street name,” to, at the holder’s option, either deliver their stock certificates to our transfer agent, or to deliver their shares to our transfer agent electronically prior to the date set forth in the proxy materials or tender offer documents, as applicable. In the case of proxy materials, this date may be up to two business days prior to the date on which the vote on the proposal to approve the initial business combination is to be held. In addition, if we conduct redemptions in connection with a stockholder vote, we intend to require a public stockholder seeking redemption of its public shares to also submit a written request for redemption to our transfer agent two business days prior to the vote in which the name of the beneficial owner of such shares is included. In the event that a stockholder fails to comply with these or any other procedures disclosed in the proxy or tender offer materials, as applicable, its shares may not be redeemed. See the section of this prospectus entitled “Proposed Business — Submitting Stock Certificates in Connection with Redemption Rights.”</w:t>
      </w:r>
    </w:p>
    <w:p>
      <w:pPr>
        <w:spacing w:after="0" w:line="181" w:lineRule="exact"/>
        <w:rPr>
          <w:sz w:val="20"/>
          <w:szCs w:val="20"/>
          <w:color w:val="auto"/>
        </w:rPr>
      </w:pPr>
    </w:p>
    <w:p>
      <w:pPr>
        <w:jc w:val="both"/>
        <w:ind w:left="460" w:right="539"/>
        <w:spacing w:after="0" w:line="253" w:lineRule="auto"/>
        <w:rPr>
          <w:sz w:val="20"/>
          <w:szCs w:val="20"/>
          <w:color w:val="auto"/>
        </w:rPr>
      </w:pPr>
      <w:r>
        <w:rPr>
          <w:rFonts w:ascii="Arial" w:cs="Arial" w:eastAsia="Arial" w:hAnsi="Arial"/>
          <w:sz w:val="18"/>
          <w:szCs w:val="18"/>
          <w:b w:val="1"/>
          <w:bCs w:val="1"/>
          <w:color w:val="auto"/>
        </w:rPr>
        <w:t>You will not have any rights or interests in funds from the trust account, except under certain limited circumstances. Therefore, to liquidate your investment, you may be forced to sell your public shares, potentially at a loss.</w:t>
      </w:r>
    </w:p>
    <w:p>
      <w:pPr>
        <w:spacing w:after="0" w:line="110"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Our public stockholders will be entitled to receive funds from the trust account only upon the earlier to occur of: (i) our completion of an initial business combination, and then only in connection with those shares of Class A common stock that such stockholder properly elected to redeem, subject to the limitations described herein, (ii) the redemption of any public shares properly tendered in connection with a stockholder vote to amend our amended and restated certificate of incorporation to modify the substance or timing of our obligation to redeem 100% of our public shares if we do not complete our initial business combination within 24 months from the closing of this offering or with respect to any other material provisions relating to stockholders’ rights or pre-initial business combination activity, and (iii) the redemption of our public shares if we are unable to complete an initial business combination within 24 months from the closing of this offering, subject to applicable law and as further described herein. In addition, if our plan to redeem our public shares if we are unable to complete an initial business combination within 24 months from the closing of this offering is not completed for any reason, compliance with Delaware law may require that we submit a plan of dissolution to our then-existing stockholders for approval prior to the distribution of the proceeds held in our trust account. In that case, public stockholders may be forced to wait beyond 24 months from the closing of this offering before they receive funds from our trust account. In no other circumstances will a public stockholder have any right or interest of any kind in the trust account. Accordingly, to liquidate your investment, you may be forced to sell your public shares, potentially at a loss.</w:t>
      </w:r>
    </w:p>
    <w:p>
      <w:pPr>
        <w:spacing w:after="0" w:line="191" w:lineRule="exact"/>
        <w:rPr>
          <w:sz w:val="20"/>
          <w:szCs w:val="20"/>
          <w:color w:val="auto"/>
        </w:rPr>
      </w:pPr>
    </w:p>
    <w:p>
      <w:pPr>
        <w:ind w:left="460" w:right="539"/>
        <w:spacing w:after="0" w:line="253" w:lineRule="auto"/>
        <w:rPr>
          <w:sz w:val="20"/>
          <w:szCs w:val="20"/>
          <w:color w:val="auto"/>
        </w:rPr>
      </w:pPr>
      <w:r>
        <w:rPr>
          <w:rFonts w:ascii="Arial" w:cs="Arial" w:eastAsia="Arial" w:hAnsi="Arial"/>
          <w:sz w:val="18"/>
          <w:szCs w:val="18"/>
          <w:b w:val="1"/>
          <w:bCs w:val="1"/>
          <w:color w:val="auto"/>
        </w:rPr>
        <w:t>Nasdaq may delist our Class A common stock from trading on its exchange, which could limit investors’ ability to make transactions in our Class A common stock and subject us to additional trading restrictions.</w:t>
      </w:r>
    </w:p>
    <w:p>
      <w:pPr>
        <w:spacing w:after="0" w:line="123" w:lineRule="exact"/>
        <w:rPr>
          <w:sz w:val="20"/>
          <w:szCs w:val="20"/>
          <w:color w:val="auto"/>
        </w:rPr>
      </w:pPr>
    </w:p>
    <w:p>
      <w:pPr>
        <w:ind w:left="460" w:right="499"/>
        <w:spacing w:after="0" w:line="235" w:lineRule="auto"/>
        <w:rPr>
          <w:sz w:val="20"/>
          <w:szCs w:val="20"/>
          <w:color w:val="auto"/>
        </w:rPr>
      </w:pPr>
      <w:r>
        <w:rPr>
          <w:rFonts w:ascii="Arial" w:cs="Arial" w:eastAsia="Arial" w:hAnsi="Arial"/>
          <w:sz w:val="18"/>
          <w:szCs w:val="18"/>
          <w:color w:val="auto"/>
        </w:rPr>
        <w:t>We have applied to have our shares of Class A common stock listed on Nasdaq on or promptly after the date of this prospectus. Although after giving effect to this offering we expect to meet, on a pro forma basis, the minimum initial listing standards set forth in Nasdaq listing standards, we cannot assure you that our Class A common stock will be, or will continue to be, listed on Nasdaq in the future or prior to our initial business combination. In order to continue listing our securities on Nasdaq prior to our initial business combination, we must maintain certain financial, distribution and share price levels. Generally, we must maintain a minimum amount in stockholders’ equity (generally $2,500,000) and a minimum number of holders of our securities (generally 300 public holders). Additionally, in connection with our initial business combination, we will be required to demonstrate compliance with Nasdaq’s initial listing requirements, which are more rigorous than Nasdaq’s continued listing requirements, in order to continue to maintain the listing of our securities on Nasdaq. For instance, our share price would generally be required to be at least $4.00 per share and our stockholder’s equity would generally be required to be at least $5,000,000. We cannot assure you that we will be able to meet those initial listing requirements at that time.</w:t>
      </w:r>
    </w:p>
    <w:p>
      <w:pPr>
        <w:spacing w:after="0" w:line="146" w:lineRule="exact"/>
        <w:rPr>
          <w:sz w:val="20"/>
          <w:szCs w:val="20"/>
          <w:color w:val="auto"/>
        </w:rPr>
      </w:pPr>
    </w:p>
    <w:p>
      <w:pPr>
        <w:jc w:val="both"/>
        <w:ind w:left="460" w:right="559"/>
        <w:spacing w:after="0" w:line="238" w:lineRule="auto"/>
        <w:rPr>
          <w:sz w:val="20"/>
          <w:szCs w:val="20"/>
          <w:color w:val="auto"/>
        </w:rPr>
      </w:pPr>
      <w:r>
        <w:rPr>
          <w:rFonts w:ascii="Arial" w:cs="Arial" w:eastAsia="Arial" w:hAnsi="Arial"/>
          <w:sz w:val="18"/>
          <w:szCs w:val="18"/>
          <w:color w:val="auto"/>
        </w:rPr>
        <w:t>If Nasdaq delists our Class A common stock from trading on its exchange and we are not able to list our Class A common stock on another national securities exchange, we expect our Class A common stock could be quoted on an over-the-counter market. If this were to occur, we could face significant material adverse consequences, including:</w:t>
      </w:r>
    </w:p>
    <w:p>
      <w:pPr>
        <w:spacing w:after="0" w:line="16" w:lineRule="exact"/>
        <w:rPr>
          <w:sz w:val="20"/>
          <w:szCs w:val="20"/>
          <w:color w:val="auto"/>
        </w:rPr>
      </w:pPr>
    </w:p>
    <w:p>
      <w:pPr>
        <w:ind w:left="1040" w:hanging="262"/>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Class A common stock;</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reduced liquidity for our Class A common stock;</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33" w:name="page34"/>
    <w:bookmarkEnd w:id="33"/>
    <w:p>
      <w:pPr>
        <w:ind w:left="1100" w:right="459" w:hanging="322"/>
        <w:spacing w:after="0" w:line="238" w:lineRule="auto"/>
        <w:tabs>
          <w:tab w:leader="none" w:pos="1039"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determination that our Class A common stock is a “penny stock” which will require brokers trading in our Class A common stock to adhere to more stringent rules and possibly result in a reduced level of trading activity in the secondary trading market for our shares of Class A common stock;</w:t>
      </w:r>
    </w:p>
    <w:p>
      <w:pPr>
        <w:spacing w:after="0" w:line="15" w:lineRule="exact"/>
        <w:rPr>
          <w:rFonts w:ascii="Arial" w:cs="Arial" w:eastAsia="Arial" w:hAnsi="Arial"/>
          <w:sz w:val="18"/>
          <w:szCs w:val="18"/>
          <w:color w:val="auto"/>
        </w:rPr>
      </w:pPr>
    </w:p>
    <w:p>
      <w:pPr>
        <w:ind w:left="1040" w:hanging="262"/>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144" w:lineRule="exact"/>
        <w:rPr>
          <w:sz w:val="20"/>
          <w:szCs w:val="20"/>
          <w:color w:val="auto"/>
        </w:rPr>
      </w:pPr>
    </w:p>
    <w:p>
      <w:pPr>
        <w:ind w:left="460" w:right="579"/>
        <w:spacing w:after="0" w:line="236" w:lineRule="auto"/>
        <w:rPr>
          <w:sz w:val="20"/>
          <w:szCs w:val="20"/>
          <w:color w:val="auto"/>
        </w:rPr>
      </w:pPr>
      <w:r>
        <w:rPr>
          <w:rFonts w:ascii="Arial" w:cs="Arial" w:eastAsia="Arial" w:hAnsi="Arial"/>
          <w:sz w:val="18"/>
          <w:szCs w:val="18"/>
          <w:color w:val="auto"/>
        </w:rPr>
        <w:t>The National Securities Markets Improvement Act of 1996, which is a federal statute, prevents or preempts the states from regulating the sale of certain securities, which are referred to as “covered securities.” Because we expect that our Class A common stock will be listed on Nasdaq, our shares of Class A common stock will qualify as covered securities under the statute.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While we are not aware of a state having used these powers to prohibit or restrict the sale of securities issued by blank check companies, other than the State of Idaho, certain state securities regulators view blank check companies unfavorably and might use these powers, or threaten to use these powers, to hinder the sale of securities of blank check companies in their states. Further, if we were no longer listed on Nasdaq, our securities would not qualify as covered securities under the statute and we would be subject to regulation in each state in which we offer our securities.</w:t>
      </w:r>
    </w:p>
    <w:p>
      <w:pPr>
        <w:spacing w:after="0" w:line="181" w:lineRule="exact"/>
        <w:rPr>
          <w:sz w:val="20"/>
          <w:szCs w:val="20"/>
          <w:color w:val="auto"/>
        </w:rPr>
      </w:pPr>
    </w:p>
    <w:p>
      <w:pPr>
        <w:ind w:left="460" w:right="979"/>
        <w:spacing w:after="0" w:line="271" w:lineRule="auto"/>
        <w:rPr>
          <w:sz w:val="20"/>
          <w:szCs w:val="20"/>
          <w:color w:val="auto"/>
        </w:rPr>
      </w:pPr>
      <w:r>
        <w:rPr>
          <w:rFonts w:ascii="Arial" w:cs="Arial" w:eastAsia="Arial" w:hAnsi="Arial"/>
          <w:sz w:val="18"/>
          <w:szCs w:val="18"/>
          <w:b w:val="1"/>
          <w:bCs w:val="1"/>
          <w:color w:val="auto"/>
        </w:rPr>
        <w:t>You will not be entitled to protections normally afforded to investors of many other blank check companies.</w:t>
      </w:r>
    </w:p>
    <w:p>
      <w:pPr>
        <w:spacing w:after="0" w:line="95" w:lineRule="exact"/>
        <w:rPr>
          <w:sz w:val="20"/>
          <w:szCs w:val="20"/>
          <w:color w:val="auto"/>
        </w:rPr>
      </w:pPr>
    </w:p>
    <w:p>
      <w:pPr>
        <w:ind w:left="460" w:right="519"/>
        <w:spacing w:after="0" w:line="248" w:lineRule="auto"/>
        <w:rPr>
          <w:sz w:val="20"/>
          <w:szCs w:val="20"/>
          <w:color w:val="auto"/>
        </w:rPr>
      </w:pPr>
      <w:r>
        <w:rPr>
          <w:rFonts w:ascii="Arial" w:cs="Arial" w:eastAsia="Arial" w:hAnsi="Arial"/>
          <w:sz w:val="17"/>
          <w:szCs w:val="17"/>
          <w:color w:val="auto"/>
        </w:rPr>
        <w:t>Since the net proceeds of this offering and the sale of the private placement shares are intended to be used to complete an initial business combination with a target business that has not been selected, we may be deemed to be a “blank check” company under the United States securities laws. However, because we will have net tangible assets in excess of $ 5,000,000 upon the completion of this offering and the sale of the private placement shares and will file a Current Report on Form 8-K, including an audited balance sheet demonstrating this fact, we are exempt from rules promulgated by the SEC to protect investors in blank check companies, such as Rule 419. Accordingly, investors will not be afforded the benefits or protections of those rules. Among other things, this means our shares will be immediately tradable and we will have a longer period of time to complete our initial business combination than do companies subject to Rule 419. Moreover, if this offering were subject to</w:t>
      </w:r>
    </w:p>
    <w:p>
      <w:pPr>
        <w:spacing w:after="0" w:line="5" w:lineRule="exact"/>
        <w:rPr>
          <w:sz w:val="20"/>
          <w:szCs w:val="20"/>
          <w:color w:val="auto"/>
        </w:rPr>
      </w:pPr>
    </w:p>
    <w:p>
      <w:pPr>
        <w:ind w:left="460" w:right="499"/>
        <w:spacing w:after="0" w:line="238" w:lineRule="auto"/>
        <w:rPr>
          <w:sz w:val="20"/>
          <w:szCs w:val="20"/>
          <w:color w:val="auto"/>
        </w:rPr>
      </w:pPr>
      <w:r>
        <w:rPr>
          <w:rFonts w:ascii="Arial" w:cs="Arial" w:eastAsia="Arial" w:hAnsi="Arial"/>
          <w:sz w:val="18"/>
          <w:szCs w:val="18"/>
          <w:color w:val="auto"/>
        </w:rPr>
        <w:t>Rule 419, that rule would prohibit the release of any interest earned on funds held in the trust account to us unless and until the funds in the trust account were released to us in connection with our completion of an initial business combination. For a more detailed comparison of our offering to offerings that comply with Rule 419, please see “Proposed Business — Comparison of This Offering to Those of Blank Check Companies Subject to Rule 419.”</w:t>
      </w:r>
    </w:p>
    <w:p>
      <w:pPr>
        <w:spacing w:after="0" w:line="180" w:lineRule="exact"/>
        <w:rPr>
          <w:sz w:val="20"/>
          <w:szCs w:val="20"/>
          <w:color w:val="auto"/>
        </w:rPr>
      </w:pPr>
    </w:p>
    <w:p>
      <w:pPr>
        <w:jc w:val="both"/>
        <w:ind w:left="460" w:right="799"/>
        <w:spacing w:after="0" w:line="247" w:lineRule="auto"/>
        <w:rPr>
          <w:sz w:val="20"/>
          <w:szCs w:val="20"/>
          <w:color w:val="auto"/>
        </w:rPr>
      </w:pPr>
      <w:r>
        <w:rPr>
          <w:rFonts w:ascii="Arial" w:cs="Arial" w:eastAsia="Arial" w:hAnsi="Arial"/>
          <w:sz w:val="18"/>
          <w:szCs w:val="18"/>
          <w:b w:val="1"/>
          <w:bCs w:val="1"/>
          <w:color w:val="auto"/>
        </w:rPr>
        <w:t>If we seek stockholder approval of our initial business combination and we do not conduct redemptions pursuant to the tender offer rules, and if you or a “group” of stockholders are deemed to hold in excess of 20% of our Class A common stock, you will lose the ability to redeem all such shares in excess of 20% of our Class A common stock.</w:t>
      </w:r>
    </w:p>
    <w:p>
      <w:pPr>
        <w:spacing w:after="0" w:line="128"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If we seek stockholder approval of our initial business combination and we do not conduct redemptions in connection with our initial business combination pursuant to the tender offer rules, our amended and restated certificate of incorporation provides that a public stockholder, together with any affiliate of such stockholder or any other person with whom such stockholder is acting in concert or as a “group” (as defined under Section 13 of the Exchange Act), will be restricted from seeking redemption rights with respect to more than an aggregate of 20% of the shares sold in this offering without our prior consent, which we refer to as the “Excess Shares.” However, we would not be restricting our stockholders’ ability to vote all of their shares (including Excess Shares) for or against our initial business combination. Your inability to redeem the Excess Shares will reduce your influence over our ability to complete our initial business combination and you could suffer a material loss on your investment in us if you sell Excess Shares in open market transactions. Additionally, you will not receive redemption distributions with respect to the Excess Shares if we complete our initial business combination. And as a result, you will continue to hold that number of shares exceeding 20% and, in order to dispose of such shares, would be required to sell your shares in open market transactions, potentially at a loss.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179" w:right="1440" w:bottom="1440" w:gutter="0" w:footer="0" w:header="0"/>
        </w:sectPr>
      </w:pPr>
    </w:p>
    <w:bookmarkStart w:id="34" w:name="page35"/>
    <w:bookmarkEnd w:id="34"/>
    <w:p>
      <w:pPr>
        <w:ind w:left="460" w:right="719"/>
        <w:spacing w:after="0" w:line="244" w:lineRule="auto"/>
        <w:rPr>
          <w:sz w:val="20"/>
          <w:szCs w:val="20"/>
          <w:color w:val="auto"/>
        </w:rPr>
      </w:pPr>
      <w:r>
        <w:rPr>
          <w:rFonts w:ascii="Arial" w:cs="Arial" w:eastAsia="Arial" w:hAnsi="Arial"/>
          <w:sz w:val="18"/>
          <w:szCs w:val="18"/>
          <w:b w:val="1"/>
          <w:bCs w:val="1"/>
          <w:color w:val="auto"/>
        </w:rPr>
        <w:t>Because of our limited resources and the significant competition for business combination opportunities, it may be more difficult for us to complete our initial business combination. If we are unable to complete our initial business combination within the required time period, our public stockholders may receive only their pro rata portion of the funds in the trust account that are available for distribution to public stockholders.</w:t>
      </w:r>
    </w:p>
    <w:p>
      <w:pPr>
        <w:spacing w:after="0" w:line="90" w:lineRule="exact"/>
        <w:rPr>
          <w:sz w:val="20"/>
          <w:szCs w:val="20"/>
          <w:color w:val="auto"/>
        </w:rPr>
      </w:pPr>
    </w:p>
    <w:p>
      <w:pPr>
        <w:ind w:left="460" w:right="499"/>
        <w:spacing w:after="0" w:line="235" w:lineRule="auto"/>
        <w:rPr>
          <w:sz w:val="20"/>
          <w:szCs w:val="20"/>
          <w:color w:val="auto"/>
        </w:rPr>
      </w:pPr>
      <w:r>
        <w:rPr>
          <w:rFonts w:ascii="Arial" w:cs="Arial" w:eastAsia="Arial" w:hAnsi="Arial"/>
          <w:sz w:val="18"/>
          <w:szCs w:val="18"/>
          <w:color w:val="auto"/>
        </w:rPr>
        <w:t>We expect to encounter competition from other entities having a business objective similar to ours, including private investors (which may be individuals or investment partnerships), other blank check companies and other entities, domestic and international, competing for the types of businesses we intend to acquire. Many of these individuals and entities are well-established and have extensive experience in identifying and effecting, directly or indirectly, acquisitions of companies operating in or providing services to various industries. Many of these competitors possess similar or greater technical, human and other resources to ours or more local industry knowledge than we do and our financial resources will be relatively limited when contrasted with those of many of these competitors. While we believe there are numerous target businesses we could potentially acquire with the net proceeds of this offering and the sale of the private placement shares, our ability to compete with respect to the acquisition of certain target businesses that are sizable will be limited by our available financial resources. This inherent competitive limitation gives others an advantage in pursuing the acquisition of certain target businesses. Furthermore, we are obligated to offer holders of our public shares the right to redeem their shares for cash at the time of our initial business combination in conjunction with a stockholder vote or via a tender offer. Target companies will be aware that this may reduce the resources available to us for our initial business combination. Any of these obligations may place us at a competitive disadvantage in successfully negotiating a business combination. If we are unable to complete our initial business combination within the required time period, our public stockholders may receive only their pro rata portion of the funds in the trust account that are available for distribution to public stockholders.</w:t>
      </w:r>
    </w:p>
    <w:p>
      <w:pPr>
        <w:spacing w:after="0" w:line="191" w:lineRule="exact"/>
        <w:rPr>
          <w:sz w:val="20"/>
          <w:szCs w:val="20"/>
          <w:color w:val="auto"/>
        </w:rPr>
      </w:pPr>
    </w:p>
    <w:p>
      <w:pPr>
        <w:ind w:left="460" w:right="599"/>
        <w:spacing w:after="0" w:line="244" w:lineRule="auto"/>
        <w:rPr>
          <w:sz w:val="20"/>
          <w:szCs w:val="20"/>
          <w:color w:val="auto"/>
        </w:rPr>
      </w:pPr>
      <w:r>
        <w:rPr>
          <w:rFonts w:ascii="Arial" w:cs="Arial" w:eastAsia="Arial" w:hAnsi="Arial"/>
          <w:sz w:val="18"/>
          <w:szCs w:val="18"/>
          <w:b w:val="1"/>
          <w:bCs w:val="1"/>
          <w:color w:val="auto"/>
        </w:rPr>
        <w:t>If the net proceeds of this offering not being held in the trust account are insufficient to allow us to operate for at least the 24 months following the closing of the offering, it could limit the amount available to fund our search for a target business or businesses and complete our initial business combination, and we will depend on loans from our sponsor or management team to fund our search and to complete our initial business combination.</w:t>
      </w:r>
    </w:p>
    <w:p>
      <w:pPr>
        <w:spacing w:after="0" w:line="90" w:lineRule="exact"/>
        <w:rPr>
          <w:sz w:val="20"/>
          <w:szCs w:val="20"/>
          <w:color w:val="auto"/>
        </w:rPr>
      </w:pPr>
    </w:p>
    <w:p>
      <w:pPr>
        <w:ind w:left="460" w:right="539"/>
        <w:spacing w:after="0" w:line="235" w:lineRule="auto"/>
        <w:rPr>
          <w:sz w:val="20"/>
          <w:szCs w:val="20"/>
          <w:color w:val="auto"/>
        </w:rPr>
      </w:pPr>
      <w:r>
        <w:rPr>
          <w:rFonts w:ascii="Arial" w:cs="Arial" w:eastAsia="Arial" w:hAnsi="Arial"/>
          <w:sz w:val="18"/>
          <w:szCs w:val="18"/>
          <w:color w:val="auto"/>
        </w:rPr>
        <w:t>Of the net proceeds of this offering, only $1,000,000 will be available to us initially outside the trust account to fund our working capital requirements. We believe that, upon closing of this offering, the funds available to us outside of the trust account will be sufficient to allow us to operate for at least the 24 months following such closing; however, we cannot assure you that our estimate is accurate. Of the funds available to us, we could use a portion of the funds available to us to pay fees to consultants to assist us with our search for a target business. We could also use a portion of the funds as a down payment or to fund a “no-shop” provision (a provision in letters of intent or merger agreements designed to keep target businesses from “shopping” around for transactions with other companies or investors on terms more favorable to such target businesses) with respect to a particular proposed business combination, although we do not have any current intention to do so. If we entered into a letter of intent or merger agreement where we paid for the right to receive exclusivity from a target business and were subsequently required to forfeit such funds (whether as a result of our breach or otherwise), we might not have sufficient funds to continue searching for, or conduct due diligence with respect to, a target business.</w:t>
      </w:r>
    </w:p>
    <w:p>
      <w:pPr>
        <w:spacing w:after="0" w:line="146" w:lineRule="exact"/>
        <w:rPr>
          <w:sz w:val="20"/>
          <w:szCs w:val="20"/>
          <w:color w:val="auto"/>
        </w:rPr>
      </w:pPr>
    </w:p>
    <w:p>
      <w:pPr>
        <w:ind w:left="460" w:right="499"/>
        <w:spacing w:after="0" w:line="235" w:lineRule="auto"/>
        <w:rPr>
          <w:sz w:val="20"/>
          <w:szCs w:val="20"/>
          <w:color w:val="auto"/>
        </w:rPr>
      </w:pPr>
      <w:r>
        <w:rPr>
          <w:rFonts w:ascii="Arial" w:cs="Arial" w:eastAsia="Arial" w:hAnsi="Arial"/>
          <w:sz w:val="18"/>
          <w:szCs w:val="18"/>
          <w:color w:val="auto"/>
        </w:rPr>
        <w:t>In the event that our offering expenses exceed our estimate of $1,000,000, we may fund such excess with funds not to be held in the trust account. In such case, the amount of funds we intend to be held outside the trust account would decrease by a corresponding amount. Conversely, in the event that the offering expenses are less than our estimate of $1,000,000, the amount of funds we intend to be held outside the trust account would increase by a corresponding amount. The amount held in the trust account will not be impacted as a result of such increase or decrease. If we are required to seek additional capital, we would need to borrow funds from our sponsor, management team or other third parties to operate or may be forced to liquidate. Neither our sponsor, members of our management team nor any of their affiliates is under any obligation to advance funds to us in such circumstances. Any such advances would be repaid only from funds held outside the trust account or from funds released to us upon completion of our initial business combination. Up to $1,500,000 of such loans may be convertible into private placement shares of the post-business combination entity at a price of $10.00 per share at the option of the lender. Prior to the completion of our initial business combination, we do not expect to seek loans from parties other than our sponsor or an affiliate of our sponsor as we do not believe third parties will be willing to</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5" w:name="page36"/>
    <w:bookmarkEnd w:id="35"/>
    <w:p>
      <w:pPr>
        <w:ind w:left="460" w:right="559"/>
        <w:spacing w:after="0" w:line="238" w:lineRule="auto"/>
        <w:rPr>
          <w:sz w:val="20"/>
          <w:szCs w:val="20"/>
          <w:color w:val="auto"/>
        </w:rPr>
      </w:pPr>
      <w:r>
        <w:rPr>
          <w:rFonts w:ascii="Arial" w:cs="Arial" w:eastAsia="Arial" w:hAnsi="Arial"/>
          <w:sz w:val="18"/>
          <w:szCs w:val="18"/>
          <w:color w:val="auto"/>
        </w:rPr>
        <w:t>loan such funds and provide a waiver against any and all rights to seek access to funds in our trust account. If we are unable to complete our initial business combination within the required time period because we do not have sufficient funds available to us, we will be forced to cease operations and liquidate the trust account. Consequently, our public stockholders may only receive an estimated $10.00 per public share, or possibly less, on our redemption of our public shares.</w:t>
      </w:r>
    </w:p>
    <w:p>
      <w:pPr>
        <w:spacing w:after="0" w:line="180" w:lineRule="exact"/>
        <w:rPr>
          <w:sz w:val="20"/>
          <w:szCs w:val="20"/>
          <w:color w:val="auto"/>
        </w:rPr>
      </w:pPr>
    </w:p>
    <w:p>
      <w:pPr>
        <w:ind w:left="460" w:right="499"/>
        <w:spacing w:after="0" w:line="247" w:lineRule="auto"/>
        <w:rPr>
          <w:sz w:val="20"/>
          <w:szCs w:val="20"/>
          <w:color w:val="auto"/>
        </w:rPr>
      </w:pPr>
      <w:r>
        <w:rPr>
          <w:rFonts w:ascii="Arial" w:cs="Arial" w:eastAsia="Arial" w:hAnsi="Arial"/>
          <w:sz w:val="18"/>
          <w:szCs w:val="18"/>
          <w:b w:val="1"/>
          <w:bCs w:val="1"/>
          <w:color w:val="auto"/>
        </w:rPr>
        <w:t>Subsequent to our completion of our initial business combination, we may be required to take write-downs or write-offs, restructuring and impairment or other charges that could have a significant negative effect on our financial condition, results of operations and the price of our securities, which could cause you to lose some or all of your investment.</w:t>
      </w:r>
    </w:p>
    <w:p>
      <w:pPr>
        <w:spacing w:after="0" w:line="101"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Even if we conduct extensive due diligence on a target business with which we combine, we cannot assure you that this diligence will identify all material issues that may be present with a particular target business, that it would be possible to uncover all material issues through a customary amount of due diligence, or that factors outside of the target business and outside of our control will not later arise. As a result of these factors, we may be forced to later write-down or write-off assets, restructure our operations, or incur impairment or other charges that could result in our reporting losses. Even if our due diligence successfully identifies certain risks,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us or our securities. In addition, charges of this nature may cause us to violate net worth or other covenants to which we may be subject as a result of assuming pre-existing debt held by a target business or by virtue of our obtaining debt financing to partially finance the initial business combination or thereafter. Accordingly, any stockholders who choose to remain stockholders following the business combination could suffer a reduction in the value of their shares. Such stockholders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materials or tender offer documents, as applicable, relating to the business combination contained an actionable material misstatement or material omission.</w:t>
      </w:r>
    </w:p>
    <w:p>
      <w:pPr>
        <w:spacing w:after="0" w:line="191" w:lineRule="exact"/>
        <w:rPr>
          <w:sz w:val="20"/>
          <w:szCs w:val="20"/>
          <w:color w:val="auto"/>
        </w:rPr>
      </w:pPr>
    </w:p>
    <w:p>
      <w:pPr>
        <w:ind w:left="460" w:right="859"/>
        <w:spacing w:after="0" w:line="253" w:lineRule="auto"/>
        <w:rPr>
          <w:sz w:val="20"/>
          <w:szCs w:val="20"/>
          <w:color w:val="auto"/>
        </w:rPr>
      </w:pPr>
      <w:r>
        <w:rPr>
          <w:rFonts w:ascii="Arial" w:cs="Arial" w:eastAsia="Arial" w:hAnsi="Arial"/>
          <w:sz w:val="18"/>
          <w:szCs w:val="18"/>
          <w:b w:val="1"/>
          <w:bCs w:val="1"/>
          <w:color w:val="auto"/>
        </w:rPr>
        <w:t>If third parties bring claims against us, the proceeds held in the trust account could be reduced and the per-share redemption amount received by stockholders may be less than $10.00 per public share.</w:t>
      </w:r>
    </w:p>
    <w:p>
      <w:pPr>
        <w:spacing w:after="0" w:line="96"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Our placing of funds in the trust account may not protect those funds from third party claims against us. Although we will seek to have all vendors, service providers, prospective target businesses and other entities (except for our independent registered public accounting firm) with which we do business execute agreements with us waiving any right, title, interest or claim of any kind in or to any monies held in the trust account for the benefit of our public stockholders, such parties may not execute such agreements, or even if they execute such agreements they may not be prevented from bringing claims against the trust account, including, but not limited to, fraudulent inducement, breach of fiduciary responsibility or other similar claims, as well as claims challenging the enforceability of the waiver, in each case in order to gain advantage with respect to a claim against our assets, including the funds held in the trust account. If any third party refuses to execute an agreement waiving such claims to the monies held in the trust account, our management will consider whether competitive alternatives are reasonably available to us and will only enter into an agreement with such third party if management believes that such third party’s engagement would be in the best interests of the company under the circumstances. The underwriters of this offering as well as our registered independent public accounting firm will not execute agreements with us waiving such claims to the monies held in the trust account.</w:t>
      </w:r>
    </w:p>
    <w:p>
      <w:pPr>
        <w:spacing w:after="0" w:line="132"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Examples of possible instances where we may engage a third party that refuses to execute a waiver include the engagement of a third party consultant whose particular expertise or skills are believed by management to be significantly superior to those of other consultants that would agree to execute a waiver or in cases where management is unable to find a service provider willing to execute a waiver. In addition, there is no guarantee that such entities will agree to waive any claims they may have in the future as a result of, or arising out of, any negotiations, contracts or agreements with us and will not seek recourse against the trust account for any reason. Upon redemption of our public shares, if we are unable to complete our initial business combination within the required time period, or upon the exercise of a redemption right in connection with our initial business combination, we will be required to provide for payment of claims of creditors that were not waived that may be brought against us within the 10 years following redemption. Accordingly, the per-share redemption amount received by public</w:t>
      </w:r>
    </w:p>
    <w:p>
      <w:pPr>
        <w:sectPr>
          <w:pgSz w:w="11900" w:h="16838" w:orient="portrait"/>
          <w:cols w:equalWidth="0" w:num="1">
            <w:col w:w="9019"/>
          </w:cols>
          <w:pgMar w:left="1440" w:top="287" w:right="1440" w:bottom="1440" w:gutter="0" w:footer="0" w:header="0"/>
        </w:sectPr>
      </w:pP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36" w:name="page37"/>
    <w:bookmarkEnd w:id="36"/>
    <w:p>
      <w:pPr>
        <w:ind w:left="460" w:right="479"/>
        <w:spacing w:after="0" w:line="235" w:lineRule="auto"/>
        <w:rPr>
          <w:sz w:val="20"/>
          <w:szCs w:val="20"/>
          <w:color w:val="auto"/>
        </w:rPr>
      </w:pPr>
      <w:r>
        <w:rPr>
          <w:rFonts w:ascii="Arial" w:cs="Arial" w:eastAsia="Arial" w:hAnsi="Arial"/>
          <w:sz w:val="18"/>
          <w:szCs w:val="18"/>
          <w:color w:val="auto"/>
        </w:rPr>
        <w:t>stockholders could be less than the $10.00 per public share initially held in the trust account, due to claims of such creditors. Pursuant to the letter agreement the form of which is filed as an exhibit to the registration statement of which this prospectus forms a part, our sponsor has agreed that it will be liable to us if and to the extent any claims by a third party for services rendered or products sold to us, or a prospective target business with which we have entered into a written letter of intent, confidentiality or other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our indemnity of the underwriters of this offering against certain liabilities, including liabilities under the Securities Act. However, we have not asked our sponsor to reserve for such indemnification obligations, nor have we independently verified whether our sponsor has sufficient funds to satisfy its indemnity obligations and we believe that our sponsor’s only assets are securities of our company. Therefore, we cannot assure you that our sponsor would be able to satisfy those obligations. As a result, if any such claims were successfully made against the trust account, the funds available for our initial business combination and redemptions could be reduced to less than $10.00 per public share. In such event, we may not be able to complete our initial business combination, and you would receive such lesser amount per share in connection with any redemption of your public shares. None of our officers or directors will indemnify us for claims by third parties including, without limitation, claims by vendors and prospective target businesses.</w:t>
      </w:r>
    </w:p>
    <w:p>
      <w:pPr>
        <w:spacing w:after="0" w:line="190" w:lineRule="exact"/>
        <w:rPr>
          <w:sz w:val="20"/>
          <w:szCs w:val="20"/>
          <w:color w:val="auto"/>
        </w:rPr>
      </w:pPr>
    </w:p>
    <w:p>
      <w:pPr>
        <w:ind w:left="460" w:right="499"/>
        <w:spacing w:after="0" w:line="253" w:lineRule="auto"/>
        <w:rPr>
          <w:sz w:val="20"/>
          <w:szCs w:val="20"/>
          <w:color w:val="auto"/>
        </w:rPr>
      </w:pPr>
      <w:r>
        <w:rPr>
          <w:rFonts w:ascii="Arial" w:cs="Arial" w:eastAsia="Arial" w:hAnsi="Arial"/>
          <w:sz w:val="18"/>
          <w:szCs w:val="18"/>
          <w:b w:val="1"/>
          <w:bCs w:val="1"/>
          <w:color w:val="auto"/>
        </w:rPr>
        <w:t>Our directors may decide not to enforce the indemnification obligations of our sponsor, resulting in a reduction in the amount of funds in the trust account available for distribution to our public stockholders.</w:t>
      </w:r>
    </w:p>
    <w:p>
      <w:pPr>
        <w:spacing w:after="0" w:line="110"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In the event that the proceeds in the trust account are reduced below the lesser of (i) $10.00 per share and (ii) the actual amount per public share held in the trust account as of the date of the liquidation of the trust account if less than $10.00 per public share due to reductions in the value of the trust assets, in each case less taxes payable, and our sponsor asserts that it is unable to satisfy its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and subject to their fiduciary duties may choose not to do so in any particular instance. If our independent directors choose not to enforce these indemnification obligations, the amount of funds in the trust account available for distribution to our public stockholders may be reduced below $10.00 per public share.</w:t>
      </w:r>
    </w:p>
    <w:p>
      <w:pPr>
        <w:spacing w:after="0" w:line="182" w:lineRule="exact"/>
        <w:rPr>
          <w:sz w:val="20"/>
          <w:szCs w:val="20"/>
          <w:color w:val="auto"/>
        </w:rPr>
      </w:pPr>
    </w:p>
    <w:p>
      <w:pPr>
        <w:ind w:left="460" w:right="1259"/>
        <w:spacing w:after="0" w:line="271" w:lineRule="auto"/>
        <w:rPr>
          <w:sz w:val="20"/>
          <w:szCs w:val="20"/>
          <w:color w:val="auto"/>
        </w:rPr>
      </w:pPr>
      <w:r>
        <w:rPr>
          <w:rFonts w:ascii="Arial" w:cs="Arial" w:eastAsia="Arial" w:hAnsi="Arial"/>
          <w:sz w:val="18"/>
          <w:szCs w:val="18"/>
          <w:b w:val="1"/>
          <w:bCs w:val="1"/>
          <w:color w:val="auto"/>
        </w:rPr>
        <w:t>We may not have sufficient funds to satisfy indemnification claims of our officers and directors.</w:t>
      </w:r>
    </w:p>
    <w:p>
      <w:pPr>
        <w:spacing w:after="0" w:line="81" w:lineRule="exact"/>
        <w:rPr>
          <w:sz w:val="20"/>
          <w:szCs w:val="20"/>
          <w:color w:val="auto"/>
        </w:rPr>
      </w:pPr>
    </w:p>
    <w:p>
      <w:pPr>
        <w:ind w:left="460" w:right="559"/>
        <w:spacing w:after="0" w:line="248" w:lineRule="auto"/>
        <w:rPr>
          <w:sz w:val="20"/>
          <w:szCs w:val="20"/>
          <w:color w:val="auto"/>
        </w:rPr>
      </w:pPr>
      <w:r>
        <w:rPr>
          <w:rFonts w:ascii="Arial" w:cs="Arial" w:eastAsia="Arial" w:hAnsi="Arial"/>
          <w:sz w:val="17"/>
          <w:szCs w:val="17"/>
          <w:color w:val="auto"/>
        </w:rPr>
        <w:t>We have agreed to indemnify our officers and directors to the fullest extent permitted by law. However, our officers and directors have agreed to waive any right, title, interest or claim of any kind in or to any monies in the trust account and to not seek recourse against the trust account for any reason whatsoever. Accordingly, any indemnification provided will be able to be satisfied by us only if</w:t>
      </w:r>
    </w:p>
    <w:p>
      <w:pPr>
        <w:spacing w:after="0" w:line="2" w:lineRule="exact"/>
        <w:rPr>
          <w:sz w:val="20"/>
          <w:szCs w:val="20"/>
          <w:color w:val="auto"/>
        </w:rPr>
      </w:pPr>
    </w:p>
    <w:p>
      <w:pPr>
        <w:ind w:left="460" w:right="539" w:hanging="6"/>
        <w:spacing w:after="0" w:line="236" w:lineRule="auto"/>
        <w:tabs>
          <w:tab w:leader="none" w:pos="67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have sufficient funds outside of the trust account or (ii) we consummate an initial business combination. Our obligation to indemnify our officers and directors may discourage stockholders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stockholders. Furthermore, a stockholder’s investment may be adversely affected to the extent we pay the costs of settlement and damage awards against our officers and directors pursuant to these indemnification provisions.</w:t>
      </w:r>
    </w:p>
    <w:p>
      <w:pPr>
        <w:spacing w:after="0" w:line="186" w:lineRule="exact"/>
        <w:rPr>
          <w:sz w:val="20"/>
          <w:szCs w:val="20"/>
          <w:color w:val="auto"/>
        </w:rPr>
      </w:pPr>
    </w:p>
    <w:p>
      <w:pPr>
        <w:ind w:left="460" w:right="719"/>
        <w:spacing w:after="0" w:line="242" w:lineRule="auto"/>
        <w:rPr>
          <w:sz w:val="20"/>
          <w:szCs w:val="20"/>
          <w:color w:val="auto"/>
        </w:rPr>
      </w:pPr>
      <w:r>
        <w:rPr>
          <w:rFonts w:ascii="Arial" w:cs="Arial" w:eastAsia="Arial" w:hAnsi="Arial"/>
          <w:sz w:val="18"/>
          <w:szCs w:val="18"/>
          <w:b w:val="1"/>
          <w:bCs w:val="1"/>
          <w:color w:val="auto"/>
        </w:rPr>
        <w:t>If, after we distribute the proceeds in the trust account to our public stockholders, we file a bankruptcy petition or an involuntary bankruptcy petition is filed against us that is not dismissed, a bankruptcy court may seek to recover such proceeds, and the members of our board of directors may be viewed as having breached their fiduciary duties to our creditors, thereby exposing the members of our board of directors and us to claims of punitive damages.</w:t>
      </w:r>
    </w:p>
    <w:p>
      <w:pPr>
        <w:spacing w:after="0" w:line="106" w:lineRule="exact"/>
        <w:rPr>
          <w:sz w:val="20"/>
          <w:szCs w:val="20"/>
          <w:color w:val="auto"/>
        </w:rPr>
      </w:pPr>
    </w:p>
    <w:p>
      <w:pPr>
        <w:jc w:val="both"/>
        <w:ind w:left="460" w:right="499"/>
        <w:spacing w:after="0"/>
        <w:rPr>
          <w:sz w:val="20"/>
          <w:szCs w:val="20"/>
          <w:color w:val="auto"/>
        </w:rPr>
      </w:pPr>
      <w:r>
        <w:rPr>
          <w:rFonts w:ascii="Arial" w:cs="Arial" w:eastAsia="Arial" w:hAnsi="Arial"/>
          <w:sz w:val="18"/>
          <w:szCs w:val="18"/>
          <w:color w:val="auto"/>
        </w:rPr>
        <w:t>If, after we distribute the proceeds in the trust account to our public stockholders, we file a bankruptcy petition or an involuntary bankruptcy petition is filed against us that is not dismissed, any distributions received by stockholders</w:t>
      </w:r>
    </w:p>
    <w:p>
      <w:pPr>
        <w:sectPr>
          <w:pgSz w:w="11900" w:h="16838" w:orient="portrait"/>
          <w:cols w:equalWidth="0" w:num="1">
            <w:col w:w="9019"/>
          </w:cols>
          <w:pgMar w:left="1440" w:top="260" w:right="1440"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0" w:right="1440" w:bottom="1440" w:gutter="0" w:footer="0" w:header="0"/>
          <w:type w:val="continuous"/>
        </w:sectPr>
      </w:pPr>
    </w:p>
    <w:bookmarkStart w:id="37" w:name="page38"/>
    <w:bookmarkEnd w:id="37"/>
    <w:p>
      <w:pPr>
        <w:ind w:left="460" w:right="499"/>
        <w:spacing w:after="0" w:line="237" w:lineRule="auto"/>
        <w:rPr>
          <w:sz w:val="20"/>
          <w:szCs w:val="20"/>
          <w:color w:val="auto"/>
        </w:rPr>
      </w:pPr>
      <w:r>
        <w:rPr>
          <w:rFonts w:ascii="Arial" w:cs="Arial" w:eastAsia="Arial" w:hAnsi="Arial"/>
          <w:sz w:val="18"/>
          <w:szCs w:val="18"/>
          <w:color w:val="auto"/>
        </w:rPr>
        <w:t>could be viewed under applicable debtor/creditor and/or bankruptcy laws as either a “preferential transfer” or a “fraudulent conveyance.” As a result, a bankruptcy court could seek to recover some or all amounts received by our stockholders. In addition, our board of directors may be viewed as having breached its fiduciary duty to our creditors and/or having acted in bad faith, by paying public stockholders from the trust account prior to addressing the claims of creditors, thereby exposing itself and us to claims of punitive damages.</w:t>
      </w:r>
    </w:p>
    <w:p>
      <w:pPr>
        <w:spacing w:after="0" w:line="183" w:lineRule="exact"/>
        <w:rPr>
          <w:sz w:val="20"/>
          <w:szCs w:val="20"/>
          <w:color w:val="auto"/>
        </w:rPr>
      </w:pPr>
    </w:p>
    <w:p>
      <w:pPr>
        <w:ind w:left="460" w:right="499"/>
        <w:spacing w:after="0" w:line="244" w:lineRule="auto"/>
        <w:rPr>
          <w:sz w:val="20"/>
          <w:szCs w:val="20"/>
          <w:color w:val="auto"/>
        </w:rPr>
      </w:pPr>
      <w:r>
        <w:rPr>
          <w:rFonts w:ascii="Arial" w:cs="Arial" w:eastAsia="Arial" w:hAnsi="Arial"/>
          <w:sz w:val="18"/>
          <w:szCs w:val="18"/>
          <w:b w:val="1"/>
          <w:bCs w:val="1"/>
          <w:color w:val="auto"/>
        </w:rPr>
        <w:t>If, before distributing the proceeds in the trust account to our public stockholders, we file a bankruptcy petition or an involuntary bankruptcy petition is filed against us that is not dismissed, the claims of creditors in such proceeding may have priority over the claims of our stockholders and the per-share amount that would otherwise be received by our stockholders in connection with our liquidation may be reduced.</w:t>
      </w:r>
    </w:p>
    <w:p>
      <w:pPr>
        <w:spacing w:after="0" w:line="131" w:lineRule="exact"/>
        <w:rPr>
          <w:sz w:val="20"/>
          <w:szCs w:val="20"/>
          <w:color w:val="auto"/>
        </w:rPr>
      </w:pPr>
    </w:p>
    <w:p>
      <w:pPr>
        <w:ind w:left="460" w:right="499"/>
        <w:spacing w:after="0" w:line="237" w:lineRule="auto"/>
        <w:rPr>
          <w:sz w:val="20"/>
          <w:szCs w:val="20"/>
          <w:color w:val="auto"/>
        </w:rPr>
      </w:pPr>
      <w:r>
        <w:rPr>
          <w:rFonts w:ascii="Arial" w:cs="Arial" w:eastAsia="Arial" w:hAnsi="Arial"/>
          <w:sz w:val="18"/>
          <w:szCs w:val="18"/>
          <w:color w:val="auto"/>
        </w:rPr>
        <w:t>If, before distributing the proceeds in the trust account to our public stockholders,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the per-share amount that would otherwise be received by our stockholders in connection with our liquidation may be reduced.</w:t>
      </w:r>
    </w:p>
    <w:p>
      <w:pPr>
        <w:spacing w:after="0" w:line="181" w:lineRule="exact"/>
        <w:rPr>
          <w:sz w:val="20"/>
          <w:szCs w:val="20"/>
          <w:color w:val="auto"/>
        </w:rPr>
      </w:pPr>
    </w:p>
    <w:p>
      <w:pPr>
        <w:ind w:left="460" w:right="699"/>
        <w:spacing w:after="0" w:line="275" w:lineRule="auto"/>
        <w:rPr>
          <w:sz w:val="20"/>
          <w:szCs w:val="20"/>
          <w:color w:val="auto"/>
        </w:rPr>
      </w:pPr>
      <w:r>
        <w:rPr>
          <w:rFonts w:ascii="Arial" w:cs="Arial" w:eastAsia="Arial" w:hAnsi="Arial"/>
          <w:sz w:val="17"/>
          <w:szCs w:val="17"/>
          <w:b w:val="1"/>
          <w:bCs w:val="1"/>
          <w:color w:val="auto"/>
        </w:rPr>
        <w:t>If we are deemed to be an investment company under the Investment Company Act, we may be required to institute burdensome compliance requirements and our activities may be restricted, which may make it difficult for us to complete our initial business combination.</w:t>
      </w:r>
    </w:p>
    <w:p>
      <w:pPr>
        <w:spacing w:after="0" w:line="106" w:lineRule="exact"/>
        <w:rPr>
          <w:sz w:val="20"/>
          <w:szCs w:val="20"/>
          <w:color w:val="auto"/>
        </w:rPr>
      </w:pPr>
    </w:p>
    <w:p>
      <w:pPr>
        <w:ind w:left="460" w:right="799"/>
        <w:spacing w:after="0" w:line="246" w:lineRule="auto"/>
        <w:rPr>
          <w:sz w:val="20"/>
          <w:szCs w:val="20"/>
          <w:color w:val="auto"/>
        </w:rPr>
      </w:pPr>
      <w:r>
        <w:rPr>
          <w:rFonts w:ascii="Arial" w:cs="Arial" w:eastAsia="Arial" w:hAnsi="Arial"/>
          <w:sz w:val="18"/>
          <w:szCs w:val="18"/>
          <w:color w:val="auto"/>
        </w:rPr>
        <w:t>If we are deemed to be an investment company under the Investment Company Act, our activities may be restricted, including:</w:t>
      </w:r>
    </w:p>
    <w:p>
      <w:pPr>
        <w:spacing w:after="0" w:line="8" w:lineRule="exact"/>
        <w:rPr>
          <w:sz w:val="20"/>
          <w:szCs w:val="20"/>
          <w:color w:val="auto"/>
        </w:rPr>
      </w:pPr>
    </w:p>
    <w:p>
      <w:pPr>
        <w:ind w:left="1040" w:hanging="262"/>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restrictions on the nature of our investments; and</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restrictions on the issuance of securities,</w:t>
      </w:r>
    </w:p>
    <w:p>
      <w:pPr>
        <w:spacing w:after="0" w:line="144" w:lineRule="exact"/>
        <w:rPr>
          <w:sz w:val="20"/>
          <w:szCs w:val="20"/>
          <w:color w:val="auto"/>
        </w:rPr>
      </w:pPr>
    </w:p>
    <w:p>
      <w:pPr>
        <w:ind w:left="460" w:right="539"/>
        <w:spacing w:after="0" w:line="246" w:lineRule="auto"/>
        <w:rPr>
          <w:sz w:val="20"/>
          <w:szCs w:val="20"/>
          <w:color w:val="auto"/>
        </w:rPr>
      </w:pPr>
      <w:r>
        <w:rPr>
          <w:rFonts w:ascii="Arial" w:cs="Arial" w:eastAsia="Arial" w:hAnsi="Arial"/>
          <w:sz w:val="18"/>
          <w:szCs w:val="18"/>
          <w:color w:val="auto"/>
        </w:rPr>
        <w:t>each of which may make it difficult for us to complete our initial business combination. In addition, we may have imposed upon us burdensome requirements, including:</w:t>
      </w:r>
    </w:p>
    <w:p>
      <w:pPr>
        <w:spacing w:after="0" w:line="8" w:lineRule="exact"/>
        <w:rPr>
          <w:sz w:val="20"/>
          <w:szCs w:val="20"/>
          <w:color w:val="auto"/>
        </w:rPr>
      </w:pPr>
    </w:p>
    <w:p>
      <w:pPr>
        <w:ind w:left="1040" w:hanging="262"/>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registration as an investment company with the SEC;</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adoption of a specific form of corporate structure; and</w:t>
      </w:r>
    </w:p>
    <w:p>
      <w:pPr>
        <w:spacing w:after="0" w:line="36" w:lineRule="exact"/>
        <w:rPr>
          <w:rFonts w:ascii="Arial" w:cs="Arial" w:eastAsia="Arial" w:hAnsi="Arial"/>
          <w:sz w:val="18"/>
          <w:szCs w:val="18"/>
          <w:color w:val="auto"/>
        </w:rPr>
      </w:pPr>
    </w:p>
    <w:p>
      <w:pPr>
        <w:ind w:left="1100" w:right="939" w:hanging="322"/>
        <w:spacing w:after="0" w:line="246" w:lineRule="auto"/>
        <w:tabs>
          <w:tab w:leader="none" w:pos="1039"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reporting, record keeping, voting, proxy and disclosure requirements and other rules and regulations that we are not currently subject to.</w:t>
      </w:r>
    </w:p>
    <w:p>
      <w:pPr>
        <w:spacing w:after="0" w:line="116" w:lineRule="exact"/>
        <w:rPr>
          <w:sz w:val="20"/>
          <w:szCs w:val="20"/>
          <w:color w:val="auto"/>
        </w:rPr>
      </w:pPr>
    </w:p>
    <w:p>
      <w:pPr>
        <w:ind w:left="460" w:right="639"/>
        <w:spacing w:after="0" w:line="236" w:lineRule="auto"/>
        <w:rPr>
          <w:sz w:val="20"/>
          <w:szCs w:val="20"/>
          <w:color w:val="auto"/>
        </w:rPr>
      </w:pPr>
      <w:r>
        <w:rPr>
          <w:rFonts w:ascii="Arial" w:cs="Arial" w:eastAsia="Arial" w:hAnsi="Arial"/>
          <w:sz w:val="18"/>
          <w:szCs w:val="18"/>
          <w:color w:val="auto"/>
        </w:rPr>
        <w:t>In order not to be regulated as an investment company under the Investment Company Act, unless we can qualify for an exclusion, we must ensure that we are engaged primarily in a business other than investing, reinvesting or trading of securities and that our activities do not include investing, reinvesting, owning, holding or trading “investment securities” constituting more than 40% of our assets (exclusive of U.S. government securities and cash items) on an unconsolidated basis. Our business will be to identify and complete a business combination and thereafter to operate the post-transaction business or assets for the long term. We do not plan to buy businesses or assets with a view to resale or profit from their resale. We do not plan to buy unrelated businesses or assets or to be a passive investor.</w:t>
      </w:r>
    </w:p>
    <w:p>
      <w:pPr>
        <w:spacing w:after="0" w:line="139" w:lineRule="exact"/>
        <w:rPr>
          <w:sz w:val="20"/>
          <w:szCs w:val="20"/>
          <w:color w:val="auto"/>
        </w:rPr>
      </w:pPr>
    </w:p>
    <w:p>
      <w:pPr>
        <w:ind w:left="460" w:right="479"/>
        <w:spacing w:after="0" w:line="248" w:lineRule="auto"/>
        <w:rPr>
          <w:sz w:val="20"/>
          <w:szCs w:val="20"/>
          <w:color w:val="auto"/>
        </w:rPr>
      </w:pPr>
      <w:r>
        <w:rPr>
          <w:rFonts w:ascii="Arial" w:cs="Arial" w:eastAsia="Arial" w:hAnsi="Arial"/>
          <w:sz w:val="17"/>
          <w:szCs w:val="17"/>
          <w:color w:val="auto"/>
        </w:rPr>
        <w:t>We do not believe that our anticipated principal activities will subject us to the Investment Company Act. To this end, the proceeds held in the trust account may only be invested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Pursuant to the trust agreement, the trustee is not permitted to invest in other securities or assets. By restricting the investment of the proceeds to these instruments, and by having a business plan targeted at acquiring and growing businesses for the long term (rather than on buying and selling businesses in the manner of a merchant bank or private equity fund), we intend to avoid being deemed an “investment company” within the meaning of the Investment Company Act. This offering is not intended for persons who are seeking a return on investments in government securities or investment securities. The trust account is intended as a holding place for funds pending the earliest to occur of either: (i) the completion of our initial business combination;</w:t>
      </w:r>
    </w:p>
    <w:p>
      <w:pPr>
        <w:spacing w:after="0" w:line="7" w:lineRule="exact"/>
        <w:rPr>
          <w:sz w:val="20"/>
          <w:szCs w:val="20"/>
          <w:color w:val="auto"/>
        </w:rPr>
      </w:pPr>
    </w:p>
    <w:p>
      <w:pPr>
        <w:ind w:left="460" w:right="539" w:hanging="6"/>
        <w:spacing w:after="0"/>
        <w:tabs>
          <w:tab w:leader="none" w:pos="71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redemption of any public shares properly tendered in connection with a stockholder vote to amend our amended and restated certificate of incorporation to modify the substance or timing of our obligation to</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0" w:right="1440" w:bottom="1440" w:gutter="0" w:footer="0" w:header="0"/>
        </w:sectPr>
      </w:pPr>
    </w:p>
    <w:bookmarkStart w:id="38" w:name="page39"/>
    <w:bookmarkEnd w:id="38"/>
    <w:p>
      <w:pPr>
        <w:ind w:left="460" w:right="519"/>
        <w:spacing w:after="0" w:line="236" w:lineRule="auto"/>
        <w:rPr>
          <w:sz w:val="20"/>
          <w:szCs w:val="20"/>
          <w:color w:val="auto"/>
        </w:rPr>
      </w:pPr>
      <w:r>
        <w:rPr>
          <w:rFonts w:ascii="Arial" w:cs="Arial" w:eastAsia="Arial" w:hAnsi="Arial"/>
          <w:sz w:val="18"/>
          <w:szCs w:val="18"/>
          <w:color w:val="auto"/>
        </w:rPr>
        <w:t>redeem 100% of our public shares if we do not complete our initial business combination within 24 months from the closing of this offering; and (iii) absent an initial business combination within 24 months from the closing of this offering or with respect to any other material provisions relating to stockholders’ rights or pre-initial business combination activity, our return of the funds held in the trust account to our public stockholders as part of our redemption of the public shares. If we do not invest the proceeds as discussed above, we may be deemed to be subject to the Investment Company Act. If we were deemed to be subject to the Investment Company Act, compliance with these additional regulatory burdens would require additional expenses for which we have not allotted funds and may hinder our ability to complete a business combination. If we are unable to complete our initial business combination within the required time period, our public stockholders may only receive their pro rata portion of the funds in the trust account that are available for distribution to public stockholders.</w:t>
      </w:r>
    </w:p>
    <w:p>
      <w:pPr>
        <w:spacing w:after="0" w:line="182" w:lineRule="exact"/>
        <w:rPr>
          <w:sz w:val="20"/>
          <w:szCs w:val="20"/>
          <w:color w:val="auto"/>
        </w:rPr>
      </w:pPr>
    </w:p>
    <w:p>
      <w:pPr>
        <w:ind w:left="460" w:right="919"/>
        <w:spacing w:after="0" w:line="253" w:lineRule="auto"/>
        <w:rPr>
          <w:sz w:val="20"/>
          <w:szCs w:val="20"/>
          <w:color w:val="auto"/>
        </w:rPr>
      </w:pPr>
      <w:r>
        <w:rPr>
          <w:rFonts w:ascii="Arial" w:cs="Arial" w:eastAsia="Arial" w:hAnsi="Arial"/>
          <w:sz w:val="18"/>
          <w:szCs w:val="18"/>
          <w:b w:val="1"/>
          <w:bCs w:val="1"/>
          <w:color w:val="auto"/>
        </w:rPr>
        <w:t>Changes in laws or regulations, or a failure to comply with any laws and regulations, may adversely affect our business, including our ability to negotiate and complete our initial business combination, and results of operations.</w:t>
      </w:r>
    </w:p>
    <w:p>
      <w:pPr>
        <w:spacing w:after="0" w:line="110"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We are subject to laws and regulations enacted by national, regional and local governments. In particular, we will be required to comply with certain SEC and other legal requirements.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including our ability to negotiate and complete our initial business combination, and results of operations.</w:t>
      </w:r>
    </w:p>
    <w:p>
      <w:pPr>
        <w:spacing w:after="0" w:line="186" w:lineRule="exact"/>
        <w:rPr>
          <w:sz w:val="20"/>
          <w:szCs w:val="20"/>
          <w:color w:val="auto"/>
        </w:rPr>
      </w:pPr>
    </w:p>
    <w:p>
      <w:pPr>
        <w:ind w:left="460" w:right="939"/>
        <w:spacing w:after="0" w:line="271" w:lineRule="auto"/>
        <w:rPr>
          <w:sz w:val="20"/>
          <w:szCs w:val="20"/>
          <w:color w:val="auto"/>
        </w:rPr>
      </w:pPr>
      <w:r>
        <w:rPr>
          <w:rFonts w:ascii="Arial" w:cs="Arial" w:eastAsia="Arial" w:hAnsi="Arial"/>
          <w:sz w:val="18"/>
          <w:szCs w:val="18"/>
          <w:b w:val="1"/>
          <w:bCs w:val="1"/>
          <w:color w:val="auto"/>
        </w:rPr>
        <w:t>Our stockholders may be held liable for claims by third parties against us to the extent of distributions received by them upon redemption of their shares.</w:t>
      </w:r>
    </w:p>
    <w:p>
      <w:pPr>
        <w:spacing w:after="0" w:line="108" w:lineRule="exact"/>
        <w:rPr>
          <w:sz w:val="20"/>
          <w:szCs w:val="20"/>
          <w:color w:val="auto"/>
        </w:rPr>
      </w:pPr>
    </w:p>
    <w:p>
      <w:pPr>
        <w:ind w:left="460" w:right="479"/>
        <w:spacing w:after="0" w:line="234" w:lineRule="auto"/>
        <w:rPr>
          <w:sz w:val="20"/>
          <w:szCs w:val="20"/>
          <w:color w:val="auto"/>
        </w:rPr>
      </w:pPr>
      <w:r>
        <w:rPr>
          <w:rFonts w:ascii="Arial" w:cs="Arial" w:eastAsia="Arial" w:hAnsi="Arial"/>
          <w:sz w:val="18"/>
          <w:szCs w:val="18"/>
          <w:color w:val="auto"/>
        </w:rPr>
        <w:t>Under the DGCL, stockholders may be held liable for claims by third parties against a corporation to the extent of distributions received by them in a dissolution. The pro rata portion of our trust account distributed to our public stockholders upon the redemption of our public shares in the event we do not complete our initial business combination within 24 months from the closing of this offering may be considered a liquidating distribution under Delaware law. If a corporation complies with certain procedures set forth in Section 280 of the DGCL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liquidating distributions are made to stockholders, any liability of stockholders with respect to a liquidating distribution is limited to the lesser of such stockholder’s pro rata share of the claim or the amount distributed to the stockholder, and any liability of the stockholder would be barred after the third anniversary of the dissolution. However, it is our intention to redeem our public shares as soon as reasonably possible following the 24</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month from the closing of this offering in the event we do not complete our initial business combination and, therefore, we do not intend to comply with the foregoing procedures.</w:t>
      </w:r>
    </w:p>
    <w:p>
      <w:pPr>
        <w:spacing w:after="0" w:line="136"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Because we will not be complying with Section 280, Section 281(b) of the DGCL requires us to adopt a plan, based on facts known to us at such time that will provide for our payment of all existing and pending claims or claims that may be potentially brought against us within the 10 years following our dissolution. However, because we are a blank check company, rather than an operating company, and our operations will be limited to searching for prospective target businesses to acquire, the only likely claims to arise would be from our vendors (such as lawyers, investment bankers, etc.) or prospective target businesses. If our plan of distribution complies with Section 281(b) of the DGCL, any liability of stockholders with respect to a liquidating distribution is limited to the lesser of such stockholder’s pro rata share of the claim or the amount distributed to the stockholder, and any liability of the stockholder would likely be barred after the third anniversary of the dissolution. We cannot assure you that we will properly assess all claims that may be potentially brought against us. As such, our stockholders could potentially be liable for any claims to the extent of distributions received by them (but no more) and any liability of our stockholders may extend beyond the third anniversary of such date. Furthermore, if the pro rata portion of our trust account distributed to our public stockholders upon the redemption of our public shares in the event we do not complete our initial business combination within 24 months from the closing of this offering is not considered a liquidating distribution under Delaware law and such redemption distribution is deemed to be unlawful (potentially due to the imposition of legal</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39" w:name="page40"/>
    <w:bookmarkEnd w:id="39"/>
    <w:p>
      <w:pPr>
        <w:ind w:left="460" w:right="699"/>
        <w:spacing w:after="0" w:line="238" w:lineRule="auto"/>
        <w:rPr>
          <w:sz w:val="20"/>
          <w:szCs w:val="20"/>
          <w:color w:val="auto"/>
        </w:rPr>
      </w:pPr>
      <w:r>
        <w:rPr>
          <w:rFonts w:ascii="Arial" w:cs="Arial" w:eastAsia="Arial" w:hAnsi="Arial"/>
          <w:sz w:val="18"/>
          <w:szCs w:val="18"/>
          <w:color w:val="auto"/>
        </w:rPr>
        <w:t>proceedings that a party may bring or due to other circumstances that are currently unknown), then pursuant to Section 174 of the DGCL, the statute of limitations for claims of creditors could then be six years after the unlawful redemption distribution, instead of three years, as in the case of a liquidating distribution.</w:t>
      </w:r>
    </w:p>
    <w:p>
      <w:pPr>
        <w:spacing w:after="0" w:line="183" w:lineRule="exact"/>
        <w:rPr>
          <w:sz w:val="20"/>
          <w:szCs w:val="20"/>
          <w:color w:val="auto"/>
        </w:rPr>
      </w:pPr>
    </w:p>
    <w:p>
      <w:pPr>
        <w:ind w:left="460" w:right="519"/>
        <w:spacing w:after="0" w:line="253" w:lineRule="auto"/>
        <w:rPr>
          <w:sz w:val="20"/>
          <w:szCs w:val="20"/>
          <w:color w:val="auto"/>
        </w:rPr>
      </w:pPr>
      <w:r>
        <w:rPr>
          <w:rFonts w:ascii="Arial" w:cs="Arial" w:eastAsia="Arial" w:hAnsi="Arial"/>
          <w:sz w:val="18"/>
          <w:szCs w:val="18"/>
          <w:b w:val="1"/>
          <w:bCs w:val="1"/>
          <w:color w:val="auto"/>
        </w:rPr>
        <w:t>We may not hold an annual meeting of stockholders until after the consummation of our initial business combination, which could delay the opportunity for our stockholders to elect directors.</w:t>
      </w:r>
    </w:p>
    <w:p>
      <w:pPr>
        <w:spacing w:after="0" w:line="110"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In accordance with Nasdaq’s corporate governance requirements, we are not required to hold an annual meeting until no later than one year after our first fiscal year end following our listing on Nasdaq. Under Section 211(b) of the DGCL, we are, however, required to hold an annual meeting of stockholders for the purposes of electing directors in accordance with our bylaws unless such election is made by written consent in lieu of such a meeting. We may not hold an annual meeting of stockholders to elect new directors prior to the consummation of our initial business combination, and thus we may not be in compliance with Section 211(b) of the DGCL, which requires an annual meeting. Therefore, if our stockholders want us to hold an annual meeting prior to the consummation of our initial business combination, they may attempt to force us to hold one by submitting an application to the Delaware Court of Chancery in accordance with Section 211(c) of the DGCL.</w:t>
      </w:r>
    </w:p>
    <w:p>
      <w:pPr>
        <w:spacing w:after="0" w:line="76" w:lineRule="exact"/>
        <w:rPr>
          <w:sz w:val="20"/>
          <w:szCs w:val="20"/>
          <w:color w:val="auto"/>
        </w:rPr>
      </w:pPr>
    </w:p>
    <w:p>
      <w:pPr>
        <w:ind w:left="460" w:right="619"/>
        <w:spacing w:after="0" w:line="247" w:lineRule="auto"/>
        <w:rPr>
          <w:sz w:val="20"/>
          <w:szCs w:val="20"/>
          <w:color w:val="auto"/>
        </w:rPr>
      </w:pPr>
      <w:r>
        <w:rPr>
          <w:rFonts w:ascii="Arial" w:cs="Arial" w:eastAsia="Arial" w:hAnsi="Arial"/>
          <w:sz w:val="18"/>
          <w:szCs w:val="18"/>
          <w:b w:val="1"/>
          <w:bCs w:val="1"/>
          <w:color w:val="auto"/>
        </w:rPr>
        <w:t>The grant of registration rights to our initial stockholders and their permitted transferees and holders of our private placement shares and their permitted transferees may make it more difficult to complete our initial business combination, and the future exercise of such rights may adversely affect the market price of our shares of Class A common stock.</w:t>
      </w:r>
    </w:p>
    <w:p>
      <w:pPr>
        <w:spacing w:after="0" w:line="88" w:lineRule="exact"/>
        <w:rPr>
          <w:sz w:val="20"/>
          <w:szCs w:val="20"/>
          <w:color w:val="auto"/>
        </w:rPr>
      </w:pPr>
    </w:p>
    <w:p>
      <w:pPr>
        <w:ind w:left="460" w:right="519"/>
        <w:spacing w:after="0" w:line="235" w:lineRule="auto"/>
        <w:rPr>
          <w:sz w:val="20"/>
          <w:szCs w:val="20"/>
          <w:color w:val="auto"/>
        </w:rPr>
      </w:pPr>
      <w:r>
        <w:rPr>
          <w:rFonts w:ascii="Arial" w:cs="Arial" w:eastAsia="Arial" w:hAnsi="Arial"/>
          <w:sz w:val="18"/>
          <w:szCs w:val="18"/>
          <w:color w:val="auto"/>
        </w:rPr>
        <w:t>Pursuant to an agreement to be entered into concurrently with or prior to the issuance and sale of the securities in this offering, at or after the time of our initial business combination, our initial stockholders and their permitted transferees can demand that we register the shares of Class A common stock into which founder shares are convertible, holders of our private placement shares and their permitted transferees can demand that we register the private placement shares of Class A common stock and holders of private placement shares that may be issued upon conversion of working capital loans may demand that we register such Class A common stock issuable upon conversion of such loans. We will bear the cost of registering these securities. The registration and availability of such a significant number of securities for trading in the public market may have an adverse effect on the market price of our Class A common stock. In addition, the existence of the registration rights may make our initial business combination more costly or difficult to conclude. This is because the stockholders of the target business may increase the equity stake they seek in the combined entity or ask for more cash consideration to offset the negative impact on the market price of our Class A common stock that is expected when the shares of common stock owned by our initial stockholders, holders of our private placement shares or holders of our working capital loans or their respective permitted transferees are registered.</w:t>
      </w:r>
    </w:p>
    <w:p>
      <w:pPr>
        <w:spacing w:after="0" w:line="83" w:lineRule="exact"/>
        <w:rPr>
          <w:sz w:val="20"/>
          <w:szCs w:val="20"/>
          <w:color w:val="auto"/>
        </w:rPr>
      </w:pPr>
    </w:p>
    <w:p>
      <w:pPr>
        <w:ind w:left="460" w:right="799"/>
        <w:spacing w:after="0" w:line="247" w:lineRule="auto"/>
        <w:rPr>
          <w:sz w:val="20"/>
          <w:szCs w:val="20"/>
          <w:color w:val="auto"/>
        </w:rPr>
      </w:pPr>
      <w:r>
        <w:rPr>
          <w:rFonts w:ascii="Arial" w:cs="Arial" w:eastAsia="Arial" w:hAnsi="Arial"/>
          <w:sz w:val="18"/>
          <w:szCs w:val="18"/>
          <w:b w:val="1"/>
          <w:bCs w:val="1"/>
          <w:color w:val="auto"/>
        </w:rPr>
        <w:t>Because we are neither limited to evaluating a target business in a particular industry or sector nor have we selected any specific target businesses with which to pursue our initial business combination, you will be unable to ascertain the merits or risks of any particular target business’s operations.</w:t>
      </w:r>
    </w:p>
    <w:p>
      <w:pPr>
        <w:spacing w:after="0" w:line="128" w:lineRule="exact"/>
        <w:rPr>
          <w:sz w:val="20"/>
          <w:szCs w:val="20"/>
          <w:color w:val="auto"/>
        </w:rPr>
      </w:pPr>
    </w:p>
    <w:p>
      <w:pPr>
        <w:ind w:left="460" w:right="459"/>
        <w:spacing w:after="0" w:line="235" w:lineRule="auto"/>
        <w:rPr>
          <w:sz w:val="20"/>
          <w:szCs w:val="20"/>
          <w:color w:val="auto"/>
        </w:rPr>
      </w:pPr>
      <w:r>
        <w:rPr>
          <w:rFonts w:ascii="Arial" w:cs="Arial" w:eastAsia="Arial" w:hAnsi="Arial"/>
          <w:sz w:val="18"/>
          <w:szCs w:val="18"/>
          <w:color w:val="auto"/>
        </w:rPr>
        <w:t>Our efforts to identify a prospective initial business combination target will not be limited to a particular industry, sector or geographic region. While we may pursue an initial business combination opportunity in any industry or sector, we intend to capitalize on the ability of our management team to identify, acquire and operate a business or businesses that can benefit from our management team’s established global relationships and operating experience. Our management team has extensive experience in identifying and executing strategic investments globally and has done so successfully in a number of sectors. Our amended and restated certificate of incorporation prohibits us from effectuating a business combination with another blank check company or similar company with nominal operations. Because we have not yet selected any specific target business with respect to a business combination, there is no basis to evaluate the possible merits or risks of any particular target business’s operations, results of operations, cash flows, liquidity, financial condition or prospects. To the extent we complete our initial business combination, we may be affected by numerous risks inherent in the business operations with which we combine. For example, if we combine with a financially unstable business or an entity lacking an established record of sales or earnings, we may be affected by the risks inherent in the business and operations of a financially unstable or a development stage entity. Although our officers and directors will endeavor to evaluate the risks inherent in a particular target business, we cannot assure you that we will properly ascertain or assess all of the significant risk factors or that we will have adequate time to complete due diligence. Furthermore, some of these risks may be outside of our control</w:t>
      </w:r>
    </w:p>
    <w:p>
      <w:pPr>
        <w:sectPr>
          <w:pgSz w:w="11900" w:h="16838" w:orient="portrait"/>
          <w:cols w:equalWidth="0" w:num="1">
            <w:col w:w="9019"/>
          </w:cols>
          <w:pgMar w:left="1440" w:top="287" w:right="1440" w:bottom="1440" w:gutter="0" w:footer="0" w:header="0"/>
        </w:sectPr>
      </w:pP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40" w:name="page41"/>
    <w:bookmarkEnd w:id="40"/>
    <w:p>
      <w:pPr>
        <w:ind w:left="460" w:right="599"/>
        <w:spacing w:after="0" w:line="236" w:lineRule="auto"/>
        <w:rPr>
          <w:sz w:val="20"/>
          <w:szCs w:val="20"/>
          <w:color w:val="auto"/>
        </w:rPr>
      </w:pPr>
      <w:r>
        <w:rPr>
          <w:rFonts w:ascii="Arial" w:cs="Arial" w:eastAsia="Arial" w:hAnsi="Arial"/>
          <w:sz w:val="18"/>
          <w:szCs w:val="18"/>
          <w:color w:val="auto"/>
        </w:rPr>
        <w:t>and leave us with no ability to control or reduce the chances that those risks will adversely impact a target business. We also cannot assure you that an investment in our shares of Class A common stock will ultimately prove to be more favorable to investors than a direct investment, if such opportunity were available, in a business combination target. Accordingly, any stockholders who choose to remain stockholders following the business combination could suffer a reduction in the value of their securities. Such stockholders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materials or tender offer documents, as applicable, relating to the business combination contained an actionable material misstatement or material omission.</w:t>
      </w:r>
    </w:p>
    <w:p>
      <w:pPr>
        <w:spacing w:after="0" w:line="183" w:lineRule="exact"/>
        <w:rPr>
          <w:sz w:val="20"/>
          <w:szCs w:val="20"/>
          <w:color w:val="auto"/>
        </w:rPr>
      </w:pPr>
    </w:p>
    <w:p>
      <w:pPr>
        <w:ind w:left="460" w:right="1279"/>
        <w:spacing w:after="0" w:line="271" w:lineRule="auto"/>
        <w:rPr>
          <w:sz w:val="20"/>
          <w:szCs w:val="20"/>
          <w:color w:val="auto"/>
        </w:rPr>
      </w:pPr>
      <w:r>
        <w:rPr>
          <w:rFonts w:ascii="Arial" w:cs="Arial" w:eastAsia="Arial" w:hAnsi="Arial"/>
          <w:sz w:val="18"/>
          <w:szCs w:val="18"/>
          <w:b w:val="1"/>
          <w:bCs w:val="1"/>
          <w:color w:val="auto"/>
        </w:rPr>
        <w:t>Past performance by our management team and their respective affiliates may not be indicative of future performance of an investment in us.</w:t>
      </w:r>
    </w:p>
    <w:p>
      <w:pPr>
        <w:spacing w:after="0" w:line="95" w:lineRule="exact"/>
        <w:rPr>
          <w:sz w:val="20"/>
          <w:szCs w:val="20"/>
          <w:color w:val="auto"/>
        </w:rPr>
      </w:pPr>
    </w:p>
    <w:p>
      <w:pPr>
        <w:ind w:left="460" w:right="619"/>
        <w:spacing w:after="0" w:line="236" w:lineRule="auto"/>
        <w:rPr>
          <w:sz w:val="20"/>
          <w:szCs w:val="20"/>
          <w:color w:val="auto"/>
        </w:rPr>
      </w:pPr>
      <w:r>
        <w:rPr>
          <w:rFonts w:ascii="Arial" w:cs="Arial" w:eastAsia="Arial" w:hAnsi="Arial"/>
          <w:sz w:val="18"/>
          <w:szCs w:val="18"/>
          <w:color w:val="auto"/>
        </w:rPr>
        <w:t>Information regarding performance by, or businesses associated with, our management team or businesses associated with them is presented for informational purposes only. Past performance by our management team and their respective affiliates is not a guarantee either (i) of success with respect to any business combination we may consummate or (ii) that we will be able to locate a suitable candidate for our initial business combination. You should not rely on the historical record of the performance of our management team’s or businesses associated with them as indicative of our future performance of an investment in us or the returns we will, or is likely to, generate going forward.</w:t>
      </w:r>
    </w:p>
    <w:p>
      <w:pPr>
        <w:spacing w:after="0" w:line="186" w:lineRule="exact"/>
        <w:rPr>
          <w:sz w:val="20"/>
          <w:szCs w:val="20"/>
          <w:color w:val="auto"/>
        </w:rPr>
      </w:pPr>
    </w:p>
    <w:p>
      <w:pPr>
        <w:ind w:left="460" w:right="519"/>
        <w:spacing w:after="0" w:line="271" w:lineRule="auto"/>
        <w:rPr>
          <w:sz w:val="20"/>
          <w:szCs w:val="20"/>
          <w:color w:val="auto"/>
        </w:rPr>
      </w:pPr>
      <w:r>
        <w:rPr>
          <w:rFonts w:ascii="Arial" w:cs="Arial" w:eastAsia="Arial" w:hAnsi="Arial"/>
          <w:sz w:val="18"/>
          <w:szCs w:val="18"/>
          <w:b w:val="1"/>
          <w:bCs w:val="1"/>
          <w:color w:val="auto"/>
        </w:rPr>
        <w:t>We may seek business combination opportunities in industries or sectors that may be outside of our management’s areas of expertise.</w:t>
      </w:r>
    </w:p>
    <w:p>
      <w:pPr>
        <w:spacing w:after="0" w:line="108" w:lineRule="exact"/>
        <w:rPr>
          <w:sz w:val="20"/>
          <w:szCs w:val="20"/>
          <w:color w:val="auto"/>
        </w:rPr>
      </w:pPr>
    </w:p>
    <w:p>
      <w:pPr>
        <w:ind w:left="460" w:right="519"/>
        <w:spacing w:after="0" w:line="235" w:lineRule="auto"/>
        <w:rPr>
          <w:sz w:val="20"/>
          <w:szCs w:val="20"/>
          <w:color w:val="auto"/>
        </w:rPr>
      </w:pPr>
      <w:r>
        <w:rPr>
          <w:rFonts w:ascii="Arial" w:cs="Arial" w:eastAsia="Arial" w:hAnsi="Arial"/>
          <w:sz w:val="18"/>
          <w:szCs w:val="18"/>
          <w:color w:val="auto"/>
        </w:rPr>
        <w:t>We will consider a business combination in industries or sectors outside of our management’s areas of expertise if a business combination candidate is presented to us and we determine that such candidate offers an attractive business combination opportunity for our company. Although our management will endeavor to evaluate the risks inherent in any particular business combination candidate, we cannot assure you that we will adequately ascertain or assess all of the significant risk factors. We also cannot assure you that an investment in our Class A common shares will not ultimately prove to be less favorable to investors in this offering than a direct investment, if an opportunity were available, in a business combination candidate. In the event we elect to pursue a business combination outside of the areas of our management’s expertise, our management’s expertise may not be directly applicable to its evaluation or operation, and the information contained in this prospectus regarding the areas of our management’s expertise would not be relevant to an understanding of the business that we elect to acquire. As a result, our management may not be able to ascertain or assess adequately all of the relevant risk factors. Accordingly, any stockholders who choose to remain stockholders, respectively, following our initial business combination could suffer a reduction in the value of their shares. Such stockholders are unlikely to have a remedy for such reduction in value.</w:t>
      </w:r>
    </w:p>
    <w:p>
      <w:pPr>
        <w:spacing w:after="0" w:line="191" w:lineRule="exact"/>
        <w:rPr>
          <w:sz w:val="20"/>
          <w:szCs w:val="20"/>
          <w:color w:val="auto"/>
        </w:rPr>
      </w:pPr>
    </w:p>
    <w:p>
      <w:pPr>
        <w:ind w:left="460" w:right="599"/>
        <w:spacing w:after="0" w:line="244" w:lineRule="auto"/>
        <w:rPr>
          <w:sz w:val="20"/>
          <w:szCs w:val="20"/>
          <w:color w:val="auto"/>
        </w:rPr>
      </w:pPr>
      <w:r>
        <w:rPr>
          <w:rFonts w:ascii="Arial" w:cs="Arial" w:eastAsia="Arial" w:hAnsi="Arial"/>
          <w:sz w:val="18"/>
          <w:szCs w:val="18"/>
          <w:b w:val="1"/>
          <w:bCs w:val="1"/>
          <w:color w:val="auto"/>
        </w:rPr>
        <w:t>Although we have identified general criteria and guidelines that we believe are important in evaluating prospective target businesses, we may enter into our initial business combination with a target that does not meet such criteria and guidelines, and as a result, the target business with which we enter into our initial business combination may not have attributes entirely consistent with our general criteria and guidelines.</w:t>
      </w:r>
    </w:p>
    <w:p>
      <w:pPr>
        <w:spacing w:after="0" w:line="131" w:lineRule="exact"/>
        <w:rPr>
          <w:sz w:val="20"/>
          <w:szCs w:val="20"/>
          <w:color w:val="auto"/>
        </w:rPr>
      </w:pPr>
    </w:p>
    <w:p>
      <w:pPr>
        <w:ind w:left="460" w:right="499"/>
        <w:spacing w:after="0" w:line="235" w:lineRule="auto"/>
        <w:rPr>
          <w:sz w:val="20"/>
          <w:szCs w:val="20"/>
          <w:color w:val="auto"/>
        </w:rPr>
      </w:pPr>
      <w:r>
        <w:rPr>
          <w:rFonts w:ascii="Arial" w:cs="Arial" w:eastAsia="Arial" w:hAnsi="Arial"/>
          <w:sz w:val="18"/>
          <w:szCs w:val="18"/>
          <w:color w:val="auto"/>
        </w:rPr>
        <w:t>Although we have identified general criteria and guidelines for evaluating prospective target businesses, it is possible that a target business with which we enter into our initial business combination will not have all of these positive attributes. If we complete our initial business combination with a target that does not meet some or all of these guidelines, such combination may not be as successful as a combination with a business that does meet all of our general criteria and guidelines. In addition, if we announce a prospective business combination with a target that does not meet our general criteria and guidelines, a greater number of stockholders may exercise their redemption rights, which may make it difficult for us to meet any closing condition with a target business that requires us to have a minimum net worth or a certain amount of cash. In addition, if stockholder approval of the transaction is required by law or stock exchange listing rules, or we decide to obtain stockholder approval for business or other legal reasons, it may be more difficult for us to attain stockholder approval of our initial business combination if the target business does not meet our general criteria and guidelines. If we are unable to complete our initial business combination, our public stockholders may only receive their pro rata portion of the funds in the trust account that are available for distribution to public stockholders.</w:t>
      </w:r>
    </w:p>
    <w:p>
      <w:pPr>
        <w:sectPr>
          <w:pgSz w:w="11900" w:h="16838" w:orient="portrait"/>
          <w:cols w:equalWidth="0" w:num="1">
            <w:col w:w="9019"/>
          </w:cols>
          <w:pgMar w:left="1440" w:top="287" w:right="1440" w:bottom="1440" w:gutter="0" w:footer="0" w:header="0"/>
        </w:sectPr>
      </w:pP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41" w:name="page42"/>
    <w:bookmarkEnd w:id="41"/>
    <w:p>
      <w:pPr>
        <w:ind w:left="460" w:right="479"/>
        <w:spacing w:after="0" w:line="247" w:lineRule="auto"/>
        <w:rPr>
          <w:sz w:val="20"/>
          <w:szCs w:val="20"/>
          <w:color w:val="auto"/>
        </w:rPr>
      </w:pPr>
      <w:r>
        <w:rPr>
          <w:rFonts w:ascii="Arial" w:cs="Arial" w:eastAsia="Arial" w:hAnsi="Arial"/>
          <w:sz w:val="18"/>
          <w:szCs w:val="18"/>
          <w:b w:val="1"/>
          <w:bCs w:val="1"/>
          <w:color w:val="auto"/>
        </w:rPr>
        <w:t>We are not required to obtain an opinion from an independent investment banking firm or from a valuation or appraisal firm, and consequently, you may have no assurance from an independent source that the price we are paying for the business is fair to our stockholders from a financial point of view.</w:t>
      </w:r>
    </w:p>
    <w:p>
      <w:pPr>
        <w:spacing w:after="0" w:line="128"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Unless we complete our initial business combination with an affiliated entity or our board of directors cannot independently determine the fair market value of the target business or businesses (including with the assistance of financial advisors), we are not required to obtain an opinion from an independent investment banking firm which is a member of FINRA or from a valuation or appraisal firm that the price we are paying is fair to our stockholders from a financial point of view. If no opinion is obtained, our stockholders will be relying on the judgment of our board of directors, who will determine fair market value based on standards generally accepted by the financial community. Such standards used will be disclosed in our proxy materials or tender offer documents, as applicable, related to our initial business combination.</w:t>
      </w:r>
    </w:p>
    <w:p>
      <w:pPr>
        <w:spacing w:after="0" w:line="185" w:lineRule="exact"/>
        <w:rPr>
          <w:sz w:val="20"/>
          <w:szCs w:val="20"/>
          <w:color w:val="auto"/>
        </w:rPr>
      </w:pPr>
    </w:p>
    <w:p>
      <w:pPr>
        <w:ind w:left="460" w:right="519"/>
        <w:spacing w:after="0"/>
        <w:rPr>
          <w:sz w:val="20"/>
          <w:szCs w:val="20"/>
          <w:color w:val="auto"/>
        </w:rPr>
      </w:pPr>
      <w:r>
        <w:rPr>
          <w:rFonts w:ascii="Arial" w:cs="Arial" w:eastAsia="Arial" w:hAnsi="Arial"/>
          <w:sz w:val="18"/>
          <w:szCs w:val="18"/>
          <w:b w:val="1"/>
          <w:bCs w:val="1"/>
          <w:color w:val="auto"/>
        </w:rPr>
        <w:t>We may issue additional shares of Class A common stock or shares of preferred stock to complete our initial business combination or under an employee incentive plan after completion of our initial business combination. We may also issue shares of Class A common stock upon the conversion of the founder shares at a ratio greater than one-to-one at the time of our initial business combination as a result of the anti-dilution provisions contained in our amended and restated certificate of incorporation. Any such issuances would dilute the interest of our stockholders and likely present other risks.</w:t>
      </w:r>
    </w:p>
    <w:p>
      <w:pPr>
        <w:spacing w:after="0" w:line="126"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Our amended and restated certificate of incorporation authorizes the issuance of up to 100,000,000 shares of Class A common stock, par value $ 0.0001 per share, 10,000,000 shares of Class B common stock, par value $0.0001 per share, and 1,000,000 shares of preferred stock, par value $0.0001 per share. Immediately after this offering, there will be 89,600,000 and 7,500,000 (assuming in each case that the underwriters have not exercised their over-allotment option and the forfeiture by our sponsor of 375,000 shares of Class B common stock) authorized but unissued shares of Class A common stock and Class B common stock, respectively, available for issuance which amount does not take into account shares issuable upon conversion of the Class B common stock. The Class B common stock is automatically convertible into Class A common stock concurrently with or immediately following the consummation of our initial business combination, initially at a one-for-one ratio but subject to adjustment as set forth herein and in our amended and restated certificate of incorporation. Immediately after this offering, there will be no shares of preferred stock issued and outstanding.</w:t>
      </w:r>
    </w:p>
    <w:p>
      <w:pPr>
        <w:spacing w:after="0" w:line="135"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We may issue a substantial number of additional shares of Class A common stock or shares of preferred stock to complete our initial business combination or under an employee incentive plan after completion of our initial business combination. We may also issue shares of Class A common stock upon conversion of the Class B common stock at a ratio greater than one-to-one at the time of our initial business combination as a result of the anti-dilution provisions as set forth therein. However, our amended and restated certificate of incorporation provides, among other things, that prior to our initial business combination, we may not issue additional shares that would entitle the holders thereof to (i) receive funds from the trust account or (ii) vote as a class with our public shares (a) on any initial business combination or (b) to approve an amendment to our amended and restated certificate of incorporation to (x) extend the time we have to consummate a business combination beyond 24 months from the closing of this offering or (y) amend the foregoing provisions. These provisions of our amended and restated certificate of incorporation, like all provisions of our amended and restated certificate of incorporation, may be amended with a stockholder vote. The issuance of additional shares of common stock or shares of preferred stock:</w:t>
      </w:r>
    </w:p>
    <w:p>
      <w:pPr>
        <w:spacing w:after="0" w:line="38" w:lineRule="exact"/>
        <w:rPr>
          <w:sz w:val="20"/>
          <w:szCs w:val="20"/>
          <w:color w:val="auto"/>
        </w:rPr>
      </w:pPr>
    </w:p>
    <w:p>
      <w:pPr>
        <w:ind w:left="1040" w:hanging="262"/>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may significantly dilute the equity interest of investors in this offering;</w:t>
      </w:r>
    </w:p>
    <w:p>
      <w:pPr>
        <w:spacing w:after="0" w:line="22" w:lineRule="exact"/>
        <w:rPr>
          <w:rFonts w:ascii="Arial" w:cs="Arial" w:eastAsia="Arial" w:hAnsi="Arial"/>
          <w:sz w:val="18"/>
          <w:szCs w:val="18"/>
          <w:color w:val="auto"/>
        </w:rPr>
      </w:pPr>
    </w:p>
    <w:p>
      <w:pPr>
        <w:ind w:left="1100" w:right="759" w:hanging="322"/>
        <w:spacing w:after="0" w:line="246" w:lineRule="auto"/>
        <w:tabs>
          <w:tab w:leader="none" w:pos="1039"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may subordinate the rights of holders of Class A common stock if shares of preferred stock are issued with rights senior to those afforded our Class A common stock;</w:t>
      </w:r>
    </w:p>
    <w:p>
      <w:pPr>
        <w:spacing w:after="0" w:line="21" w:lineRule="exact"/>
        <w:rPr>
          <w:rFonts w:ascii="Arial" w:cs="Arial" w:eastAsia="Arial" w:hAnsi="Arial"/>
          <w:sz w:val="18"/>
          <w:szCs w:val="18"/>
          <w:color w:val="auto"/>
        </w:rPr>
      </w:pPr>
    </w:p>
    <w:p>
      <w:pPr>
        <w:ind w:left="1100" w:right="539" w:hanging="322"/>
        <w:spacing w:after="0" w:line="238" w:lineRule="auto"/>
        <w:tabs>
          <w:tab w:leader="none" w:pos="1039"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could cause a change in control if a substantial number of shares of Class A common stock is issued, which may affect, among other things, our ability to use our net operating loss carry forwards, if any, and could result in the resignation or removal of our present officers and directors; and</w:t>
      </w:r>
    </w:p>
    <w:p>
      <w:pPr>
        <w:spacing w:after="0" w:line="29" w:lineRule="exact"/>
        <w:rPr>
          <w:rFonts w:ascii="Arial" w:cs="Arial" w:eastAsia="Arial" w:hAnsi="Arial"/>
          <w:sz w:val="18"/>
          <w:szCs w:val="18"/>
          <w:color w:val="auto"/>
        </w:rPr>
      </w:pPr>
    </w:p>
    <w:p>
      <w:pPr>
        <w:ind w:left="1040" w:hanging="262"/>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Class A common stock.</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42" w:name="page43"/>
    <w:bookmarkEnd w:id="42"/>
    <w:p>
      <w:pPr>
        <w:jc w:val="both"/>
        <w:ind w:left="460" w:right="959"/>
        <w:spacing w:after="0" w:line="253" w:lineRule="auto"/>
        <w:rPr>
          <w:sz w:val="20"/>
          <w:szCs w:val="20"/>
          <w:color w:val="auto"/>
        </w:rPr>
      </w:pPr>
      <w:r>
        <w:rPr>
          <w:rFonts w:ascii="Arial" w:cs="Arial" w:eastAsia="Arial" w:hAnsi="Arial"/>
          <w:sz w:val="18"/>
          <w:szCs w:val="18"/>
          <w:b w:val="1"/>
          <w:bCs w:val="1"/>
          <w:color w:val="auto"/>
        </w:rPr>
        <w:t>Unlike some other similarly structured special purpose acquisition companies, our initial stockholders will receive additional shares of Class A common stock if we issue certain shares to consummate an initial business combination.</w:t>
      </w:r>
    </w:p>
    <w:p>
      <w:pPr>
        <w:spacing w:after="0" w:line="123"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The founder shares will automatically convert into shares of Class A common stock concurrently with or immediately following the consummation of our initial business combination on a one-for-one basis, subject to adjustment for stock splits, stock dividends, reorganizations, recapitalizations and the like, and subject to further adjustment as provided herein. In the case that additional shares of Class A common stock or equity-linked securities are issued or deemed issued in connection with our initial business combination, the number of shares of Class A common stock issuable upon conversion of all founder shares will equal, in the aggregate, on an as-converted basis, 20% of the total number of shares of Class A common stock issued and outstanding (excluding the private placement shares) after such conversion (after giving effect to any redemptions of shares of Class A common stock by public stockholders), including the total number of shares of Class A common stock issued, or deemed issued or issuable upon conversion or exercise of any equity-linked securities or rights issued or deemed issued, by the Company in connection with or in relation to the consummation of the initial business combination, excluding any shares of Class A common stock or equity-linked securities or rights exercisable for or convertible into shares of Class A common stock issued, or to be issued, to any seller in the initial business combination and any private placement shares issued to our sponsor, officers or directors upon conversion of working capital loans, provided that such conversion of founder shares will never occur on a less than one-for-one basis. This is different than some other similarly structured special purpose acquisition companies in which the initial stockholders will only be issued an aggregate of 20% of the total number of shares to be issued and outstanding prior to the initial business combination.</w:t>
      </w:r>
    </w:p>
    <w:p>
      <w:pPr>
        <w:spacing w:after="0" w:line="191" w:lineRule="exact"/>
        <w:rPr>
          <w:sz w:val="20"/>
          <w:szCs w:val="20"/>
          <w:color w:val="auto"/>
        </w:rPr>
      </w:pPr>
    </w:p>
    <w:p>
      <w:pPr>
        <w:ind w:left="460" w:right="499"/>
        <w:spacing w:after="0" w:line="244" w:lineRule="auto"/>
        <w:rPr>
          <w:sz w:val="20"/>
          <w:szCs w:val="20"/>
          <w:color w:val="auto"/>
        </w:rPr>
      </w:pPr>
      <w:r>
        <w:rPr>
          <w:rFonts w:ascii="Arial" w:cs="Arial" w:eastAsia="Arial" w:hAnsi="Arial"/>
          <w:sz w:val="18"/>
          <w:szCs w:val="18"/>
          <w:b w:val="1"/>
          <w:bCs w:val="1"/>
          <w:color w:val="auto"/>
        </w:rPr>
        <w:t>Resources could be wasted in researching business combinations that are not completed, which could materially adversely affect subsequent attempts to locate and acquire or merge with another business. If we are unable to complete our initial business combination within the required time period, our public stockholders may only receive their pro rata portion of the funds in the trust account that are available for distribution to public stockholders.</w:t>
      </w:r>
    </w:p>
    <w:p>
      <w:pPr>
        <w:spacing w:after="0" w:line="117" w:lineRule="exact"/>
        <w:rPr>
          <w:sz w:val="20"/>
          <w:szCs w:val="20"/>
          <w:color w:val="auto"/>
        </w:rPr>
      </w:pPr>
    </w:p>
    <w:p>
      <w:pPr>
        <w:ind w:left="460" w:right="539"/>
        <w:spacing w:after="0" w:line="236" w:lineRule="auto"/>
        <w:rPr>
          <w:sz w:val="20"/>
          <w:szCs w:val="20"/>
          <w:color w:val="auto"/>
        </w:rPr>
      </w:pPr>
      <w:r>
        <w:rPr>
          <w:rFonts w:ascii="Arial" w:cs="Arial" w:eastAsia="Arial" w:hAnsi="Arial"/>
          <w:sz w:val="18"/>
          <w:szCs w:val="18"/>
          <w:color w:val="auto"/>
        </w:rPr>
        <w:t>We anticipate that the investigation of each specific target business and the negotiation, drafting and execution of relevant agreements, disclosure documents and other instruments will require substantial management time and attention and substantial costs for accountants, attorneys and others. If we decide not to complete a specific initial business combination, the costs incurred up to that point for the proposed transaction likely would not be recoverable. Furthermore, if we reach an agreement relating to a specific target business, we may fail to complete our initial business combination for any number of reasons including those beyond our control. Any such event will result in a loss to us of the related costs incurred which could materially adversely affect subsequent attempts to locate and acquire or merge with another business. If we are unable to complete our initial business combination within the required time period, our public stockholders may only receive their pro rata portion of the funds in the trust account that are available for distribution to public stockholders.</w:t>
      </w:r>
    </w:p>
    <w:p>
      <w:pPr>
        <w:spacing w:after="0" w:line="182" w:lineRule="exact"/>
        <w:rPr>
          <w:sz w:val="20"/>
          <w:szCs w:val="20"/>
          <w:color w:val="auto"/>
        </w:rPr>
      </w:pPr>
    </w:p>
    <w:p>
      <w:pPr>
        <w:ind w:left="460" w:right="799"/>
        <w:spacing w:after="0" w:line="271" w:lineRule="auto"/>
        <w:rPr>
          <w:sz w:val="20"/>
          <w:szCs w:val="20"/>
          <w:color w:val="auto"/>
        </w:rPr>
      </w:pPr>
      <w:r>
        <w:rPr>
          <w:rFonts w:ascii="Arial" w:cs="Arial" w:eastAsia="Arial" w:hAnsi="Arial"/>
          <w:sz w:val="18"/>
          <w:szCs w:val="18"/>
          <w:b w:val="1"/>
          <w:bCs w:val="1"/>
          <w:color w:val="auto"/>
        </w:rPr>
        <w:t>We are dependent upon our executive officers and directors and their loss could adversely affect our ability to operate.</w:t>
      </w:r>
    </w:p>
    <w:p>
      <w:pPr>
        <w:spacing w:after="0" w:line="108"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Our operations are dependent upon a relatively small group of individuals and, in particular, our executive officers and directors. We believe that our success depends on the continued service of our officers and directors, at least until we have completed our initial business combination. In addition, our executive officers and directors are not required to commit any specified amount of time to our affairs and, accordingly, will have conflicts of interest in allocating their time among various business activities, including identifying potential business combinations and monitoring the related due diligence. We do not have an employment agreement with, or key-man insurance on the life of, any of our directors or executive officers. The unexpected loss of the services of one or more of our directors or executive officers could have a detrimental effect on us.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43" w:name="page44"/>
    <w:bookmarkEnd w:id="43"/>
    <w:p>
      <w:pPr>
        <w:ind w:left="460" w:right="539"/>
        <w:spacing w:after="0" w:line="247" w:lineRule="auto"/>
        <w:rPr>
          <w:sz w:val="20"/>
          <w:szCs w:val="20"/>
          <w:color w:val="auto"/>
        </w:rPr>
      </w:pPr>
      <w:r>
        <w:rPr>
          <w:rFonts w:ascii="Arial" w:cs="Arial" w:eastAsia="Arial" w:hAnsi="Arial"/>
          <w:sz w:val="18"/>
          <w:szCs w:val="18"/>
          <w:b w:val="1"/>
          <w:bCs w:val="1"/>
          <w:color w:val="auto"/>
        </w:rPr>
        <w:t>Our ability to successfully effect our initial business combination and to be successful thereafter will be dependent upon the efforts of our key personnel, some of whom may join us following our initial business combination. The loss of key personnel could negatively impact the operations and profitability of our post-combination business.</w:t>
      </w:r>
    </w:p>
    <w:p>
      <w:pPr>
        <w:spacing w:after="0" w:line="128"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Our ability to successfully effect our initial business combination is dependent upon the efforts of our key personnel. The role of our key personnel in the target business, however, cannot presently be ascertained. Although some of our key personnel may remain with the target business in senior management or advisory positions following our initial business combination, it is likely that some or all of the management of the target business will remain in place. While we intend to closely scrutinize any individuals we engage after our initial business combination, we cannot assure you that our assessment of these individuals will prove to be correct. These individuals may be unfamiliar with the requirements of operating a company regulated by the SEC, which could cause us to have to expend time and resources helping them become familiar with such requirements.</w:t>
      </w:r>
    </w:p>
    <w:p>
      <w:pPr>
        <w:spacing w:after="0" w:line="185" w:lineRule="exact"/>
        <w:rPr>
          <w:sz w:val="20"/>
          <w:szCs w:val="20"/>
          <w:color w:val="auto"/>
        </w:rPr>
      </w:pPr>
    </w:p>
    <w:p>
      <w:pPr>
        <w:ind w:left="460" w:right="519"/>
        <w:spacing w:after="0" w:line="242" w:lineRule="auto"/>
        <w:rPr>
          <w:sz w:val="20"/>
          <w:szCs w:val="20"/>
          <w:color w:val="auto"/>
        </w:rPr>
      </w:pPr>
      <w:r>
        <w:rPr>
          <w:rFonts w:ascii="Arial" w:cs="Arial" w:eastAsia="Arial" w:hAnsi="Arial"/>
          <w:sz w:val="18"/>
          <w:szCs w:val="18"/>
          <w:b w:val="1"/>
          <w:bCs w:val="1"/>
          <w:color w:val="auto"/>
        </w:rPr>
        <w:t>Our key personnel may negotiate employment or consulting agreements with a target business in connection with a particular business combination, and a particular business combination may be conditioned on the retention or resignation of such key personnel. These agreements may provide for them to receive compensation following our initial business combination and as a result, may cause them to have conflicts of interest in determining whether a particular business combination is the most advantageous.</w:t>
      </w:r>
    </w:p>
    <w:p>
      <w:pPr>
        <w:spacing w:after="0" w:line="120"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Our key personnel may be able to remain with our company after the completion of our initial business combination only if they are able to negotiate employment or consulting agreements in connection with the business combination. Such negotiations would take place simultaneously with the negotiation of the business combination and could provide for such individuals to receive compensation in the form of cash payments and/or our securities for services they would render to us after the completion of the business combination. Such negotiations also could make such key personnel’s retention or resignation a condition to any such agreement. The personal and financial interests of such individuals may influence their motivation in identifying and selecting a target business, subject to their fiduciary duties under Delaware law.</w:t>
      </w:r>
    </w:p>
    <w:p>
      <w:pPr>
        <w:spacing w:after="0" w:line="185" w:lineRule="exact"/>
        <w:rPr>
          <w:sz w:val="20"/>
          <w:szCs w:val="20"/>
          <w:color w:val="auto"/>
        </w:rPr>
      </w:pPr>
    </w:p>
    <w:p>
      <w:pPr>
        <w:ind w:left="460" w:right="499"/>
        <w:spacing w:after="0" w:line="253" w:lineRule="auto"/>
        <w:rPr>
          <w:sz w:val="20"/>
          <w:szCs w:val="20"/>
          <w:color w:val="auto"/>
        </w:rPr>
      </w:pPr>
      <w:r>
        <w:rPr>
          <w:rFonts w:ascii="Arial" w:cs="Arial" w:eastAsia="Arial" w:hAnsi="Arial"/>
          <w:sz w:val="18"/>
          <w:szCs w:val="18"/>
          <w:b w:val="1"/>
          <w:bCs w:val="1"/>
          <w:color w:val="auto"/>
        </w:rPr>
        <w:t>We may have a limited ability to assess the management of a prospective target business and, as a result, may effect our initial business combination with a target business whose management may not have the skills, qualifications or abilities to manage a public company.</w:t>
      </w:r>
    </w:p>
    <w:p>
      <w:pPr>
        <w:spacing w:after="0" w:line="123" w:lineRule="exact"/>
        <w:rPr>
          <w:sz w:val="20"/>
          <w:szCs w:val="20"/>
          <w:color w:val="auto"/>
        </w:rPr>
      </w:pPr>
    </w:p>
    <w:p>
      <w:pPr>
        <w:ind w:left="460" w:right="459"/>
        <w:spacing w:after="0" w:line="235" w:lineRule="auto"/>
        <w:rPr>
          <w:sz w:val="20"/>
          <w:szCs w:val="20"/>
          <w:color w:val="auto"/>
        </w:rPr>
      </w:pPr>
      <w:r>
        <w:rPr>
          <w:rFonts w:ascii="Arial" w:cs="Arial" w:eastAsia="Arial" w:hAnsi="Arial"/>
          <w:sz w:val="18"/>
          <w:szCs w:val="18"/>
          <w:color w:val="auto"/>
        </w:rPr>
        <w:t>When evaluating the desirability of effecting our initial business combination with a prospective target business, our ability to assess the target business’s management may be limited due to a lack of time, resources or information. Our assessment of the capabilities of the target business’s management, therefore, may prove to be incorrect and such management may lack the skills, qualifications or abilities we suspected. Should the target business’s management not possess the skills, qualifications or abilities necessary to manage a public company, the operations and profitability of the post-combination business may be negatively impacted. Accordingly, any stockholders who choose to remain stockholders following the business combination could suffer a reduction in the value of their securities. Such stockholders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business combination contained an actionable material misstatement or material omission.</w:t>
      </w:r>
    </w:p>
    <w:p>
      <w:pPr>
        <w:spacing w:after="0" w:line="192" w:lineRule="exact"/>
        <w:rPr>
          <w:sz w:val="20"/>
          <w:szCs w:val="20"/>
          <w:color w:val="auto"/>
        </w:rPr>
      </w:pPr>
    </w:p>
    <w:p>
      <w:pPr>
        <w:ind w:left="460" w:right="519"/>
        <w:spacing w:after="0" w:line="253" w:lineRule="auto"/>
        <w:rPr>
          <w:sz w:val="20"/>
          <w:szCs w:val="20"/>
          <w:color w:val="auto"/>
        </w:rPr>
      </w:pPr>
      <w:r>
        <w:rPr>
          <w:rFonts w:ascii="Arial" w:cs="Arial" w:eastAsia="Arial" w:hAnsi="Arial"/>
          <w:sz w:val="18"/>
          <w:szCs w:val="18"/>
          <w:b w:val="1"/>
          <w:bCs w:val="1"/>
          <w:color w:val="auto"/>
        </w:rPr>
        <w:t>The officers and directors of an acquisition candidate may resign upon completion of our initial business combination. The loss of a business combination target’s key personnel could negatively impact the operations and profitability of our post-combination business.</w:t>
      </w:r>
    </w:p>
    <w:p>
      <w:pPr>
        <w:spacing w:after="0" w:line="123" w:lineRule="exact"/>
        <w:rPr>
          <w:sz w:val="20"/>
          <w:szCs w:val="20"/>
          <w:color w:val="auto"/>
        </w:rPr>
      </w:pPr>
    </w:p>
    <w:p>
      <w:pPr>
        <w:ind w:left="460" w:right="539"/>
        <w:spacing w:after="0" w:line="238" w:lineRule="auto"/>
        <w:rPr>
          <w:sz w:val="20"/>
          <w:szCs w:val="20"/>
          <w:color w:val="auto"/>
        </w:rPr>
      </w:pPr>
      <w:r>
        <w:rPr>
          <w:rFonts w:ascii="Arial" w:cs="Arial" w:eastAsia="Arial" w:hAnsi="Arial"/>
          <w:sz w:val="18"/>
          <w:szCs w:val="18"/>
          <w:color w:val="auto"/>
        </w:rPr>
        <w:t>The role of an acquisition candidate’s key personnel upon the completion of our initial business combination cannot be ascertained at this time. Although we contemplate that certain members of an acquisition candidate’s management team will remain associated with the acquisition candidate following our initial business combination, it is possible that members of the management of an acquisition candidate will not wish to remain in place.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44" w:name="page45"/>
    <w:bookmarkEnd w:id="44"/>
    <w:p>
      <w:pPr>
        <w:ind w:left="460" w:right="819"/>
        <w:spacing w:after="0" w:line="247" w:lineRule="auto"/>
        <w:rPr>
          <w:sz w:val="20"/>
          <w:szCs w:val="20"/>
          <w:color w:val="auto"/>
        </w:rPr>
      </w:pPr>
      <w:r>
        <w:rPr>
          <w:rFonts w:ascii="Arial" w:cs="Arial" w:eastAsia="Arial" w:hAnsi="Arial"/>
          <w:sz w:val="18"/>
          <w:szCs w:val="18"/>
          <w:b w:val="1"/>
          <w:bCs w:val="1"/>
          <w:color w:val="auto"/>
        </w:rPr>
        <w:t>Our executive officers and directors will allocate their time to other businesses thereby causing conflicts of interest in their determination as to how much time to devote to our affairs. This conflict of interest could have a negative impact on our ability to complete our initial business combination.</w:t>
      </w:r>
    </w:p>
    <w:p>
      <w:pPr>
        <w:spacing w:after="0" w:line="128" w:lineRule="exact"/>
        <w:rPr>
          <w:sz w:val="20"/>
          <w:szCs w:val="20"/>
          <w:color w:val="auto"/>
        </w:rPr>
      </w:pPr>
    </w:p>
    <w:p>
      <w:pPr>
        <w:ind w:left="460" w:right="459"/>
        <w:spacing w:after="0" w:line="236" w:lineRule="auto"/>
        <w:rPr>
          <w:sz w:val="20"/>
          <w:szCs w:val="20"/>
          <w:color w:val="auto"/>
        </w:rPr>
      </w:pPr>
      <w:r>
        <w:rPr>
          <w:rFonts w:ascii="Arial" w:cs="Arial" w:eastAsia="Arial" w:hAnsi="Arial"/>
          <w:sz w:val="18"/>
          <w:szCs w:val="18"/>
          <w:color w:val="auto"/>
        </w:rPr>
        <w:t>Our executive officers and directors are not required to, and will not, commit their full time to our affairs, which may result in a conflict of interest in allocating their time between our operations and our search for a business combination and their other businesses. We do not intend to have any full-time employees prior to the completion of our initial business combination. Each of our executive officers is engaged in several other business endeavors for which he may be entitled to substantial compensation, and our executive officers are not obligated to contribute any specific number of hours per week to our affairs. Our independent directors also serve as officers and board members for other entities. If our executive officers’ and directors’ other business affairs require them to devote substantial amounts of time to such affairs in excess of their current commitment levels, it could limit their ability to devote time to our affairs which may have a negative impact on our ability to complete our initial business combination. For a complete discussion of our executive officers’ and directors’ other business affairs, please see “Management — Officers, Directors and Director Nominees.”</w:t>
      </w:r>
    </w:p>
    <w:p>
      <w:pPr>
        <w:spacing w:after="0" w:line="182" w:lineRule="exact"/>
        <w:rPr>
          <w:sz w:val="20"/>
          <w:szCs w:val="20"/>
          <w:color w:val="auto"/>
        </w:rPr>
      </w:pPr>
    </w:p>
    <w:p>
      <w:pPr>
        <w:ind w:left="460" w:right="559"/>
        <w:spacing w:after="0" w:line="275" w:lineRule="auto"/>
        <w:rPr>
          <w:sz w:val="20"/>
          <w:szCs w:val="20"/>
          <w:color w:val="auto"/>
        </w:rPr>
      </w:pPr>
      <w:r>
        <w:rPr>
          <w:rFonts w:ascii="Arial" w:cs="Arial" w:eastAsia="Arial" w:hAnsi="Arial"/>
          <w:sz w:val="17"/>
          <w:szCs w:val="17"/>
          <w:b w:val="1"/>
          <w:bCs w:val="1"/>
          <w:color w:val="auto"/>
        </w:rPr>
        <w:t>Our officers and directors presently have, and any of them in the future may have additional, fiduciary or contractual obligations to other entities and, accordingly, may have conflicts of interest in determining to which entity a particular business opportunity should be presented.</w:t>
      </w:r>
    </w:p>
    <w:p>
      <w:pPr>
        <w:spacing w:after="0" w:line="93" w:lineRule="exact"/>
        <w:rPr>
          <w:sz w:val="20"/>
          <w:szCs w:val="20"/>
          <w:color w:val="auto"/>
        </w:rPr>
      </w:pPr>
    </w:p>
    <w:p>
      <w:pPr>
        <w:ind w:left="460" w:right="559"/>
        <w:spacing w:after="0" w:line="235" w:lineRule="auto"/>
        <w:rPr>
          <w:sz w:val="20"/>
          <w:szCs w:val="20"/>
          <w:color w:val="auto"/>
        </w:rPr>
      </w:pPr>
      <w:r>
        <w:rPr>
          <w:rFonts w:ascii="Arial" w:cs="Arial" w:eastAsia="Arial" w:hAnsi="Arial"/>
          <w:sz w:val="18"/>
          <w:szCs w:val="18"/>
          <w:color w:val="auto"/>
        </w:rPr>
        <w:t>Following the completion of this offering and until we consummate our initial business combination, we intend to engage in the business of identifying and combining with one or more businesses. Each of our officers and directors presently has, and any of them in the future may have, additional fiduciary or contractual obligations to other entities pursuant to which such officer or director is or will be required to present a business combination opportunity to such entity. Accordingly, they may have conflicts of interest in determining to which entity a particular business opportunity should be presented. These conflicts may not be resolved in our favor and a potential target business may be presented to another entity prior to its presentation to us. Our amended and restated certificate of incorporation will provide that we renounce our interest in any corporate opportunity offered to any director or officer unless such opportunity is expressly offered to such person solely in his or her capacity as a director or officer of the company and such opportunity is one we are legally and contractually permitted to undertake and would otherwise be reasonable for us to pursue, and to the extent the director or officer is permitted to refer that opportunity to us without violating another legal obligation. In addition, our sponsor and our officers and directors may sponsor or form other special purpose acquisition companies similar to ours or may pursue other business or investment ventures during the period in which we are seeking an initial business combination. Any such companies, businesses or ventures may present additional conflicts of interest in pursuing an initial business combination. However, we do not believe that any such potential conflicts would materially affect our ability to complete our initial business combination.</w:t>
      </w:r>
    </w:p>
    <w:p>
      <w:pPr>
        <w:spacing w:after="0" w:line="145" w:lineRule="exact"/>
        <w:rPr>
          <w:sz w:val="20"/>
          <w:szCs w:val="20"/>
          <w:color w:val="auto"/>
        </w:rPr>
      </w:pPr>
    </w:p>
    <w:p>
      <w:pPr>
        <w:ind w:left="460" w:right="639"/>
        <w:spacing w:after="0" w:line="238" w:lineRule="auto"/>
        <w:rPr>
          <w:sz w:val="20"/>
          <w:szCs w:val="20"/>
          <w:color w:val="auto"/>
        </w:rPr>
      </w:pPr>
      <w:r>
        <w:rPr>
          <w:rFonts w:ascii="Arial" w:cs="Arial" w:eastAsia="Arial" w:hAnsi="Arial"/>
          <w:sz w:val="18"/>
          <w:szCs w:val="18"/>
          <w:color w:val="auto"/>
        </w:rPr>
        <w:t>For a complete discussion of our executive officers’ and directors’ business affiliations and the potential conflicts of interest that you should be aware of, please see “Management — Officers, Directors and Director Nominees,” “Management — Conflicts of Interest” and “Certain Relationships and Related Party Transactions.”</w:t>
      </w:r>
    </w:p>
    <w:p>
      <w:pPr>
        <w:spacing w:after="0" w:line="183" w:lineRule="exact"/>
        <w:rPr>
          <w:sz w:val="20"/>
          <w:szCs w:val="20"/>
          <w:color w:val="auto"/>
        </w:rPr>
      </w:pPr>
    </w:p>
    <w:p>
      <w:pPr>
        <w:ind w:left="460" w:right="919"/>
        <w:spacing w:after="0" w:line="271" w:lineRule="auto"/>
        <w:rPr>
          <w:sz w:val="20"/>
          <w:szCs w:val="20"/>
          <w:color w:val="auto"/>
        </w:rPr>
      </w:pPr>
      <w:r>
        <w:rPr>
          <w:rFonts w:ascii="Arial" w:cs="Arial" w:eastAsia="Arial" w:hAnsi="Arial"/>
          <w:sz w:val="18"/>
          <w:szCs w:val="18"/>
          <w:b w:val="1"/>
          <w:bCs w:val="1"/>
          <w:color w:val="auto"/>
        </w:rPr>
        <w:t>Our executive officers, directors, security holders and their respective affiliates may have competitive pecuniary interests that conflict with our interests.</w:t>
      </w:r>
    </w:p>
    <w:p>
      <w:pPr>
        <w:spacing w:after="0" w:line="108" w:lineRule="exact"/>
        <w:rPr>
          <w:sz w:val="20"/>
          <w:szCs w:val="20"/>
          <w:color w:val="auto"/>
        </w:rPr>
      </w:pPr>
    </w:p>
    <w:p>
      <w:pPr>
        <w:ind w:left="460" w:right="539"/>
        <w:spacing w:after="0" w:line="236" w:lineRule="auto"/>
        <w:rPr>
          <w:sz w:val="20"/>
          <w:szCs w:val="20"/>
          <w:color w:val="auto"/>
        </w:rPr>
      </w:pPr>
      <w:r>
        <w:rPr>
          <w:rFonts w:ascii="Arial" w:cs="Arial" w:eastAsia="Arial" w:hAnsi="Arial"/>
          <w:sz w:val="18"/>
          <w:szCs w:val="18"/>
          <w:color w:val="auto"/>
        </w:rPr>
        <w:t>We have not adopted a policy that expressly prohibits our directors, executive officers, security holders or affiliates from having a direct or indirect pecuniary or financial interest in any investment to be acquired or disposed of by us or in any transaction to which we are a party or have an interest. In fact, we may enter into a business combination with a target business that is affiliated with our sponsor, our directors or executive officers, although we do not intend to do so. Nor do we have a policy that expressly prohibits any such persons from engaging for their own account in business activities of the types conducted by us. Accordingly, such persons or entities may have a conflict between their interests and ours.</w:t>
      </w:r>
    </w:p>
    <w:p>
      <w:pPr>
        <w:spacing w:after="0" w:line="127" w:lineRule="exact"/>
        <w:rPr>
          <w:sz w:val="20"/>
          <w:szCs w:val="20"/>
          <w:color w:val="auto"/>
        </w:rPr>
      </w:pPr>
    </w:p>
    <w:p>
      <w:pPr>
        <w:ind w:left="460" w:right="879"/>
        <w:spacing w:after="0" w:line="238" w:lineRule="auto"/>
        <w:rPr>
          <w:sz w:val="20"/>
          <w:szCs w:val="20"/>
          <w:color w:val="auto"/>
        </w:rPr>
      </w:pPr>
      <w:r>
        <w:rPr>
          <w:rFonts w:ascii="Arial" w:cs="Arial" w:eastAsia="Arial" w:hAnsi="Arial"/>
          <w:sz w:val="18"/>
          <w:szCs w:val="18"/>
          <w:color w:val="auto"/>
        </w:rPr>
        <w:t>The personal and financial interests of our directors and officers may influence their motivation in timely identifying and selecting a target business and completing a business combination. Consequently, our directors’ and officers’ discretion in identifying and selecting a suitable target business may result in a conflict of interest when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45" w:name="page46"/>
    <w:bookmarkEnd w:id="45"/>
    <w:p>
      <w:pPr>
        <w:ind w:left="460" w:right="499"/>
        <w:spacing w:after="0" w:line="238" w:lineRule="auto"/>
        <w:rPr>
          <w:sz w:val="20"/>
          <w:szCs w:val="20"/>
          <w:color w:val="auto"/>
        </w:rPr>
      </w:pPr>
      <w:r>
        <w:rPr>
          <w:rFonts w:ascii="Arial" w:cs="Arial" w:eastAsia="Arial" w:hAnsi="Arial"/>
          <w:sz w:val="18"/>
          <w:szCs w:val="18"/>
          <w:color w:val="auto"/>
        </w:rPr>
        <w:t>determining whether the terms, conditions and timing of a particular business combination are appropriate and in our stockholders’ best interest. If this were the case, it would be a breach of their fiduciary duties to us as a matter of Delaware law and we or our stockholders might have a claim against such individuals for infringing on our stockholders’ rights. However, we might not ultimately be successful in any claim we may make against them for such reason.</w:t>
      </w:r>
    </w:p>
    <w:p>
      <w:pPr>
        <w:spacing w:after="0" w:line="180" w:lineRule="exact"/>
        <w:rPr>
          <w:sz w:val="20"/>
          <w:szCs w:val="20"/>
          <w:color w:val="auto"/>
        </w:rPr>
      </w:pPr>
    </w:p>
    <w:p>
      <w:pPr>
        <w:ind w:left="460" w:right="519"/>
        <w:spacing w:after="0" w:line="253" w:lineRule="auto"/>
        <w:rPr>
          <w:sz w:val="20"/>
          <w:szCs w:val="20"/>
          <w:color w:val="auto"/>
        </w:rPr>
      </w:pPr>
      <w:r>
        <w:rPr>
          <w:rFonts w:ascii="Arial" w:cs="Arial" w:eastAsia="Arial" w:hAnsi="Arial"/>
          <w:sz w:val="18"/>
          <w:szCs w:val="18"/>
          <w:b w:val="1"/>
          <w:bCs w:val="1"/>
          <w:color w:val="auto"/>
        </w:rPr>
        <w:t>We may engage in a business combination with one or more target businesses that have relationships with entities that may be affiliated with our sponsor, executive officers, directors or existing holders which may raise potential conflicts of interest.</w:t>
      </w:r>
    </w:p>
    <w:p>
      <w:pPr>
        <w:spacing w:after="0" w:line="110" w:lineRule="exact"/>
        <w:rPr>
          <w:sz w:val="20"/>
          <w:szCs w:val="20"/>
          <w:color w:val="auto"/>
        </w:rPr>
      </w:pPr>
    </w:p>
    <w:p>
      <w:pPr>
        <w:ind w:left="460" w:right="559"/>
        <w:spacing w:after="0" w:line="235" w:lineRule="auto"/>
        <w:rPr>
          <w:sz w:val="20"/>
          <w:szCs w:val="20"/>
          <w:color w:val="auto"/>
        </w:rPr>
      </w:pPr>
      <w:r>
        <w:rPr>
          <w:rFonts w:ascii="Arial" w:cs="Arial" w:eastAsia="Arial" w:hAnsi="Arial"/>
          <w:sz w:val="18"/>
          <w:szCs w:val="18"/>
          <w:color w:val="auto"/>
        </w:rPr>
        <w:t>In light of the involvement of our sponsor, executive officers and directors with other entities, we may decide to acquire one or more businesses affiliated with our sponsor, executive officers, directors or existing holders. Our directors and officers also serve as officers and board members for other entities, including, without limitation, those described under “Management — Conflicts of Interest.” Such entities may compete with us for business combination opportunities. Our sponsor, officers and directors are not currently aware of any specific opportunities for us to complete our initial business combination with any entities with which they are affiliated, and there have been no substantive discussions concerning a business combination with any such entity or entities. Although we will not be specifically focusing on, or targeting, any transaction with any affiliated entities, we would pursue such a transaction if we determined that such affiliated entity met our criteria for a business combination as set forth in “Proposed Business — Initial Business Combination — Sourcing of Potential Initial Business Combination Targets” and such transaction was approved by a majority of our independent and disinterested directors. Despite our agreement to obtain an opinion from an independent investment banking firm which is a member of FINRA or a valuation or appraisal firm regarding the fairness to our company from a financial point of view of a business combination with one or more domestic or international businesses affiliated with our sponsor, executive officers, directors or existing holders, potential conflicts of interest still may exist and, as a result, the terms of the business combination may not be as advantageous to our public stockholders as they would be absent any conflicts of interest.</w:t>
      </w:r>
    </w:p>
    <w:p>
      <w:pPr>
        <w:spacing w:after="0" w:line="191" w:lineRule="exact"/>
        <w:rPr>
          <w:sz w:val="20"/>
          <w:szCs w:val="20"/>
          <w:color w:val="auto"/>
        </w:rPr>
      </w:pPr>
    </w:p>
    <w:p>
      <w:pPr>
        <w:ind w:left="460" w:right="479"/>
        <w:spacing w:after="0" w:line="244" w:lineRule="auto"/>
        <w:rPr>
          <w:sz w:val="20"/>
          <w:szCs w:val="20"/>
          <w:color w:val="auto"/>
        </w:rPr>
      </w:pPr>
      <w:r>
        <w:rPr>
          <w:rFonts w:ascii="Arial" w:cs="Arial" w:eastAsia="Arial" w:hAnsi="Arial"/>
          <w:sz w:val="18"/>
          <w:szCs w:val="18"/>
          <w:b w:val="1"/>
          <w:bCs w:val="1"/>
          <w:color w:val="auto"/>
        </w:rPr>
        <w:t>Since our sponsor, executive officers and directors will lose their entire investment in us if our initial business combination is not completed (other than with respect to public shares they may acquire during or after this offering), a conflict of interest may arise in determining whether a particular business combination target is appropriate for our initial business combination.</w:t>
      </w:r>
    </w:p>
    <w:p>
      <w:pPr>
        <w:spacing w:after="0" w:line="131"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On June 30, 2020 our sponsor purchased an aggregate 2,875,000 founder shares for a total purchase price of $25,000, or approximately $0.009 per share. In July 2020, our sponsor transferred 30,000 founder shares to each of Mr. Carey, Dr. Dubin and Dr. Pakianathan. Prior to the initial investment in the company of $25,000 by the sponsor, the company had no assets, tangible or intangible. The purchase price of the founder shares was determined by dividing the amount of cash contributed to the company by the number of founder shares issued. The number of founder shares outstanding was determined based on the expectation that the total size of this offering would be a maximum of 11,500,000 shares of Class A common stock if the underwriters’ over-allotment option is exercised in full, and therefore that such founder shares would represent 20% of the issued and outstanding shares after this offering (excluding the private placement shares). Up to 375,000 of the founder shares will be forfeited by our sponsor depending on the extent to which the underwriters’ over-allotment is exercised. The founder shares will be worthless if we do not complete an initial business combination. In addition, our sponsor has committed to purchase 400,000 private placement shares (or 430,000 private placement shares if the underwriters’ over-allotment option is exercised in full) at a price of $10.00 per private placement share ($4,000,000 in the aggregate or $ 4,300,000 if the underwriters’ over-allotment option is exercised in full), that will also be worthless if we do not complete our initial business combination. The personal and financial interests of our executive officers and directors may influence their motivation in identifying and selecting a target business combination, completing an initial business combination and influencing the operation of the business following the initial business combination. This risk may become more acute as the 24-month anniversary of the closing of this offering nears, which is the deadline for our completion of an initial business combination.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46" w:name="page47"/>
    <w:bookmarkEnd w:id="46"/>
    <w:p>
      <w:pPr>
        <w:jc w:val="both"/>
        <w:ind w:left="460" w:right="579"/>
        <w:spacing w:after="0" w:line="253" w:lineRule="auto"/>
        <w:rPr>
          <w:sz w:val="20"/>
          <w:szCs w:val="20"/>
          <w:color w:val="auto"/>
        </w:rPr>
      </w:pPr>
      <w:r>
        <w:rPr>
          <w:rFonts w:ascii="Arial" w:cs="Arial" w:eastAsia="Arial" w:hAnsi="Arial"/>
          <w:sz w:val="18"/>
          <w:szCs w:val="18"/>
          <w:b w:val="1"/>
          <w:bCs w:val="1"/>
          <w:color w:val="auto"/>
        </w:rPr>
        <w:t>We may issue notes or other debt securities, or otherwise incur substantial debt, to complete a business combination, which may adversely affect our leverage and financial condition and thus negatively impact the value of our stockholders’ investment in us.</w:t>
      </w:r>
    </w:p>
    <w:p>
      <w:pPr>
        <w:spacing w:after="0" w:line="123" w:lineRule="exact"/>
        <w:rPr>
          <w:sz w:val="20"/>
          <w:szCs w:val="20"/>
          <w:color w:val="auto"/>
        </w:rPr>
      </w:pPr>
    </w:p>
    <w:p>
      <w:pPr>
        <w:ind w:left="460" w:right="499"/>
        <w:spacing w:after="0" w:line="237" w:lineRule="auto"/>
        <w:rPr>
          <w:sz w:val="20"/>
          <w:szCs w:val="20"/>
          <w:color w:val="auto"/>
        </w:rPr>
      </w:pPr>
      <w:r>
        <w:rPr>
          <w:rFonts w:ascii="Arial" w:cs="Arial" w:eastAsia="Arial" w:hAnsi="Arial"/>
          <w:sz w:val="18"/>
          <w:szCs w:val="18"/>
          <w:color w:val="auto"/>
        </w:rPr>
        <w:t>Although we have no commitments as of the date of this prospectus to issue any notes or other debt securities, or to otherwise incur outstanding debt following this offering, we may choose to incur substantial debt to complete our initial business combination. We and our officers have agreed that we will not incur any indebtedness unless we have obtained from the lender a waiver of any right, title, interest or claim of any kind in or to the monies held in the trust account. As such, no issuance of debt will affect the per share amount available for redemption from the trust account. Nevertheless, the incurrence of debt could have a variety of negative effects, including:</w:t>
      </w:r>
    </w:p>
    <w:p>
      <w:pPr>
        <w:spacing w:after="0" w:line="14" w:lineRule="exact"/>
        <w:rPr>
          <w:sz w:val="20"/>
          <w:szCs w:val="20"/>
          <w:color w:val="auto"/>
        </w:rPr>
      </w:pPr>
    </w:p>
    <w:p>
      <w:pPr>
        <w:ind w:left="1100" w:right="1099" w:hanging="322"/>
        <w:spacing w:after="0" w:line="246" w:lineRule="auto"/>
        <w:tabs>
          <w:tab w:leader="none" w:pos="1039"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an initial business combination are insufficient to repay our debt obligations;</w:t>
      </w:r>
    </w:p>
    <w:p>
      <w:pPr>
        <w:spacing w:after="0" w:line="21" w:lineRule="exact"/>
        <w:rPr>
          <w:rFonts w:ascii="Arial" w:cs="Arial" w:eastAsia="Arial" w:hAnsi="Arial"/>
          <w:sz w:val="18"/>
          <w:szCs w:val="18"/>
          <w:color w:val="auto"/>
        </w:rPr>
      </w:pPr>
    </w:p>
    <w:p>
      <w:pPr>
        <w:ind w:left="1100" w:right="639" w:hanging="322"/>
        <w:spacing w:after="0"/>
        <w:tabs>
          <w:tab w:leader="none" w:pos="1039"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27" w:lineRule="exact"/>
        <w:rPr>
          <w:rFonts w:ascii="Arial" w:cs="Arial" w:eastAsia="Arial" w:hAnsi="Arial"/>
          <w:sz w:val="18"/>
          <w:szCs w:val="18"/>
          <w:color w:val="auto"/>
        </w:rPr>
      </w:pPr>
    </w:p>
    <w:p>
      <w:pPr>
        <w:ind w:left="1100" w:right="759" w:hanging="322"/>
        <w:spacing w:after="0" w:line="246" w:lineRule="auto"/>
        <w:tabs>
          <w:tab w:leader="none" w:pos="1039"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is payable on demand;</w:t>
      </w:r>
    </w:p>
    <w:p>
      <w:pPr>
        <w:spacing w:after="0" w:line="7" w:lineRule="exact"/>
        <w:rPr>
          <w:rFonts w:ascii="Arial" w:cs="Arial" w:eastAsia="Arial" w:hAnsi="Arial"/>
          <w:sz w:val="18"/>
          <w:szCs w:val="18"/>
          <w:color w:val="auto"/>
        </w:rPr>
      </w:pPr>
    </w:p>
    <w:p>
      <w:pPr>
        <w:ind w:left="1100" w:right="599" w:hanging="322"/>
        <w:spacing w:after="0" w:line="246" w:lineRule="auto"/>
        <w:tabs>
          <w:tab w:leader="none" w:pos="1039"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contains covenants restricting our ability to obtain such financing while the debt is outstanding;</w:t>
      </w:r>
    </w:p>
    <w:p>
      <w:pPr>
        <w:spacing w:after="0" w:line="21" w:lineRule="exact"/>
        <w:rPr>
          <w:rFonts w:ascii="Arial" w:cs="Arial" w:eastAsia="Arial" w:hAnsi="Arial"/>
          <w:sz w:val="18"/>
          <w:szCs w:val="18"/>
          <w:color w:val="auto"/>
        </w:rPr>
      </w:pPr>
    </w:p>
    <w:p>
      <w:pPr>
        <w:ind w:left="1040" w:hanging="262"/>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inability to pay dividends on our Class A common stock;</w:t>
      </w:r>
    </w:p>
    <w:p>
      <w:pPr>
        <w:spacing w:after="0" w:line="36" w:lineRule="exact"/>
        <w:rPr>
          <w:rFonts w:ascii="Arial" w:cs="Arial" w:eastAsia="Arial" w:hAnsi="Arial"/>
          <w:sz w:val="18"/>
          <w:szCs w:val="18"/>
          <w:color w:val="auto"/>
        </w:rPr>
      </w:pPr>
    </w:p>
    <w:p>
      <w:pPr>
        <w:jc w:val="both"/>
        <w:ind w:left="1100" w:right="499" w:hanging="322"/>
        <w:spacing w:after="0"/>
        <w:tabs>
          <w:tab w:leader="none" w:pos="1039" w:val="left"/>
        </w:tabs>
        <w:numPr>
          <w:ilvl w:val="0"/>
          <w:numId w:val="25"/>
        </w:numPr>
        <w:rPr>
          <w:rFonts w:ascii="Arial" w:cs="Arial" w:eastAsia="Arial" w:hAnsi="Arial"/>
          <w:sz w:val="18"/>
          <w:szCs w:val="18"/>
          <w:color w:val="auto"/>
        </w:rPr>
      </w:pPr>
      <w:r>
        <w:rPr>
          <w:rFonts w:ascii="Arial" w:cs="Arial" w:eastAsia="Arial" w:hAnsi="Arial"/>
          <w:sz w:val="18"/>
          <w:szCs w:val="18"/>
          <w:color w:val="auto"/>
        </w:rPr>
        <w:t>using a substantial portion of our cash flow to pay principal and interest on our debt, which will reduce the funds available for dividends on our Class A common stock if declared, expenses, capital expenditures, acquisitions and other general corporate purposes;</w:t>
      </w:r>
    </w:p>
    <w:p>
      <w:pPr>
        <w:spacing w:after="0" w:line="13" w:lineRule="exact"/>
        <w:rPr>
          <w:rFonts w:ascii="Arial" w:cs="Arial" w:eastAsia="Arial" w:hAnsi="Arial"/>
          <w:sz w:val="18"/>
          <w:szCs w:val="18"/>
          <w:color w:val="auto"/>
        </w:rPr>
      </w:pPr>
    </w:p>
    <w:p>
      <w:pPr>
        <w:ind w:left="1100" w:right="639" w:hanging="322"/>
        <w:spacing w:after="0" w:line="246" w:lineRule="auto"/>
        <w:tabs>
          <w:tab w:leader="none" w:pos="1039"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21" w:lineRule="exact"/>
        <w:rPr>
          <w:rFonts w:ascii="Arial" w:cs="Arial" w:eastAsia="Arial" w:hAnsi="Arial"/>
          <w:sz w:val="18"/>
          <w:szCs w:val="18"/>
          <w:color w:val="auto"/>
        </w:rPr>
      </w:pPr>
    </w:p>
    <w:p>
      <w:pPr>
        <w:ind w:left="1100" w:right="879" w:hanging="322"/>
        <w:spacing w:after="0" w:line="246" w:lineRule="auto"/>
        <w:tabs>
          <w:tab w:leader="none" w:pos="1039"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 and</w:t>
      </w:r>
    </w:p>
    <w:p>
      <w:pPr>
        <w:spacing w:after="0" w:line="21" w:lineRule="exact"/>
        <w:rPr>
          <w:rFonts w:ascii="Arial" w:cs="Arial" w:eastAsia="Arial" w:hAnsi="Arial"/>
          <w:sz w:val="18"/>
          <w:szCs w:val="18"/>
          <w:color w:val="auto"/>
        </w:rPr>
      </w:pPr>
    </w:p>
    <w:p>
      <w:pPr>
        <w:ind w:left="1100" w:right="779" w:hanging="322"/>
        <w:spacing w:after="0"/>
        <w:tabs>
          <w:tab w:leader="none" w:pos="1039"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181" w:lineRule="exact"/>
        <w:rPr>
          <w:sz w:val="20"/>
          <w:szCs w:val="20"/>
          <w:color w:val="auto"/>
        </w:rPr>
      </w:pPr>
    </w:p>
    <w:p>
      <w:pPr>
        <w:ind w:left="460" w:right="539"/>
        <w:spacing w:after="0" w:line="247" w:lineRule="auto"/>
        <w:rPr>
          <w:sz w:val="20"/>
          <w:szCs w:val="20"/>
          <w:color w:val="auto"/>
        </w:rPr>
      </w:pPr>
      <w:r>
        <w:rPr>
          <w:rFonts w:ascii="Arial" w:cs="Arial" w:eastAsia="Arial" w:hAnsi="Arial"/>
          <w:sz w:val="18"/>
          <w:szCs w:val="18"/>
          <w:b w:val="1"/>
          <w:bCs w:val="1"/>
          <w:color w:val="auto"/>
        </w:rPr>
        <w:t>We may only be able to complete one business combination with the proceeds of this offering and the sale of the private placement shares, which will cause us to be solely dependent on a single business which may have a limited number of products or services. This lack of diversification may negatively impact our operations and profitability.</w:t>
      </w:r>
    </w:p>
    <w:p>
      <w:pPr>
        <w:spacing w:after="0" w:line="115" w:lineRule="exact"/>
        <w:rPr>
          <w:sz w:val="20"/>
          <w:szCs w:val="20"/>
          <w:color w:val="auto"/>
        </w:rPr>
      </w:pPr>
    </w:p>
    <w:p>
      <w:pPr>
        <w:ind w:left="460" w:right="579"/>
        <w:spacing w:after="0" w:line="238" w:lineRule="auto"/>
        <w:rPr>
          <w:sz w:val="20"/>
          <w:szCs w:val="20"/>
          <w:color w:val="auto"/>
        </w:rPr>
      </w:pPr>
      <w:r>
        <w:rPr>
          <w:rFonts w:ascii="Arial" w:cs="Arial" w:eastAsia="Arial" w:hAnsi="Arial"/>
          <w:sz w:val="18"/>
          <w:szCs w:val="18"/>
          <w:color w:val="auto"/>
        </w:rPr>
        <w:t>The net proceeds from this offering and the private placement of shares will provide us with $96,500,000 (or $110,975,000 if the underwriters’ over-allotment option is exercised in full) that we may use to complete our initial business combination (after taking into account the $3,500,000, or up to $4,025,000 if the over-allotment option is exercised in full, of deferred underwriting commissions being held in the trust account).</w:t>
      </w:r>
    </w:p>
    <w:p>
      <w:pPr>
        <w:spacing w:after="0" w:line="135" w:lineRule="exact"/>
        <w:rPr>
          <w:sz w:val="20"/>
          <w:szCs w:val="20"/>
          <w:color w:val="auto"/>
        </w:rPr>
      </w:pPr>
    </w:p>
    <w:p>
      <w:pPr>
        <w:ind w:left="460" w:right="459"/>
        <w:spacing w:after="0" w:line="251" w:lineRule="auto"/>
        <w:rPr>
          <w:sz w:val="20"/>
          <w:szCs w:val="20"/>
          <w:color w:val="auto"/>
        </w:rPr>
      </w:pPr>
      <w:r>
        <w:rPr>
          <w:rFonts w:ascii="Arial" w:cs="Arial" w:eastAsia="Arial" w:hAnsi="Arial"/>
          <w:sz w:val="17"/>
          <w:szCs w:val="17"/>
          <w:color w:val="auto"/>
        </w:rPr>
        <w:t>We may effectuate our initial business combination with a single target business or multiple target businesses simultaneously or within a short period of time. However, we may not be able to effectuate our initial business combination with more than one target business because of various factors, including the existence of complex accounting issues and the requirement that we prepare and file pro forma financial statements with the SEC that present operating results and the financial condition of several target businesses as if they had been operated on a combined basis. By completing our initial business combination with only a single entity, our lack of diversification may subject us to numerous economic, competitive and regulatory developments.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Accordingly, the prospects for our success may be:</w:t>
      </w:r>
    </w:p>
    <w:p>
      <w:pPr>
        <w:spacing w:after="0" w:line="19" w:lineRule="exact"/>
        <w:rPr>
          <w:sz w:val="20"/>
          <w:szCs w:val="20"/>
          <w:color w:val="auto"/>
        </w:rPr>
      </w:pPr>
    </w:p>
    <w:p>
      <w:pPr>
        <w:ind w:left="1040" w:hanging="262"/>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solely dependent upon the performance of a single business, property or asset, or</w:t>
      </w:r>
    </w:p>
    <w:p>
      <w:pPr>
        <w:spacing w:after="0" w:line="22" w:lineRule="exact"/>
        <w:rPr>
          <w:rFonts w:ascii="Arial" w:cs="Arial" w:eastAsia="Arial" w:hAnsi="Arial"/>
          <w:sz w:val="18"/>
          <w:szCs w:val="18"/>
          <w:color w:val="auto"/>
        </w:rPr>
      </w:pPr>
    </w:p>
    <w:p>
      <w:pPr>
        <w:ind w:left="1100" w:right="999" w:hanging="322"/>
        <w:spacing w:after="0" w:line="246" w:lineRule="auto"/>
        <w:tabs>
          <w:tab w:leader="none" w:pos="1039"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dependent upon the development or market acceptance of a single or limited number of products, processes or services.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47" w:name="page48"/>
    <w:bookmarkEnd w:id="47"/>
    <w:p>
      <w:pPr>
        <w:jc w:val="both"/>
        <w:ind w:left="460" w:right="719"/>
        <w:spacing w:after="0"/>
        <w:rPr>
          <w:sz w:val="20"/>
          <w:szCs w:val="20"/>
          <w:color w:val="auto"/>
        </w:rPr>
      </w:pPr>
      <w:r>
        <w:rPr>
          <w:rFonts w:ascii="Arial" w:cs="Arial" w:eastAsia="Arial" w:hAnsi="Arial"/>
          <w:sz w:val="18"/>
          <w:szCs w:val="18"/>
          <w:color w:val="auto"/>
        </w:rPr>
        <w:t>This lack of diversification may subject us to numerous economic, competitive and regulatory risks, any or all of which may have a substantial adverse impact upon the particular industry in which we may operate subsequent to our initial business combination.</w:t>
      </w:r>
    </w:p>
    <w:p>
      <w:pPr>
        <w:spacing w:after="0" w:line="181" w:lineRule="exact"/>
        <w:rPr>
          <w:sz w:val="20"/>
          <w:szCs w:val="20"/>
          <w:color w:val="auto"/>
        </w:rPr>
      </w:pPr>
    </w:p>
    <w:p>
      <w:pPr>
        <w:ind w:left="460" w:right="519"/>
        <w:spacing w:after="0" w:line="275" w:lineRule="auto"/>
        <w:rPr>
          <w:sz w:val="20"/>
          <w:szCs w:val="20"/>
          <w:color w:val="auto"/>
        </w:rPr>
      </w:pPr>
      <w:r>
        <w:rPr>
          <w:rFonts w:ascii="Arial" w:cs="Arial" w:eastAsia="Arial" w:hAnsi="Arial"/>
          <w:sz w:val="17"/>
          <w:szCs w:val="17"/>
          <w:b w:val="1"/>
          <w:bCs w:val="1"/>
          <w:color w:val="auto"/>
        </w:rPr>
        <w:t>We may attempt to simultaneously complete business combinations with multiple prospective targets, which may hinder our ability to complete our initial business combination and give rise to increased costs and risks that could negatively impact our operations and profitability.</w:t>
      </w:r>
    </w:p>
    <w:p>
      <w:pPr>
        <w:spacing w:after="0" w:line="93"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If we determine to simultaneously acquire several businesses that are owned by different sellers, we will need for each of such sellers to agree that our purchase of its business is contingent on the simultaneous closings of the other business combinations, which may make it more difficult for us, and delay our ability, to complete our initial business combination. With multiple business combinations,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acquired companies in a single operating business. If we are unable to adequately address these risks, it could negatively impact our profitability and results of operations.</w:t>
      </w:r>
    </w:p>
    <w:p>
      <w:pPr>
        <w:spacing w:after="0" w:line="185" w:lineRule="exact"/>
        <w:rPr>
          <w:sz w:val="20"/>
          <w:szCs w:val="20"/>
          <w:color w:val="auto"/>
        </w:rPr>
      </w:pPr>
    </w:p>
    <w:p>
      <w:pPr>
        <w:ind w:left="460" w:right="739"/>
        <w:spacing w:after="0" w:line="253" w:lineRule="auto"/>
        <w:rPr>
          <w:sz w:val="20"/>
          <w:szCs w:val="20"/>
          <w:color w:val="auto"/>
        </w:rPr>
      </w:pPr>
      <w:r>
        <w:rPr>
          <w:rFonts w:ascii="Arial" w:cs="Arial" w:eastAsia="Arial" w:hAnsi="Arial"/>
          <w:sz w:val="18"/>
          <w:szCs w:val="18"/>
          <w:b w:val="1"/>
          <w:bCs w:val="1"/>
          <w:color w:val="auto"/>
        </w:rPr>
        <w:t>We may attempt to complete our initial business combination with a private company about which little information is available, which may result in a business combination with a company that is not as profitable as we suspected, if at all.</w:t>
      </w:r>
    </w:p>
    <w:p>
      <w:pPr>
        <w:spacing w:after="0" w:line="123" w:lineRule="exact"/>
        <w:rPr>
          <w:sz w:val="20"/>
          <w:szCs w:val="20"/>
          <w:color w:val="auto"/>
        </w:rPr>
      </w:pPr>
    </w:p>
    <w:p>
      <w:pPr>
        <w:ind w:left="460" w:right="519"/>
        <w:spacing w:after="0" w:line="238" w:lineRule="auto"/>
        <w:rPr>
          <w:sz w:val="20"/>
          <w:szCs w:val="20"/>
          <w:color w:val="auto"/>
        </w:rPr>
      </w:pPr>
      <w:r>
        <w:rPr>
          <w:rFonts w:ascii="Arial" w:cs="Arial" w:eastAsia="Arial" w:hAnsi="Arial"/>
          <w:sz w:val="18"/>
          <w:szCs w:val="18"/>
          <w:color w:val="auto"/>
        </w:rPr>
        <w:t>In pursuing our business combination strategy, we may seek to effectuate our initial business combination with a privately held company. Very little public information generally exists about private companies, and we could be required to make our decision on whether to pursue a potential initial business combination on the basis of limited information, which may result in a business combination with a company that is not as profitable as we suspected, if at all.</w:t>
      </w:r>
    </w:p>
    <w:p>
      <w:pPr>
        <w:spacing w:after="0" w:line="180" w:lineRule="exact"/>
        <w:rPr>
          <w:sz w:val="20"/>
          <w:szCs w:val="20"/>
          <w:color w:val="auto"/>
        </w:rPr>
      </w:pPr>
    </w:p>
    <w:p>
      <w:pPr>
        <w:ind w:left="460" w:right="839"/>
        <w:spacing w:after="0" w:line="247" w:lineRule="auto"/>
        <w:rPr>
          <w:sz w:val="20"/>
          <w:szCs w:val="20"/>
          <w:color w:val="auto"/>
        </w:rPr>
      </w:pPr>
      <w:r>
        <w:rPr>
          <w:rFonts w:ascii="Arial" w:cs="Arial" w:eastAsia="Arial" w:hAnsi="Arial"/>
          <w:sz w:val="18"/>
          <w:szCs w:val="18"/>
          <w:b w:val="1"/>
          <w:bCs w:val="1"/>
          <w:color w:val="auto"/>
        </w:rPr>
        <w:t>Our management may not maintain control of a target business after our initial business combination. We cannot provide assurance that, upon loss of control of a target business, new management will possess the skills, qualifications or abilities necessary to profitably operate such business.</w:t>
      </w:r>
    </w:p>
    <w:p>
      <w:pPr>
        <w:spacing w:after="0" w:line="128" w:lineRule="exact"/>
        <w:rPr>
          <w:sz w:val="20"/>
          <w:szCs w:val="20"/>
          <w:color w:val="auto"/>
        </w:rPr>
      </w:pPr>
    </w:p>
    <w:p>
      <w:pPr>
        <w:ind w:left="460" w:right="499"/>
        <w:spacing w:after="0" w:line="235" w:lineRule="auto"/>
        <w:rPr>
          <w:sz w:val="20"/>
          <w:szCs w:val="20"/>
          <w:color w:val="auto"/>
        </w:rPr>
      </w:pPr>
      <w:r>
        <w:rPr>
          <w:rFonts w:ascii="Arial" w:cs="Arial" w:eastAsia="Arial" w:hAnsi="Arial"/>
          <w:sz w:val="18"/>
          <w:szCs w:val="18"/>
          <w:color w:val="auto"/>
        </w:rPr>
        <w:t>We may structure our initial business combination so that the post-transaction company in which our public stockholders own shares will own less than 100% of the equity interests or assets of a target business, but we will only complete such business combination if the post-transaction company owns or acquires 50% or more of the outstanding voting securities of the target or otherwise acquires a controlling interest in the target sufficient for us not to be required to register as an investment company under the Investment Company Act. We will not consider any transaction that does not meet such criteria. Even if the post-transaction company owns 50% or more of the voting securities of the target, our stockholders prior to the business combination may collectively own a minority interest in the post business combination company, depending on valuations ascribed to the target and us in the business combination. For example, we could pursue a transaction in which we issue a substantial number of new shares of Class A common stock in exchange for all of the outstanding capital stock of a target. In this case, we would acquire a 100% interest in the target. However, as a result of the issuance of a substantial number of new shares of Class A common stock, our stockholders immediately prior to such transaction could own less than a majority of our outstanding Class A common stock subsequent to such transaction. In addition, other minority stockholders may subsequently combine their holdings resulting in a single person or group obtaining a larger share of the company’s shares than we initially acquired. Accordingly, this may make it more likely that our management will not maintain control of the target business.</w:t>
      </w:r>
    </w:p>
    <w:p>
      <w:pPr>
        <w:spacing w:after="0" w:line="191" w:lineRule="exact"/>
        <w:rPr>
          <w:sz w:val="20"/>
          <w:szCs w:val="20"/>
          <w:color w:val="auto"/>
        </w:rPr>
      </w:pPr>
    </w:p>
    <w:p>
      <w:pPr>
        <w:ind w:left="460" w:right="1439"/>
        <w:spacing w:after="0" w:line="275" w:lineRule="auto"/>
        <w:rPr>
          <w:sz w:val="20"/>
          <w:szCs w:val="20"/>
          <w:color w:val="auto"/>
        </w:rPr>
      </w:pPr>
      <w:r>
        <w:rPr>
          <w:rFonts w:ascii="Arial" w:cs="Arial" w:eastAsia="Arial" w:hAnsi="Arial"/>
          <w:sz w:val="17"/>
          <w:szCs w:val="17"/>
          <w:b w:val="1"/>
          <w:bCs w:val="1"/>
          <w:color w:val="auto"/>
        </w:rPr>
        <w:t>We do not have a specified maximum redemption threshold. The absence of such a redemption threshold may make it possible for us to complete our initial business combination with which a substantial majority of our stockholders do not agree.</w:t>
      </w:r>
    </w:p>
    <w:p>
      <w:pPr>
        <w:spacing w:after="0" w:line="93" w:lineRule="exact"/>
        <w:rPr>
          <w:sz w:val="20"/>
          <w:szCs w:val="20"/>
          <w:color w:val="auto"/>
        </w:rPr>
      </w:pPr>
    </w:p>
    <w:p>
      <w:pPr>
        <w:ind w:left="460" w:right="539"/>
        <w:spacing w:after="0" w:line="237" w:lineRule="auto"/>
        <w:rPr>
          <w:sz w:val="20"/>
          <w:szCs w:val="20"/>
          <w:color w:val="auto"/>
        </w:rPr>
      </w:pPr>
      <w:r>
        <w:rPr>
          <w:rFonts w:ascii="Arial" w:cs="Arial" w:eastAsia="Arial" w:hAnsi="Arial"/>
          <w:sz w:val="18"/>
          <w:szCs w:val="18"/>
          <w:color w:val="auto"/>
        </w:rPr>
        <w:t>Our amended and restated certificate of incorporation does not provide a specified maximum redemption threshold, except that in no event will we redeem our public shares in an amount that would cause our net tangible assets to be less than $5,000,001. In addition, our proposed initial business combination may impose a minimum cash requirement for: (i) cash consideration to be paid to the target or its owners, (ii) cash for working capital or other general corporate purposes or (iii) the retention of cash to satisfy other conditions. As a result, we may be able to</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48" w:name="page49"/>
    <w:bookmarkEnd w:id="48"/>
    <w:p>
      <w:pPr>
        <w:ind w:left="460" w:right="499"/>
        <w:spacing w:after="0" w:line="236" w:lineRule="auto"/>
        <w:rPr>
          <w:sz w:val="20"/>
          <w:szCs w:val="20"/>
          <w:color w:val="auto"/>
        </w:rPr>
      </w:pPr>
      <w:r>
        <w:rPr>
          <w:rFonts w:ascii="Arial" w:cs="Arial" w:eastAsia="Arial" w:hAnsi="Arial"/>
          <w:sz w:val="18"/>
          <w:szCs w:val="18"/>
          <w:color w:val="auto"/>
        </w:rPr>
        <w:t>complete our initial business combination even though a substantial majority of our public stockholders do not agree with the transaction and have redeemed their shares or, if we seek stockholder approval of our initial business combination and do not conduct redemptions in connection with our initial business combination pursuant to the tender offer rules, have entered into privately negotiated agreements to sell their shares to our sponsor, officers, directors, advisors or any of their respective affiliates. In the event the aggregate cash consideration we would be required to pay for all shares of Class A common stock that are validly submitted for redemption plus any amount required to satisfy cash conditions pursuant to the terms of the proposed business combination exceed the aggregate amount of cash available to us, we will not complete the business combination or redeem any shares in connection with such initial business combination, all shares of Class A common stock submitted for redemption will be returned to the holders thereof, and we instead may search for an alternate business combination.</w:t>
      </w:r>
    </w:p>
    <w:p>
      <w:pPr>
        <w:spacing w:after="0" w:line="182" w:lineRule="exact"/>
        <w:rPr>
          <w:sz w:val="20"/>
          <w:szCs w:val="20"/>
          <w:color w:val="auto"/>
        </w:rPr>
      </w:pPr>
    </w:p>
    <w:p>
      <w:pPr>
        <w:ind w:left="460" w:right="479"/>
        <w:spacing w:after="0" w:line="244" w:lineRule="auto"/>
        <w:rPr>
          <w:sz w:val="20"/>
          <w:szCs w:val="20"/>
          <w:color w:val="auto"/>
        </w:rPr>
      </w:pPr>
      <w:r>
        <w:rPr>
          <w:rFonts w:ascii="Arial" w:cs="Arial" w:eastAsia="Arial" w:hAnsi="Arial"/>
          <w:sz w:val="18"/>
          <w:szCs w:val="18"/>
          <w:b w:val="1"/>
          <w:bCs w:val="1"/>
          <w:color w:val="auto"/>
        </w:rPr>
        <w:t>In order to effectuate an initial business combination, special purpose acquisition companies have, in the recent past, amended various provisions of their charters and other governing instruments. We cannot assure you that we will not seek to amend our amended and restated certificate of incorporation or governing instruments in a manner that will make it easier for us to complete our initial business combination that our stockholders may not support.</w:t>
      </w:r>
    </w:p>
    <w:p>
      <w:pPr>
        <w:spacing w:after="0" w:line="117" w:lineRule="exact"/>
        <w:rPr>
          <w:sz w:val="20"/>
          <w:szCs w:val="20"/>
          <w:color w:val="auto"/>
        </w:rPr>
      </w:pPr>
    </w:p>
    <w:p>
      <w:pPr>
        <w:ind w:left="460" w:right="499"/>
        <w:spacing w:after="0" w:line="235" w:lineRule="auto"/>
        <w:rPr>
          <w:sz w:val="20"/>
          <w:szCs w:val="20"/>
          <w:color w:val="auto"/>
        </w:rPr>
      </w:pPr>
      <w:r>
        <w:rPr>
          <w:rFonts w:ascii="Arial" w:cs="Arial" w:eastAsia="Arial" w:hAnsi="Arial"/>
          <w:sz w:val="18"/>
          <w:szCs w:val="18"/>
          <w:color w:val="auto"/>
        </w:rPr>
        <w:t>In order to effectuate a business combination, special purpose acquisition companies have, in the recent past, amended various provisions of their charters and governing instruments. For example, special purpose acquisition companies have amended the definition of business combination, increased redemption thresholds and extended the time to consummate an initial business combination. Amending such provisions of our amended and restated certificate of incorporation will require the approval of holders of at least 65% of all then issued and outstanding shares of common stock. In addition, our amended and restated certificate of incorporation requires us to provide our public stockholders with the opportunity to redeem their public shares for cash if we propose an amendment to our amended and restated certificate of incorporation to modify the substance or timing of our obligation to redeem 100% of our public shares if we do not complete an initial business combination within 24 months of the closing of this offering or with respect to any other material provisions relating to stockholders’ rights or pre-initial business combination activity. To the extent any of such amendments would be deemed to fundamentally change the nature of the Class A common shares offered through this registration statement, we would register, or seek an exemption from registration for, the affected securities. We cannot assure you that we will not seek to amend our charter or governing instruments or extend the time to consummate an initial business combination in order to effectuate our initial business combination.</w:t>
      </w:r>
    </w:p>
    <w:p>
      <w:pPr>
        <w:spacing w:after="0" w:line="191" w:lineRule="exact"/>
        <w:rPr>
          <w:sz w:val="20"/>
          <w:szCs w:val="20"/>
          <w:color w:val="auto"/>
        </w:rPr>
      </w:pPr>
    </w:p>
    <w:p>
      <w:pPr>
        <w:ind w:left="460" w:right="539"/>
        <w:spacing w:after="0"/>
        <w:rPr>
          <w:sz w:val="20"/>
          <w:szCs w:val="20"/>
          <w:color w:val="auto"/>
        </w:rPr>
      </w:pPr>
      <w:r>
        <w:rPr>
          <w:rFonts w:ascii="Arial" w:cs="Arial" w:eastAsia="Arial" w:hAnsi="Arial"/>
          <w:sz w:val="18"/>
          <w:szCs w:val="18"/>
          <w:b w:val="1"/>
          <w:bCs w:val="1"/>
          <w:color w:val="auto"/>
        </w:rPr>
        <w:t>The provisions of our amended and restated certificate of incorporation that relate to our pre-business combination activity (and corresponding provisions of the agreement governing the release of funds from our trust account) may be amended with the approval of holders of 65% of our common stock, which is a lower amendment threshold than that of some other special purpose acquisition companies. It may be easier for us, therefore, to amend our amended and restated certificate of incorporation to facilitate the completion of an initial business combination that some of our stockholders may not support.</w:t>
      </w:r>
    </w:p>
    <w:p>
      <w:pPr>
        <w:spacing w:after="0" w:line="126"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Our amended and restated certificate of incorporation provides that any of its provisions related to pre-business combination activity (including the requirement to deposit proceeds of this offering and the private placement of shares into the trust account and not release such amounts except in specified circumstances, and to provide redemption rights to public stockholders as described herein) may be amended if approved by holders of 65% of our common stock entitled to vote thereon and corresponding provisions of the trust agreement governing the release of funds from our trust account may be amended if approved by holders of 65% of our common stock entitled to vote thereon. In all other instances, our amended and restated certificate of incorporation may be amended by holders of a majority of our outstanding common stock entitled to vote thereon, subject to applicable provisions of the DGCL or applicable stock exchange rules. Our initial stockholders, who will collectively beneficially own 20% of our common stock upon the closing of this offering (excluding the private placement shares and assuming they do not purchase any shares in this offering), may participate in any vote to amend our amended and restated certificate of incorporation and/or trust agreement and will have the discretion to vote in any manner they choose. As a result, we may be able to amend the provisions of our amended and restated certificate of incorporation which govern our pre-business combination behavior more easily than some other special purpose acquisition companies, and this may increase our ability to complete a business combination with which you do not agree. Our stockholders may pursue remedies against us for any breach of our amended and restated certificate of incorporation.</w:t>
      </w:r>
    </w:p>
    <w:p>
      <w:pPr>
        <w:sectPr>
          <w:pgSz w:w="11900" w:h="16838" w:orient="portrait"/>
          <w:cols w:equalWidth="0" w:num="1">
            <w:col w:w="9019"/>
          </w:cols>
          <w:pgMar w:left="1440" w:top="287" w:right="1440" w:bottom="1440" w:gutter="0" w:footer="0" w:header="0"/>
        </w:sectPr>
      </w:pP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49" w:name="page50"/>
    <w:bookmarkEnd w:id="49"/>
    <w:p>
      <w:pPr>
        <w:ind w:left="460" w:right="479"/>
        <w:spacing w:after="0" w:line="235" w:lineRule="auto"/>
        <w:rPr>
          <w:sz w:val="20"/>
          <w:szCs w:val="20"/>
          <w:color w:val="auto"/>
        </w:rPr>
      </w:pPr>
      <w:r>
        <w:rPr>
          <w:rFonts w:ascii="Arial" w:cs="Arial" w:eastAsia="Arial" w:hAnsi="Arial"/>
          <w:sz w:val="18"/>
          <w:szCs w:val="18"/>
          <w:color w:val="auto"/>
        </w:rPr>
        <w:t>Our sponsor, executive officers, directors and director nominees have agreed, pursuant to written agreements with us, that they will not propose any amendment to our amended and restated certificate of incorporation to modify the substance or timing of our obligation to redeem 100% of our public shares if we do not complete our initial business combination within 24 months from the closing of this offering or with respect to any other material provisions relating to stockholders’ rights or pre-initial business combination activity, unless we provide our public stockholders with the opportunity to redeem their Class A common stock upon approval of any such amendment at a per-share price, payable in cash, equal to the aggregate amount then on deposit in the trust account, including interest earned on the funds held in the trust account and not previously released to us to pay our taxes, divided by the number of then outstanding public shares. Our stockholders are not parties to, or third-party beneficiaries of, these agreements and, as a result, will not have the ability to pursue remedies against our sponsor, executive officers, directors or director nominees for any breach of these agreements. As a result, in the event of a breach, our stockholders would need to pursue a stockholder derivative action, subject to applicable law.</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Certain agreements related to this offering may be amended without stockholder approval.</w:t>
      </w:r>
    </w:p>
    <w:p>
      <w:pPr>
        <w:spacing w:after="0" w:line="153" w:lineRule="exact"/>
        <w:rPr>
          <w:sz w:val="20"/>
          <w:szCs w:val="20"/>
          <w:color w:val="auto"/>
        </w:rPr>
      </w:pPr>
    </w:p>
    <w:p>
      <w:pPr>
        <w:ind w:left="460" w:right="459"/>
        <w:spacing w:after="0" w:line="235" w:lineRule="auto"/>
        <w:rPr>
          <w:sz w:val="20"/>
          <w:szCs w:val="20"/>
          <w:color w:val="auto"/>
        </w:rPr>
      </w:pPr>
      <w:r>
        <w:rPr>
          <w:rFonts w:ascii="Arial" w:cs="Arial" w:eastAsia="Arial" w:hAnsi="Arial"/>
          <w:sz w:val="18"/>
          <w:szCs w:val="18"/>
          <w:color w:val="auto"/>
        </w:rPr>
        <w:t>Each of the agreements related to this offering to which we are a party, other than the investment management trust agreement, may be amended without stockholder approval. Such agreements are: the underwriting agreement; the letter agreement among us and our initial stockholders, sponsor, officers and directors; the registration rights agreement among us and our initial stockholders; the private placement shares purchase agreement between us and our sponsor; and the administrative services agreement among us, our sponsor and an affiliate of our sponsor. These agreements contain various provisions that our public stockholders might deem to be material. For example, our letter agreement and the underwriting agreement contain certain lock-up provisions with respect to the founder shares, private placement shares and other securities held by our initial stockholders, sponsor, officers and directors. Amendments to such agreements would require the consent of the applicable parties thereto and would need to be approved by our board of directors, which may do so for a variety of reasons, including to facilitate our initial business combination. While we do not expect our board of directors to approve any amendment to any of these agreements prior to our initial business combination, it may be possible that our board of directors, in exercising its business judgment and subject to its fiduciary duties, chooses to approve one or more amendments to any such agreement. Any amendment entered into in connection with the consummation of our initial business combination will be disclosed in our proxy materials or tender offer documents, as applicable, related to such initial business combination, and any other material amendment to any of our material agreements will be disclosed in a filing with the SEC. Any such amendments would not require approval from our stockholders, may result in the completion of our initial business combination that may not otherwise have been possible, and may have an adverse effect on the value of an investment in our securities. For example, amendments to the lock-up provision discussed above may result in our initial stockholders selling their securities earlier than they would otherwise be permitted, which may have an adverse effect on the price of our securities.</w:t>
      </w:r>
    </w:p>
    <w:p>
      <w:pPr>
        <w:spacing w:after="0" w:line="190" w:lineRule="exact"/>
        <w:rPr>
          <w:sz w:val="20"/>
          <w:szCs w:val="20"/>
          <w:color w:val="auto"/>
        </w:rPr>
      </w:pPr>
    </w:p>
    <w:p>
      <w:pPr>
        <w:ind w:left="460" w:right="579"/>
        <w:spacing w:after="0" w:line="253" w:lineRule="auto"/>
        <w:rPr>
          <w:sz w:val="20"/>
          <w:szCs w:val="20"/>
          <w:color w:val="auto"/>
        </w:rPr>
      </w:pPr>
      <w:r>
        <w:rPr>
          <w:rFonts w:ascii="Arial" w:cs="Arial" w:eastAsia="Arial" w:hAnsi="Arial"/>
          <w:sz w:val="18"/>
          <w:szCs w:val="18"/>
          <w:b w:val="1"/>
          <w:bCs w:val="1"/>
          <w:color w:val="auto"/>
        </w:rPr>
        <w:t>We may be unable to obtain additional financing to complete our initial business combination or to fund the operations and growth of a target business, which could compel us to restructure or abandon a particular business combination.</w:t>
      </w:r>
    </w:p>
    <w:p>
      <w:pPr>
        <w:spacing w:after="0" w:line="96" w:lineRule="exact"/>
        <w:rPr>
          <w:sz w:val="20"/>
          <w:szCs w:val="20"/>
          <w:color w:val="auto"/>
        </w:rPr>
      </w:pPr>
    </w:p>
    <w:p>
      <w:pPr>
        <w:ind w:left="460" w:right="519"/>
        <w:spacing w:after="0" w:line="235" w:lineRule="auto"/>
        <w:rPr>
          <w:sz w:val="20"/>
          <w:szCs w:val="20"/>
          <w:color w:val="auto"/>
        </w:rPr>
      </w:pPr>
      <w:r>
        <w:rPr>
          <w:rFonts w:ascii="Arial" w:cs="Arial" w:eastAsia="Arial" w:hAnsi="Arial"/>
          <w:sz w:val="18"/>
          <w:szCs w:val="18"/>
          <w:color w:val="auto"/>
        </w:rPr>
        <w:t>We have not selected any specific business combination target but intend to target businesses with enterprise values that are greater than we could acquire with the net proceeds of this offering and the sale of the private placement shares. As a result, if the cash portion of the purchase price exceeds the amount available from the trust account, net of amounts needed to satisfy any redemption by public stockholders, we may be required to seek additional financing to complete such proposed initial business combination. We cannot assure you that such financing will be available on acceptable terms, if at all. To the extent that additional financing proves to be unavailable when needed to complete our initial business combination, we would be compelled to either restructure the transaction or abandon that particular business combination and seek an alternative target business candidate. Further, we may be required to obtain additional financing in connection with the closing of our initial business combination for general corporate purposes, including for maintenance or expansion of operations of the post-transaction businesses, the payment of principal or interest due on indebtedness incurred in completing our initial business combination, or to fund the purchase of other companies. If we are unable to complete our initial business combination within the required time period, our public stockholders may only receive their pro rata portion of the funds in the trust account that are available for distribution to public stockholders. In addition, even if we do not need additional financing to complete our initial business combination, we may require such financing to fund the operations or growth of the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0" w:right="1440" w:bottom="1440" w:gutter="0" w:footer="0" w:header="0"/>
        </w:sectPr>
      </w:pPr>
    </w:p>
    <w:bookmarkStart w:id="50" w:name="page51"/>
    <w:bookmarkEnd w:id="50"/>
    <w:p>
      <w:pPr>
        <w:ind w:left="460" w:right="519"/>
        <w:spacing w:after="0" w:line="238" w:lineRule="auto"/>
        <w:rPr>
          <w:sz w:val="20"/>
          <w:szCs w:val="20"/>
          <w:color w:val="auto"/>
        </w:rPr>
      </w:pPr>
      <w:r>
        <w:rPr>
          <w:rFonts w:ascii="Arial" w:cs="Arial" w:eastAsia="Arial" w:hAnsi="Arial"/>
          <w:sz w:val="18"/>
          <w:szCs w:val="18"/>
          <w:color w:val="auto"/>
        </w:rPr>
        <w:t>target business. The failure to secure additional financing could have a material adverse effect on the continued development or growth of the target business. None of our officers, directors or stockholders is required to provide any financing to us in connection with or after our initial business combination.</w:t>
      </w:r>
    </w:p>
    <w:p>
      <w:pPr>
        <w:spacing w:after="0" w:line="183" w:lineRule="exact"/>
        <w:rPr>
          <w:sz w:val="20"/>
          <w:szCs w:val="20"/>
          <w:color w:val="auto"/>
        </w:rPr>
      </w:pPr>
    </w:p>
    <w:p>
      <w:pPr>
        <w:ind w:left="460" w:right="739"/>
        <w:spacing w:after="0" w:line="253" w:lineRule="auto"/>
        <w:rPr>
          <w:sz w:val="20"/>
          <w:szCs w:val="20"/>
          <w:color w:val="auto"/>
        </w:rPr>
      </w:pPr>
      <w:r>
        <w:rPr>
          <w:rFonts w:ascii="Arial" w:cs="Arial" w:eastAsia="Arial" w:hAnsi="Arial"/>
          <w:sz w:val="18"/>
          <w:szCs w:val="18"/>
          <w:b w:val="1"/>
          <w:bCs w:val="1"/>
          <w:color w:val="auto"/>
        </w:rPr>
        <w:t>Our initial stockholders control a substantial interest in us and thus may exert a substantial influence on actions requiring a stockholder vote, potentially in a manner that you do not support.</w:t>
      </w:r>
    </w:p>
    <w:p>
      <w:pPr>
        <w:spacing w:after="0" w:line="123" w:lineRule="exact"/>
        <w:rPr>
          <w:sz w:val="20"/>
          <w:szCs w:val="20"/>
          <w:color w:val="auto"/>
        </w:rPr>
      </w:pPr>
    </w:p>
    <w:p>
      <w:pPr>
        <w:ind w:left="460" w:right="519"/>
        <w:spacing w:after="0" w:line="235" w:lineRule="auto"/>
        <w:rPr>
          <w:sz w:val="20"/>
          <w:szCs w:val="20"/>
          <w:color w:val="auto"/>
        </w:rPr>
      </w:pPr>
      <w:r>
        <w:rPr>
          <w:rFonts w:ascii="Arial" w:cs="Arial" w:eastAsia="Arial" w:hAnsi="Arial"/>
          <w:sz w:val="18"/>
          <w:szCs w:val="18"/>
          <w:color w:val="auto"/>
        </w:rPr>
        <w:t>Upon closing of this offering, our initial stockholders will own 20% of our issued and outstanding common stock (excluding the private placement shares and assuming they do not purchase any shares of Class A common stock in this offering). Accordingly, they may exert a substantial influence on actions requiring a stockholder vote, potentially in a manner that you do not support, including amendments to our amended and restated certificate of incorporation. If our initial stockholders purchase any shares of Class A common stock in this offering or if our initial stockholders purchase any additional Class A common stock in the aftermarket or in privately negotiated transactions, this would increase their control. Neither our initial stockholders nor, to our knowledge, any of our officers or directors, have any current intention to purchase additional securities, other than as disclosed in this prospectus. Factors that would be considered in making such additional purchases would include consideration of the current trading price of our Class A common stock. In addition, our board of directors, whose members were elected by our sponsor, is and will be divided into three classes, each of which will generally serve for a terms for three years with only one class of directors being elected in each year. We may not hold an annual meeting of stockholders to elect new directors prior to the completion of our initial business combination, in which case all of the current directors will continue in office until at least the completion of the business combination. If there is an annual meeting, as a consequence of our “staggered” board of directors, only a minority of the board of directors will be considered for election and our initial stockholders, because of their ownership position, will have considerable influence regarding the outcome. Accordingly, our initial stockholders will continue to exert control at least until the completion of our initial business combination.</w:t>
      </w:r>
    </w:p>
    <w:p>
      <w:pPr>
        <w:spacing w:after="0" w:line="191" w:lineRule="exact"/>
        <w:rPr>
          <w:sz w:val="20"/>
          <w:szCs w:val="20"/>
          <w:color w:val="auto"/>
        </w:rPr>
      </w:pPr>
    </w:p>
    <w:p>
      <w:pPr>
        <w:ind w:left="460" w:right="639"/>
        <w:spacing w:after="0" w:line="247" w:lineRule="auto"/>
        <w:rPr>
          <w:sz w:val="20"/>
          <w:szCs w:val="20"/>
          <w:color w:val="auto"/>
        </w:rPr>
      </w:pPr>
      <w:r>
        <w:rPr>
          <w:rFonts w:ascii="Arial" w:cs="Arial" w:eastAsia="Arial" w:hAnsi="Arial"/>
          <w:sz w:val="18"/>
          <w:szCs w:val="18"/>
          <w:b w:val="1"/>
          <w:bCs w:val="1"/>
          <w:color w:val="auto"/>
        </w:rPr>
        <w:t>Our initial stockholders paid an aggregate of $25,000 to cover certain of our offering costs in exchange for 2,875,000 founder shares, or approximately $0.009 per founder share and, accordingly, you will experience immediate and substantial dilution from the purchase of our shares of Class A common stock.</w:t>
      </w:r>
    </w:p>
    <w:p>
      <w:pPr>
        <w:spacing w:after="0" w:line="128" w:lineRule="exact"/>
        <w:rPr>
          <w:sz w:val="20"/>
          <w:szCs w:val="20"/>
          <w:color w:val="auto"/>
        </w:rPr>
      </w:pPr>
    </w:p>
    <w:p>
      <w:pPr>
        <w:ind w:left="460" w:right="559"/>
        <w:spacing w:after="0" w:line="235" w:lineRule="auto"/>
        <w:rPr>
          <w:sz w:val="20"/>
          <w:szCs w:val="20"/>
          <w:color w:val="auto"/>
        </w:rPr>
      </w:pPr>
      <w:r>
        <w:rPr>
          <w:rFonts w:ascii="Arial" w:cs="Arial" w:eastAsia="Arial" w:hAnsi="Arial"/>
          <w:sz w:val="18"/>
          <w:szCs w:val="18"/>
          <w:color w:val="auto"/>
        </w:rPr>
        <w:t>The difference between the public offering price per share and the pro forma net tangible book value per share of our Class A common stock after this offering constitutes the dilution to you and the other investors in this offering. Our initial stockholders acquired the founder shares at a nominal price, significantly contributing to this dilution. Upon closing of this offering, you and the other public stockholders will incur an immediate and substantial dilution of approximately 86.3% or $8.63 per share, assuming no exercise of the underwriters’ over-allotment option), the difference between the pro forma net tangible book value per share after this offering of $1.37 and the initial offering price of $10.00 per share. This dilution would increase to the extent that the anti-dilution provisions of the founder shares result in the issuance of shares of Class A common stock on a greater than one-to-one basis upon conversion of the founder shares at the time of our initial business combination and would become exacerbated to the extent that public stockholders seek redemptions from the trust for their public shares. In addition, because of the anti-dilution protection in the founder shares, any equity or equity-linked securities issued in connection with our initial business combination would be disproportionately dilutive to our Class A common stock.</w:t>
      </w:r>
    </w:p>
    <w:p>
      <w:pPr>
        <w:spacing w:after="0" w:line="192" w:lineRule="exact"/>
        <w:rPr>
          <w:sz w:val="20"/>
          <w:szCs w:val="20"/>
          <w:color w:val="auto"/>
        </w:rPr>
      </w:pPr>
    </w:p>
    <w:p>
      <w:pPr>
        <w:ind w:left="460" w:right="479"/>
        <w:spacing w:after="0" w:line="244" w:lineRule="auto"/>
        <w:rPr>
          <w:sz w:val="20"/>
          <w:szCs w:val="20"/>
          <w:color w:val="auto"/>
        </w:rPr>
      </w:pPr>
      <w:r>
        <w:rPr>
          <w:rFonts w:ascii="Arial" w:cs="Arial" w:eastAsia="Arial" w:hAnsi="Arial"/>
          <w:sz w:val="18"/>
          <w:szCs w:val="18"/>
          <w:b w:val="1"/>
          <w:bCs w:val="1"/>
          <w:color w:val="auto"/>
        </w:rPr>
        <w:t>The determination of the offering price of our shares of Class A common stock, the size of this offering and terms of the shares is more arbitrary than the pricing of securities and size of an offering of an operating company in a particular industry. You may have less assurance, therefore, that the offering price of our shares properly reflects the value of such shares than you would have in a typical offering of an operating company.</w:t>
      </w:r>
    </w:p>
    <w:p>
      <w:pPr>
        <w:spacing w:after="0" w:line="117" w:lineRule="exact"/>
        <w:rPr>
          <w:sz w:val="20"/>
          <w:szCs w:val="20"/>
          <w:color w:val="auto"/>
        </w:rPr>
      </w:pPr>
    </w:p>
    <w:p>
      <w:pPr>
        <w:ind w:left="460" w:right="459"/>
        <w:spacing w:after="0" w:line="237" w:lineRule="auto"/>
        <w:rPr>
          <w:sz w:val="20"/>
          <w:szCs w:val="20"/>
          <w:color w:val="auto"/>
        </w:rPr>
      </w:pPr>
      <w:r>
        <w:rPr>
          <w:rFonts w:ascii="Arial" w:cs="Arial" w:eastAsia="Arial" w:hAnsi="Arial"/>
          <w:sz w:val="18"/>
          <w:szCs w:val="18"/>
          <w:color w:val="auto"/>
        </w:rPr>
        <w:t>Prior to this offering there has been no public market for any of our Class A common stock. The public offering price of the shares was negotiated between us and the underwriters. In determining the size of this offering, management held customary organizational meetings with representatives of the underwriters, both prior to our inception and thereafter, with respect to the state of capital markets, generally, and the amount the underwriters believed they reasonably could raise on our behalf. Factors considered in determining the size of this offering, prices and terms of the Class A common stock include:</w:t>
      </w:r>
    </w:p>
    <w:p>
      <w:pPr>
        <w:spacing w:after="0" w:line="27" w:lineRule="exact"/>
        <w:rPr>
          <w:sz w:val="20"/>
          <w:szCs w:val="20"/>
          <w:color w:val="auto"/>
        </w:rPr>
      </w:pPr>
    </w:p>
    <w:p>
      <w:pPr>
        <w:ind w:left="1100" w:right="759" w:hanging="322"/>
        <w:spacing w:after="0" w:line="246" w:lineRule="auto"/>
        <w:tabs>
          <w:tab w:leader="none" w:pos="1039"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history and prospects of companies whose principal business is the acquisition of other companies;</w:t>
      </w:r>
    </w:p>
    <w:p>
      <w:pPr>
        <w:spacing w:after="0" w:line="21" w:lineRule="exact"/>
        <w:rPr>
          <w:rFonts w:ascii="Arial" w:cs="Arial" w:eastAsia="Arial" w:hAnsi="Arial"/>
          <w:sz w:val="18"/>
          <w:szCs w:val="18"/>
          <w:color w:val="auto"/>
        </w:rPr>
      </w:pPr>
    </w:p>
    <w:p>
      <w:pPr>
        <w:ind w:left="1040" w:hanging="262"/>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prior offerings of those companies;</w:t>
      </w:r>
    </w:p>
    <w:p>
      <w:pPr>
        <w:spacing w:after="0" w:line="22" w:lineRule="exact"/>
        <w:rPr>
          <w:rFonts w:ascii="Arial" w:cs="Arial" w:eastAsia="Arial" w:hAnsi="Arial"/>
          <w:sz w:val="18"/>
          <w:szCs w:val="18"/>
          <w:color w:val="auto"/>
        </w:rPr>
      </w:pPr>
    </w:p>
    <w:p>
      <w:pPr>
        <w:ind w:left="1040" w:hanging="262"/>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prospects for acquiring an operating business at attractive values;</w:t>
      </w:r>
    </w:p>
    <w:p>
      <w:pPr>
        <w:sectPr>
          <w:pgSz w:w="11900" w:h="16838" w:orient="portrait"/>
          <w:cols w:equalWidth="0" w:num="1">
            <w:col w:w="9019"/>
          </w:cols>
          <w:pgMar w:left="1440" w:top="260" w:right="1440" w:bottom="1440" w:gutter="0" w:footer="0" w:header="0"/>
        </w:sectPr>
      </w:pP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0" w:right="1440" w:bottom="1440" w:gutter="0" w:footer="0" w:header="0"/>
          <w:type w:val="continuous"/>
        </w:sectPr>
      </w:pPr>
    </w:p>
    <w:bookmarkStart w:id="51" w:name="page52"/>
    <w:bookmarkEnd w:id="51"/>
    <w:p>
      <w:pPr>
        <w:ind w:left="1040" w:hanging="262"/>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review of debt to equity ratios in leveraged transactions;</w:t>
      </w:r>
    </w:p>
    <w:p>
      <w:pPr>
        <w:spacing w:after="0" w:line="22" w:lineRule="exact"/>
        <w:rPr>
          <w:rFonts w:ascii="Arial" w:cs="Arial" w:eastAsia="Arial" w:hAnsi="Arial"/>
          <w:sz w:val="18"/>
          <w:szCs w:val="18"/>
          <w:color w:val="auto"/>
        </w:rPr>
      </w:pPr>
    </w:p>
    <w:p>
      <w:pPr>
        <w:ind w:left="1040" w:hanging="262"/>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capital structure;</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assessment of our management and their experience in identifying operating companies;</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general conditions of the securities markets at the time of this offering; and</w:t>
      </w:r>
    </w:p>
    <w:p>
      <w:pPr>
        <w:spacing w:after="0" w:line="22" w:lineRule="exact"/>
        <w:rPr>
          <w:rFonts w:ascii="Arial" w:cs="Arial" w:eastAsia="Arial" w:hAnsi="Arial"/>
          <w:sz w:val="18"/>
          <w:szCs w:val="18"/>
          <w:color w:val="auto"/>
        </w:rPr>
      </w:pPr>
    </w:p>
    <w:p>
      <w:pPr>
        <w:ind w:left="1040" w:hanging="262"/>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 factors as were deemed relevant.</w:t>
      </w:r>
    </w:p>
    <w:p>
      <w:pPr>
        <w:spacing w:after="0" w:line="144" w:lineRule="exact"/>
        <w:rPr>
          <w:sz w:val="20"/>
          <w:szCs w:val="20"/>
          <w:color w:val="auto"/>
        </w:rPr>
      </w:pPr>
    </w:p>
    <w:p>
      <w:pPr>
        <w:jc w:val="both"/>
        <w:ind w:left="460" w:right="539"/>
        <w:spacing w:after="0"/>
        <w:rPr>
          <w:sz w:val="20"/>
          <w:szCs w:val="20"/>
          <w:color w:val="auto"/>
        </w:rPr>
      </w:pPr>
      <w:r>
        <w:rPr>
          <w:rFonts w:ascii="Arial" w:cs="Arial" w:eastAsia="Arial" w:hAnsi="Arial"/>
          <w:sz w:val="18"/>
          <w:szCs w:val="18"/>
          <w:color w:val="auto"/>
        </w:rPr>
        <w:t>Although these factors were considered, the determination of our offering size, price and terms of the shares is more arbitrary than the pricing of securities of an operating company in a particular industry since we have no historical operations or financial results.</w:t>
      </w:r>
    </w:p>
    <w:p>
      <w:pPr>
        <w:spacing w:after="0" w:line="181" w:lineRule="exact"/>
        <w:rPr>
          <w:sz w:val="20"/>
          <w:szCs w:val="20"/>
          <w:color w:val="auto"/>
        </w:rPr>
      </w:pPr>
    </w:p>
    <w:p>
      <w:pPr>
        <w:ind w:left="460" w:right="759"/>
        <w:spacing w:after="0" w:line="253" w:lineRule="auto"/>
        <w:rPr>
          <w:sz w:val="20"/>
          <w:szCs w:val="20"/>
          <w:color w:val="auto"/>
        </w:rPr>
      </w:pPr>
      <w:r>
        <w:rPr>
          <w:rFonts w:ascii="Arial" w:cs="Arial" w:eastAsia="Arial" w:hAnsi="Arial"/>
          <w:sz w:val="18"/>
          <w:szCs w:val="18"/>
          <w:b w:val="1"/>
          <w:bCs w:val="1"/>
          <w:color w:val="auto"/>
        </w:rPr>
        <w:t>There is currently no market for our Class A common stock and a market for our Class A common stock may not develop, which would adversely affect the liquidity and price of our shares.</w:t>
      </w:r>
    </w:p>
    <w:p>
      <w:pPr>
        <w:spacing w:after="0" w:line="123" w:lineRule="exact"/>
        <w:rPr>
          <w:sz w:val="20"/>
          <w:szCs w:val="20"/>
          <w:color w:val="auto"/>
        </w:rPr>
      </w:pPr>
    </w:p>
    <w:p>
      <w:pPr>
        <w:ind w:left="460" w:right="459"/>
        <w:spacing w:after="0" w:line="236" w:lineRule="auto"/>
        <w:rPr>
          <w:sz w:val="20"/>
          <w:szCs w:val="20"/>
          <w:color w:val="auto"/>
        </w:rPr>
      </w:pPr>
      <w:r>
        <w:rPr>
          <w:rFonts w:ascii="Arial" w:cs="Arial" w:eastAsia="Arial" w:hAnsi="Arial"/>
          <w:sz w:val="18"/>
          <w:szCs w:val="18"/>
          <w:color w:val="auto"/>
        </w:rPr>
        <w:t>There is currently no market for our Class A common stock. Stockholders therefore have no access to information about prior market history on which to base their investment decision. Following this offering, the price of our Class A common stock may vary significantly due to one or more potential business combinations and general market or economic conditions, including as a result of the COVID-19 outbreak and other events (such as terrorist attacks, natural disasters or a significant outbreak of other infectious diseases). Furthermore, an active trading market for our Class A common stock may never develop or, if developed, it may not be sustained. You may be unable to sell your shares of Class A common stock unless a market can be established and sustained.</w:t>
      </w:r>
    </w:p>
    <w:p>
      <w:pPr>
        <w:spacing w:after="0" w:line="186" w:lineRule="exact"/>
        <w:rPr>
          <w:sz w:val="20"/>
          <w:szCs w:val="20"/>
          <w:color w:val="auto"/>
        </w:rPr>
      </w:pPr>
    </w:p>
    <w:p>
      <w:pPr>
        <w:ind w:left="460" w:right="559"/>
        <w:spacing w:after="0" w:line="253" w:lineRule="auto"/>
        <w:rPr>
          <w:sz w:val="20"/>
          <w:szCs w:val="20"/>
          <w:color w:val="auto"/>
        </w:rPr>
      </w:pPr>
      <w:r>
        <w:rPr>
          <w:rFonts w:ascii="Arial" w:cs="Arial" w:eastAsia="Arial" w:hAnsi="Arial"/>
          <w:sz w:val="18"/>
          <w:szCs w:val="18"/>
          <w:b w:val="1"/>
          <w:bCs w:val="1"/>
          <w:color w:val="auto"/>
        </w:rPr>
        <w:t>Because we must furnish our stockholders with target business financial statements, we may lose the ability to complete an otherwise advantageous initial business combination with some prospective target businesses.</w:t>
      </w:r>
    </w:p>
    <w:p>
      <w:pPr>
        <w:spacing w:after="0" w:line="110" w:lineRule="exact"/>
        <w:rPr>
          <w:sz w:val="20"/>
          <w:szCs w:val="20"/>
          <w:color w:val="auto"/>
        </w:rPr>
      </w:pPr>
    </w:p>
    <w:p>
      <w:pPr>
        <w:ind w:left="460" w:right="519"/>
        <w:spacing w:after="0" w:line="251" w:lineRule="auto"/>
        <w:rPr>
          <w:sz w:val="20"/>
          <w:szCs w:val="20"/>
          <w:color w:val="auto"/>
        </w:rPr>
      </w:pPr>
      <w:r>
        <w:rPr>
          <w:rFonts w:ascii="Arial" w:cs="Arial" w:eastAsia="Arial" w:hAnsi="Arial"/>
          <w:sz w:val="17"/>
          <w:szCs w:val="17"/>
          <w:color w:val="auto"/>
        </w:rPr>
        <w:t>The federal proxy rules require that the proxy statement with respect to the vote on an initial business combination include historical and pro forma financial statement disclosure. We will include the same financial statement disclosure in connection with our tender offer documents, whether or not they are required under the tender offer rules. These financial statements may be required to be prepared in accordance with, or be reconciled to, accounting principles generally accepted in the United States of America (“GAAP”), or international financial reporting standards as issued by the International Accounting Standards Board (“IFRS”), depending on the circumstances and the historical financial statements may be required to be audited in accordance with the standards of the Public Company Accounting Oversight Board (United States) (“PCAOB”). These financial statement requirements may limit the pool of potential target businesses we may acquire because some targets may be unable to provide such financial statements in time for us to disclose such statements in accordance with federal proxy rules and complete our initial business combination within the prescribed time frame.</w:t>
      </w:r>
    </w:p>
    <w:p>
      <w:pPr>
        <w:spacing w:after="0" w:line="171" w:lineRule="exact"/>
        <w:rPr>
          <w:sz w:val="20"/>
          <w:szCs w:val="20"/>
          <w:color w:val="auto"/>
        </w:rPr>
      </w:pPr>
    </w:p>
    <w:p>
      <w:pPr>
        <w:ind w:left="460" w:right="599"/>
        <w:spacing w:after="0" w:line="244" w:lineRule="auto"/>
        <w:rPr>
          <w:sz w:val="20"/>
          <w:szCs w:val="20"/>
          <w:color w:val="auto"/>
        </w:rPr>
      </w:pPr>
      <w:r>
        <w:rPr>
          <w:rFonts w:ascii="Arial" w:cs="Arial" w:eastAsia="Arial" w:hAnsi="Arial"/>
          <w:sz w:val="18"/>
          <w:szCs w:val="18"/>
          <w:b w:val="1"/>
          <w:bCs w:val="1"/>
          <w:color w:val="auto"/>
        </w:rPr>
        <w:t>We are an emerging growth company and a smaller reporting company within the meaning of the Securities Act, and if we take advantage of certain exemptions from disclosure requirements available to emerging growth companies or smaller reporting companies, this could make our securities less attractive to investors and may make it more difficult to compare our performance with other public companies.</w:t>
      </w:r>
    </w:p>
    <w:p>
      <w:pPr>
        <w:spacing w:after="0" w:line="90"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internal controls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As a result, our stockholders may not have access to certain information they may deem important. We could be an emerging growth company for up to five years, although circumstances could cause us to lose that status earlier, including if the market value of our Class A common stock held by non-affiliates exceeds $700 million as of any June 30 before that time, in which case we would no longer be an emerging growth company as of the following December 31.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179" w:right="1440" w:bottom="1440" w:gutter="0" w:footer="0" w:header="0"/>
        </w:sectPr>
      </w:pPr>
    </w:p>
    <w:bookmarkStart w:id="52" w:name="page53"/>
    <w:bookmarkEnd w:id="52"/>
    <w:p>
      <w:pPr>
        <w:ind w:left="460" w:right="479"/>
        <w:spacing w:after="0" w:line="235" w:lineRule="auto"/>
        <w:rPr>
          <w:sz w:val="20"/>
          <w:szCs w:val="20"/>
          <w:color w:val="auto"/>
        </w:rPr>
      </w:pPr>
      <w:r>
        <w:rPr>
          <w:rFonts w:ascii="Arial" w:cs="Arial" w:eastAsia="Arial" w:hAnsi="Arial"/>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06" w:lineRule="exact"/>
        <w:rPr>
          <w:sz w:val="20"/>
          <w:szCs w:val="20"/>
          <w:color w:val="auto"/>
        </w:rPr>
      </w:pPr>
    </w:p>
    <w:p>
      <w:pPr>
        <w:ind w:left="460" w:right="459"/>
        <w:spacing w:after="0" w:line="230" w:lineRule="auto"/>
        <w:rPr>
          <w:sz w:val="20"/>
          <w:szCs w:val="20"/>
          <w:color w:val="auto"/>
        </w:rPr>
      </w:pPr>
      <w:r>
        <w:rPr>
          <w:rFonts w:ascii="Arial" w:cs="Arial" w:eastAsia="Arial" w:hAnsi="Arial"/>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stock held by non-affiliates exceeds $250 million as of the prior June 30</w:t>
      </w:r>
      <w:r>
        <w:rPr>
          <w:rFonts w:ascii="Arial" w:cs="Arial" w:eastAsia="Arial" w:hAnsi="Arial"/>
          <w:sz w:val="20"/>
          <w:szCs w:val="20"/>
          <w:color w:val="auto"/>
          <w:vertAlign w:val="superscript"/>
        </w:rPr>
        <w:t>th</w:t>
      </w:r>
      <w:r>
        <w:rPr>
          <w:rFonts w:ascii="Arial" w:cs="Arial" w:eastAsia="Arial" w:hAnsi="Arial"/>
          <w:sz w:val="18"/>
          <w:szCs w:val="18"/>
          <w:color w:val="auto"/>
        </w:rPr>
        <w:t>, or (2) our annual revenues exceeded $100 million during such completed fiscal year and the market value of our common stock held by non-affiliates exceeds $700 million as of the prior June 30</w:t>
      </w:r>
      <w:r>
        <w:rPr>
          <w:rFonts w:ascii="Arial" w:cs="Arial" w:eastAsia="Arial" w:hAnsi="Arial"/>
          <w:sz w:val="20"/>
          <w:szCs w:val="20"/>
          <w:color w:val="auto"/>
          <w:vertAlign w:val="superscript"/>
        </w:rPr>
        <w:t>th</w:t>
      </w:r>
      <w:r>
        <w:rPr>
          <w:rFonts w:ascii="Arial" w:cs="Arial" w:eastAsia="Arial" w:hAnsi="Arial"/>
          <w:sz w:val="18"/>
          <w:szCs w:val="18"/>
          <w:color w:val="auto"/>
        </w:rPr>
        <w:t>. To the extent we take advantage of such reduced disclosure obligations, it may also make comparison of our financial statements with other public companies difficult or impossible.</w:t>
      </w:r>
    </w:p>
    <w:p>
      <w:pPr>
        <w:spacing w:after="0" w:line="187" w:lineRule="exact"/>
        <w:rPr>
          <w:sz w:val="20"/>
          <w:szCs w:val="20"/>
          <w:color w:val="auto"/>
        </w:rPr>
      </w:pPr>
    </w:p>
    <w:p>
      <w:pPr>
        <w:jc w:val="both"/>
        <w:ind w:left="460" w:right="859"/>
        <w:spacing w:after="0" w:line="275" w:lineRule="auto"/>
        <w:rPr>
          <w:sz w:val="20"/>
          <w:szCs w:val="20"/>
          <w:color w:val="auto"/>
        </w:rPr>
      </w:pPr>
      <w:r>
        <w:rPr>
          <w:rFonts w:ascii="Arial" w:cs="Arial" w:eastAsia="Arial" w:hAnsi="Arial"/>
          <w:sz w:val="17"/>
          <w:szCs w:val="17"/>
          <w:b w:val="1"/>
          <w:bCs w:val="1"/>
          <w:color w:val="auto"/>
        </w:rPr>
        <w:t>Compliance obligations under the Sarbanes-Oxley Act may make it more difficult for us to effectuate our initial business combination, require substantial financial and management resources, and increase the time and costs of completing an initial business combination.</w:t>
      </w:r>
    </w:p>
    <w:p>
      <w:pPr>
        <w:spacing w:after="0" w:line="106" w:lineRule="exact"/>
        <w:rPr>
          <w:sz w:val="20"/>
          <w:szCs w:val="20"/>
          <w:color w:val="auto"/>
        </w:rPr>
      </w:pPr>
    </w:p>
    <w:p>
      <w:pPr>
        <w:ind w:left="460" w:right="499"/>
        <w:spacing w:after="0" w:line="235" w:lineRule="auto"/>
        <w:rPr>
          <w:sz w:val="20"/>
          <w:szCs w:val="20"/>
          <w:color w:val="auto"/>
        </w:rPr>
      </w:pPr>
      <w:r>
        <w:rPr>
          <w:rFonts w:ascii="Arial" w:cs="Arial" w:eastAsia="Arial" w:hAnsi="Arial"/>
          <w:sz w:val="18"/>
          <w:szCs w:val="18"/>
          <w:color w:val="auto"/>
        </w:rPr>
        <w:t>Section 404 of the Sarbanes-Oxley Act requires that we evaluate and report on our system of internal controls beginning with our Annual Report on Form 10-K for the year ending December 31, 2021. Only in the event we are deemed to be a large accelerated filer or an accelerated filer, and no longer qualify as an emerging growth company, will we be required to comply with the independent registered public accounting firm attestation requirement on our internal control over financial reporting. Further, for as long as we remain an emerging growth company, we will not be required to comply with the independent registered public accounting firm attestation requirement on our internal control over financial reporting. The fact that we are a blank check company makes compliance with the requirements of the Sarbanes-Oxley Act particularly burdensome on us as compared to other public companies because a target business with which we seek to complete our initial business combination may not be in compliance with the provisions of the Sarbanes-Oxley Act regarding adequacy of its internal controls. The development of the internal control of any such entity to achieve compliance with the Sarbanes-Oxley Act may increase the time and costs necessary to complete any such business combination.</w:t>
      </w:r>
    </w:p>
    <w:p>
      <w:pPr>
        <w:spacing w:after="0" w:line="192" w:lineRule="exact"/>
        <w:rPr>
          <w:sz w:val="20"/>
          <w:szCs w:val="20"/>
          <w:color w:val="auto"/>
        </w:rPr>
      </w:pPr>
    </w:p>
    <w:p>
      <w:pPr>
        <w:jc w:val="both"/>
        <w:ind w:left="460" w:right="839"/>
        <w:spacing w:after="0" w:line="253" w:lineRule="auto"/>
        <w:rPr>
          <w:sz w:val="20"/>
          <w:szCs w:val="20"/>
          <w:color w:val="auto"/>
        </w:rPr>
      </w:pPr>
      <w:r>
        <w:rPr>
          <w:rFonts w:ascii="Arial" w:cs="Arial" w:eastAsia="Arial" w:hAnsi="Arial"/>
          <w:sz w:val="18"/>
          <w:szCs w:val="18"/>
          <w:b w:val="1"/>
          <w:bCs w:val="1"/>
          <w:color w:val="auto"/>
        </w:rPr>
        <w:t>Provisions in our amended and restated certificate of incorporation and Delaware law may inhibit a takeover of us, which could limit the price investors might be willing to pay in the future for our shares of Class A common stock and could entrench management.</w:t>
      </w:r>
    </w:p>
    <w:p>
      <w:pPr>
        <w:spacing w:after="0" w:line="110" w:lineRule="exact"/>
        <w:rPr>
          <w:sz w:val="20"/>
          <w:szCs w:val="20"/>
          <w:color w:val="auto"/>
        </w:rPr>
      </w:pPr>
    </w:p>
    <w:p>
      <w:pPr>
        <w:ind w:left="460" w:right="539"/>
        <w:spacing w:after="0" w:line="237" w:lineRule="auto"/>
        <w:rPr>
          <w:sz w:val="20"/>
          <w:szCs w:val="20"/>
          <w:color w:val="auto"/>
        </w:rPr>
      </w:pPr>
      <w:r>
        <w:rPr>
          <w:rFonts w:ascii="Arial" w:cs="Arial" w:eastAsia="Arial" w:hAnsi="Arial"/>
          <w:sz w:val="18"/>
          <w:szCs w:val="18"/>
          <w:color w:val="auto"/>
        </w:rPr>
        <w:t>Our amended and restated certificate of incorporation contains provisions that may discourage unsolicited takeover proposals that stockholders may consider to be in their best interests. These provisions include a staggered board of directors and the ability of the board of directors to designate the terms of and issue new series of preferred stock, which may make more difficult the removal of management and may discourage transactions that otherwise could involve payment of a premium over prevailing market prices for our securities.</w:t>
      </w:r>
    </w:p>
    <w:p>
      <w:pPr>
        <w:spacing w:after="0" w:line="137" w:lineRule="exact"/>
        <w:rPr>
          <w:sz w:val="20"/>
          <w:szCs w:val="20"/>
          <w:color w:val="auto"/>
        </w:rPr>
      </w:pPr>
    </w:p>
    <w:p>
      <w:pPr>
        <w:ind w:left="460" w:right="599"/>
        <w:spacing w:after="0" w:line="238" w:lineRule="auto"/>
        <w:rPr>
          <w:sz w:val="20"/>
          <w:szCs w:val="20"/>
          <w:color w:val="auto"/>
        </w:rPr>
      </w:pPr>
      <w:r>
        <w:rPr>
          <w:rFonts w:ascii="Arial" w:cs="Arial" w:eastAsia="Arial" w:hAnsi="Arial"/>
          <w:sz w:val="18"/>
          <w:szCs w:val="18"/>
          <w:color w:val="auto"/>
        </w:rPr>
        <w:t>We are also subject to anti-takeover provisions under Delaware law, which could delay or prevent a change of control. Together these provisions may make the removal of management more difficult and may discourage transactions that otherwise could involve payment of a premium over prevailing market prices for our securities.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47" w:right="1440" w:bottom="1440" w:gutter="0" w:footer="0" w:header="0"/>
        </w:sectPr>
      </w:pPr>
    </w:p>
    <w:bookmarkStart w:id="53" w:name="page54"/>
    <w:bookmarkEnd w:id="53"/>
    <w:p>
      <w:pPr>
        <w:ind w:left="460" w:right="839"/>
        <w:spacing w:after="0" w:line="271" w:lineRule="auto"/>
        <w:rPr>
          <w:sz w:val="20"/>
          <w:szCs w:val="20"/>
          <w:color w:val="auto"/>
        </w:rPr>
      </w:pPr>
      <w:r>
        <w:rPr>
          <w:rFonts w:ascii="Arial" w:cs="Arial" w:eastAsia="Arial" w:hAnsi="Arial"/>
          <w:sz w:val="18"/>
          <w:szCs w:val="18"/>
          <w:b w:val="1"/>
          <w:bCs w:val="1"/>
          <w:color w:val="auto"/>
        </w:rPr>
        <w:t>Provisions in our amended and restated certificate of incorporation and Delaware law may have the effect of discouraging lawsuits against our directors and officers.</w:t>
      </w:r>
    </w:p>
    <w:p>
      <w:pPr>
        <w:spacing w:after="0" w:line="68" w:lineRule="exact"/>
        <w:rPr>
          <w:sz w:val="20"/>
          <w:szCs w:val="20"/>
          <w:color w:val="auto"/>
        </w:rPr>
      </w:pPr>
    </w:p>
    <w:p>
      <w:pPr>
        <w:ind w:left="460" w:right="559"/>
        <w:spacing w:after="0" w:line="248" w:lineRule="auto"/>
        <w:rPr>
          <w:sz w:val="20"/>
          <w:szCs w:val="20"/>
          <w:color w:val="auto"/>
        </w:rPr>
      </w:pPr>
      <w:r>
        <w:rPr>
          <w:rFonts w:ascii="Arial" w:cs="Arial" w:eastAsia="Arial" w:hAnsi="Arial"/>
          <w:sz w:val="17"/>
          <w:szCs w:val="17"/>
          <w:color w:val="auto"/>
        </w:rPr>
        <w:t>Our amended and restated certificate of incorporation will require, unless we consent in writing to the selection of an alternative forum, that (i) any derivative action or proceeding brought on our behalf,</w:t>
      </w:r>
    </w:p>
    <w:p>
      <w:pPr>
        <w:spacing w:after="0" w:line="1" w:lineRule="exact"/>
        <w:rPr>
          <w:sz w:val="20"/>
          <w:szCs w:val="20"/>
          <w:color w:val="auto"/>
        </w:rPr>
      </w:pPr>
    </w:p>
    <w:p>
      <w:pPr>
        <w:ind w:left="460" w:right="479" w:hanging="6"/>
        <w:spacing w:after="0" w:line="235" w:lineRule="auto"/>
        <w:tabs>
          <w:tab w:leader="none" w:pos="71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owed by any director, officer or other employee to us or our stockholders, (iii) any action asserting a claim against us, our directors, officers or employees arising pursuant to any provision of the DGCL or our amended and restated certificate of incorporation or bylaws, or (iv) any action asserting a claim against us, our directors, officers or employees governed by the internal affairs doctrine may be brought only in the Court of Chancery in the State of Delaware, except any claim (A) as to which the Court of Chancery of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for which the Court of Chancery does not have subject matter jurisdiction, as to which the Court of Chancery and the federal district court for the District of Delaware shall have concurrent jurisdiction. If an action is brought outside of Delaware, the stockholder bringing the suit will be deemed to have consented to service of process on such stockholder’s counsel. Although we believe this provision benefits us by providing increased consistency in the application of Delaware law in the types of lawsuits to which it applies, a court may determine that this provision is unenforceable, and to the extent it is enforceable, the provision may have the effect of discouraging lawsuits against our directors and officers, although our stockholders will not be deemed to have waived our compliance with federal securities laws and the rules and regulations thereunder.</w:t>
      </w:r>
    </w:p>
    <w:p>
      <w:pPr>
        <w:spacing w:after="0" w:line="105"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Notwithstanding the foregoing, our amended and restated certificate of incorporation will provide that the exclusive forum provision will not apply to suits brought to enforce a duty or liability created by the Exchange Act or any other claim for which the federal courts have exclusive jurisdiction. Section 27 of the Exchange Act creates exclusive federal jurisdiction over all suits brought to enforce any duty or liability created by the Exchange Act or the rules and regulations thereunder. Additionally, unless we consent in writing to the selection of an alternative forum, the federal courts shall be the exclusive forum for the resolution of any complaint asserting a cause of action arising under the Securities Act against us or any of our directors, officers, other employees or agents. Any person or entity purchasing or otherwise acquiring any interest in our Class A common stock shall be deemed to have notice of and consented to these provisions. Although we believe this provision benefits us by providing increased consistency in the application of Delaware law in the types of lawsuits to which it applies, the provision may limit our stockholders’ ability to obtain a favorable judicial forum for disputes with us and may have the effect of discouraging lawsuits against our directors and officers.</w:t>
      </w:r>
    </w:p>
    <w:p>
      <w:pPr>
        <w:spacing w:after="0" w:line="140" w:lineRule="exact"/>
        <w:rPr>
          <w:sz w:val="20"/>
          <w:szCs w:val="20"/>
          <w:color w:val="auto"/>
        </w:rPr>
      </w:pPr>
    </w:p>
    <w:p>
      <w:pPr>
        <w:ind w:left="460" w:right="859"/>
        <w:spacing w:after="0" w:line="271" w:lineRule="auto"/>
        <w:rPr>
          <w:sz w:val="20"/>
          <w:szCs w:val="20"/>
          <w:color w:val="auto"/>
        </w:rPr>
      </w:pPr>
      <w:r>
        <w:rPr>
          <w:rFonts w:ascii="Arial" w:cs="Arial" w:eastAsia="Arial" w:hAnsi="Arial"/>
          <w:sz w:val="18"/>
          <w:szCs w:val="18"/>
          <w:b w:val="1"/>
          <w:bCs w:val="1"/>
          <w:color w:val="auto"/>
        </w:rPr>
        <w:t>Cyber incidents or attacks directed at us could result in information theft, data corruption, operational disruption and/or financial loss.</w:t>
      </w:r>
    </w:p>
    <w:p>
      <w:pPr>
        <w:spacing w:after="0" w:line="108" w:lineRule="exact"/>
        <w:rPr>
          <w:sz w:val="20"/>
          <w:szCs w:val="20"/>
          <w:color w:val="auto"/>
        </w:rPr>
      </w:pPr>
    </w:p>
    <w:p>
      <w:pPr>
        <w:ind w:left="460" w:right="599"/>
        <w:spacing w:after="0" w:line="236" w:lineRule="auto"/>
        <w:rPr>
          <w:sz w:val="20"/>
          <w:szCs w:val="20"/>
          <w:color w:val="auto"/>
        </w:rPr>
      </w:pPr>
      <w:r>
        <w:rPr>
          <w:rFonts w:ascii="Arial" w:cs="Arial" w:eastAsia="Arial" w:hAnsi="Arial"/>
          <w:sz w:val="18"/>
          <w:szCs w:val="18"/>
          <w:color w:val="auto"/>
        </w:rPr>
        <w:t>We depend on digital technologies, including information systems, infrastructure and cloud applications and services, including those of third parties with which we may deal. Sophisticated and deliberate attacks on, or security breaches in, our systems or infrastructure, or the systems or infrastructure of third parties or the cloud, could lead to corruption or misappropriation of our assets, proprietary information and sensitive or confidential data. As an early stage company without significant investments in data security protection, we may not be sufficiently protected against such occurrences. We may not have sufficient resources to adequately protect against, or to investigate and remediate any vulnerability to, cyber incidents. It is possible that any of these occurrences, or a combination of them, could have adverse consequences on our business and lead to financial loss.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If we effect our initial business combination with a company located outside of the</w:t>
      </w:r>
    </w:p>
    <w:p>
      <w:pPr>
        <w:spacing w:after="0" w:line="18"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United States, we would be subject to a variety of additional risks that may adversely affect us.</w:t>
      </w:r>
    </w:p>
    <w:p>
      <w:pPr>
        <w:spacing w:after="0" w:line="156" w:lineRule="exact"/>
        <w:rPr>
          <w:sz w:val="20"/>
          <w:szCs w:val="20"/>
          <w:color w:val="auto"/>
        </w:rPr>
      </w:pPr>
    </w:p>
    <w:p>
      <w:pPr>
        <w:ind w:left="460" w:right="759"/>
        <w:spacing w:after="0" w:line="238" w:lineRule="auto"/>
        <w:rPr>
          <w:sz w:val="20"/>
          <w:szCs w:val="20"/>
          <w:color w:val="auto"/>
        </w:rPr>
      </w:pPr>
      <w:r>
        <w:rPr>
          <w:rFonts w:ascii="Arial" w:cs="Arial" w:eastAsia="Arial" w:hAnsi="Arial"/>
          <w:sz w:val="18"/>
          <w:szCs w:val="18"/>
          <w:color w:val="auto"/>
        </w:rPr>
        <w:t>If we pursue a target company with operations or opportunities outside of the United States for our initial business combination, we may face additional burdens in connection with investigating, agreeing to and completing such initial business combination, and if we effect such initial business combination, we would be subject to a variety of additional risks that may negatively impact our operations.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54" w:name="page55"/>
    <w:bookmarkEnd w:id="54"/>
    <w:p>
      <w:pPr>
        <w:ind w:left="460" w:right="499"/>
        <w:spacing w:after="0" w:line="237" w:lineRule="auto"/>
        <w:rPr>
          <w:sz w:val="20"/>
          <w:szCs w:val="20"/>
          <w:color w:val="auto"/>
        </w:rPr>
      </w:pPr>
      <w:r>
        <w:rPr>
          <w:rFonts w:ascii="Arial" w:cs="Arial" w:eastAsia="Arial" w:hAnsi="Arial"/>
          <w:sz w:val="18"/>
          <w:szCs w:val="18"/>
          <w:color w:val="auto"/>
        </w:rPr>
        <w:t>If we pursue a target a company with operations or opportunities outside of the United States for our initial business combination, we would be subject to risks associated with cross-border business combinations, including in connection with investigating, agreeing to and completing our initial business combination, conducting due diligence in a foreign jurisdiction, having such transaction approved by any local governments, regulators or agencies and changes in the purchase price based on fluctuations in foreign exchange rates.</w:t>
      </w:r>
    </w:p>
    <w:p>
      <w:pPr>
        <w:spacing w:after="0" w:line="124" w:lineRule="exact"/>
        <w:rPr>
          <w:sz w:val="20"/>
          <w:szCs w:val="20"/>
          <w:color w:val="auto"/>
        </w:rPr>
      </w:pPr>
    </w:p>
    <w:p>
      <w:pPr>
        <w:jc w:val="both"/>
        <w:ind w:left="460" w:right="559"/>
        <w:spacing w:after="0"/>
        <w:rPr>
          <w:sz w:val="20"/>
          <w:szCs w:val="20"/>
          <w:color w:val="auto"/>
        </w:rPr>
      </w:pPr>
      <w:r>
        <w:rPr>
          <w:rFonts w:ascii="Arial" w:cs="Arial" w:eastAsia="Arial" w:hAnsi="Arial"/>
          <w:sz w:val="18"/>
          <w:szCs w:val="18"/>
          <w:color w:val="auto"/>
        </w:rPr>
        <w:t>If we effect our initial business combination with such a company, we would be subject to any special considerations or risks associated with companies operating in an international setting, including any of the following:</w:t>
      </w:r>
    </w:p>
    <w:p>
      <w:pPr>
        <w:spacing w:after="0" w:line="27" w:lineRule="exact"/>
        <w:rPr>
          <w:sz w:val="20"/>
          <w:szCs w:val="20"/>
          <w:color w:val="auto"/>
        </w:rPr>
      </w:pPr>
    </w:p>
    <w:p>
      <w:pPr>
        <w:ind w:left="1040" w:hanging="262"/>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costs and difficulties inherent in managing cross-border business operations;</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rules and regulations regarding currency redemption;</w:t>
      </w:r>
    </w:p>
    <w:p>
      <w:pPr>
        <w:spacing w:after="0" w:line="22" w:lineRule="exact"/>
        <w:rPr>
          <w:rFonts w:ascii="Arial" w:cs="Arial" w:eastAsia="Arial" w:hAnsi="Arial"/>
          <w:sz w:val="18"/>
          <w:szCs w:val="18"/>
          <w:color w:val="auto"/>
        </w:rPr>
      </w:pPr>
    </w:p>
    <w:p>
      <w:pPr>
        <w:ind w:left="1040" w:hanging="262"/>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complex corporate withholding taxes on individuals;</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laws governing the manner in which future business combinations may be effected;</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exchange listing and/or delisting requirements;</w:t>
      </w:r>
    </w:p>
    <w:p>
      <w:pPr>
        <w:spacing w:after="0" w:line="22" w:lineRule="exact"/>
        <w:rPr>
          <w:rFonts w:ascii="Arial" w:cs="Arial" w:eastAsia="Arial" w:hAnsi="Arial"/>
          <w:sz w:val="18"/>
          <w:szCs w:val="18"/>
          <w:color w:val="auto"/>
        </w:rPr>
      </w:pPr>
    </w:p>
    <w:p>
      <w:pPr>
        <w:ind w:left="1040" w:hanging="262"/>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tariffs and trade barriers;</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regulations related to customs and import/export matters;</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local or regional economic policies and market conditions;</w:t>
      </w:r>
    </w:p>
    <w:p>
      <w:pPr>
        <w:spacing w:after="0" w:line="22" w:lineRule="exact"/>
        <w:rPr>
          <w:rFonts w:ascii="Arial" w:cs="Arial" w:eastAsia="Arial" w:hAnsi="Arial"/>
          <w:sz w:val="18"/>
          <w:szCs w:val="18"/>
          <w:color w:val="auto"/>
        </w:rPr>
      </w:pPr>
    </w:p>
    <w:p>
      <w:pPr>
        <w:ind w:left="1040" w:hanging="262"/>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unexpected changes in regulatory requirements;</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challenges in managing and staffing international operations;</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22" w:lineRule="exact"/>
        <w:rPr>
          <w:rFonts w:ascii="Arial" w:cs="Arial" w:eastAsia="Arial" w:hAnsi="Arial"/>
          <w:sz w:val="18"/>
          <w:szCs w:val="18"/>
          <w:color w:val="auto"/>
        </w:rPr>
      </w:pPr>
    </w:p>
    <w:p>
      <w:pPr>
        <w:ind w:left="1100" w:right="1459" w:hanging="322"/>
        <w:spacing w:after="0" w:line="246" w:lineRule="auto"/>
        <w:tabs>
          <w:tab w:leader="none" w:pos="1039" w:val="left"/>
        </w:tabs>
        <w:numPr>
          <w:ilvl w:val="0"/>
          <w:numId w:val="30"/>
        </w:numPr>
        <w:rPr>
          <w:rFonts w:ascii="Arial" w:cs="Arial" w:eastAsia="Arial" w:hAnsi="Arial"/>
          <w:sz w:val="18"/>
          <w:szCs w:val="18"/>
          <w:color w:val="auto"/>
        </w:rPr>
      </w:pPr>
      <w:r>
        <w:rPr>
          <w:rFonts w:ascii="Arial" w:cs="Arial" w:eastAsia="Arial" w:hAnsi="Arial"/>
          <w:sz w:val="18"/>
          <w:szCs w:val="18"/>
          <w:color w:val="auto"/>
        </w:rPr>
        <w:t>tax issues, such as tax law changes and variations in tax laws as compared to the United States;</w:t>
      </w:r>
    </w:p>
    <w:p>
      <w:pPr>
        <w:spacing w:after="0" w:line="21" w:lineRule="exact"/>
        <w:rPr>
          <w:rFonts w:ascii="Arial" w:cs="Arial" w:eastAsia="Arial" w:hAnsi="Arial"/>
          <w:sz w:val="18"/>
          <w:szCs w:val="18"/>
          <w:color w:val="auto"/>
        </w:rPr>
      </w:pPr>
    </w:p>
    <w:p>
      <w:pPr>
        <w:ind w:left="1040" w:hanging="262"/>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currency fluctuations and exchange controls;</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rates of inflation;</w:t>
      </w:r>
    </w:p>
    <w:p>
      <w:pPr>
        <w:spacing w:after="0" w:line="22" w:lineRule="exact"/>
        <w:rPr>
          <w:rFonts w:ascii="Arial" w:cs="Arial" w:eastAsia="Arial" w:hAnsi="Arial"/>
          <w:sz w:val="18"/>
          <w:szCs w:val="18"/>
          <w:color w:val="auto"/>
        </w:rPr>
      </w:pPr>
    </w:p>
    <w:p>
      <w:pPr>
        <w:ind w:left="1040" w:hanging="262"/>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challenges in collecting accounts receivable;</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cultural and language differences;</w:t>
      </w:r>
    </w:p>
    <w:p>
      <w:pPr>
        <w:spacing w:after="0" w:line="22" w:lineRule="exact"/>
        <w:rPr>
          <w:rFonts w:ascii="Arial" w:cs="Arial" w:eastAsia="Arial" w:hAnsi="Arial"/>
          <w:sz w:val="18"/>
          <w:szCs w:val="18"/>
          <w:color w:val="auto"/>
        </w:rPr>
      </w:pPr>
    </w:p>
    <w:p>
      <w:pPr>
        <w:ind w:left="1040" w:hanging="262"/>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employment regulations;</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underdeveloped or unpredictable legal or regulatory systems;</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corruption;</w:t>
      </w:r>
    </w:p>
    <w:p>
      <w:pPr>
        <w:spacing w:after="0" w:line="22" w:lineRule="exact"/>
        <w:rPr>
          <w:rFonts w:ascii="Arial" w:cs="Arial" w:eastAsia="Arial" w:hAnsi="Arial"/>
          <w:sz w:val="18"/>
          <w:szCs w:val="18"/>
          <w:color w:val="auto"/>
        </w:rPr>
      </w:pPr>
    </w:p>
    <w:p>
      <w:pPr>
        <w:ind w:left="1040" w:hanging="262"/>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protection of intellectual property;</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social unrest, crime, strikes, riots and civil disturbances;</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regime changes and political upheaval;</w:t>
      </w:r>
    </w:p>
    <w:p>
      <w:pPr>
        <w:spacing w:after="0" w:line="22" w:lineRule="exact"/>
        <w:rPr>
          <w:rFonts w:ascii="Arial" w:cs="Arial" w:eastAsia="Arial" w:hAnsi="Arial"/>
          <w:sz w:val="18"/>
          <w:szCs w:val="18"/>
          <w:color w:val="auto"/>
        </w:rPr>
      </w:pPr>
    </w:p>
    <w:p>
      <w:pPr>
        <w:ind w:left="1040" w:hanging="262"/>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terrorist attacks and wars; and</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deterioration of political relations with the United States.</w:t>
      </w:r>
    </w:p>
    <w:p>
      <w:pPr>
        <w:spacing w:after="0" w:line="144"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We may not be able to adequately address these additional risks. If we were unable to do so, we may be unable to complete such initial business combination, or, if we complete such initial business combination, our operations might suffer, either of which may adversely impact our business, financial condition and results of operations.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66"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Some of the statements contained in this prospectus may constitute “forward-looking statements” for purposes of the federal securities laws.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“would” and similar expressions may identify forward-looking statements, but the absence of these words does not mean that a statement is not forward-looking. Forward-looking statements in this prospectus may include, for example, statements about:</w:t>
      </w:r>
    </w:p>
    <w:p>
      <w:pPr>
        <w:spacing w:after="0" w:line="17" w:lineRule="exact"/>
        <w:rPr>
          <w:sz w:val="20"/>
          <w:szCs w:val="20"/>
          <w:color w:val="auto"/>
        </w:rPr>
      </w:pPr>
    </w:p>
    <w:p>
      <w:pPr>
        <w:ind w:left="1040" w:hanging="262"/>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select an appropriate target business or businesses;</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complete our initial business combination;</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expectations around the performance of the prospective target business or businesses;</w:t>
      </w:r>
    </w:p>
    <w:p>
      <w:pPr>
        <w:spacing w:after="0" w:line="22" w:lineRule="exact"/>
        <w:rPr>
          <w:rFonts w:ascii="Arial" w:cs="Arial" w:eastAsia="Arial" w:hAnsi="Arial"/>
          <w:sz w:val="18"/>
          <w:szCs w:val="18"/>
          <w:color w:val="auto"/>
        </w:rPr>
      </w:pPr>
    </w:p>
    <w:p>
      <w:pPr>
        <w:ind w:left="1100" w:right="699" w:hanging="322"/>
        <w:spacing w:after="0" w:line="246" w:lineRule="auto"/>
        <w:tabs>
          <w:tab w:leader="none" w:pos="1039"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success in retaining or recruiting, or changes required in, our officers, key employees or directors following our initial business combination;</w:t>
      </w:r>
    </w:p>
    <w:p>
      <w:pPr>
        <w:spacing w:after="0" w:line="21" w:lineRule="exact"/>
        <w:rPr>
          <w:rFonts w:ascii="Arial" w:cs="Arial" w:eastAsia="Arial" w:hAnsi="Arial"/>
          <w:sz w:val="18"/>
          <w:szCs w:val="18"/>
          <w:color w:val="auto"/>
        </w:rPr>
      </w:pPr>
    </w:p>
    <w:p>
      <w:pPr>
        <w:ind w:left="1100" w:right="999" w:hanging="322"/>
        <w:spacing w:after="0" w:line="273" w:lineRule="auto"/>
        <w:tabs>
          <w:tab w:leader="none" w:pos="1039"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officers and directors allocating their time to other businesses and potentially having conflicts of interest with our business or in approving our initial business combination;</w:t>
      </w:r>
    </w:p>
    <w:p>
      <w:pPr>
        <w:ind w:left="1040" w:hanging="262"/>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potential ability to obtain additional financing to complete our initial business combination;</w:t>
      </w:r>
    </w:p>
    <w:p>
      <w:pPr>
        <w:spacing w:after="0" w:line="22" w:lineRule="exact"/>
        <w:rPr>
          <w:rFonts w:ascii="Arial" w:cs="Arial" w:eastAsia="Arial" w:hAnsi="Arial"/>
          <w:sz w:val="18"/>
          <w:szCs w:val="18"/>
          <w:color w:val="auto"/>
        </w:rPr>
      </w:pPr>
    </w:p>
    <w:p>
      <w:pPr>
        <w:ind w:left="1040" w:hanging="262"/>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pool of prospective target businesses;</w:t>
      </w:r>
    </w:p>
    <w:p>
      <w:pPr>
        <w:spacing w:after="0" w:line="36" w:lineRule="exact"/>
        <w:rPr>
          <w:rFonts w:ascii="Arial" w:cs="Arial" w:eastAsia="Arial" w:hAnsi="Arial"/>
          <w:sz w:val="18"/>
          <w:szCs w:val="18"/>
          <w:color w:val="auto"/>
        </w:rPr>
      </w:pPr>
    </w:p>
    <w:p>
      <w:pPr>
        <w:ind w:left="1100" w:right="519" w:hanging="322"/>
        <w:spacing w:after="0" w:line="246" w:lineRule="auto"/>
        <w:tabs>
          <w:tab w:leader="none" w:pos="1039"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consummate an initial business combination due to the uncertainty resulting from the recent COVID-19 pandemic;</w:t>
      </w:r>
    </w:p>
    <w:p>
      <w:pPr>
        <w:spacing w:after="0" w:line="21" w:lineRule="exact"/>
        <w:rPr>
          <w:rFonts w:ascii="Arial" w:cs="Arial" w:eastAsia="Arial" w:hAnsi="Arial"/>
          <w:sz w:val="18"/>
          <w:szCs w:val="18"/>
          <w:color w:val="auto"/>
        </w:rPr>
      </w:pPr>
    </w:p>
    <w:p>
      <w:pPr>
        <w:ind w:left="1100" w:right="519" w:hanging="322"/>
        <w:spacing w:after="0" w:line="246" w:lineRule="auto"/>
        <w:tabs>
          <w:tab w:leader="none" w:pos="1039"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ability of our officers and directors to generate a number of potential business combination opportunities;</w:t>
      </w:r>
    </w:p>
    <w:p>
      <w:pPr>
        <w:spacing w:after="0" w:line="7" w:lineRule="exact"/>
        <w:rPr>
          <w:rFonts w:ascii="Arial" w:cs="Arial" w:eastAsia="Arial" w:hAnsi="Arial"/>
          <w:sz w:val="18"/>
          <w:szCs w:val="18"/>
          <w:color w:val="auto"/>
        </w:rPr>
      </w:pPr>
    </w:p>
    <w:p>
      <w:pPr>
        <w:ind w:left="1040" w:hanging="262"/>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public securities’ potential liquidity and trading;</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lack of a market for our securities;</w:t>
      </w:r>
    </w:p>
    <w:p>
      <w:pPr>
        <w:spacing w:after="0" w:line="36" w:lineRule="exact"/>
        <w:rPr>
          <w:rFonts w:ascii="Arial" w:cs="Arial" w:eastAsia="Arial" w:hAnsi="Arial"/>
          <w:sz w:val="18"/>
          <w:szCs w:val="18"/>
          <w:color w:val="auto"/>
        </w:rPr>
      </w:pPr>
    </w:p>
    <w:p>
      <w:pPr>
        <w:ind w:left="1100" w:right="499" w:hanging="322"/>
        <w:spacing w:after="0" w:line="246" w:lineRule="auto"/>
        <w:tabs>
          <w:tab w:leader="none" w:pos="1039"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use of proceeds not held in the trust account or available to us from interest income on the trust account balance;</w:t>
      </w:r>
    </w:p>
    <w:p>
      <w:pPr>
        <w:spacing w:after="0" w:line="7" w:lineRule="exact"/>
        <w:rPr>
          <w:rFonts w:ascii="Arial" w:cs="Arial" w:eastAsia="Arial" w:hAnsi="Arial"/>
          <w:sz w:val="18"/>
          <w:szCs w:val="18"/>
          <w:color w:val="auto"/>
        </w:rPr>
      </w:pPr>
    </w:p>
    <w:p>
      <w:pPr>
        <w:ind w:left="1040" w:hanging="262"/>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trust account not being subject to claims of third parties; or</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financial performance following this offering.</w:t>
      </w:r>
    </w:p>
    <w:p>
      <w:pPr>
        <w:spacing w:after="0" w:line="144" w:lineRule="exact"/>
        <w:rPr>
          <w:sz w:val="20"/>
          <w:szCs w:val="20"/>
          <w:color w:val="auto"/>
        </w:rPr>
      </w:pPr>
    </w:p>
    <w:p>
      <w:pPr>
        <w:ind w:left="460" w:right="459"/>
        <w:spacing w:after="0" w:line="236" w:lineRule="auto"/>
        <w:rPr>
          <w:sz w:val="20"/>
          <w:szCs w:val="20"/>
          <w:color w:val="auto"/>
        </w:rPr>
      </w:pPr>
      <w:r>
        <w:rPr>
          <w:rFonts w:ascii="Arial" w:cs="Arial" w:eastAsia="Arial" w:hAnsi="Arial"/>
          <w:sz w:val="18"/>
          <w:szCs w:val="18"/>
          <w:color w:val="auto"/>
        </w:rPr>
        <w:t>The forward-looking statements contained in this prospectus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66" w:lineRule="exact"/>
        <w:rPr>
          <w:sz w:val="20"/>
          <w:szCs w:val="20"/>
          <w:color w:val="auto"/>
        </w:rPr>
      </w:pPr>
    </w:p>
    <w:p>
      <w:pPr>
        <w:ind w:left="460" w:right="519"/>
        <w:spacing w:after="0"/>
        <w:rPr>
          <w:sz w:val="20"/>
          <w:szCs w:val="20"/>
          <w:color w:val="auto"/>
        </w:rPr>
      </w:pPr>
      <w:r>
        <w:rPr>
          <w:rFonts w:ascii="Arial" w:cs="Arial" w:eastAsia="Arial" w:hAnsi="Arial"/>
          <w:sz w:val="18"/>
          <w:szCs w:val="18"/>
          <w:color w:val="auto"/>
        </w:rPr>
        <w:t>We are offering 10,000,000 shares of our Class A common stock at an offering price of $ 10.00 per shares. We estimate that the net proceeds of this offering together with the funds we will receive from the sale of the private placement shares will be used as set forth in the following table.</w:t>
      </w:r>
    </w:p>
    <w:p>
      <w:pPr>
        <w:spacing w:after="0" w:line="150"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Without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Over-allotment</w:t>
            </w:r>
          </w:p>
        </w:tc>
        <w:tc>
          <w:tcPr>
            <w:tcW w:w="0" w:type="dxa"/>
            <w:vAlign w:val="bottom"/>
          </w:tcPr>
          <w:p>
            <w:pPr>
              <w:spacing w:after="0"/>
              <w:rPr>
                <w:sz w:val="1"/>
                <w:szCs w:val="1"/>
                <w:color w:val="auto"/>
              </w:rPr>
            </w:pPr>
          </w:p>
        </w:tc>
      </w:tr>
      <w:tr>
        <w:trPr>
          <w:trHeight w:val="162"/>
        </w:trPr>
        <w:tc>
          <w:tcPr>
            <w:tcW w:w="5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Over-allotment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90"/>
        </w:trPr>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Option</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Exercised</w:t>
            </w:r>
          </w:p>
        </w:tc>
        <w:tc>
          <w:tcPr>
            <w:tcW w:w="0" w:type="dxa"/>
            <w:vAlign w:val="bottom"/>
          </w:tcPr>
          <w:p>
            <w:pPr>
              <w:spacing w:after="0"/>
              <w:rPr>
                <w:sz w:val="1"/>
                <w:szCs w:val="1"/>
                <w:color w:val="auto"/>
              </w:rPr>
            </w:pPr>
          </w:p>
        </w:tc>
      </w:tr>
      <w:tr>
        <w:trPr>
          <w:trHeight w:val="26"/>
        </w:trPr>
        <w:tc>
          <w:tcPr>
            <w:tcW w:w="53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Gross proceeds</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5360" w:type="dxa"/>
            <w:vAlign w:val="bottom"/>
          </w:tcPr>
          <w:p>
            <w:pPr>
              <w:ind w:left="180"/>
              <w:spacing w:after="0" w:line="201" w:lineRule="exact"/>
              <w:rPr>
                <w:sz w:val="20"/>
                <w:szCs w:val="20"/>
                <w:color w:val="auto"/>
              </w:rPr>
            </w:pPr>
            <w:r>
              <w:rPr>
                <w:rFonts w:ascii="Arial" w:cs="Arial" w:eastAsia="Arial" w:hAnsi="Arial"/>
                <w:sz w:val="18"/>
                <w:szCs w:val="18"/>
                <w:color w:val="auto"/>
              </w:rPr>
              <w:t>Gross proceeds from shares of Class A common stock offered</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360" w:type="dxa"/>
            <w:vAlign w:val="bottom"/>
          </w:tcPr>
          <w:p>
            <w:pPr>
              <w:ind w:left="360"/>
              <w:spacing w:after="0"/>
              <w:rPr>
                <w:sz w:val="20"/>
                <w:szCs w:val="20"/>
                <w:color w:val="auto"/>
              </w:rPr>
            </w:pPr>
            <w:r>
              <w:rPr>
                <w:rFonts w:ascii="Arial" w:cs="Arial" w:eastAsia="Arial" w:hAnsi="Arial"/>
                <w:sz w:val="18"/>
                <w:szCs w:val="18"/>
                <w:color w:val="auto"/>
              </w:rPr>
              <w:t>to public</w:t>
            </w:r>
            <w:r>
              <w:rPr>
                <w:rFonts w:ascii="Arial" w:cs="Arial" w:eastAsia="Arial" w:hAnsi="Arial"/>
                <w:sz w:val="20"/>
                <w:szCs w:val="20"/>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100,000,000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115,000,000</w:t>
            </w:r>
          </w:p>
        </w:tc>
        <w:tc>
          <w:tcPr>
            <w:tcW w:w="0" w:type="dxa"/>
            <w:vAlign w:val="bottom"/>
          </w:tcPr>
          <w:p>
            <w:pPr>
              <w:spacing w:after="0"/>
              <w:rPr>
                <w:sz w:val="1"/>
                <w:szCs w:val="1"/>
                <w:color w:val="auto"/>
              </w:rPr>
            </w:pPr>
          </w:p>
        </w:tc>
      </w:tr>
      <w:tr>
        <w:trPr>
          <w:trHeight w:val="202"/>
        </w:trPr>
        <w:tc>
          <w:tcPr>
            <w:tcW w:w="53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Gross proceeds from private placement shares offered in the</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private placement</w:t>
            </w:r>
          </w:p>
        </w:tc>
        <w:tc>
          <w:tcPr>
            <w:tcW w:w="1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4,000,000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4,300,000</w:t>
            </w:r>
          </w:p>
        </w:tc>
        <w:tc>
          <w:tcPr>
            <w:tcW w:w="0" w:type="dxa"/>
            <w:vAlign w:val="bottom"/>
          </w:tcPr>
          <w:p>
            <w:pPr>
              <w:spacing w:after="0"/>
              <w:rPr>
                <w:sz w:val="1"/>
                <w:szCs w:val="1"/>
                <w:color w:val="auto"/>
              </w:rPr>
            </w:pPr>
          </w:p>
        </w:tc>
      </w:tr>
      <w:tr>
        <w:trPr>
          <w:trHeight w:val="20"/>
        </w:trPr>
        <w:tc>
          <w:tcPr>
            <w:tcW w:w="5360" w:type="dxa"/>
            <w:vAlign w:val="bottom"/>
            <w:vMerge w:val="restart"/>
          </w:tcPr>
          <w:p>
            <w:pPr>
              <w:ind w:left="360"/>
              <w:spacing w:after="0"/>
              <w:rPr>
                <w:sz w:val="20"/>
                <w:szCs w:val="20"/>
                <w:color w:val="auto"/>
              </w:rPr>
            </w:pPr>
            <w:r>
              <w:rPr>
                <w:rFonts w:ascii="Arial" w:cs="Arial" w:eastAsia="Arial" w:hAnsi="Arial"/>
                <w:sz w:val="18"/>
                <w:szCs w:val="18"/>
                <w:color w:val="auto"/>
              </w:rPr>
              <w:t>Total gross proceeds</w:t>
            </w: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5360" w:type="dxa"/>
            <w:vAlign w:val="bottom"/>
            <w:vMerge w:val="continue"/>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104,000,000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119,300,000</w:t>
            </w:r>
          </w:p>
        </w:tc>
        <w:tc>
          <w:tcPr>
            <w:tcW w:w="0" w:type="dxa"/>
            <w:vAlign w:val="bottom"/>
          </w:tcPr>
          <w:p>
            <w:pPr>
              <w:spacing w:after="0"/>
              <w:rPr>
                <w:sz w:val="1"/>
                <w:szCs w:val="1"/>
                <w:color w:val="auto"/>
              </w:rPr>
            </w:pPr>
          </w:p>
        </w:tc>
      </w:tr>
      <w:tr>
        <w:trPr>
          <w:trHeight w:val="264"/>
        </w:trPr>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Estimated offering expenses</w:t>
            </w:r>
            <w:r>
              <w:rPr>
                <w:rFonts w:ascii="Arial" w:cs="Arial" w:eastAsia="Arial" w:hAnsi="Arial"/>
                <w:sz w:val="20"/>
                <w:szCs w:val="20"/>
                <w:color w:val="auto"/>
                <w:vertAlign w:val="superscript"/>
              </w:rPr>
              <w:t>(2)</w:t>
            </w:r>
          </w:p>
        </w:tc>
        <w:tc>
          <w:tcPr>
            <w:tcW w:w="12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spacing w:after="0"/>
              <w:rPr>
                <w:sz w:val="22"/>
                <w:szCs w:val="22"/>
                <w:color w:val="auto"/>
              </w:rPr>
            </w:pPr>
          </w:p>
        </w:tc>
        <w:tc>
          <w:tcPr>
            <w:tcW w:w="16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spacing w:after="0"/>
              <w:rPr>
                <w:sz w:val="22"/>
                <w:szCs w:val="22"/>
                <w:color w:val="auto"/>
              </w:rPr>
            </w:pPr>
          </w:p>
        </w:tc>
        <w:tc>
          <w:tcPr>
            <w:tcW w:w="16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5360" w:type="dxa"/>
            <w:vAlign w:val="bottom"/>
          </w:tcPr>
          <w:p>
            <w:pPr>
              <w:ind w:left="180"/>
              <w:spacing w:after="0" w:line="201" w:lineRule="exact"/>
              <w:rPr>
                <w:sz w:val="20"/>
                <w:szCs w:val="20"/>
                <w:color w:val="auto"/>
              </w:rPr>
            </w:pPr>
            <w:r>
              <w:rPr>
                <w:rFonts w:ascii="Arial" w:cs="Arial" w:eastAsia="Arial" w:hAnsi="Arial"/>
                <w:sz w:val="18"/>
                <w:szCs w:val="18"/>
                <w:color w:val="auto"/>
              </w:rPr>
              <w:t>Underwriting commissions (2.0% of gross proceeds from</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60" w:type="dxa"/>
            <w:vAlign w:val="bottom"/>
          </w:tcPr>
          <w:p>
            <w:pPr>
              <w:ind w:left="360"/>
              <w:spacing w:after="0" w:line="202" w:lineRule="exact"/>
              <w:rPr>
                <w:sz w:val="20"/>
                <w:szCs w:val="20"/>
                <w:color w:val="auto"/>
              </w:rPr>
            </w:pPr>
            <w:r>
              <w:rPr>
                <w:rFonts w:ascii="Arial" w:cs="Arial" w:eastAsia="Arial" w:hAnsi="Arial"/>
                <w:sz w:val="18"/>
                <w:szCs w:val="18"/>
                <w:color w:val="auto"/>
              </w:rPr>
              <w:t>shares of Class A common stock offered to public, excluding</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360" w:type="dxa"/>
            <w:vAlign w:val="bottom"/>
          </w:tcPr>
          <w:p>
            <w:pPr>
              <w:ind w:left="360"/>
              <w:spacing w:after="0"/>
              <w:rPr>
                <w:sz w:val="20"/>
                <w:szCs w:val="20"/>
                <w:color w:val="auto"/>
              </w:rPr>
            </w:pPr>
            <w:r>
              <w:rPr>
                <w:rFonts w:ascii="Arial" w:cs="Arial" w:eastAsia="Arial" w:hAnsi="Arial"/>
                <w:sz w:val="18"/>
                <w:szCs w:val="18"/>
                <w:color w:val="auto"/>
              </w:rPr>
              <w:t>deferred portion)</w:t>
            </w:r>
            <w:r>
              <w:rPr>
                <w:rFonts w:ascii="Arial" w:cs="Arial" w:eastAsia="Arial" w:hAnsi="Arial"/>
                <w:sz w:val="20"/>
                <w:szCs w:val="20"/>
                <w:color w:val="auto"/>
                <w:vertAlign w:val="superscript"/>
              </w:rPr>
              <w:t>(3)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2,000,000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2,300,000</w:t>
            </w:r>
          </w:p>
        </w:tc>
        <w:tc>
          <w:tcPr>
            <w:tcW w:w="0" w:type="dxa"/>
            <w:vAlign w:val="bottom"/>
          </w:tcPr>
          <w:p>
            <w:pPr>
              <w:spacing w:after="0"/>
              <w:rPr>
                <w:sz w:val="1"/>
                <w:szCs w:val="1"/>
                <w:color w:val="auto"/>
              </w:rPr>
            </w:pPr>
          </w:p>
        </w:tc>
      </w:tr>
      <w:tr>
        <w:trPr>
          <w:trHeight w:val="263"/>
        </w:trPr>
        <w:tc>
          <w:tcPr>
            <w:tcW w:w="5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Legal fees and expenses</w:t>
            </w: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325,000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325,000</w:t>
            </w:r>
          </w:p>
        </w:tc>
        <w:tc>
          <w:tcPr>
            <w:tcW w:w="0" w:type="dxa"/>
            <w:vAlign w:val="bottom"/>
          </w:tcPr>
          <w:p>
            <w:pPr>
              <w:spacing w:after="0"/>
              <w:rPr>
                <w:sz w:val="1"/>
                <w:szCs w:val="1"/>
                <w:color w:val="auto"/>
              </w:rPr>
            </w:pPr>
          </w:p>
        </w:tc>
      </w:tr>
      <w:tr>
        <w:trPr>
          <w:trHeight w:val="257"/>
        </w:trPr>
        <w:tc>
          <w:tcPr>
            <w:tcW w:w="5360" w:type="dxa"/>
            <w:vAlign w:val="bottom"/>
          </w:tcPr>
          <w:p>
            <w:pPr>
              <w:ind w:left="180"/>
              <w:spacing w:after="0"/>
              <w:rPr>
                <w:sz w:val="20"/>
                <w:szCs w:val="20"/>
                <w:color w:val="auto"/>
              </w:rPr>
            </w:pPr>
            <w:r>
              <w:rPr>
                <w:rFonts w:ascii="Arial" w:cs="Arial" w:eastAsia="Arial" w:hAnsi="Arial"/>
                <w:sz w:val="18"/>
                <w:szCs w:val="18"/>
                <w:color w:val="auto"/>
              </w:rPr>
              <w:t>Printing and engraving expenses</w:t>
            </w:r>
          </w:p>
        </w:tc>
        <w:tc>
          <w:tcPr>
            <w:tcW w:w="120" w:type="dxa"/>
            <w:vAlign w:val="bottom"/>
          </w:tcPr>
          <w:p>
            <w:pPr>
              <w:spacing w:after="0"/>
              <w:rPr>
                <w:sz w:val="22"/>
                <w:szCs w:val="22"/>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Accounting fees and expenses</w:t>
            </w: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60,000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57"/>
        </w:trPr>
        <w:tc>
          <w:tcPr>
            <w:tcW w:w="5360" w:type="dxa"/>
            <w:vAlign w:val="bottom"/>
          </w:tcPr>
          <w:p>
            <w:pPr>
              <w:ind w:left="180"/>
              <w:spacing w:after="0"/>
              <w:rPr>
                <w:sz w:val="20"/>
                <w:szCs w:val="20"/>
                <w:color w:val="auto"/>
              </w:rPr>
            </w:pPr>
            <w:r>
              <w:rPr>
                <w:rFonts w:ascii="Arial" w:cs="Arial" w:eastAsia="Arial" w:hAnsi="Arial"/>
                <w:sz w:val="18"/>
                <w:szCs w:val="18"/>
                <w:color w:val="auto"/>
              </w:rPr>
              <w:t>SEC/FINRA Expenses</w:t>
            </w:r>
          </w:p>
        </w:tc>
        <w:tc>
          <w:tcPr>
            <w:tcW w:w="120" w:type="dxa"/>
            <w:vAlign w:val="bottom"/>
          </w:tcPr>
          <w:p>
            <w:pPr>
              <w:spacing w:after="0"/>
              <w:rPr>
                <w:sz w:val="22"/>
                <w:szCs w:val="22"/>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33,000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33,000</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Travel and road show</w:t>
            </w: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57"/>
        </w:trPr>
        <w:tc>
          <w:tcPr>
            <w:tcW w:w="5360" w:type="dxa"/>
            <w:vAlign w:val="bottom"/>
          </w:tcPr>
          <w:p>
            <w:pPr>
              <w:ind w:left="180"/>
              <w:spacing w:after="0"/>
              <w:rPr>
                <w:sz w:val="20"/>
                <w:szCs w:val="20"/>
                <w:color w:val="auto"/>
              </w:rPr>
            </w:pPr>
            <w:r>
              <w:rPr>
                <w:rFonts w:ascii="Arial" w:cs="Arial" w:eastAsia="Arial" w:hAnsi="Arial"/>
                <w:sz w:val="18"/>
                <w:szCs w:val="18"/>
                <w:color w:val="auto"/>
              </w:rPr>
              <w:t>Nasdaq listing and filing fees</w:t>
            </w:r>
          </w:p>
        </w:tc>
        <w:tc>
          <w:tcPr>
            <w:tcW w:w="120" w:type="dxa"/>
            <w:vAlign w:val="bottom"/>
          </w:tcPr>
          <w:p>
            <w:pPr>
              <w:spacing w:after="0"/>
              <w:rPr>
                <w:sz w:val="22"/>
                <w:szCs w:val="22"/>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Directors and officers insurance</w:t>
            </w: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125,000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125,000</w:t>
            </w:r>
          </w:p>
        </w:tc>
        <w:tc>
          <w:tcPr>
            <w:tcW w:w="0" w:type="dxa"/>
            <w:vAlign w:val="bottom"/>
          </w:tcPr>
          <w:p>
            <w:pPr>
              <w:spacing w:after="0"/>
              <w:rPr>
                <w:sz w:val="1"/>
                <w:szCs w:val="1"/>
                <w:color w:val="auto"/>
              </w:rPr>
            </w:pPr>
          </w:p>
        </w:tc>
      </w:tr>
      <w:tr>
        <w:trPr>
          <w:trHeight w:val="277"/>
        </w:trPr>
        <w:tc>
          <w:tcPr>
            <w:tcW w:w="5360" w:type="dxa"/>
            <w:vAlign w:val="bottom"/>
          </w:tcPr>
          <w:p>
            <w:pPr>
              <w:ind w:left="180"/>
              <w:spacing w:after="0"/>
              <w:rPr>
                <w:sz w:val="20"/>
                <w:szCs w:val="20"/>
                <w:color w:val="auto"/>
              </w:rPr>
            </w:pPr>
            <w:r>
              <w:rPr>
                <w:rFonts w:ascii="Arial" w:cs="Arial" w:eastAsia="Arial" w:hAnsi="Arial"/>
                <w:sz w:val="18"/>
                <w:szCs w:val="18"/>
                <w:color w:val="auto"/>
              </w:rPr>
              <w:t>Miscellaneous</w:t>
            </w:r>
          </w:p>
        </w:tc>
        <w:tc>
          <w:tcPr>
            <w:tcW w:w="120" w:type="dxa"/>
            <w:vAlign w:val="bottom"/>
          </w:tcPr>
          <w:p>
            <w:pPr>
              <w:spacing w:after="0"/>
              <w:rPr>
                <w:sz w:val="24"/>
                <w:szCs w:val="2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327,000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327,000</w:t>
            </w:r>
          </w:p>
        </w:tc>
        <w:tc>
          <w:tcPr>
            <w:tcW w:w="0" w:type="dxa"/>
            <w:vAlign w:val="bottom"/>
          </w:tcPr>
          <w:p>
            <w:pPr>
              <w:spacing w:after="0"/>
              <w:rPr>
                <w:sz w:val="1"/>
                <w:szCs w:val="1"/>
                <w:color w:val="auto"/>
              </w:rPr>
            </w:pPr>
          </w:p>
        </w:tc>
      </w:tr>
      <w:tr>
        <w:trPr>
          <w:trHeight w:val="188"/>
        </w:trPr>
        <w:tc>
          <w:tcPr>
            <w:tcW w:w="5360" w:type="dxa"/>
            <w:vAlign w:val="bottom"/>
            <w:tcBorders>
              <w:top w:val="single" w:sz="8" w:color="CCEEFF"/>
            </w:tcBorders>
            <w:shd w:val="clear" w:color="auto" w:fill="CCEEFF"/>
          </w:tcPr>
          <w:p>
            <w:pPr>
              <w:ind w:left="360"/>
              <w:spacing w:after="0" w:line="189" w:lineRule="exact"/>
              <w:rPr>
                <w:sz w:val="20"/>
                <w:szCs w:val="20"/>
                <w:color w:val="auto"/>
              </w:rPr>
            </w:pPr>
            <w:r>
              <w:rPr>
                <w:rFonts w:ascii="Arial" w:cs="Arial" w:eastAsia="Arial" w:hAnsi="Arial"/>
                <w:sz w:val="18"/>
                <w:szCs w:val="18"/>
                <w:color w:val="auto"/>
              </w:rPr>
              <w:t>Total offering expenses (other than underwriting</w:t>
            </w:r>
          </w:p>
        </w:tc>
        <w:tc>
          <w:tcPr>
            <w:tcW w:w="1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commissions)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1,000,000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tcPr>
          <w:p>
            <w:pPr>
              <w:spacing w:after="0"/>
              <w:rPr>
                <w:sz w:val="20"/>
                <w:szCs w:val="20"/>
                <w:color w:val="auto"/>
              </w:rPr>
            </w:pPr>
            <w:r>
              <w:rPr>
                <w:rFonts w:ascii="Arial" w:cs="Arial" w:eastAsia="Arial" w:hAnsi="Arial"/>
                <w:sz w:val="18"/>
                <w:szCs w:val="18"/>
                <w:color w:val="auto"/>
              </w:rPr>
              <w:t>Proceeds after estimated offering expenses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101,000,000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116,000,000</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Held in trust account</w:t>
            </w:r>
            <w:r>
              <w:rPr>
                <w:rFonts w:ascii="Arial" w:cs="Arial" w:eastAsia="Arial" w:hAnsi="Arial"/>
                <w:sz w:val="20"/>
                <w:szCs w:val="20"/>
                <w:color w:val="auto"/>
                <w:vertAlign w:val="superscript"/>
              </w:rPr>
              <w:t>(3)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100,000,000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115,000,000</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tcPr>
          <w:p>
            <w:pPr>
              <w:spacing w:after="0"/>
              <w:rPr>
                <w:sz w:val="20"/>
                <w:szCs w:val="20"/>
                <w:color w:val="auto"/>
              </w:rPr>
            </w:pPr>
            <w:r>
              <w:rPr>
                <w:rFonts w:ascii="Arial" w:cs="Arial" w:eastAsia="Arial" w:hAnsi="Arial"/>
                <w:sz w:val="18"/>
                <w:szCs w:val="18"/>
                <w:color w:val="auto"/>
              </w:rPr>
              <w:t>% of public offering size</w:t>
            </w:r>
          </w:p>
        </w:tc>
        <w:tc>
          <w:tcPr>
            <w:tcW w:w="1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Not held in trust account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1,000,000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60" w:right="779"/>
        <w:spacing w:after="0" w:line="273" w:lineRule="auto"/>
        <w:rPr>
          <w:sz w:val="20"/>
          <w:szCs w:val="20"/>
          <w:color w:val="auto"/>
        </w:rPr>
      </w:pPr>
      <w:r>
        <w:rPr>
          <w:rFonts w:ascii="Arial" w:cs="Arial" w:eastAsia="Arial" w:hAnsi="Arial"/>
          <w:sz w:val="18"/>
          <w:szCs w:val="18"/>
          <w:color w:val="auto"/>
        </w:rPr>
        <w:t>The following table shows the use of the approximately $1,000,000 of net proceeds not held in the trust account</w:t>
      </w:r>
      <w:r>
        <w:rPr>
          <w:rFonts w:ascii="Arial" w:cs="Arial" w:eastAsia="Arial" w:hAnsi="Arial"/>
          <w:sz w:val="20"/>
          <w:szCs w:val="20"/>
          <w:color w:val="auto"/>
          <w:vertAlign w:val="superscript"/>
        </w:rPr>
        <w:t>(4)</w:t>
      </w:r>
    </w:p>
    <w:p>
      <w:pPr>
        <w:spacing w:after="0" w:line="152"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1160" w:type="dxa"/>
            <w:vAlign w:val="bottom"/>
            <w:gridSpan w:val="2"/>
          </w:tcPr>
          <w:p>
            <w:pPr>
              <w:ind w:left="260"/>
              <w:spacing w:after="0"/>
              <w:rPr>
                <w:sz w:val="20"/>
                <w:szCs w:val="20"/>
                <w:color w:val="auto"/>
              </w:rPr>
            </w:pPr>
            <w:r>
              <w:rPr>
                <w:rFonts w:ascii="Arial" w:cs="Arial" w:eastAsia="Arial" w:hAnsi="Arial"/>
                <w:sz w:val="14"/>
                <w:szCs w:val="14"/>
                <w:b w:val="1"/>
                <w:bCs w:val="1"/>
                <w:color w:val="auto"/>
              </w:rPr>
              <w:t>Amount</w:t>
            </w:r>
          </w:p>
        </w:tc>
        <w:tc>
          <w:tcPr>
            <w:tcW w:w="12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 of Total</w:t>
            </w:r>
          </w:p>
        </w:tc>
      </w:tr>
      <w:tr>
        <w:trPr>
          <w:trHeight w:val="25"/>
        </w:trPr>
        <w:tc>
          <w:tcPr>
            <w:tcW w:w="57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182"/>
        </w:trPr>
        <w:tc>
          <w:tcPr>
            <w:tcW w:w="57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Legal, accounting, due diligence, travel, and other expenses in</w:t>
            </w: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44"/>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connection with any business combination)</w:t>
            </w:r>
            <w:r>
              <w:rPr>
                <w:rFonts w:ascii="Arial" w:cs="Arial" w:eastAsia="Arial" w:hAnsi="Arial"/>
                <w:sz w:val="20"/>
                <w:szCs w:val="20"/>
                <w:color w:val="auto"/>
                <w:vertAlign w:val="superscript"/>
              </w:rPr>
              <w:t>(5)</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500,000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57"/>
        </w:trPr>
        <w:tc>
          <w:tcPr>
            <w:tcW w:w="5700" w:type="dxa"/>
            <w:vAlign w:val="bottom"/>
          </w:tcPr>
          <w:p>
            <w:pPr>
              <w:spacing w:after="0"/>
              <w:rPr>
                <w:sz w:val="20"/>
                <w:szCs w:val="20"/>
                <w:color w:val="auto"/>
              </w:rPr>
            </w:pPr>
            <w:r>
              <w:rPr>
                <w:rFonts w:ascii="Arial" w:cs="Arial" w:eastAsia="Arial" w:hAnsi="Arial"/>
                <w:sz w:val="18"/>
                <w:szCs w:val="18"/>
                <w:color w:val="auto"/>
              </w:rPr>
              <w:t>Legal and accounting fees related to regulatory reporting obligations</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85,000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8.5%</w:t>
            </w:r>
          </w:p>
        </w:tc>
      </w:tr>
      <w:tr>
        <w:trPr>
          <w:trHeight w:val="27"/>
        </w:trPr>
        <w:tc>
          <w:tcPr>
            <w:tcW w:w="5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63"/>
        </w:trPr>
        <w:tc>
          <w:tcPr>
            <w:tcW w:w="5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Nasdaq and other regulatory fees</w:t>
            </w:r>
          </w:p>
        </w:tc>
        <w:tc>
          <w:tcPr>
            <w:tcW w:w="11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75,000</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57"/>
        </w:trPr>
        <w:tc>
          <w:tcPr>
            <w:tcW w:w="5700" w:type="dxa"/>
            <w:vAlign w:val="bottom"/>
          </w:tcPr>
          <w:p>
            <w:pPr>
              <w:spacing w:after="0"/>
              <w:rPr>
                <w:sz w:val="20"/>
                <w:szCs w:val="20"/>
                <w:color w:val="auto"/>
              </w:rPr>
            </w:pPr>
            <w:r>
              <w:rPr>
                <w:rFonts w:ascii="Arial" w:cs="Arial" w:eastAsia="Arial" w:hAnsi="Arial"/>
                <w:sz w:val="18"/>
                <w:szCs w:val="18"/>
                <w:color w:val="auto"/>
              </w:rPr>
              <w:t>Payment for office space, secretarial and administrative services</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240,000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24.0%</w:t>
            </w:r>
          </w:p>
        </w:tc>
      </w:tr>
      <w:tr>
        <w:trPr>
          <w:trHeight w:val="27"/>
        </w:trPr>
        <w:tc>
          <w:tcPr>
            <w:tcW w:w="5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02"/>
        </w:trPr>
        <w:tc>
          <w:tcPr>
            <w:tcW w:w="5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Consulting, travel and miscellaneous expenses incurred during search</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24"/>
        </w:trPr>
        <w:tc>
          <w:tcPr>
            <w:tcW w:w="5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 initial business combination target</w:t>
            </w:r>
          </w:p>
        </w:tc>
        <w:tc>
          <w:tcPr>
            <w:tcW w:w="11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75,000</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77"/>
        </w:trPr>
        <w:tc>
          <w:tcPr>
            <w:tcW w:w="5700" w:type="dxa"/>
            <w:vAlign w:val="bottom"/>
          </w:tcPr>
          <w:p>
            <w:pPr>
              <w:spacing w:after="0"/>
              <w:rPr>
                <w:sz w:val="20"/>
                <w:szCs w:val="20"/>
                <w:color w:val="auto"/>
              </w:rPr>
            </w:pPr>
            <w:r>
              <w:rPr>
                <w:rFonts w:ascii="Arial" w:cs="Arial" w:eastAsia="Arial" w:hAnsi="Arial"/>
                <w:sz w:val="18"/>
                <w:szCs w:val="18"/>
                <w:color w:val="auto"/>
              </w:rPr>
              <w:t>Working capital to cover miscellaneous expenses</w:t>
            </w:r>
          </w:p>
        </w:tc>
        <w:tc>
          <w:tcPr>
            <w:tcW w:w="1080" w:type="dxa"/>
            <w:vAlign w:val="bottom"/>
          </w:tcPr>
          <w:p>
            <w:pPr>
              <w:jc w:val="right"/>
              <w:spacing w:after="0"/>
              <w:rPr>
                <w:sz w:val="20"/>
                <w:szCs w:val="20"/>
                <w:color w:val="auto"/>
              </w:rPr>
            </w:pPr>
            <w:r>
              <w:rPr>
                <w:rFonts w:ascii="Arial" w:cs="Arial" w:eastAsia="Arial" w:hAnsi="Arial"/>
                <w:sz w:val="18"/>
                <w:szCs w:val="18"/>
                <w:color w:val="auto"/>
              </w:rPr>
              <w:t>25,000</w:t>
            </w:r>
          </w:p>
        </w:tc>
        <w:tc>
          <w:tcPr>
            <w:tcW w:w="80" w:type="dxa"/>
            <w:vAlign w:val="bottom"/>
          </w:tcPr>
          <w:p>
            <w:pPr>
              <w:spacing w:after="0"/>
              <w:rPr>
                <w:sz w:val="24"/>
                <w:szCs w:val="24"/>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570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57"/>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1,000,000</w:t>
            </w:r>
          </w:p>
        </w:tc>
        <w:tc>
          <w:tcPr>
            <w:tcW w:w="8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92" w:lineRule="exact"/>
        <w:rPr>
          <w:sz w:val="20"/>
          <w:szCs w:val="20"/>
          <w:color w:val="auto"/>
        </w:rPr>
      </w:pPr>
    </w:p>
    <w:p>
      <w:pPr>
        <w:ind w:left="880" w:right="679" w:hanging="426"/>
        <w:spacing w:after="0" w:line="216" w:lineRule="auto"/>
        <w:tabs>
          <w:tab w:leader="none" w:pos="847" w:val="left"/>
        </w:tabs>
        <w:numPr>
          <w:ilvl w:val="0"/>
          <w:numId w:val="32"/>
        </w:numPr>
        <w:rPr>
          <w:rFonts w:ascii="Arial" w:cs="Arial" w:eastAsia="Arial" w:hAnsi="Arial"/>
          <w:sz w:val="13"/>
          <w:szCs w:val="13"/>
          <w:color w:val="auto"/>
        </w:rPr>
      </w:pPr>
      <w:r>
        <w:rPr>
          <w:rFonts w:ascii="Arial" w:cs="Arial" w:eastAsia="Arial" w:hAnsi="Arial"/>
          <w:sz w:val="13"/>
          <w:szCs w:val="13"/>
          <w:color w:val="auto"/>
        </w:rPr>
        <w:t>Includes amounts payable to public stockholders who properly redeem their shares in connection with our successful completion of our initial business combination.</w:t>
      </w:r>
    </w:p>
    <w:p>
      <w:pPr>
        <w:ind w:left="880" w:right="499" w:hanging="426"/>
        <w:spacing w:after="0" w:line="216" w:lineRule="auto"/>
        <w:tabs>
          <w:tab w:leader="none" w:pos="840" w:val="left"/>
        </w:tabs>
        <w:numPr>
          <w:ilvl w:val="0"/>
          <w:numId w:val="32"/>
        </w:numPr>
        <w:rPr>
          <w:rFonts w:ascii="Arial" w:cs="Arial" w:eastAsia="Arial" w:hAnsi="Arial"/>
          <w:sz w:val="13"/>
          <w:szCs w:val="13"/>
          <w:color w:val="auto"/>
        </w:rPr>
      </w:pPr>
      <w:r>
        <w:rPr>
          <w:rFonts w:ascii="Arial" w:cs="Arial" w:eastAsia="Arial" w:hAnsi="Arial"/>
          <w:sz w:val="13"/>
          <w:szCs w:val="13"/>
          <w:color w:val="auto"/>
        </w:rPr>
        <w:t>A portion of the offering expenses will be paid from the proceeds of loans from our sponsor of up to $200,000 as described in this prospectus. These loans will be repaid upon completion of this offering out of the $1,000,000 of offering proceeds that has been allocated for the payment of offering expenses other than underwriting commissions. In the event that offering expenses are less than set forth in this table, any such amounts will be used for post-closing working capital expenses.</w:t>
      </w:r>
    </w:p>
    <w:p>
      <w:pPr>
        <w:spacing w:after="0" w:line="1" w:lineRule="exact"/>
        <w:rPr>
          <w:rFonts w:ascii="Arial" w:cs="Arial" w:eastAsia="Arial" w:hAnsi="Arial"/>
          <w:sz w:val="13"/>
          <w:szCs w:val="13"/>
          <w:color w:val="auto"/>
        </w:rPr>
      </w:pPr>
    </w:p>
    <w:p>
      <w:pPr>
        <w:ind w:left="880" w:right="499" w:hanging="426"/>
        <w:spacing w:after="0" w:line="222" w:lineRule="auto"/>
        <w:tabs>
          <w:tab w:leader="none" w:pos="845" w:val="left"/>
        </w:tabs>
        <w:numPr>
          <w:ilvl w:val="0"/>
          <w:numId w:val="32"/>
        </w:numPr>
        <w:rPr>
          <w:rFonts w:ascii="Arial" w:cs="Arial" w:eastAsia="Arial" w:hAnsi="Arial"/>
          <w:sz w:val="13"/>
          <w:szCs w:val="13"/>
          <w:color w:val="auto"/>
        </w:rPr>
      </w:pPr>
      <w:r>
        <w:rPr>
          <w:rFonts w:ascii="Arial" w:cs="Arial" w:eastAsia="Arial" w:hAnsi="Arial"/>
          <w:sz w:val="13"/>
          <w:szCs w:val="13"/>
          <w:color w:val="auto"/>
        </w:rPr>
        <w:t>The underwriters have agreed to defer underwriting commissions of 3.5% of the gross proceeds of this offering. Upon and concurrently with the completion of our initial business combination, up to $3,500,000, which constitutes the underwriters’ deferred commissions (or up to $4,025,000 if the underwriters’ over-allotment option is exercised in full) will be paid to the underwriters from the funds held in the trust account. See “Underwriting”. The remaining funds, less amounts released to the trustee to pay redeeming stockholders, will be released to us and can be used to</w:t>
      </w:r>
    </w:p>
    <w:p>
      <w:pPr>
        <w:sectPr>
          <w:pgSz w:w="11900" w:h="16838" w:orient="portrait"/>
          <w:cols w:equalWidth="0" w:num="1">
            <w:col w:w="9019"/>
          </w:cols>
          <w:pgMar w:left="1440" w:top="333" w:right="1440" w:bottom="1440" w:gutter="0" w:footer="0" w:header="0"/>
        </w:sectPr>
      </w:pP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57" w:name="page58"/>
    <w:bookmarkEnd w:id="57"/>
    <w:p>
      <w:pPr>
        <w:ind w:left="880" w:right="519"/>
        <w:spacing w:after="0" w:line="216" w:lineRule="auto"/>
        <w:rPr>
          <w:sz w:val="20"/>
          <w:szCs w:val="20"/>
          <w:color w:val="auto"/>
        </w:rPr>
      </w:pPr>
      <w:r>
        <w:rPr>
          <w:rFonts w:ascii="Arial" w:cs="Arial" w:eastAsia="Arial" w:hAnsi="Arial"/>
          <w:sz w:val="13"/>
          <w:szCs w:val="13"/>
          <w:color w:val="auto"/>
        </w:rPr>
        <w:t>pay all or a portion of the purchase price of the business or businesses with which our initial business combination occurs or for general corporate purposes, including payment of principal or interest on indebtedness incurred in connection with our initial business combination, to fund the purchases of other companies or for working capital. The underwriters will not be entitled to any interest accrued on the deferred underwriting discounts and commissions.</w:t>
      </w:r>
    </w:p>
    <w:p>
      <w:pPr>
        <w:spacing w:after="0" w:line="2" w:lineRule="exact"/>
        <w:rPr>
          <w:sz w:val="20"/>
          <w:szCs w:val="20"/>
          <w:color w:val="auto"/>
        </w:rPr>
      </w:pPr>
    </w:p>
    <w:p>
      <w:pPr>
        <w:ind w:left="880" w:right="479" w:hanging="426"/>
        <w:spacing w:after="0" w:line="216" w:lineRule="auto"/>
        <w:tabs>
          <w:tab w:leader="none" w:pos="845"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These expenses are estimates only. Our actual expenditures for some or all of these items may differ from the estimates set forth herein. For example, we may incur greater legal and accounting expenses than our current estimates in connection with negotiating and structuring our initial business combination based upon the level of complexity of such business combination. In the event we identify a business combination target in a specific industry subject to specific regulations, we may incur additional expenses associated with legal due diligence and the engagement of special legal counsel. In addition, our staffing needs may vary and as a result, we may engage a number of consultants to assist with legal and financial due diligence. We do not anticipate any change in our intended use of proceeds, other than fluctuations among the current categories of allocated expenses, which fluctuations, to the extent they exceed current estimates for any specific category of expenses, would not be available for our expenses. The amount in the table above does not include interest available to us from the trust account. The proceeds held in the trust account will be invested only in U.S. government treasury obligations with a maturity of 185 days or less or in money market funds meeting certain conditions under Rule 2a-7 under the Investment Company Act which invest only in direct U.S. government treasury obligations. We estimate the interest earned on the trust account will be approximately $100,000 per year, assuming an interest rate of 0.1% per year; however, we can provide no assurances regarding this amount.</w:t>
      </w:r>
    </w:p>
    <w:p>
      <w:pPr>
        <w:spacing w:after="0" w:line="5" w:lineRule="exact"/>
        <w:rPr>
          <w:rFonts w:ascii="Arial" w:cs="Arial" w:eastAsia="Arial" w:hAnsi="Arial"/>
          <w:sz w:val="13"/>
          <w:szCs w:val="13"/>
          <w:color w:val="auto"/>
        </w:rPr>
      </w:pPr>
    </w:p>
    <w:p>
      <w:pPr>
        <w:ind w:left="880" w:right="639" w:hanging="426"/>
        <w:spacing w:after="0" w:line="230" w:lineRule="auto"/>
        <w:tabs>
          <w:tab w:leader="none" w:pos="847" w:val="left"/>
        </w:tabs>
        <w:numPr>
          <w:ilvl w:val="0"/>
          <w:numId w:val="33"/>
        </w:numPr>
        <w:rPr>
          <w:rFonts w:ascii="Arial" w:cs="Arial" w:eastAsia="Arial" w:hAnsi="Arial"/>
          <w:sz w:val="13"/>
          <w:szCs w:val="13"/>
          <w:color w:val="auto"/>
        </w:rPr>
      </w:pPr>
      <w:r>
        <w:rPr>
          <w:rFonts w:ascii="Arial" w:cs="Arial" w:eastAsia="Arial" w:hAnsi="Arial"/>
          <w:sz w:val="13"/>
          <w:szCs w:val="13"/>
          <w:color w:val="auto"/>
        </w:rPr>
        <w:t>Includes estimated amounts that may also be used in connection with our initial business combination to fund a “no shop” provision and commitment fees for financing.</w:t>
      </w:r>
    </w:p>
    <w:p>
      <w:pPr>
        <w:spacing w:after="0" w:line="137" w:lineRule="exact"/>
        <w:rPr>
          <w:sz w:val="20"/>
          <w:szCs w:val="20"/>
          <w:color w:val="auto"/>
        </w:rPr>
      </w:pPr>
    </w:p>
    <w:p>
      <w:pPr>
        <w:ind w:left="460" w:right="459"/>
        <w:spacing w:after="0" w:line="235" w:lineRule="auto"/>
        <w:rPr>
          <w:sz w:val="20"/>
          <w:szCs w:val="20"/>
          <w:color w:val="auto"/>
        </w:rPr>
      </w:pPr>
      <w:r>
        <w:rPr>
          <w:rFonts w:ascii="Arial" w:cs="Arial" w:eastAsia="Arial" w:hAnsi="Arial"/>
          <w:sz w:val="18"/>
          <w:szCs w:val="18"/>
          <w:color w:val="auto"/>
        </w:rPr>
        <w:t>Nasdaq rules provide that at least 90% of the gross proceeds from this offering and the sale of the private placement shares be deposited in a trust account. Of the $104.0 million in gross proceeds we receive from this offering and the sale of the private placement shares described in this prospectus, or $119.3 million if the underwriters’ over-allotment option is exercised in full, $ 100 million ($10.00 per share), or $115 million if the underwriters’ over-allotment option is exercised in full ($10.00 per share), will be deposited into a trust account with Continental Stock Transfer &amp; Trust Company acting as trustee, after deducting $2.0 million in underwriting discounts and commissions payable upon the closing of this offering (or $2.3 million if the underwriters’ over-allotment option is exercised in full) and an aggregate of $2.0 million to pay fees and expenses in connection with the closing of this offering and for working capital following this offering. The proceeds held in the trust account will be invested only in U.S. government treasury bills with a maturity of 185 days or less or in money market funds meeting certain conditions under Rule 2a-7 under the Investment Company Act which invest only in direct U.S. government treasury obligations. We estimate the interest earned on the trust account will be approximately $100,000 per year, assuming an interest rate of 0.1% per year; however, we can provide no assurances regarding this amount.</w:t>
      </w:r>
    </w:p>
    <w:p>
      <w:pPr>
        <w:spacing w:after="0" w:line="132" w:lineRule="exact"/>
        <w:rPr>
          <w:sz w:val="20"/>
          <w:szCs w:val="20"/>
          <w:color w:val="auto"/>
        </w:rPr>
      </w:pPr>
    </w:p>
    <w:p>
      <w:pPr>
        <w:ind w:left="460" w:right="559"/>
        <w:spacing w:after="0" w:line="251" w:lineRule="auto"/>
        <w:rPr>
          <w:sz w:val="20"/>
          <w:szCs w:val="20"/>
          <w:color w:val="auto"/>
        </w:rPr>
      </w:pPr>
      <w:r>
        <w:rPr>
          <w:rFonts w:ascii="Arial" w:cs="Arial" w:eastAsia="Arial" w:hAnsi="Arial"/>
          <w:sz w:val="17"/>
          <w:szCs w:val="17"/>
          <w:color w:val="auto"/>
        </w:rPr>
        <w:t>We expect that the interest earned on the trust account will be sufficient to pay income taxes. We will not be permitted to withdraw any of the principal or interest held in the trust account, except for the withdrawal of interest to pay our taxes, until the earliest of (i) the completion of our initial business combination, (ii) the redemption of our public shares if we are unable to complete our initial business combination within 24 months from the closing of this offering, subject to applicable law, and (iii) the redemption of our public shares properly submitted in connection with a stockholder vote to approve an amendment to our amended and restated certificate of incorporation to modify the substance or timing of our obligation to redeem 100% of our public shares if we have not consummated our initial business combination within 24 months from the closing of this offering or with respect to any other material provisions relating to stockholders’ rights or pre-initial business combination activity.</w:t>
      </w:r>
    </w:p>
    <w:p>
      <w:pPr>
        <w:spacing w:after="0" w:line="129"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The net proceeds held in the trust account may be used as consideration to pay the sellers of a target business with which we ultimately complete our initial business combination. If our initial business combination is paid for using equity or debt securities, or not all of the funds released from the trust account are used for payment of the consideration in connection with our initial business combination, we may apply the balance of the cash released from the trust account for general corporate purposes, including for maintenance or expansion of operations of the post-transaction company, the payment of principal or interest due on indebtedness incurred in completing our initial business combination, to fund the purchase of other companies or for working capital. There is no limitation on our ability to raise funds through the issuance of equity-linked securities or through loans, advances or other indebtedness in connection with our initial business combination, including pursuant to forward purchase agreements or backstop arrangements we may enter into following consummation of this offering. However, our amended and restated certificate of incorporation provides that, following this offering and prior to the consummation of our initial business combination, we will be prohibited from issuing additional securities that would entitle the holders thereof to (i) receive funds from the trust account or (ii) vote as a class with our public shares (a) on any initial business combination or (b) to approve an amendment to our amended and restated certificate of incorporation to (x) extend the time we have to consummate a business combination beyond 24 months from the closing of this offering or (y) amend the foregoing provisions.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8" w:name="page59"/>
    <w:bookmarkEnd w:id="58"/>
    <w:p>
      <w:pPr>
        <w:ind w:left="460" w:right="539"/>
        <w:spacing w:after="0" w:line="236" w:lineRule="auto"/>
        <w:rPr>
          <w:sz w:val="20"/>
          <w:szCs w:val="20"/>
          <w:color w:val="auto"/>
        </w:rPr>
      </w:pPr>
      <w:r>
        <w:rPr>
          <w:rFonts w:ascii="Arial" w:cs="Arial" w:eastAsia="Arial" w:hAnsi="Arial"/>
          <w:sz w:val="18"/>
          <w:szCs w:val="18"/>
          <w:color w:val="auto"/>
        </w:rPr>
        <w:t>We believe that amounts not held in trust will be sufficient to pay the costs and expenses to which such proceeds are allocated. This belief is based on the fact that while we may begin preliminary due diligence of a target business in connection with an indication of interest, we intend to undertake in-depth due diligence, depending on the circumstances of the relevant prospective business combination, only after we have negotiated and signed a letter of intent or other preliminary agreement that addresses the terms of a business combination. However, if our estimate of the costs of undertaking in-depth due diligence and negotiating a business combination is less than the actual amount necessary to do so, we may be required to raise additional capital, the amount, availability and cost of which is currently unascertainable. If we are required to seek additional capital, we could seek such additional capital through loans or additional investments from our sponsor, members of our management team or any of their affiliates, but such persons are not under any obligation to advance funds to, or invest in, us.</w:t>
      </w:r>
    </w:p>
    <w:p>
      <w:pPr>
        <w:spacing w:after="0" w:line="123"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Subsequent to the closing of this offering, we will pay our sponsor $10,000 per month for office space, secretarial and administrative services provided to members of our management team. Upon completion of our initial business combination or our liquidation, we will cease paying these monthly fees.</w:t>
      </w:r>
    </w:p>
    <w:p>
      <w:pPr>
        <w:spacing w:after="0" w:line="137" w:lineRule="exact"/>
        <w:rPr>
          <w:sz w:val="20"/>
          <w:szCs w:val="20"/>
          <w:color w:val="auto"/>
        </w:rPr>
      </w:pPr>
    </w:p>
    <w:p>
      <w:pPr>
        <w:ind w:left="460" w:right="519"/>
        <w:spacing w:after="0" w:line="238" w:lineRule="auto"/>
        <w:rPr>
          <w:sz w:val="20"/>
          <w:szCs w:val="20"/>
          <w:color w:val="auto"/>
        </w:rPr>
      </w:pPr>
      <w:r>
        <w:rPr>
          <w:rFonts w:ascii="Arial" w:cs="Arial" w:eastAsia="Arial" w:hAnsi="Arial"/>
          <w:sz w:val="18"/>
          <w:szCs w:val="18"/>
          <w:color w:val="auto"/>
        </w:rPr>
        <w:t>Prior to the closing of this offering, our sponsor has agreed to loan us up to $200,000 to be used for a portion of the expenses of this offering. These loans are non-interest bearing, unsecured and are due at the earlier of December 31, 2020 or the closing of this offering. The loan will be repaid upon the closing of this offering out of the $1,000,000 of offering proceeds that has been allocated to the payment of offering expenses.</w:t>
      </w:r>
    </w:p>
    <w:p>
      <w:pPr>
        <w:spacing w:after="0" w:line="135"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In addition, in order to finance transaction costs in connection with an intended initial business combination, our sponsor or an affiliate of our sponsor or certain of our officers and directors may, but are not obligated to, loan us funds as may be required. If we complete our initial business combination, we would repay such loaned amounts. In the event that our initial business combination does not close, we may use a portion of the working capital held outside the trust account to repay such loaned amounts but no proceeds from our trust account would be used to repay such loaned amounts. Up to $1,500,000 of such loans may be convertible into private placement shares of the post business combination entity at a price of $ 10.00 per share at the option of the lender. Except as set forth above, the terms of such loans, if any, have not been determined and no written agreements exist with respect to such loans. Prior to the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166"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We have not paid any cash dividends on our common stock to date and do not intend to pay cash dividends prior to the completion of our initial business combination. The payment of cash dividends in the future will be dependent upon our revenues and earnings, if any, capital requirements and general financial condition subsequent to completion of our initial business combination. The payment of any cash dividends subsequent to our initial business combination will be within the discretion of our board of directors at such time. If we increase or decrease the size of this offering pursuant to Rule 462(b) under the Securities Act, we will effect a stock dividend or share contribution back to capital or other appropriate mechanism immediately prior to the consummation of this offering in such amount as to maintain the number of founder shares at 20.0% of our issued and outstanding common stock upon the consummation of this offering (excluding the private placement shares). Further, if we incur any indebtedness in connection with our initial business combination, our ability to declare dividends may be limited by restrictive covenants we may agree to in connection therewith.</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DILUTION</w:t>
      </w:r>
    </w:p>
    <w:p>
      <w:pPr>
        <w:spacing w:after="0" w:line="166" w:lineRule="exact"/>
        <w:rPr>
          <w:sz w:val="20"/>
          <w:szCs w:val="20"/>
          <w:color w:val="auto"/>
        </w:rPr>
      </w:pPr>
    </w:p>
    <w:p>
      <w:pPr>
        <w:ind w:left="460" w:right="619"/>
        <w:spacing w:after="0" w:line="237" w:lineRule="auto"/>
        <w:rPr>
          <w:sz w:val="20"/>
          <w:szCs w:val="20"/>
          <w:color w:val="auto"/>
        </w:rPr>
      </w:pPr>
      <w:r>
        <w:rPr>
          <w:rFonts w:ascii="Arial" w:cs="Arial" w:eastAsia="Arial" w:hAnsi="Arial"/>
          <w:sz w:val="18"/>
          <w:szCs w:val="18"/>
          <w:color w:val="auto"/>
        </w:rPr>
        <w:t>The difference between the public offering price per share of Class A common stock and the pro forma net tangible book value per share of our Class A common stock after this offering constitutes the dilution to investors in this offering. Net tangible book value per share is determined by dividing our net tangible book value, which is our total tangible assets less total liabilities (including the value of shares of Class A common stock which may be redeemed for cash), by the number of shares of outstanding Class A common stock.</w:t>
      </w:r>
    </w:p>
    <w:p>
      <w:pPr>
        <w:spacing w:after="0" w:line="124"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At June 30, 2020, our net tangible book deficit was $(29,500), or approximately $(0.01) per share of common stock. After giving effect to the sale of 10,000,000 shares of Class A common stock we are offering by this prospectus (or 11,500,000 shares of Class A common stock if the underwriters’ over-allotment option is exercised in full), the sale of the private placement shares and the deduction of underwriting commissions and estimated expenses of this offering, our pro forma net tangible book value at June 30, 2020 would have been $5,000,010 or $1.37 per share (or $5,000,010 or $1.22 per share if the underwriters’ over-allotment option is exercised in full), representing an immediate increase in net tangible book value (as decreased by the value of 9,252,349 shares of Class A common stock that may be redeemed for cash, or 10,699,849 shares of Class A common stock if the underwriters’ over-allotment option is exercised in full) of $1.38 per share (or $1.23 if the underwriters’ over-allotment option is exercised in full) to our initial stockholders as of the date of this prospectus. Total dilution to public stockholders from this offering will be $8.63 per share (or $8.78 if the underwriters’ over-allotment option is exercised in full).</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illustrates the dilution to the public stockholders on a per-share basis:</w:t>
      </w:r>
    </w:p>
    <w:p>
      <w:pPr>
        <w:spacing w:after="0" w:line="159"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5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Without</w:t>
            </w:r>
          </w:p>
        </w:tc>
        <w:tc>
          <w:tcPr>
            <w:tcW w:w="260" w:type="dxa"/>
            <w:vAlign w:val="bottom"/>
          </w:tcPr>
          <w:p>
            <w:pPr>
              <w:spacing w:after="0"/>
              <w:rPr>
                <w:sz w:val="14"/>
                <w:szCs w:val="14"/>
                <w:color w:val="auto"/>
              </w:rPr>
            </w:pPr>
          </w:p>
        </w:tc>
        <w:tc>
          <w:tcPr>
            <w:tcW w:w="960" w:type="dxa"/>
            <w:vAlign w:val="bottom"/>
          </w:tcPr>
          <w:p>
            <w:pPr>
              <w:jc w:val="right"/>
              <w:ind w:right="393"/>
              <w:spacing w:after="0"/>
              <w:rPr>
                <w:sz w:val="20"/>
                <w:szCs w:val="20"/>
                <w:color w:val="auto"/>
              </w:rPr>
            </w:pPr>
            <w:r>
              <w:rPr>
                <w:rFonts w:ascii="Arial" w:cs="Arial" w:eastAsia="Arial" w:hAnsi="Arial"/>
                <w:sz w:val="14"/>
                <w:szCs w:val="14"/>
                <w:b w:val="1"/>
                <w:bCs w:val="1"/>
                <w:color w:val="auto"/>
              </w:rPr>
              <w:t>With</w:t>
            </w:r>
          </w:p>
        </w:tc>
      </w:tr>
      <w:tr>
        <w:trPr>
          <w:trHeight w:val="190"/>
        </w:trPr>
        <w:tc>
          <w:tcPr>
            <w:tcW w:w="5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Over-allotment</w:t>
            </w:r>
          </w:p>
        </w:tc>
        <w:tc>
          <w:tcPr>
            <w:tcW w:w="122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rPr>
              <w:t>Over-allotment</w:t>
            </w:r>
          </w:p>
        </w:tc>
      </w:tr>
      <w:tr>
        <w:trPr>
          <w:trHeight w:val="26"/>
        </w:trPr>
        <w:tc>
          <w:tcPr>
            <w:tcW w:w="54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38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10.00</w:t>
            </w:r>
          </w:p>
        </w:tc>
      </w:tr>
      <w:tr>
        <w:trPr>
          <w:trHeight w:val="257"/>
        </w:trPr>
        <w:tc>
          <w:tcPr>
            <w:tcW w:w="5480" w:type="dxa"/>
            <w:vAlign w:val="bottom"/>
          </w:tcPr>
          <w:p>
            <w:pPr>
              <w:spacing w:after="0"/>
              <w:rPr>
                <w:sz w:val="20"/>
                <w:szCs w:val="20"/>
                <w:color w:val="auto"/>
              </w:rPr>
            </w:pPr>
            <w:r>
              <w:rPr>
                <w:rFonts w:ascii="Arial" w:cs="Arial" w:eastAsia="Arial" w:hAnsi="Arial"/>
                <w:sz w:val="18"/>
                <w:szCs w:val="18"/>
                <w:color w:val="auto"/>
              </w:rPr>
              <w:t>Net tangible book deficit before this offering</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(0.01)</w:t>
            </w:r>
          </w:p>
        </w:tc>
      </w:tr>
      <w:tr>
        <w:trPr>
          <w:trHeight w:val="27"/>
        </w:trPr>
        <w:tc>
          <w:tcPr>
            <w:tcW w:w="5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63"/>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attributable to public stockholders</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1.23</w:t>
            </w:r>
          </w:p>
        </w:tc>
      </w:tr>
      <w:tr>
        <w:trPr>
          <w:trHeight w:val="202"/>
        </w:trPr>
        <w:tc>
          <w:tcPr>
            <w:tcW w:w="5480" w:type="dxa"/>
            <w:vAlign w:val="bottom"/>
          </w:tcPr>
          <w:p>
            <w:pPr>
              <w:spacing w:after="0" w:line="201" w:lineRule="exact"/>
              <w:rPr>
                <w:sz w:val="20"/>
                <w:szCs w:val="20"/>
                <w:color w:val="auto"/>
              </w:rPr>
            </w:pPr>
            <w:r>
              <w:rPr>
                <w:rFonts w:ascii="Arial" w:cs="Arial" w:eastAsia="Arial" w:hAnsi="Arial"/>
                <w:sz w:val="18"/>
                <w:szCs w:val="18"/>
                <w:color w:val="auto"/>
              </w:rPr>
              <w:t>Pro forma net tangible book value after this offering and the sale of</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7"/>
        </w:trPr>
        <w:tc>
          <w:tcPr>
            <w:tcW w:w="5480" w:type="dxa"/>
            <w:vAlign w:val="bottom"/>
          </w:tcPr>
          <w:p>
            <w:pPr>
              <w:ind w:left="180"/>
              <w:spacing w:after="0"/>
              <w:rPr>
                <w:sz w:val="20"/>
                <w:szCs w:val="20"/>
                <w:color w:val="auto"/>
              </w:rPr>
            </w:pPr>
            <w:r>
              <w:rPr>
                <w:rFonts w:ascii="Arial" w:cs="Arial" w:eastAsia="Arial" w:hAnsi="Arial"/>
                <w:sz w:val="18"/>
                <w:szCs w:val="18"/>
                <w:color w:val="auto"/>
              </w:rPr>
              <w:t>the private placement shares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1.22</w:t>
            </w:r>
          </w:p>
        </w:tc>
      </w:tr>
      <w:tr>
        <w:trPr>
          <w:trHeight w:val="27"/>
        </w:trPr>
        <w:tc>
          <w:tcPr>
            <w:tcW w:w="5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63"/>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Dilution to public stockholders</w:t>
            </w:r>
          </w:p>
        </w:tc>
        <w:tc>
          <w:tcPr>
            <w:tcW w:w="38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8.63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8.78</w:t>
            </w:r>
          </w:p>
        </w:tc>
      </w:tr>
      <w:tr>
        <w:trPr>
          <w:trHeight w:val="257"/>
        </w:trPr>
        <w:tc>
          <w:tcPr>
            <w:tcW w:w="5480" w:type="dxa"/>
            <w:vAlign w:val="bottom"/>
          </w:tcPr>
          <w:p>
            <w:pPr>
              <w:spacing w:after="0"/>
              <w:rPr>
                <w:sz w:val="20"/>
                <w:szCs w:val="20"/>
                <w:color w:val="auto"/>
              </w:rPr>
            </w:pPr>
            <w:r>
              <w:rPr>
                <w:rFonts w:ascii="Arial" w:cs="Arial" w:eastAsia="Arial" w:hAnsi="Arial"/>
                <w:sz w:val="18"/>
                <w:szCs w:val="18"/>
                <w:color w:val="auto"/>
              </w:rPr>
              <w:t>Percentage of dilution to public stockholders</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87.8%</w:t>
            </w:r>
          </w:p>
        </w:tc>
      </w:tr>
    </w:tbl>
    <w:p>
      <w:pPr>
        <w:spacing w:after="0" w:line="175"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For purposes of presentation, we have reduced our pro forma net tangible book value after this offering (assuming no exercise of the underwriters’ over-allotment option) by $92,523,490 because holders of up to approximately 92.5% of our public shares may redeem their shares for a pro rata share of the aggregate amount then on deposit in the trust account at a per share redemption price equal to the amount in the trust account as set forth in our tender offer or proxy materials (initially anticipated to be the aggregate amount held in trust two business days prior to the commencement of our tender offer or stockholders meeting, including interest earned on the funds held in the trust account and not previously released to us to pay our taxes), divided by the number of shares of Class A common stock sold in this offering.</w:t>
      </w:r>
    </w:p>
    <w:p>
      <w:pPr>
        <w:spacing w:after="0" w:line="139" w:lineRule="exact"/>
        <w:rPr>
          <w:sz w:val="20"/>
          <w:szCs w:val="20"/>
          <w:color w:val="auto"/>
        </w:rPr>
      </w:pPr>
    </w:p>
    <w:p>
      <w:pPr>
        <w:ind w:left="460" w:right="1119"/>
        <w:spacing w:after="0" w:line="246" w:lineRule="auto"/>
        <w:rPr>
          <w:sz w:val="20"/>
          <w:szCs w:val="20"/>
          <w:color w:val="auto"/>
        </w:rPr>
      </w:pPr>
      <w:r>
        <w:rPr>
          <w:rFonts w:ascii="Arial" w:cs="Arial" w:eastAsia="Arial" w:hAnsi="Arial"/>
          <w:sz w:val="18"/>
          <w:szCs w:val="18"/>
          <w:color w:val="auto"/>
        </w:rPr>
        <w:t>The following table sets forth information with respect to our initial stockholders and the public stockholders:</w:t>
      </w:r>
    </w:p>
    <w:p>
      <w:pPr>
        <w:spacing w:after="0" w:line="225"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2240" w:type="dxa"/>
            <w:vAlign w:val="bottom"/>
          </w:tcPr>
          <w:p>
            <w:pPr>
              <w:spacing w:after="0"/>
              <w:rPr>
                <w:sz w:val="16"/>
                <w:szCs w:val="16"/>
                <w:color w:val="auto"/>
              </w:rPr>
            </w:pPr>
          </w:p>
        </w:tc>
        <w:tc>
          <w:tcPr>
            <w:tcW w:w="244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Shares Purchased</w:t>
            </w:r>
          </w:p>
        </w:tc>
        <w:tc>
          <w:tcPr>
            <w:tcW w:w="216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Total Consideration</w:t>
            </w:r>
          </w:p>
        </w:tc>
        <w:tc>
          <w:tcPr>
            <w:tcW w:w="100" w:type="dxa"/>
            <w:vAlign w:val="bottom"/>
          </w:tcPr>
          <w:p>
            <w:pPr>
              <w:spacing w:after="0"/>
              <w:rPr>
                <w:sz w:val="16"/>
                <w:szCs w:val="16"/>
                <w:color w:val="auto"/>
              </w:rPr>
            </w:pPr>
          </w:p>
        </w:tc>
        <w:tc>
          <w:tcPr>
            <w:tcW w:w="1160" w:type="dxa"/>
            <w:vAlign w:val="bottom"/>
            <w:gridSpan w:val="2"/>
            <w:vMerge w:val="restart"/>
          </w:tcPr>
          <w:p>
            <w:pPr>
              <w:jc w:val="right"/>
              <w:ind w:right="35"/>
              <w:spacing w:after="0"/>
              <w:rPr>
                <w:sz w:val="20"/>
                <w:szCs w:val="20"/>
                <w:color w:val="auto"/>
              </w:rPr>
            </w:pPr>
            <w:r>
              <w:rPr>
                <w:rFonts w:ascii="Arial" w:cs="Arial" w:eastAsia="Arial" w:hAnsi="Arial"/>
                <w:sz w:val="14"/>
                <w:szCs w:val="14"/>
                <w:b w:val="1"/>
                <w:bCs w:val="1"/>
                <w:color w:val="auto"/>
              </w:rPr>
              <w:t>Average Price</w:t>
            </w:r>
          </w:p>
        </w:tc>
        <w:tc>
          <w:tcPr>
            <w:tcW w:w="0" w:type="dxa"/>
            <w:vAlign w:val="bottom"/>
          </w:tcPr>
          <w:p>
            <w:pPr>
              <w:spacing w:after="0"/>
              <w:rPr>
                <w:sz w:val="1"/>
                <w:szCs w:val="1"/>
                <w:color w:val="auto"/>
              </w:rPr>
            </w:pPr>
          </w:p>
        </w:tc>
      </w:tr>
      <w:tr>
        <w:trPr>
          <w:trHeight w:val="25"/>
        </w:trPr>
        <w:tc>
          <w:tcPr>
            <w:tcW w:w="22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22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2240" w:type="dxa"/>
            <w:vAlign w:val="bottom"/>
          </w:tcPr>
          <w:p>
            <w:pPr>
              <w:spacing w:after="0"/>
              <w:rPr>
                <w:sz w:val="16"/>
                <w:szCs w:val="16"/>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Number</w:t>
            </w:r>
          </w:p>
        </w:tc>
        <w:tc>
          <w:tcPr>
            <w:tcW w:w="124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Percentage</w:t>
            </w:r>
          </w:p>
        </w:tc>
        <w:tc>
          <w:tcPr>
            <w:tcW w:w="11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Amount</w:t>
            </w:r>
          </w:p>
        </w:tc>
        <w:tc>
          <w:tcPr>
            <w:tcW w:w="10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Percentage</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175"/>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5"/>
        </w:trPr>
        <w:tc>
          <w:tcPr>
            <w:tcW w:w="22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Class B common stock</w:t>
            </w:r>
            <w:r>
              <w:rPr>
                <w:rFonts w:ascii="Arial" w:cs="Arial" w:eastAsia="Arial" w:hAnsi="Arial"/>
                <w:sz w:val="20"/>
                <w:szCs w:val="20"/>
                <w:color w:val="auto"/>
                <w:vertAlign w:val="superscript"/>
              </w:rPr>
              <w:t>(1)(2)</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2,500,000</w:t>
            </w:r>
          </w:p>
        </w:tc>
        <w:tc>
          <w:tcPr>
            <w:tcW w:w="12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19.38% $</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57"/>
        </w:trPr>
        <w:tc>
          <w:tcPr>
            <w:tcW w:w="2240" w:type="dxa"/>
            <w:vAlign w:val="bottom"/>
          </w:tcPr>
          <w:p>
            <w:pPr>
              <w:spacing w:after="0"/>
              <w:rPr>
                <w:sz w:val="20"/>
                <w:szCs w:val="20"/>
                <w:color w:val="auto"/>
              </w:rPr>
            </w:pPr>
            <w:r>
              <w:rPr>
                <w:rFonts w:ascii="Arial" w:cs="Arial" w:eastAsia="Arial" w:hAnsi="Arial"/>
                <w:sz w:val="18"/>
                <w:szCs w:val="18"/>
                <w:color w:val="auto"/>
              </w:rPr>
              <w:t>Private placement shares</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400,000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3.10%</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4,000,000</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Class A common stock</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10,000,000</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77.52%</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100,000,000</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96.13%</w:t>
            </w:r>
          </w:p>
        </w:tc>
        <w:tc>
          <w:tcPr>
            <w:tcW w:w="140" w:type="dxa"/>
            <w:vAlign w:val="bottom"/>
            <w:shd w:val="clear" w:color="auto" w:fill="CCEEFF"/>
          </w:tcPr>
          <w:p>
            <w:pPr>
              <w:spacing w:after="0"/>
              <w:rPr>
                <w:sz w:val="24"/>
                <w:szCs w:val="24"/>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224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12,900,000</w:t>
            </w:r>
          </w:p>
        </w:tc>
        <w:tc>
          <w:tcPr>
            <w:tcW w:w="1240" w:type="dxa"/>
            <w:vAlign w:val="bottom"/>
            <w:gridSpan w:val="4"/>
          </w:tcPr>
          <w:p>
            <w:pPr>
              <w:jc w:val="right"/>
              <w:ind w:right="40"/>
              <w:spacing w:after="0"/>
              <w:rPr>
                <w:sz w:val="20"/>
                <w:szCs w:val="20"/>
                <w:color w:val="auto"/>
              </w:rPr>
            </w:pPr>
            <w:r>
              <w:rPr>
                <w:rFonts w:ascii="Arial" w:cs="Arial" w:eastAsia="Arial" w:hAnsi="Arial"/>
                <w:sz w:val="18"/>
                <w:szCs w:val="18"/>
                <w:color w:val="auto"/>
              </w:rPr>
              <w:t>100.00% $</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104,025,000</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92" w:lineRule="exact"/>
        <w:rPr>
          <w:sz w:val="20"/>
          <w:szCs w:val="20"/>
          <w:color w:val="auto"/>
        </w:rPr>
      </w:pPr>
    </w:p>
    <w:p>
      <w:pPr>
        <w:ind w:left="880" w:right="719" w:hanging="426"/>
        <w:spacing w:after="0" w:line="216" w:lineRule="auto"/>
        <w:tabs>
          <w:tab w:leader="none" w:pos="840" w:val="left"/>
        </w:tabs>
        <w:numPr>
          <w:ilvl w:val="0"/>
          <w:numId w:val="34"/>
        </w:numPr>
        <w:rPr>
          <w:rFonts w:ascii="Arial" w:cs="Arial" w:eastAsia="Arial" w:hAnsi="Arial"/>
          <w:sz w:val="13"/>
          <w:szCs w:val="13"/>
          <w:color w:val="auto"/>
        </w:rPr>
      </w:pPr>
      <w:r>
        <w:rPr>
          <w:rFonts w:ascii="Arial" w:cs="Arial" w:eastAsia="Arial" w:hAnsi="Arial"/>
          <w:sz w:val="13"/>
          <w:szCs w:val="13"/>
          <w:color w:val="auto"/>
        </w:rPr>
        <w:t>Assumes that 375,000 founder shares are forfeited by our sponsor after the closing of this offering in the event the underwriters do not exercise their over-allotment option.</w:t>
      </w:r>
    </w:p>
    <w:p>
      <w:pPr>
        <w:ind w:left="860" w:hanging="406"/>
        <w:spacing w:after="0"/>
        <w:tabs>
          <w:tab w:leader="none" w:pos="860" w:val="left"/>
        </w:tabs>
        <w:numPr>
          <w:ilvl w:val="0"/>
          <w:numId w:val="34"/>
        </w:numPr>
        <w:rPr>
          <w:rFonts w:ascii="Arial" w:cs="Arial" w:eastAsia="Arial" w:hAnsi="Arial"/>
          <w:sz w:val="13"/>
          <w:szCs w:val="13"/>
          <w:color w:val="auto"/>
        </w:rPr>
      </w:pPr>
      <w:r>
        <w:rPr>
          <w:rFonts w:ascii="Arial" w:cs="Arial" w:eastAsia="Arial" w:hAnsi="Arial"/>
          <w:sz w:val="13"/>
          <w:szCs w:val="13"/>
          <w:color w:val="auto"/>
        </w:rPr>
        <w:t>In July 2020, our sponsor transferred 30,000 shares of Class B common stock to each of Mr. Carey, Dr. Dubin and Dr. Pakianathan.</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61" w:name="page62"/>
    <w:bookmarkEnd w:id="61"/>
    <w:p>
      <w:pPr>
        <w:ind w:left="460"/>
        <w:spacing w:after="0"/>
        <w:rPr>
          <w:sz w:val="20"/>
          <w:szCs w:val="20"/>
          <w:color w:val="auto"/>
        </w:rPr>
      </w:pPr>
      <w:r>
        <w:rPr>
          <w:rFonts w:ascii="Arial" w:cs="Arial" w:eastAsia="Arial" w:hAnsi="Arial"/>
          <w:sz w:val="18"/>
          <w:szCs w:val="18"/>
          <w:color w:val="auto"/>
        </w:rPr>
        <w:t>The pro forma net tangible book value per share after the offering is calculated as follows:</w:t>
      </w:r>
    </w:p>
    <w:p>
      <w:pPr>
        <w:spacing w:after="0" w:line="159"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Without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With</w:t>
            </w:r>
          </w:p>
        </w:tc>
        <w:tc>
          <w:tcPr>
            <w:tcW w:w="0" w:type="dxa"/>
            <w:vAlign w:val="bottom"/>
          </w:tcPr>
          <w:p>
            <w:pPr>
              <w:spacing w:after="0"/>
              <w:rPr>
                <w:sz w:val="1"/>
                <w:szCs w:val="1"/>
                <w:color w:val="auto"/>
              </w:rPr>
            </w:pPr>
          </w:p>
        </w:tc>
      </w:tr>
      <w:tr>
        <w:trPr>
          <w:trHeight w:val="190"/>
        </w:trPr>
        <w:tc>
          <w:tcPr>
            <w:tcW w:w="5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Over-allotment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Over-allotment</w:t>
            </w:r>
          </w:p>
        </w:tc>
        <w:tc>
          <w:tcPr>
            <w:tcW w:w="0" w:type="dxa"/>
            <w:vAlign w:val="bottom"/>
          </w:tcPr>
          <w:p>
            <w:pPr>
              <w:spacing w:after="0"/>
              <w:rPr>
                <w:sz w:val="1"/>
                <w:szCs w:val="1"/>
                <w:color w:val="auto"/>
              </w:rPr>
            </w:pPr>
          </w:p>
        </w:tc>
      </w:tr>
      <w:tr>
        <w:trPr>
          <w:trHeight w:val="26"/>
        </w:trPr>
        <w:tc>
          <w:tcPr>
            <w:tcW w:w="53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Numerator:</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360" w:type="dxa"/>
            <w:vAlign w:val="bottom"/>
          </w:tcPr>
          <w:p>
            <w:pPr>
              <w:spacing w:after="0"/>
              <w:rPr>
                <w:sz w:val="20"/>
                <w:szCs w:val="20"/>
                <w:color w:val="auto"/>
              </w:rPr>
            </w:pPr>
            <w:r>
              <w:rPr>
                <w:rFonts w:ascii="Arial" w:cs="Arial" w:eastAsia="Arial" w:hAnsi="Arial"/>
                <w:sz w:val="18"/>
                <w:szCs w:val="18"/>
                <w:color w:val="auto"/>
              </w:rPr>
              <w:t>Net tangible book deficit before this offering</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(29,500)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(29,500)</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5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proceeds from this offering and sale of the private placement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w:t>
            </w:r>
            <w:r>
              <w:rPr>
                <w:rFonts w:ascii="Arial" w:cs="Arial" w:eastAsia="Arial" w:hAnsi="Arial"/>
                <w:sz w:val="20"/>
                <w:szCs w:val="20"/>
                <w:color w:val="auto"/>
                <w:vertAlign w:val="superscript"/>
              </w:rPr>
              <w:t>(1)</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101,000,000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116,000,000</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5360" w:type="dxa"/>
            <w:vAlign w:val="bottom"/>
          </w:tcPr>
          <w:p>
            <w:pPr>
              <w:spacing w:after="0" w:line="201" w:lineRule="exact"/>
              <w:rPr>
                <w:sz w:val="20"/>
                <w:szCs w:val="20"/>
                <w:color w:val="auto"/>
              </w:rPr>
            </w:pPr>
            <w:r>
              <w:rPr>
                <w:rFonts w:ascii="Arial" w:cs="Arial" w:eastAsia="Arial" w:hAnsi="Arial"/>
                <w:sz w:val="18"/>
                <w:szCs w:val="18"/>
                <w:color w:val="auto"/>
              </w:rPr>
              <w:t>Plus: Offering costs paid in advance, excluded from tangible book</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360" w:type="dxa"/>
            <w:vAlign w:val="bottom"/>
          </w:tcPr>
          <w:p>
            <w:pPr>
              <w:ind w:left="180"/>
              <w:spacing w:after="0"/>
              <w:rPr>
                <w:sz w:val="20"/>
                <w:szCs w:val="20"/>
                <w:color w:val="auto"/>
              </w:rPr>
            </w:pPr>
            <w:r>
              <w:rPr>
                <w:rFonts w:ascii="Arial" w:cs="Arial" w:eastAsia="Arial" w:hAnsi="Arial"/>
                <w:sz w:val="18"/>
                <w:szCs w:val="18"/>
                <w:color w:val="auto"/>
              </w:rPr>
              <w:t>value before this offering</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53,000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Deferred underwriting commissions</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(3,500,000)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(4,025,000)</w:t>
            </w:r>
          </w:p>
        </w:tc>
        <w:tc>
          <w:tcPr>
            <w:tcW w:w="0" w:type="dxa"/>
            <w:vAlign w:val="bottom"/>
          </w:tcPr>
          <w:p>
            <w:pPr>
              <w:spacing w:after="0"/>
              <w:rPr>
                <w:sz w:val="1"/>
                <w:szCs w:val="1"/>
                <w:color w:val="auto"/>
              </w:rPr>
            </w:pPr>
          </w:p>
        </w:tc>
      </w:tr>
      <w:tr>
        <w:trPr>
          <w:trHeight w:val="283"/>
        </w:trPr>
        <w:tc>
          <w:tcPr>
            <w:tcW w:w="5360" w:type="dxa"/>
            <w:vAlign w:val="bottom"/>
          </w:tcPr>
          <w:p>
            <w:pPr>
              <w:spacing w:after="0"/>
              <w:rPr>
                <w:sz w:val="20"/>
                <w:szCs w:val="20"/>
                <w:color w:val="auto"/>
              </w:rPr>
            </w:pPr>
            <w:r>
              <w:rPr>
                <w:rFonts w:ascii="Arial" w:cs="Arial" w:eastAsia="Arial" w:hAnsi="Arial"/>
                <w:sz w:val="18"/>
                <w:szCs w:val="18"/>
                <w:color w:val="auto"/>
              </w:rPr>
              <w:t>Less: Proceeds held in trust subject to redemption</w:t>
            </w:r>
            <w:r>
              <w:rPr>
                <w:rFonts w:ascii="Arial" w:cs="Arial" w:eastAsia="Arial" w:hAnsi="Arial"/>
                <w:sz w:val="20"/>
                <w:szCs w:val="20"/>
                <w:color w:val="auto"/>
                <w:vertAlign w:val="superscript"/>
              </w:rPr>
              <w:t>(2)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(92,523,490)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(106,998,490)</w:t>
            </w:r>
          </w:p>
        </w:tc>
        <w:tc>
          <w:tcPr>
            <w:tcW w:w="0" w:type="dxa"/>
            <w:vAlign w:val="bottom"/>
          </w:tcPr>
          <w:p>
            <w:pPr>
              <w:spacing w:after="0"/>
              <w:rPr>
                <w:sz w:val="1"/>
                <w:szCs w:val="1"/>
                <w:color w:val="auto"/>
              </w:rPr>
            </w:pPr>
          </w:p>
        </w:tc>
      </w:tr>
      <w:tr>
        <w:trPr>
          <w:trHeight w:val="20"/>
        </w:trPr>
        <w:tc>
          <w:tcPr>
            <w:tcW w:w="53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5,000,010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5,000,010</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Denominator:</w:t>
            </w: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3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Class B common stock outstanding prior to this offering</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2,875,000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2,875,000</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5360" w:type="dxa"/>
            <w:vAlign w:val="bottom"/>
          </w:tcPr>
          <w:p>
            <w:pPr>
              <w:spacing w:after="0" w:line="201" w:lineRule="exact"/>
              <w:rPr>
                <w:sz w:val="20"/>
                <w:szCs w:val="20"/>
                <w:color w:val="auto"/>
              </w:rPr>
            </w:pPr>
            <w:r>
              <w:rPr>
                <w:rFonts w:ascii="Arial" w:cs="Arial" w:eastAsia="Arial" w:hAnsi="Arial"/>
                <w:sz w:val="18"/>
                <w:szCs w:val="18"/>
                <w:color w:val="auto"/>
              </w:rPr>
              <w:t>Class B common stock forfeited by our sponsor if over-allotment is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360" w:type="dxa"/>
            <w:vAlign w:val="bottom"/>
          </w:tcPr>
          <w:p>
            <w:pPr>
              <w:ind w:left="180"/>
              <w:spacing w:after="0"/>
              <w:rPr>
                <w:sz w:val="20"/>
                <w:szCs w:val="20"/>
                <w:color w:val="auto"/>
              </w:rPr>
            </w:pPr>
            <w:r>
              <w:rPr>
                <w:rFonts w:ascii="Arial" w:cs="Arial" w:eastAsia="Arial" w:hAnsi="Arial"/>
                <w:sz w:val="18"/>
                <w:szCs w:val="18"/>
                <w:color w:val="auto"/>
              </w:rPr>
              <w:t>not exercised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(375,000)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Class A common stock sold in this offering</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10,000,000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11,500,000</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360" w:type="dxa"/>
            <w:vAlign w:val="bottom"/>
          </w:tcPr>
          <w:p>
            <w:pPr>
              <w:spacing w:after="0"/>
              <w:rPr>
                <w:sz w:val="20"/>
                <w:szCs w:val="20"/>
                <w:color w:val="auto"/>
              </w:rPr>
            </w:pPr>
            <w:r>
              <w:rPr>
                <w:rFonts w:ascii="Arial" w:cs="Arial" w:eastAsia="Arial" w:hAnsi="Arial"/>
                <w:sz w:val="18"/>
                <w:szCs w:val="18"/>
                <w:color w:val="auto"/>
              </w:rPr>
              <w:t>Class A common stock sold to our sponsor in a private placement</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430,000</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Less: Shares subject to redemption</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(9,252,349)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(10,699,849)</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3,647,651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4,105,151</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92" w:lineRule="exact"/>
        <w:rPr>
          <w:sz w:val="20"/>
          <w:szCs w:val="20"/>
          <w:color w:val="auto"/>
        </w:rPr>
      </w:pPr>
    </w:p>
    <w:p>
      <w:pPr>
        <w:ind w:left="880" w:right="1039" w:hanging="426"/>
        <w:spacing w:after="0" w:line="216" w:lineRule="auto"/>
        <w:tabs>
          <w:tab w:leader="none" w:pos="847" w:val="left"/>
        </w:tabs>
        <w:numPr>
          <w:ilvl w:val="0"/>
          <w:numId w:val="35"/>
        </w:numPr>
        <w:rPr>
          <w:rFonts w:ascii="Arial" w:cs="Arial" w:eastAsia="Arial" w:hAnsi="Arial"/>
          <w:sz w:val="13"/>
          <w:szCs w:val="13"/>
          <w:color w:val="auto"/>
        </w:rPr>
      </w:pPr>
      <w:r>
        <w:rPr>
          <w:rFonts w:ascii="Arial" w:cs="Arial" w:eastAsia="Arial" w:hAnsi="Arial"/>
          <w:sz w:val="13"/>
          <w:szCs w:val="13"/>
          <w:color w:val="auto"/>
        </w:rPr>
        <w:t>Expenses applied against gross proceeds include offering expenses of $1,000,000 and underwriting commissions of $2,000,000 (excluding deferred underwriting fees). See “Use of Proceeds.”</w:t>
      </w:r>
    </w:p>
    <w:p>
      <w:pPr>
        <w:ind w:left="880" w:right="579" w:hanging="426"/>
        <w:spacing w:after="0" w:line="220" w:lineRule="auto"/>
        <w:tabs>
          <w:tab w:leader="none" w:pos="847" w:val="left"/>
        </w:tabs>
        <w:numPr>
          <w:ilvl w:val="0"/>
          <w:numId w:val="35"/>
        </w:numPr>
        <w:rPr>
          <w:rFonts w:ascii="Arial" w:cs="Arial" w:eastAsia="Arial" w:hAnsi="Arial"/>
          <w:sz w:val="13"/>
          <w:szCs w:val="13"/>
          <w:color w:val="auto"/>
        </w:rPr>
      </w:pPr>
      <w:r>
        <w:rPr>
          <w:rFonts w:ascii="Arial" w:cs="Arial" w:eastAsia="Arial" w:hAnsi="Arial"/>
          <w:sz w:val="13"/>
          <w:szCs w:val="13"/>
          <w:color w:val="auto"/>
        </w:rPr>
        <w:t>If we seek stockholder approval of our initial business combination and we do not conduct redemptions in connection with our initial business combination pursuant to the tender offer rules, our sponsor, initial stockholders, directors, executive officers, advisors or their respective affiliates may purchase public shares in privately negotiated transactions or in the open market either prior to or following the completion of our initial business combination. In the event of any such purchases of our shares prior to the completion of our initial business combination, the number of shares of Class A common stock subject to redemption will be reduced by the amount of any such purchases, increasing the pro forma net tangible book value per share. See “Proposed Business — Initial Business Combination — Permitted Purchases of Our Securities.”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66"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The following table sets forth our capitalization at June 30, 2020, and as adjusted to give effect to the filing of our amended and restated certificate of incorporation, the sale of our shares of common stock in this offering and the sale of the private placement shares and the application of the estimated net proceeds derived from the sale of such securities, assuming no exercise by the underwriters of their over-allotment option:</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5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rPr>
              <w:t>June 30, 2020</w:t>
            </w:r>
          </w:p>
        </w:tc>
      </w:tr>
      <w:tr>
        <w:trPr>
          <w:trHeight w:val="26"/>
        </w:trPr>
        <w:tc>
          <w:tcPr>
            <w:tcW w:w="5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r>
      <w:tr>
        <w:trPr>
          <w:trHeight w:val="251"/>
        </w:trPr>
        <w:tc>
          <w:tcPr>
            <w:tcW w:w="5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3"/>
          </w:tcPr>
          <w:p>
            <w:pPr>
              <w:ind w:left="100"/>
              <w:spacing w:after="0"/>
              <w:rPr>
                <w:sz w:val="20"/>
                <w:szCs w:val="20"/>
                <w:color w:val="auto"/>
              </w:rPr>
            </w:pPr>
            <w:r>
              <w:rPr>
                <w:rFonts w:ascii="Arial" w:cs="Arial" w:eastAsia="Arial" w:hAnsi="Arial"/>
                <w:sz w:val="14"/>
                <w:szCs w:val="14"/>
                <w:b w:val="1"/>
                <w:bCs w:val="1"/>
                <w:color w:val="auto"/>
              </w:rPr>
              <w:t>Actual</w:t>
            </w:r>
          </w:p>
        </w:tc>
        <w:tc>
          <w:tcPr>
            <w:tcW w:w="1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As Adjusted</w:t>
            </w:r>
          </w:p>
        </w:tc>
      </w:tr>
      <w:tr>
        <w:trPr>
          <w:trHeight w:val="26"/>
        </w:trPr>
        <w:tc>
          <w:tcPr>
            <w:tcW w:w="54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63"/>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Note payable to related party</w:t>
            </w:r>
            <w:r>
              <w:rPr>
                <w:rFonts w:ascii="Arial" w:cs="Arial" w:eastAsia="Arial" w:hAnsi="Arial"/>
                <w:sz w:val="20"/>
                <w:szCs w:val="20"/>
                <w:color w:val="auto"/>
                <w:vertAlign w:val="superscript"/>
              </w:rPr>
              <w:t>(1)</w:t>
            </w:r>
          </w:p>
        </w:tc>
        <w:tc>
          <w:tcPr>
            <w:tcW w:w="4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77"/>
        </w:trPr>
        <w:tc>
          <w:tcPr>
            <w:tcW w:w="5440" w:type="dxa"/>
            <w:vAlign w:val="bottom"/>
          </w:tcPr>
          <w:p>
            <w:pPr>
              <w:spacing w:after="0"/>
              <w:rPr>
                <w:sz w:val="20"/>
                <w:szCs w:val="20"/>
                <w:color w:val="auto"/>
              </w:rPr>
            </w:pPr>
            <w:r>
              <w:rPr>
                <w:rFonts w:ascii="Arial" w:cs="Arial" w:eastAsia="Arial" w:hAnsi="Arial"/>
                <w:sz w:val="18"/>
                <w:szCs w:val="18"/>
                <w:color w:val="auto"/>
              </w:rPr>
              <w:t>Deferred underwriting commissions</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3,500,000</w:t>
            </w:r>
          </w:p>
        </w:tc>
        <w:tc>
          <w:tcPr>
            <w:tcW w:w="120" w:type="dxa"/>
            <w:vAlign w:val="bottom"/>
          </w:tcPr>
          <w:p>
            <w:pPr>
              <w:spacing w:after="0"/>
              <w:rPr>
                <w:sz w:val="24"/>
                <w:szCs w:val="24"/>
                <w:color w:val="auto"/>
              </w:rPr>
            </w:pPr>
          </w:p>
        </w:tc>
      </w:tr>
      <w:tr>
        <w:trPr>
          <w:trHeight w:val="188"/>
        </w:trPr>
        <w:tc>
          <w:tcPr>
            <w:tcW w:w="544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Class A common stock subject to possible redemption; -0- and</w:t>
            </w:r>
          </w:p>
        </w:tc>
        <w:tc>
          <w:tcPr>
            <w:tcW w:w="2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r>
      <w:tr>
        <w:trPr>
          <w:trHeight w:val="244"/>
        </w:trPr>
        <w:tc>
          <w:tcPr>
            <w:tcW w:w="5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9,252,349 shares, actual and as adjusted, respectively</w:t>
            </w:r>
            <w:r>
              <w:rPr>
                <w:rFonts w:ascii="Arial" w:cs="Arial" w:eastAsia="Arial" w:hAnsi="Arial"/>
                <w:sz w:val="20"/>
                <w:szCs w:val="20"/>
                <w:color w:val="auto"/>
                <w:vertAlign w:val="superscript"/>
              </w:rPr>
              <w:t>(2)</w:t>
            </w: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92,523,490</w:t>
            </w:r>
          </w:p>
        </w:tc>
        <w:tc>
          <w:tcPr>
            <w:tcW w:w="120" w:type="dxa"/>
            <w:vAlign w:val="bottom"/>
            <w:shd w:val="clear" w:color="auto" w:fill="CCEEFF"/>
          </w:tcPr>
          <w:p>
            <w:pPr>
              <w:spacing w:after="0"/>
              <w:rPr>
                <w:sz w:val="21"/>
                <w:szCs w:val="21"/>
                <w:color w:val="auto"/>
              </w:rPr>
            </w:pPr>
          </w:p>
        </w:tc>
      </w:tr>
      <w:tr>
        <w:trPr>
          <w:trHeight w:val="182"/>
        </w:trPr>
        <w:tc>
          <w:tcPr>
            <w:tcW w:w="5440" w:type="dxa"/>
            <w:vAlign w:val="bottom"/>
          </w:tcPr>
          <w:p>
            <w:pPr>
              <w:spacing w:after="0" w:line="182" w:lineRule="exact"/>
              <w:rPr>
                <w:sz w:val="20"/>
                <w:szCs w:val="20"/>
                <w:color w:val="auto"/>
              </w:rPr>
            </w:pPr>
            <w:r>
              <w:rPr>
                <w:rFonts w:ascii="Arial" w:cs="Arial" w:eastAsia="Arial" w:hAnsi="Arial"/>
                <w:sz w:val="18"/>
                <w:szCs w:val="18"/>
                <w:color w:val="auto"/>
              </w:rPr>
              <w:t>Preferred stock, $0.0001 par value, 1,000,000 shares authorized;</w:t>
            </w:r>
          </w:p>
        </w:tc>
        <w:tc>
          <w:tcPr>
            <w:tcW w:w="2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217"/>
        </w:trPr>
        <w:tc>
          <w:tcPr>
            <w:tcW w:w="5440" w:type="dxa"/>
            <w:vAlign w:val="bottom"/>
          </w:tcPr>
          <w:p>
            <w:pPr>
              <w:ind w:left="180"/>
              <w:spacing w:after="0"/>
              <w:rPr>
                <w:sz w:val="20"/>
                <w:szCs w:val="20"/>
                <w:color w:val="auto"/>
              </w:rPr>
            </w:pPr>
            <w:r>
              <w:rPr>
                <w:rFonts w:ascii="Arial" w:cs="Arial" w:eastAsia="Arial" w:hAnsi="Arial"/>
                <w:sz w:val="18"/>
                <w:szCs w:val="18"/>
                <w:color w:val="auto"/>
              </w:rPr>
              <w:t>none issued and outstanding, actual and as adjusted</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7"/>
        </w:trPr>
        <w:tc>
          <w:tcPr>
            <w:tcW w:w="5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02"/>
        </w:trPr>
        <w:tc>
          <w:tcPr>
            <w:tcW w:w="5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Class A common stock, $0.0001 par value, 100,000,000 shares</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54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authorized; -0- and 1,147,651 shares issued and outstanding</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54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(excluding -0- and 9,252,349 shares subject to possible</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24"/>
        </w:trPr>
        <w:tc>
          <w:tcPr>
            <w:tcW w:w="5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redemption), actual and as adjusted, respectively</w:t>
            </w:r>
          </w:p>
        </w:tc>
        <w:tc>
          <w:tcPr>
            <w:tcW w:w="2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02"/>
        </w:trPr>
        <w:tc>
          <w:tcPr>
            <w:tcW w:w="5440" w:type="dxa"/>
            <w:vAlign w:val="bottom"/>
          </w:tcPr>
          <w:p>
            <w:pPr>
              <w:spacing w:after="0" w:line="201" w:lineRule="exact"/>
              <w:rPr>
                <w:sz w:val="20"/>
                <w:szCs w:val="20"/>
                <w:color w:val="auto"/>
              </w:rPr>
            </w:pPr>
            <w:r>
              <w:rPr>
                <w:rFonts w:ascii="Arial" w:cs="Arial" w:eastAsia="Arial" w:hAnsi="Arial"/>
                <w:sz w:val="18"/>
                <w:szCs w:val="18"/>
                <w:color w:val="auto"/>
              </w:rPr>
              <w:t>Class B common stock, $0.0001 par value, 10,000,000 shares</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440" w:type="dxa"/>
            <w:vAlign w:val="bottom"/>
          </w:tcPr>
          <w:p>
            <w:pPr>
              <w:ind w:left="180"/>
              <w:spacing w:after="0" w:line="202" w:lineRule="exact"/>
              <w:rPr>
                <w:sz w:val="20"/>
                <w:szCs w:val="20"/>
                <w:color w:val="auto"/>
              </w:rPr>
            </w:pPr>
            <w:r>
              <w:rPr>
                <w:rFonts w:ascii="Arial" w:cs="Arial" w:eastAsia="Arial" w:hAnsi="Arial"/>
                <w:sz w:val="18"/>
                <w:szCs w:val="18"/>
                <w:color w:val="auto"/>
              </w:rPr>
              <w:t>authorized; 2,875,000 and 2,500,000 shares issued and</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44"/>
        </w:trPr>
        <w:tc>
          <w:tcPr>
            <w:tcW w:w="5440" w:type="dxa"/>
            <w:vAlign w:val="bottom"/>
          </w:tcPr>
          <w:p>
            <w:pPr>
              <w:ind w:left="180"/>
              <w:spacing w:after="0"/>
              <w:rPr>
                <w:sz w:val="20"/>
                <w:szCs w:val="20"/>
                <w:color w:val="auto"/>
              </w:rPr>
            </w:pPr>
            <w:r>
              <w:rPr>
                <w:rFonts w:ascii="Arial" w:cs="Arial" w:eastAsia="Arial" w:hAnsi="Arial"/>
                <w:sz w:val="18"/>
                <w:szCs w:val="18"/>
                <w:color w:val="auto"/>
              </w:rPr>
              <w:t>outstanding, actual and as adjusted, respectively</w:t>
            </w:r>
            <w:r>
              <w:rPr>
                <w:rFonts w:ascii="Arial" w:cs="Arial" w:eastAsia="Arial" w:hAnsi="Arial"/>
                <w:sz w:val="20"/>
                <w:szCs w:val="20"/>
                <w:color w:val="auto"/>
                <w:vertAlign w:val="superscript"/>
              </w:rPr>
              <w:t>(3)</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1"/>
                <w:szCs w:val="21"/>
                <w:color w:val="auto"/>
              </w:rPr>
            </w:pPr>
          </w:p>
        </w:tc>
      </w:tr>
      <w:tr>
        <w:trPr>
          <w:trHeight w:val="263"/>
        </w:trPr>
        <w:tc>
          <w:tcPr>
            <w:tcW w:w="5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24,712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5,001,145</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77"/>
        </w:trPr>
        <w:tc>
          <w:tcPr>
            <w:tcW w:w="5440" w:type="dxa"/>
            <w:vAlign w:val="bottom"/>
          </w:tcPr>
          <w:p>
            <w:pPr>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(1,500)</w:t>
            </w:r>
          </w:p>
        </w:tc>
      </w:tr>
      <w:tr>
        <w:trPr>
          <w:trHeight w:val="270"/>
        </w:trPr>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23,500</w:t>
            </w:r>
          </w:p>
        </w:tc>
        <w:tc>
          <w:tcPr>
            <w:tcW w:w="1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5,000,010</w:t>
            </w:r>
          </w:p>
        </w:tc>
        <w:tc>
          <w:tcPr>
            <w:tcW w:w="120" w:type="dxa"/>
            <w:vAlign w:val="bottom"/>
            <w:tcBorders>
              <w:top w:val="single" w:sz="8" w:color="CCEEFF"/>
            </w:tcBorders>
            <w:shd w:val="clear" w:color="auto" w:fill="CCEEFF"/>
          </w:tcPr>
          <w:p>
            <w:pPr>
              <w:spacing w:after="0"/>
              <w:rPr>
                <w:sz w:val="23"/>
                <w:szCs w:val="23"/>
                <w:color w:val="auto"/>
              </w:rPr>
            </w:pPr>
          </w:p>
        </w:tc>
      </w:tr>
      <w:tr>
        <w:trPr>
          <w:trHeight w:val="250"/>
        </w:trPr>
        <w:tc>
          <w:tcPr>
            <w:tcW w:w="5440" w:type="dxa"/>
            <w:vAlign w:val="bottom"/>
          </w:tcPr>
          <w:p>
            <w:pPr>
              <w:spacing w:after="0"/>
              <w:rPr>
                <w:sz w:val="20"/>
                <w:szCs w:val="20"/>
                <w:color w:val="auto"/>
              </w:rPr>
            </w:pPr>
            <w:r>
              <w:rPr>
                <w:rFonts w:ascii="Arial" w:cs="Arial" w:eastAsia="Arial" w:hAnsi="Arial"/>
                <w:sz w:val="18"/>
                <w:szCs w:val="18"/>
                <w:color w:val="auto"/>
              </w:rPr>
              <w:t>Total capitalization</w:t>
            </w:r>
          </w:p>
        </w:tc>
        <w:tc>
          <w:tcPr>
            <w:tcW w:w="4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23,500</w:t>
            </w:r>
          </w:p>
        </w:tc>
        <w:tc>
          <w:tcPr>
            <w:tcW w:w="100" w:type="dxa"/>
            <w:vAlign w:val="bottom"/>
          </w:tcPr>
          <w:p>
            <w:pPr>
              <w:spacing w:after="0"/>
              <w:rPr>
                <w:sz w:val="21"/>
                <w:szCs w:val="21"/>
                <w:color w:val="auto"/>
              </w:rPr>
            </w:pPr>
          </w:p>
        </w:tc>
        <w:tc>
          <w:tcPr>
            <w:tcW w:w="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101,023,500</w:t>
            </w:r>
          </w:p>
        </w:tc>
        <w:tc>
          <w:tcPr>
            <w:tcW w:w="120" w:type="dxa"/>
            <w:vAlign w:val="bottom"/>
          </w:tcPr>
          <w:p>
            <w:pPr>
              <w:spacing w:after="0"/>
              <w:rPr>
                <w:sz w:val="21"/>
                <w:szCs w:val="21"/>
                <w:color w:val="auto"/>
              </w:rPr>
            </w:pPr>
          </w:p>
        </w:tc>
      </w:tr>
      <w:tr>
        <w:trPr>
          <w:trHeight w:val="20"/>
        </w:trPr>
        <w:tc>
          <w:tcPr>
            <w:tcW w:w="5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92" w:lineRule="exact"/>
        <w:rPr>
          <w:sz w:val="20"/>
          <w:szCs w:val="20"/>
          <w:color w:val="auto"/>
        </w:rPr>
      </w:pPr>
    </w:p>
    <w:p>
      <w:pPr>
        <w:ind w:left="880" w:right="579" w:hanging="426"/>
        <w:spacing w:after="0" w:line="234" w:lineRule="auto"/>
        <w:tabs>
          <w:tab w:leader="none" w:pos="847" w:val="left"/>
        </w:tabs>
        <w:numPr>
          <w:ilvl w:val="0"/>
          <w:numId w:val="36"/>
        </w:numPr>
        <w:rPr>
          <w:rFonts w:ascii="Arial" w:cs="Arial" w:eastAsia="Arial" w:hAnsi="Arial"/>
          <w:sz w:val="12"/>
          <w:szCs w:val="12"/>
          <w:color w:val="auto"/>
        </w:rPr>
      </w:pPr>
      <w:r>
        <w:rPr>
          <w:rFonts w:ascii="Arial" w:cs="Arial" w:eastAsia="Arial" w:hAnsi="Arial"/>
          <w:sz w:val="12"/>
          <w:szCs w:val="12"/>
          <w:color w:val="auto"/>
        </w:rPr>
        <w:t>Our sponsor has agreed to purchase 400,000 shares of Class A common stock (or 430,000 shares of Class A common stock if the underwriters’ over-allotment option is exercised in full), at a price of $10.00 per share in a private placement for an aggregate purchase price of $4,000,000 (or $4,300,000 if the over-allotment option is exercised in full) that will close simultaneously with the closing of this offering. Additionally, our sponsor may loan us up to $200,000 under an unsecured promissory note to be used for a portion of the expenses of this offering. The “as adjusted” information gives effect to the repayment of any loans made under this note out of the proceeds from this offering and the sale of the private placement shares. To date, we had borrowed $50,000 under the promissory note.</w:t>
      </w:r>
    </w:p>
    <w:p>
      <w:pPr>
        <w:spacing w:after="0" w:line="2" w:lineRule="exact"/>
        <w:rPr>
          <w:rFonts w:ascii="Arial" w:cs="Arial" w:eastAsia="Arial" w:hAnsi="Arial"/>
          <w:sz w:val="12"/>
          <w:szCs w:val="12"/>
          <w:color w:val="auto"/>
        </w:rPr>
      </w:pPr>
    </w:p>
    <w:p>
      <w:pPr>
        <w:ind w:left="880" w:right="499" w:hanging="426"/>
        <w:spacing w:after="0" w:line="216" w:lineRule="auto"/>
        <w:tabs>
          <w:tab w:leader="none" w:pos="847" w:val="left"/>
        </w:tabs>
        <w:numPr>
          <w:ilvl w:val="0"/>
          <w:numId w:val="36"/>
        </w:numPr>
        <w:rPr>
          <w:rFonts w:ascii="Arial" w:cs="Arial" w:eastAsia="Arial" w:hAnsi="Arial"/>
          <w:sz w:val="13"/>
          <w:szCs w:val="13"/>
          <w:color w:val="auto"/>
        </w:rPr>
      </w:pPr>
      <w:r>
        <w:rPr>
          <w:rFonts w:ascii="Arial" w:cs="Arial" w:eastAsia="Arial" w:hAnsi="Arial"/>
          <w:sz w:val="13"/>
          <w:szCs w:val="13"/>
          <w:color w:val="auto"/>
        </w:rPr>
        <w:t>Upon the completion of our initial business combination, we will provide our public stockholders with the opportunity to redeem their public shares for cash at a per share price equal to the aggregate amount then on deposit in the trust account calculated as of two business days prior to the consummation of our initial business combination, including interest earned on the funds held in the trust account and not previously released to us to pay our taxes, divided by the number of then outstanding public shares, subject to the limitations described herein whereby redemptions cannot cause our net tangible assets to be less than $5,000,001.</w:t>
      </w:r>
    </w:p>
    <w:p>
      <w:pPr>
        <w:spacing w:after="0" w:line="2" w:lineRule="exact"/>
        <w:rPr>
          <w:rFonts w:ascii="Arial" w:cs="Arial" w:eastAsia="Arial" w:hAnsi="Arial"/>
          <w:sz w:val="13"/>
          <w:szCs w:val="13"/>
          <w:color w:val="auto"/>
        </w:rPr>
      </w:pPr>
    </w:p>
    <w:p>
      <w:pPr>
        <w:ind w:left="880" w:right="659" w:hanging="426"/>
        <w:spacing w:after="0" w:line="230" w:lineRule="auto"/>
        <w:tabs>
          <w:tab w:leader="none" w:pos="840" w:val="left"/>
        </w:tabs>
        <w:numPr>
          <w:ilvl w:val="0"/>
          <w:numId w:val="36"/>
        </w:numPr>
        <w:rPr>
          <w:rFonts w:ascii="Arial" w:cs="Arial" w:eastAsia="Arial" w:hAnsi="Arial"/>
          <w:sz w:val="13"/>
          <w:szCs w:val="13"/>
          <w:color w:val="auto"/>
        </w:rPr>
      </w:pPr>
      <w:r>
        <w:rPr>
          <w:rFonts w:ascii="Arial" w:cs="Arial" w:eastAsia="Arial" w:hAnsi="Arial"/>
          <w:sz w:val="13"/>
          <w:szCs w:val="13"/>
          <w:color w:val="auto"/>
        </w:rPr>
        <w:t>Actual share amount is prior to any forfeiture of founder shares and as adjusted amount assumes no exercise of the underwriters’ over-allotment option and forfeiture by our sponsor of an aggregate of 375,000 founder shares.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63" w:name="page64"/>
    <w:bookmarkEnd w:id="63"/>
    <w:p>
      <w:pPr>
        <w:ind w:left="232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18"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Overview</w:t>
      </w:r>
    </w:p>
    <w:p>
      <w:pPr>
        <w:spacing w:after="0" w:line="166" w:lineRule="exact"/>
        <w:rPr>
          <w:sz w:val="20"/>
          <w:szCs w:val="20"/>
          <w:color w:val="auto"/>
        </w:rPr>
      </w:pPr>
    </w:p>
    <w:p>
      <w:pPr>
        <w:ind w:left="460" w:right="579"/>
        <w:spacing w:after="0" w:line="236" w:lineRule="auto"/>
        <w:rPr>
          <w:sz w:val="20"/>
          <w:szCs w:val="20"/>
          <w:color w:val="auto"/>
        </w:rPr>
      </w:pPr>
      <w:r>
        <w:rPr>
          <w:rFonts w:ascii="Arial" w:cs="Arial" w:eastAsia="Arial" w:hAnsi="Arial"/>
          <w:sz w:val="18"/>
          <w:szCs w:val="18"/>
          <w:color w:val="auto"/>
        </w:rPr>
        <w:t>We are a blank check company incorporated on June 25, 2020 as a Delaware corporation and formed for the purpose of effecting a merger, capital stock exchange, asset acquisition, stock purchase, reorganization or similar business combination with one or more businesses. We have not selected any specific business combination target and we have not, nor has anyone on our behalf, engaged in any substantive discussions directly or indirectly, with any business combination target with respect to an initial business combination with us. We may pursue an initial business combination target in any industry or geographic region. We intend to focus our search for an initial business combination in the biotechnology sector. We intend to effectuate our initial business combination using cash from the proceeds of this offering and the private placement of the private placement shares, the proceeds of the sale of our shares in connection with our initial business combination (pursuant to forward purchase agreements or backstop agreements we may enter into following the consummation of this offering or otherwise), shares issued to the owners of the target, debt issued to bank or other lenders or the owners of the target, or a combination of the foregoing.</w:t>
      </w:r>
    </w:p>
    <w:p>
      <w:pPr>
        <w:spacing w:after="0" w:line="122" w:lineRule="exact"/>
        <w:rPr>
          <w:sz w:val="20"/>
          <w:szCs w:val="20"/>
          <w:color w:val="auto"/>
        </w:rPr>
      </w:pPr>
    </w:p>
    <w:p>
      <w:pPr>
        <w:ind w:left="460" w:right="839"/>
        <w:spacing w:after="0" w:line="246" w:lineRule="auto"/>
        <w:rPr>
          <w:sz w:val="20"/>
          <w:szCs w:val="20"/>
          <w:color w:val="auto"/>
        </w:rPr>
      </w:pPr>
      <w:r>
        <w:rPr>
          <w:rFonts w:ascii="Arial" w:cs="Arial" w:eastAsia="Arial" w:hAnsi="Arial"/>
          <w:sz w:val="18"/>
          <w:szCs w:val="18"/>
          <w:color w:val="auto"/>
        </w:rPr>
        <w:t>The issuance of additional shares in connection with a business combination to the owners of the target or other investors:</w:t>
      </w:r>
    </w:p>
    <w:p>
      <w:pPr>
        <w:spacing w:after="0" w:line="21" w:lineRule="exact"/>
        <w:rPr>
          <w:sz w:val="20"/>
          <w:szCs w:val="20"/>
          <w:color w:val="auto"/>
        </w:rPr>
      </w:pPr>
    </w:p>
    <w:p>
      <w:pPr>
        <w:ind w:left="1100" w:right="539" w:hanging="322"/>
        <w:spacing w:after="0" w:line="238" w:lineRule="auto"/>
        <w:tabs>
          <w:tab w:leader="none" w:pos="1039"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may significantly dilute the equity interest of investors in this offering, which dilution would increase if the anti-dilution provisions in the Class B common stock resulted in the issuance of Class A common stock on a greater than one-to-one basis upon conversion of the Class B common stock;</w:t>
      </w:r>
    </w:p>
    <w:p>
      <w:pPr>
        <w:spacing w:after="0" w:line="29" w:lineRule="exact"/>
        <w:rPr>
          <w:rFonts w:ascii="Arial" w:cs="Arial" w:eastAsia="Arial" w:hAnsi="Arial"/>
          <w:sz w:val="18"/>
          <w:szCs w:val="18"/>
          <w:color w:val="auto"/>
        </w:rPr>
      </w:pPr>
    </w:p>
    <w:p>
      <w:pPr>
        <w:ind w:left="1100" w:right="759" w:hanging="322"/>
        <w:spacing w:after="0" w:line="246" w:lineRule="auto"/>
        <w:tabs>
          <w:tab w:leader="none" w:pos="1039"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may subordinate the rights of holders of Class A common stock if shares of preferred stock are issued with rights senior to those afforded our Class A common stock;</w:t>
      </w:r>
    </w:p>
    <w:p>
      <w:pPr>
        <w:spacing w:after="0" w:line="7" w:lineRule="exact"/>
        <w:rPr>
          <w:rFonts w:ascii="Arial" w:cs="Arial" w:eastAsia="Arial" w:hAnsi="Arial"/>
          <w:sz w:val="18"/>
          <w:szCs w:val="18"/>
          <w:color w:val="auto"/>
        </w:rPr>
      </w:pPr>
    </w:p>
    <w:p>
      <w:pPr>
        <w:ind w:left="1100" w:right="719" w:hanging="322"/>
        <w:spacing w:after="0" w:line="238" w:lineRule="auto"/>
        <w:tabs>
          <w:tab w:leader="none" w:pos="1039"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could cause a change in control if a substantial number of shares of our Class A common stock are issued, which may affect, among other things, our ability to use our net operating loss carry forwards, if any, and could result in the resignation or removal of our present officers and directors;</w:t>
      </w:r>
    </w:p>
    <w:p>
      <w:pPr>
        <w:spacing w:after="0" w:line="29" w:lineRule="exact"/>
        <w:rPr>
          <w:rFonts w:ascii="Arial" w:cs="Arial" w:eastAsia="Arial" w:hAnsi="Arial"/>
          <w:sz w:val="18"/>
          <w:szCs w:val="18"/>
          <w:color w:val="auto"/>
        </w:rPr>
      </w:pPr>
    </w:p>
    <w:p>
      <w:pPr>
        <w:ind w:left="1100" w:right="719" w:hanging="322"/>
        <w:spacing w:after="0" w:line="246" w:lineRule="auto"/>
        <w:tabs>
          <w:tab w:leader="none" w:pos="1039"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may have the effect of delaying or preventing a change of control of us by diluting the share ownership or voting rights of a person seeking to obtain control of us; and</w:t>
      </w:r>
    </w:p>
    <w:p>
      <w:pPr>
        <w:spacing w:after="0" w:line="21" w:lineRule="exact"/>
        <w:rPr>
          <w:rFonts w:ascii="Arial" w:cs="Arial" w:eastAsia="Arial" w:hAnsi="Arial"/>
          <w:sz w:val="18"/>
          <w:szCs w:val="18"/>
          <w:color w:val="auto"/>
        </w:rPr>
      </w:pPr>
    </w:p>
    <w:p>
      <w:pPr>
        <w:ind w:left="1040" w:hanging="262"/>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Class A common stock.</w:t>
      </w:r>
    </w:p>
    <w:p>
      <w:pPr>
        <w:spacing w:after="0" w:line="131" w:lineRule="exact"/>
        <w:rPr>
          <w:sz w:val="20"/>
          <w:szCs w:val="20"/>
          <w:color w:val="auto"/>
        </w:rPr>
      </w:pPr>
    </w:p>
    <w:p>
      <w:pPr>
        <w:ind w:left="460" w:right="559"/>
        <w:spacing w:after="0" w:line="246" w:lineRule="auto"/>
        <w:rPr>
          <w:sz w:val="20"/>
          <w:szCs w:val="20"/>
          <w:color w:val="auto"/>
        </w:rPr>
      </w:pPr>
      <w:r>
        <w:rPr>
          <w:rFonts w:ascii="Arial" w:cs="Arial" w:eastAsia="Arial" w:hAnsi="Arial"/>
          <w:sz w:val="18"/>
          <w:szCs w:val="18"/>
          <w:color w:val="auto"/>
        </w:rPr>
        <w:t>Similarly, if we issue debt securities or otherwise incur significant debt to bank or other lenders or the owners of a target, it could result in:</w:t>
      </w:r>
    </w:p>
    <w:p>
      <w:pPr>
        <w:spacing w:after="0" w:line="21" w:lineRule="exact"/>
        <w:rPr>
          <w:sz w:val="20"/>
          <w:szCs w:val="20"/>
          <w:color w:val="auto"/>
        </w:rPr>
      </w:pPr>
    </w:p>
    <w:p>
      <w:pPr>
        <w:ind w:left="1100" w:right="1099" w:hanging="322"/>
        <w:spacing w:after="0" w:line="246" w:lineRule="auto"/>
        <w:tabs>
          <w:tab w:leader="none" w:pos="1039"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an initial business combination are insufficient to repay our debt obligations;</w:t>
      </w:r>
    </w:p>
    <w:p>
      <w:pPr>
        <w:spacing w:after="0" w:line="21" w:lineRule="exact"/>
        <w:rPr>
          <w:rFonts w:ascii="Arial" w:cs="Arial" w:eastAsia="Arial" w:hAnsi="Arial"/>
          <w:sz w:val="18"/>
          <w:szCs w:val="18"/>
          <w:color w:val="auto"/>
        </w:rPr>
      </w:pPr>
    </w:p>
    <w:p>
      <w:pPr>
        <w:ind w:left="1100" w:right="639" w:hanging="322"/>
        <w:spacing w:after="0"/>
        <w:tabs>
          <w:tab w:leader="none" w:pos="1039"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13" w:lineRule="exact"/>
        <w:rPr>
          <w:rFonts w:ascii="Arial" w:cs="Arial" w:eastAsia="Arial" w:hAnsi="Arial"/>
          <w:sz w:val="18"/>
          <w:szCs w:val="18"/>
          <w:color w:val="auto"/>
        </w:rPr>
      </w:pPr>
    </w:p>
    <w:p>
      <w:pPr>
        <w:ind w:left="1100" w:right="759" w:hanging="322"/>
        <w:spacing w:after="0" w:line="246" w:lineRule="auto"/>
        <w:tabs>
          <w:tab w:leader="none" w:pos="1039"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is payable on demand;</w:t>
      </w:r>
    </w:p>
    <w:p>
      <w:pPr>
        <w:spacing w:after="0" w:line="21" w:lineRule="exact"/>
        <w:rPr>
          <w:rFonts w:ascii="Arial" w:cs="Arial" w:eastAsia="Arial" w:hAnsi="Arial"/>
          <w:sz w:val="18"/>
          <w:szCs w:val="18"/>
          <w:color w:val="auto"/>
        </w:rPr>
      </w:pPr>
    </w:p>
    <w:p>
      <w:pPr>
        <w:ind w:left="1100" w:right="599" w:hanging="322"/>
        <w:spacing w:after="0" w:line="246" w:lineRule="auto"/>
        <w:tabs>
          <w:tab w:leader="none" w:pos="1039"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contains covenants restricting our ability to obtain such financing while the debt is outstanding;</w:t>
      </w:r>
    </w:p>
    <w:p>
      <w:pPr>
        <w:spacing w:after="0" w:line="21" w:lineRule="exact"/>
        <w:rPr>
          <w:rFonts w:ascii="Arial" w:cs="Arial" w:eastAsia="Arial" w:hAnsi="Arial"/>
          <w:sz w:val="18"/>
          <w:szCs w:val="18"/>
          <w:color w:val="auto"/>
        </w:rPr>
      </w:pPr>
    </w:p>
    <w:p>
      <w:pPr>
        <w:ind w:left="1040" w:hanging="262"/>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inability to pay dividends on our Class A common stock;</w:t>
      </w:r>
    </w:p>
    <w:p>
      <w:pPr>
        <w:spacing w:after="0" w:line="22" w:lineRule="exact"/>
        <w:rPr>
          <w:rFonts w:ascii="Arial" w:cs="Arial" w:eastAsia="Arial" w:hAnsi="Arial"/>
          <w:sz w:val="18"/>
          <w:szCs w:val="18"/>
          <w:color w:val="auto"/>
        </w:rPr>
      </w:pPr>
    </w:p>
    <w:p>
      <w:pPr>
        <w:jc w:val="both"/>
        <w:ind w:left="1100" w:right="499" w:hanging="322"/>
        <w:spacing w:after="0"/>
        <w:tabs>
          <w:tab w:leader="none" w:pos="1039" w:val="left"/>
        </w:tabs>
        <w:numPr>
          <w:ilvl w:val="0"/>
          <w:numId w:val="38"/>
        </w:numPr>
        <w:rPr>
          <w:rFonts w:ascii="Arial" w:cs="Arial" w:eastAsia="Arial" w:hAnsi="Arial"/>
          <w:sz w:val="18"/>
          <w:szCs w:val="18"/>
          <w:color w:val="auto"/>
        </w:rPr>
      </w:pPr>
      <w:r>
        <w:rPr>
          <w:rFonts w:ascii="Arial" w:cs="Arial" w:eastAsia="Arial" w:hAnsi="Arial"/>
          <w:sz w:val="18"/>
          <w:szCs w:val="18"/>
          <w:color w:val="auto"/>
        </w:rPr>
        <w:t>using a substantial portion of our cash flow to pay principal and interest on our debt, which will reduce the funds available for dividends on our Class A common stock if declared, expenses, capital expenditures, acquisitions and other general corporate purposes;</w:t>
      </w:r>
    </w:p>
    <w:p>
      <w:pPr>
        <w:spacing w:after="0" w:line="27" w:lineRule="exact"/>
        <w:rPr>
          <w:rFonts w:ascii="Arial" w:cs="Arial" w:eastAsia="Arial" w:hAnsi="Arial"/>
          <w:sz w:val="18"/>
          <w:szCs w:val="18"/>
          <w:color w:val="auto"/>
        </w:rPr>
      </w:pPr>
    </w:p>
    <w:p>
      <w:pPr>
        <w:ind w:left="1100" w:right="639" w:hanging="322"/>
        <w:spacing w:after="0" w:line="246" w:lineRule="auto"/>
        <w:tabs>
          <w:tab w:leader="none" w:pos="1039" w:val="left"/>
        </w:tabs>
        <w:numPr>
          <w:ilvl w:val="0"/>
          <w:numId w:val="38"/>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21" w:lineRule="exact"/>
        <w:rPr>
          <w:rFonts w:ascii="Arial" w:cs="Arial" w:eastAsia="Arial" w:hAnsi="Arial"/>
          <w:sz w:val="18"/>
          <w:szCs w:val="18"/>
          <w:color w:val="auto"/>
        </w:rPr>
      </w:pPr>
    </w:p>
    <w:p>
      <w:pPr>
        <w:ind w:left="1100" w:right="879" w:hanging="322"/>
        <w:spacing w:after="0" w:line="246" w:lineRule="auto"/>
        <w:tabs>
          <w:tab w:leader="none" w:pos="1039"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 and</w:t>
      </w:r>
    </w:p>
    <w:p>
      <w:pPr>
        <w:spacing w:after="0" w:line="7" w:lineRule="exact"/>
        <w:rPr>
          <w:rFonts w:ascii="Arial" w:cs="Arial" w:eastAsia="Arial" w:hAnsi="Arial"/>
          <w:sz w:val="18"/>
          <w:szCs w:val="18"/>
          <w:color w:val="auto"/>
        </w:rPr>
      </w:pPr>
    </w:p>
    <w:p>
      <w:pPr>
        <w:ind w:left="1100" w:right="779" w:hanging="322"/>
        <w:spacing w:after="0"/>
        <w:tabs>
          <w:tab w:leader="none" w:pos="1039" w:val="left"/>
        </w:tabs>
        <w:numPr>
          <w:ilvl w:val="0"/>
          <w:numId w:val="38"/>
        </w:numPr>
        <w:rPr>
          <w:rFonts w:ascii="Arial" w:cs="Arial" w:eastAsia="Arial" w:hAnsi="Arial"/>
          <w:sz w:val="18"/>
          <w:szCs w:val="18"/>
          <w:color w:val="auto"/>
        </w:rPr>
      </w:pPr>
      <w:r>
        <w:rPr>
          <w:rFonts w:ascii="Arial" w:cs="Arial" w:eastAsia="Arial" w:hAnsi="Arial"/>
          <w:sz w:val="18"/>
          <w:szCs w:val="18"/>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64" w:name="page65"/>
    <w:bookmarkEnd w:id="64"/>
    <w:p>
      <w:pPr>
        <w:ind w:left="460" w:right="479"/>
        <w:spacing w:after="0" w:line="238" w:lineRule="auto"/>
        <w:rPr>
          <w:sz w:val="20"/>
          <w:szCs w:val="20"/>
          <w:color w:val="auto"/>
        </w:rPr>
      </w:pPr>
      <w:r>
        <w:rPr>
          <w:rFonts w:ascii="Arial" w:cs="Arial" w:eastAsia="Arial" w:hAnsi="Arial"/>
          <w:sz w:val="18"/>
          <w:szCs w:val="18"/>
          <w:color w:val="auto"/>
        </w:rPr>
        <w:t>As indicated in the accompanying financial statements, at June 30, 2020, we had $25,000 in cash, deferred offering costs of $53,000, and a working capital deficit of $(29,500). Further, we expect to incur significant costs in the pursuit of our initial business combination. We cannot assure you that our plans to raise capital or to complete our initial business combination will be successful.</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Results of Operations and Known Trends or Future Events</w:t>
      </w:r>
    </w:p>
    <w:p>
      <w:pPr>
        <w:spacing w:after="0" w:line="153"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We have neither engaged in any operations nor generated any revenues to date. Our only activities since inception have been organizational activities and those necessary to prepare for this offering. Following this offering, we will not generate any operating revenues until after completion of our initial business combination. We will generate non-operating income in the form of interest income on cash and cash equivalents after this offering. There has been no significant change in our financial or trading position and no material adverse change has occurred since the date of our audited financial statements. After this offering, we expect to incur increased expenses as a result of being a public company (for legal, financial reporting, accounting and auditing compliance), as well as for due diligence expenses. We expect our expenses to increase substantially after the closing of this offering.</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Liquidity and Capital Resources</w:t>
      </w:r>
    </w:p>
    <w:p>
      <w:pPr>
        <w:spacing w:after="0" w:line="166" w:lineRule="exact"/>
        <w:rPr>
          <w:sz w:val="20"/>
          <w:szCs w:val="20"/>
          <w:color w:val="auto"/>
        </w:rPr>
      </w:pPr>
    </w:p>
    <w:p>
      <w:pPr>
        <w:ind w:left="460" w:right="719"/>
        <w:spacing w:after="0"/>
        <w:rPr>
          <w:sz w:val="20"/>
          <w:szCs w:val="20"/>
          <w:color w:val="auto"/>
        </w:rPr>
      </w:pPr>
      <w:r>
        <w:rPr>
          <w:rFonts w:ascii="Arial" w:cs="Arial" w:eastAsia="Arial" w:hAnsi="Arial"/>
          <w:sz w:val="18"/>
          <w:szCs w:val="18"/>
          <w:color w:val="auto"/>
        </w:rPr>
        <w:t>Our liquidity needs have been satisfied prior to the completion of this offering through a capital contribution from our sponsor of $25,000 in exchange for the issuance of the founder shares to our sponsor and up to $200,000 in loans available from our sponsor.</w:t>
      </w:r>
    </w:p>
    <w:p>
      <w:pPr>
        <w:spacing w:after="0" w:line="135"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We estimate that the net proceeds from the sale of the shares of Class A common stock in this offering and the sale of the private placement shares for an aggregate purchase price of $4,000,000 (or $4,300,000 if the underwriters’ over-allotment option is exercised in full), after deducting offering expenses of approximately $1,000,000 and underwriting commissions of $2,000,000 (or $2,300,000 if the underwriters’ over-allotment option is exercised in full) (excluding deferred underwriting commissions of $3,500,000, or $4,025,000 if the underwriters’ over-allotment option is exercised in full), will be $101,000,000 (or $116,000,000 if the underwriters’ over-allotment option is exercised in full). $100,000,000 (or $115,000,000 if the underwriters’ over-allotment option is exercised in full) will be held in the trust account, which includes the deferred underwriting commissions described above. The proceeds held in the trust account will be invested only in U.S. government treasury obligations with a maturity of 185 days or less or in money market funds meeting certain conditions under Rule 2a-7 under the Investment Company Act which invest only in direct U.S. government treasury obligations. The remaining approximately $1,000,000 will not be held in the trust account. In the event that our offering expenses exceed our estimate of $1,000,000, we may fund such excess with funds not to be held in the trust account. In such case, the amount of funds we intend to be held outside the trust account would decrease by a corresponding amount. Conversely, in the event that the offering expenses are less than our estimate of $1,000,000, the amount of funds we intend to be held outside the trust account would increase by a corresponding amount.</w:t>
      </w:r>
    </w:p>
    <w:p>
      <w:pPr>
        <w:spacing w:after="0" w:line="132" w:lineRule="exact"/>
        <w:rPr>
          <w:sz w:val="20"/>
          <w:szCs w:val="20"/>
          <w:color w:val="auto"/>
        </w:rPr>
      </w:pPr>
    </w:p>
    <w:p>
      <w:pPr>
        <w:ind w:left="460" w:right="539"/>
        <w:spacing w:after="0" w:line="235" w:lineRule="auto"/>
        <w:rPr>
          <w:sz w:val="20"/>
          <w:szCs w:val="20"/>
          <w:color w:val="auto"/>
        </w:rPr>
      </w:pPr>
      <w:r>
        <w:rPr>
          <w:rFonts w:ascii="Arial" w:cs="Arial" w:eastAsia="Arial" w:hAnsi="Arial"/>
          <w:sz w:val="18"/>
          <w:szCs w:val="18"/>
          <w:color w:val="auto"/>
        </w:rPr>
        <w:t>We intend to use substantially all of the funds held in the trust account, including any amounts representing interest earned on the trust account (excluding deferred underwriting commissions) to complete our initial business combination. We may withdraw interest to pay our taxes. We estimate our annual franchise tax obligations, based on the number of shares of our common stock authorized and outstanding after the completion of this offering, to be $200,000, which is the maximum amount of annual franchise taxes payable by us as a Delaware corporation per annum, which we may pay from funds from this offering held outside of the trust account or from interest earned on the funds held in the trust account and released to us for this purpose. Our annual income tax obligations will depend on the amount of interest and other income earned on the amounts held in the trust account. We expect the interest earned on the amount in the trust account will be sufficient to pay our income taxes. To the extent that our equity or debt is used, in whole or in part, as consideration to complete our initial business combination, the remaining proceeds held in the trust account will be used as working capital to finance the operations of the target business or businesses, make other acquisitions and pursue our growth strategies.</w:t>
      </w:r>
    </w:p>
    <w:p>
      <w:pPr>
        <w:spacing w:after="0" w:line="146" w:lineRule="exact"/>
        <w:rPr>
          <w:sz w:val="20"/>
          <w:szCs w:val="20"/>
          <w:color w:val="auto"/>
        </w:rPr>
      </w:pPr>
    </w:p>
    <w:p>
      <w:pPr>
        <w:ind w:left="460" w:right="539"/>
        <w:spacing w:after="0" w:line="253" w:lineRule="auto"/>
        <w:rPr>
          <w:sz w:val="20"/>
          <w:szCs w:val="20"/>
          <w:color w:val="auto"/>
        </w:rPr>
      </w:pPr>
      <w:r>
        <w:rPr>
          <w:rFonts w:ascii="Arial" w:cs="Arial" w:eastAsia="Arial" w:hAnsi="Arial"/>
          <w:sz w:val="17"/>
          <w:szCs w:val="17"/>
          <w:color w:val="auto"/>
        </w:rPr>
        <w:t>Prior to the completion of our initial business combination, we will have available to us the approximately $1,000,000 of proceeds held outside the trust account. We will use these funds to primarily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and structure, negotiate and complete a business combination.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65" w:name="page66"/>
    <w:bookmarkEnd w:id="65"/>
    <w:p>
      <w:pPr>
        <w:ind w:left="460" w:right="479"/>
        <w:spacing w:after="0" w:line="235" w:lineRule="auto"/>
        <w:rPr>
          <w:sz w:val="20"/>
          <w:szCs w:val="20"/>
          <w:color w:val="auto"/>
        </w:rPr>
      </w:pPr>
      <w:r>
        <w:rPr>
          <w:rFonts w:ascii="Arial" w:cs="Arial" w:eastAsia="Arial" w:hAnsi="Arial"/>
          <w:sz w:val="18"/>
          <w:szCs w:val="18"/>
          <w:color w:val="auto"/>
        </w:rPr>
        <w:t>We do not believe we will need to raise additional funds following this offering in order to meet the expenditures required for operating our business prior to our initial business combination. However, if our estimates of the costs of identifying a target business, undertaking in-depth due diligence and negotiating an initial business combination are less than the actual amount necessary to do so, we may have insufficient funds available to operate our business prior to our initial business combination. In order to fund working capital deficiencies or finance transaction costs in connection with an intended initial business combination, our sponsor or an affiliate of our sponsor or certain of our officers and directors may, but are not obligated to, loan us funds as may be required. If we complete our initial business combination, we would repay such loaned amounts. In the event that our initial business combination does not close, we may use a portion of the working capital held outside the trust account to repay such loaned amounts but no proceeds from our trust account would be used for such repayment. Up to $1,500,000 of such loans may be convertible into private placement shares of the post business combination entity at a price of $10.00 per share at the option of the lender. The terms of such loans, if any, have not been determined and no written agreements exist with respect to such loans. Prior to the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132"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We expect our primary liquidity requirements during that period to include approximately $500,000 for legal, accounting, due diligence, travel and other expenses associated with structuring, negotiating and documenting successful business combinations; $ 85,000 for legal and accounting fees related to regulatory reporting requirements; $75,000 for Nasdaq and other regulatory fees; $50,000 for consulting, travel and miscellaneous expenses incurred during the search for a business combination target; and approximately $25,000 for general working capital that will be used for miscellaneous expenses and reserves. We will also pay our sponsor $10,000 per month for office space, secretarial and administrative services provided to members of our management team subsequent to the closing of this offering.</w:t>
      </w:r>
    </w:p>
    <w:p>
      <w:pPr>
        <w:spacing w:after="0" w:line="139" w:lineRule="exact"/>
        <w:rPr>
          <w:sz w:val="20"/>
          <w:szCs w:val="20"/>
          <w:color w:val="auto"/>
        </w:rPr>
      </w:pPr>
    </w:p>
    <w:p>
      <w:pPr>
        <w:ind w:left="460" w:right="659"/>
        <w:spacing w:after="0" w:line="236" w:lineRule="auto"/>
        <w:rPr>
          <w:sz w:val="20"/>
          <w:szCs w:val="20"/>
          <w:color w:val="auto"/>
        </w:rPr>
      </w:pPr>
      <w:r>
        <w:rPr>
          <w:rFonts w:ascii="Arial" w:cs="Arial" w:eastAsia="Arial" w:hAnsi="Arial"/>
          <w:sz w:val="18"/>
          <w:szCs w:val="18"/>
          <w:color w:val="auto"/>
        </w:rPr>
        <w:t>These amounts are estimates and may differ materially from our actual expenses. In addition, we could use a portion of the funds not being placed in trust to pay commitment fees for financing, fees to consultants to assist us with our search for a target business or as a down payment or to fund a “no-shop” provision (a provision designed to keep target businesses from “shopping” around for transactions with other companies or investors on terms more favorable to such target businesses) with respect to a particular proposed business combination, although we do not have any current intention to do so. If we entered into an agreement where we paid for the right to receive exclusivity from a target business, the amount that would be used as a down payment or to fund a “no-shop” provision would be determined based on the terms of the specific business combination and the amount of our available funds at the time. Our forfeiture of such funds (whether as a result of our breach or otherwise) could result in our not having sufficient funds to continue searching for, or conducting due diligence with respect to, prospective target businesses.</w:t>
      </w:r>
    </w:p>
    <w:p>
      <w:pPr>
        <w:spacing w:after="0" w:line="136" w:lineRule="exact"/>
        <w:rPr>
          <w:sz w:val="20"/>
          <w:szCs w:val="20"/>
          <w:color w:val="auto"/>
        </w:rPr>
      </w:pPr>
    </w:p>
    <w:p>
      <w:pPr>
        <w:ind w:left="460" w:right="579"/>
        <w:spacing w:after="0" w:line="235" w:lineRule="auto"/>
        <w:rPr>
          <w:sz w:val="20"/>
          <w:szCs w:val="20"/>
          <w:color w:val="auto"/>
        </w:rPr>
      </w:pPr>
      <w:r>
        <w:rPr>
          <w:rFonts w:ascii="Arial" w:cs="Arial" w:eastAsia="Arial" w:hAnsi="Arial"/>
          <w:sz w:val="18"/>
          <w:szCs w:val="18"/>
          <w:color w:val="auto"/>
        </w:rPr>
        <w:t>Moreover, we may need to obtain additional financing to complete our initial business combination, either because the transaction requires more cash than is available from the proceeds held in our trust account or because we become obligated to redeem a significant number of our public shares upon completion of the business combination, in which case we may issue additional securities or incur debt in connection with such business combination. In addition, we intend to target businesses with enterprise values that are greater than we could acquire with the net proceeds of this offering and the sale of the private placement shares, and, as a result, if the cash portion of the purchase price exceeds the amount available from the trust account, net of amounts needed to satisfy any redemptions by public shareholders, we may be required to seek additional financing to complete such proposed initial business combination. We may also obtain financing prior to the closing of our initial business combination to fund our working capital needs and transaction costs in connection with our search for and completion of our initial business combination. There is no limitation on our ability to raise funds through the issuance of equity or equity-linked securities or through loans, advances or other indebtedness in connection with our initial business combination, including pursuant to forward purchase agreements or backstop agreements we may enter into following consummation of this offering. Subject to compliance with applicable securities laws, we would only complete such financing simultaneously with the completion of our initial business combination. If we are unable to complete our initial business combination because we do not have sufficient funds available to us, we will be forced to cease operations and liquidate the trust account. In addition, following our initial business combination, if cash on hand is insufficient, we may need to obtain additional financing in order to meet our obligations.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66" w:name="page67"/>
    <w:bookmarkEnd w:id="66"/>
    <w:p>
      <w:pPr>
        <w:ind w:left="460"/>
        <w:spacing w:after="0"/>
        <w:rPr>
          <w:sz w:val="20"/>
          <w:szCs w:val="20"/>
          <w:color w:val="auto"/>
        </w:rPr>
      </w:pPr>
      <w:r>
        <w:rPr>
          <w:rFonts w:ascii="Arial" w:cs="Arial" w:eastAsia="Arial" w:hAnsi="Arial"/>
          <w:sz w:val="18"/>
          <w:szCs w:val="18"/>
          <w:b w:val="1"/>
          <w:bCs w:val="1"/>
          <w:color w:val="auto"/>
        </w:rPr>
        <w:t>Controls and Procedures</w:t>
      </w:r>
    </w:p>
    <w:p>
      <w:pPr>
        <w:spacing w:after="0" w:line="166"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We are not currently required to maintain an effective system of internal controls as defined by Section 404 of the Sarbanes-Oxley Act. We will be required to comply with the internal control requirements of the Sarbanes-Oxley Act for the fiscal year ending December 31, 2021. Only in the event that we are deemed to be a large accelerated filer or an accelerated filer and no longer an emerging growth company would we be required to comply with the independent registered public accounting firm attestation requirement. Further, for as long as we remain an emerging growth company as defined in the JOBS Act, we intend to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w:t>
      </w:r>
    </w:p>
    <w:p>
      <w:pPr>
        <w:spacing w:after="0" w:line="125"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Prior to the closing of this offering, we have not completed an assessment, nor has our independent registered public accounting firm tested our systems, of internal controls. We expect to assess the internal controls of our target business or businesses prior to the completion of our initial business combination and, if necessary, to implement and test additional controls as we may determine are necessary in order to state that we maintain an effective system of internal controls. A target business may not be in compliance with the provisions of the Sarbanes-Oxley Act regarding the adequacy of internal controls. Many small and mid-sized target businesses we may consider for our initial business combination may have internal controls that need improvement in areas such as:</w:t>
      </w:r>
    </w:p>
    <w:p>
      <w:pPr>
        <w:spacing w:after="0" w:line="32" w:lineRule="exact"/>
        <w:rPr>
          <w:sz w:val="20"/>
          <w:szCs w:val="20"/>
          <w:color w:val="auto"/>
        </w:rPr>
      </w:pPr>
    </w:p>
    <w:p>
      <w:pPr>
        <w:ind w:left="1040" w:hanging="262"/>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staffing for financial, accounting and external reporting areas, including segregation of duties;</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reconciliation of accounts;</w:t>
      </w:r>
    </w:p>
    <w:p>
      <w:pPr>
        <w:spacing w:after="0" w:line="22" w:lineRule="exact"/>
        <w:rPr>
          <w:rFonts w:ascii="Arial" w:cs="Arial" w:eastAsia="Arial" w:hAnsi="Arial"/>
          <w:sz w:val="18"/>
          <w:szCs w:val="18"/>
          <w:color w:val="auto"/>
        </w:rPr>
      </w:pPr>
    </w:p>
    <w:p>
      <w:pPr>
        <w:ind w:left="1040" w:hanging="262"/>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proper recording of expenses and liabilities in the period to which they relate;</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evidence of internal review and approval of accounting transactions;</w:t>
      </w:r>
    </w:p>
    <w:p>
      <w:pPr>
        <w:spacing w:after="0" w:line="36" w:lineRule="exact"/>
        <w:rPr>
          <w:rFonts w:ascii="Arial" w:cs="Arial" w:eastAsia="Arial" w:hAnsi="Arial"/>
          <w:sz w:val="18"/>
          <w:szCs w:val="18"/>
          <w:color w:val="auto"/>
        </w:rPr>
      </w:pPr>
    </w:p>
    <w:p>
      <w:pPr>
        <w:ind w:left="1100" w:right="679" w:hanging="322"/>
        <w:spacing w:after="0" w:line="246" w:lineRule="auto"/>
        <w:tabs>
          <w:tab w:leader="none" w:pos="1039" w:val="left"/>
        </w:tabs>
        <w:numPr>
          <w:ilvl w:val="0"/>
          <w:numId w:val="39"/>
        </w:numPr>
        <w:rPr>
          <w:rFonts w:ascii="Arial" w:cs="Arial" w:eastAsia="Arial" w:hAnsi="Arial"/>
          <w:sz w:val="18"/>
          <w:szCs w:val="18"/>
          <w:color w:val="auto"/>
        </w:rPr>
      </w:pPr>
      <w:r>
        <w:rPr>
          <w:rFonts w:ascii="Arial" w:cs="Arial" w:eastAsia="Arial" w:hAnsi="Arial"/>
          <w:sz w:val="18"/>
          <w:szCs w:val="18"/>
          <w:color w:val="auto"/>
        </w:rPr>
        <w:t>documentation of processes, assumptions and conclusions underlying significant estimates; and</w:t>
      </w:r>
    </w:p>
    <w:p>
      <w:pPr>
        <w:spacing w:after="0" w:line="7" w:lineRule="exact"/>
        <w:rPr>
          <w:rFonts w:ascii="Arial" w:cs="Arial" w:eastAsia="Arial" w:hAnsi="Arial"/>
          <w:sz w:val="18"/>
          <w:szCs w:val="18"/>
          <w:color w:val="auto"/>
        </w:rPr>
      </w:pPr>
    </w:p>
    <w:p>
      <w:pPr>
        <w:ind w:left="1040" w:hanging="262"/>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documentation of accounting policies and procedures.</w:t>
      </w:r>
    </w:p>
    <w:p>
      <w:pPr>
        <w:spacing w:after="0" w:line="144"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Because it will take time, management involvement and perhaps outside resources to determine what internal control improvements are necessary for us to meet regulatory requirements and market expectations for our operation of a target business, we may incur significant expenses in meeting our public reporting responsibilities, particularly in the areas of designing, enhancing, or remediating internal and disclosure controls. Doing so effectively may also take longer than we expect, thus increasing our exposure to financial fraud or erroneous financing reporting.</w:t>
      </w:r>
    </w:p>
    <w:p>
      <w:pPr>
        <w:spacing w:after="0" w:line="137" w:lineRule="exact"/>
        <w:rPr>
          <w:sz w:val="20"/>
          <w:szCs w:val="20"/>
          <w:color w:val="auto"/>
        </w:rPr>
      </w:pPr>
    </w:p>
    <w:p>
      <w:pPr>
        <w:ind w:left="460" w:right="599"/>
        <w:spacing w:after="0" w:line="238" w:lineRule="auto"/>
        <w:rPr>
          <w:sz w:val="20"/>
          <w:szCs w:val="20"/>
          <w:color w:val="auto"/>
        </w:rPr>
      </w:pPr>
      <w:r>
        <w:rPr>
          <w:rFonts w:ascii="Arial" w:cs="Arial" w:eastAsia="Arial" w:hAnsi="Arial"/>
          <w:sz w:val="18"/>
          <w:szCs w:val="18"/>
          <w:color w:val="auto"/>
        </w:rPr>
        <w:t>Once our management’s report on internal controls is complete, we will retain our independent registered public accounting firm to audit and render an opinion on such report when required by Section 404 of the Sarbanes-Oxley Act. The independent registered public accounting firm may identify additional issues concerning a target business’s internal controls while performing their audit of internal control over financial reporting.</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53"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The net proceeds of this offering and the sale of the private placement shares held in the trust account will be invested in U.S. government treasury obligations with a maturity of 185 days or less or in money market funds meeting certain conditions under Rule 2a-7 under the Investment Company Act which invest only in direct U.S. government treasury obligations. Due to the short-term nature of these investments, we believe there will be no associated material exposure to interest rate risk.</w:t>
      </w:r>
    </w:p>
    <w:p>
      <w:pPr>
        <w:spacing w:after="0" w:line="180" w:lineRule="exact"/>
        <w:rPr>
          <w:sz w:val="20"/>
          <w:szCs w:val="20"/>
          <w:color w:val="auto"/>
        </w:rPr>
      </w:pPr>
    </w:p>
    <w:p>
      <w:pPr>
        <w:ind w:left="460" w:right="1059"/>
        <w:spacing w:after="0" w:line="271" w:lineRule="auto"/>
        <w:rPr>
          <w:sz w:val="20"/>
          <w:szCs w:val="20"/>
          <w:color w:val="auto"/>
        </w:rPr>
      </w:pPr>
      <w:r>
        <w:rPr>
          <w:rFonts w:ascii="Arial" w:cs="Arial" w:eastAsia="Arial" w:hAnsi="Arial"/>
          <w:sz w:val="18"/>
          <w:szCs w:val="18"/>
          <w:b w:val="1"/>
          <w:bCs w:val="1"/>
          <w:color w:val="auto"/>
        </w:rPr>
        <w:t>Off-Balance Sheet Arrangements; Commitments and Contractual Obligations; Quarterly Results</w:t>
      </w:r>
    </w:p>
    <w:p>
      <w:pPr>
        <w:spacing w:after="0" w:line="108" w:lineRule="exact"/>
        <w:rPr>
          <w:sz w:val="20"/>
          <w:szCs w:val="20"/>
          <w:color w:val="auto"/>
        </w:rPr>
      </w:pPr>
    </w:p>
    <w:p>
      <w:pPr>
        <w:ind w:left="460" w:right="619"/>
        <w:spacing w:after="0" w:line="238" w:lineRule="auto"/>
        <w:rPr>
          <w:sz w:val="20"/>
          <w:szCs w:val="20"/>
          <w:color w:val="auto"/>
        </w:rPr>
      </w:pPr>
      <w:r>
        <w:rPr>
          <w:rFonts w:ascii="Arial" w:cs="Arial" w:eastAsia="Arial" w:hAnsi="Arial"/>
          <w:sz w:val="18"/>
          <w:szCs w:val="18"/>
          <w:color w:val="auto"/>
        </w:rPr>
        <w:t>As of June 30, 2020, we did not have any off-balance sheet arrangements as defined in Item 303(a) (4)(ii) of Regulation S-K and did not have any commitments or contractual obligations. No unaudited quarterly operating data is included in this prospectus as we have not conducted any operations to date.</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JOBS Act</w:t>
      </w:r>
    </w:p>
    <w:p>
      <w:pPr>
        <w:spacing w:after="0" w:line="166" w:lineRule="exact"/>
        <w:rPr>
          <w:sz w:val="20"/>
          <w:szCs w:val="20"/>
          <w:color w:val="auto"/>
        </w:rPr>
      </w:pPr>
    </w:p>
    <w:p>
      <w:pPr>
        <w:ind w:left="460" w:right="559"/>
        <w:spacing w:after="0" w:line="238" w:lineRule="auto"/>
        <w:rPr>
          <w:sz w:val="20"/>
          <w:szCs w:val="20"/>
          <w:color w:val="auto"/>
        </w:rPr>
      </w:pPr>
      <w:r>
        <w:rPr>
          <w:rFonts w:ascii="Arial" w:cs="Arial" w:eastAsia="Arial" w:hAnsi="Arial"/>
          <w:sz w:val="18"/>
          <w:szCs w:val="18"/>
          <w:color w:val="auto"/>
        </w:rPr>
        <w:t>The JOBS Act contains provisions that, among other things, relax certain reporting requirements for qualifying public companies. We will qualify as an “emerging growth company” and under the JOBS Act will be allowed to comply with new or revised accounting pronouncements based on the effective date for private (not publicly traded) companies. We are electing to delay the adoption of new or revised accounting standards, and as a result, we may</w:t>
      </w:r>
    </w:p>
    <w:p>
      <w:pPr>
        <w:sectPr>
          <w:pgSz w:w="11900" w:h="16838" w:orient="portrait"/>
          <w:cols w:equalWidth="0" w:num="1">
            <w:col w:w="9019"/>
          </w:cols>
          <w:pgMar w:left="1440" w:top="333" w:right="1440"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67" w:name="page68"/>
    <w:bookmarkEnd w:id="67"/>
    <w:p>
      <w:pPr>
        <w:ind w:left="460" w:right="479"/>
        <w:spacing w:after="0" w:line="238" w:lineRule="auto"/>
        <w:rPr>
          <w:sz w:val="20"/>
          <w:szCs w:val="20"/>
          <w:color w:val="auto"/>
        </w:rPr>
      </w:pPr>
      <w:r>
        <w:rPr>
          <w:rFonts w:ascii="Arial" w:cs="Arial" w:eastAsia="Arial" w:hAnsi="Arial"/>
          <w:sz w:val="18"/>
          <w:szCs w:val="18"/>
          <w:color w:val="auto"/>
        </w:rPr>
        <w:t>not comply with new or revised accounting standards on the relevant dates on which adoption of such standards is required for non-emerging growth companies. As a result, our financial statements may not be comparable to companies that comply with new or revised accounting pronouncements as of public company effective dates.</w:t>
      </w:r>
    </w:p>
    <w:p>
      <w:pPr>
        <w:spacing w:after="0" w:line="124" w:lineRule="exact"/>
        <w:rPr>
          <w:sz w:val="20"/>
          <w:szCs w:val="20"/>
          <w:color w:val="auto"/>
        </w:rPr>
      </w:pPr>
    </w:p>
    <w:p>
      <w:pPr>
        <w:ind w:left="460" w:right="499"/>
        <w:spacing w:after="0" w:line="235" w:lineRule="auto"/>
        <w:rPr>
          <w:sz w:val="20"/>
          <w:szCs w:val="20"/>
          <w:color w:val="auto"/>
        </w:rPr>
      </w:pPr>
      <w:r>
        <w:rPr>
          <w:rFonts w:ascii="Arial" w:cs="Arial" w:eastAsia="Arial" w:hAnsi="Arial"/>
          <w:sz w:val="18"/>
          <w:szCs w:val="18"/>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independent registered public accounting firm’s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independent registered public accounting firm’s report providing additional information about the audit and the financial statements (auditor discussion and analysis), and (iv) 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this offering or until we are no longer an “emerging growth company,” whichever is earlier.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18"/>
          <w:szCs w:val="18"/>
          <w:b w:val="1"/>
          <w:bCs w:val="1"/>
          <w:color w:val="auto"/>
        </w:rPr>
        <w:t>PROPOSED BUSINESS</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General</w:t>
      </w:r>
    </w:p>
    <w:p>
      <w:pPr>
        <w:spacing w:after="0" w:line="166"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We are a newly organized blank check company incorporated in June 2020 as a Delaware corporation for the purpose of effecting a merger, capital stock exchange, asset acquisition, stock purchase, reorganization or similar business combination with one or more businesses, which we refer to throughout this prospectus as our initial business combination. To date our efforts have been limited to organizational activities as well as activities related to this offering. We have not selected any specific business combination target and we have not, nor has anyone on our behalf, engaged in any substantive discussions, directly or indirectly, with any business combination target with respect to an initial business combination with us. While we may pursue an initial business combination target in any business industry or geographic region, we intend to capitalize on our management team’s background and experience to identify promising opportunities in the biotechnology sector.</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Founders</w:t>
      </w:r>
    </w:p>
    <w:p>
      <w:pPr>
        <w:spacing w:after="0" w:line="153"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We were co-founded by Foresite Capital, an investment firm with over $2.6 billion in assets under management as of March 31, 2020 (”Foresite Capital”) and Jim Tananbaum, our President, Chief Executive Officer and a director. Foresite Capital, which is a member of our sponsor and is our affiliate, was established in 2011 by Jim Tananbaum and has been focused on therapeutic companies within the biotechnology sector.</w:t>
      </w:r>
    </w:p>
    <w:p>
      <w:pPr>
        <w:spacing w:after="0" w:line="135" w:lineRule="exact"/>
        <w:rPr>
          <w:sz w:val="20"/>
          <w:szCs w:val="20"/>
          <w:color w:val="auto"/>
        </w:rPr>
      </w:pPr>
    </w:p>
    <w:p>
      <w:pPr>
        <w:ind w:left="460" w:right="479"/>
        <w:spacing w:after="0" w:line="251" w:lineRule="auto"/>
        <w:rPr>
          <w:sz w:val="20"/>
          <w:szCs w:val="20"/>
          <w:color w:val="auto"/>
        </w:rPr>
      </w:pPr>
      <w:r>
        <w:rPr>
          <w:rFonts w:ascii="Arial" w:cs="Arial" w:eastAsia="Arial" w:hAnsi="Arial"/>
          <w:sz w:val="17"/>
          <w:szCs w:val="17"/>
          <w:color w:val="auto"/>
        </w:rPr>
        <w:t>Since its establishment, Foresite Capital has led financings in numerous healthcare companies that have emerged or are emerging as leaders in their respective sectors of the healthcare economy using a systematic process for screening and evaluating potential investments that was designed to quickly identify compelling opportunities and eliminate unattractive opportunities as effectively as possible. We believe Foresite Capital’s combination of traditional investment management techniques with cutting edge tools and methods, its experience in multiple scientific fields (including biology, medicinal chemistry, physiology and pharmacology) and related areas (including reimbursement strategies, regulatory frameworks and processes) and its ability to collect and synthesize significant amounts of information (including academic research, medical journals, medical conference presentations, patent filings, regulatory actions and legal proceedings) and data (including genomic, clinical trial, laboratory, electronic health records, claims/billing, imaging and pathology) will provide us with deep functional expertise and diverse skill sets and contribute insights to each stage of the investment process.</w:t>
      </w:r>
    </w:p>
    <w:p>
      <w:pPr>
        <w:spacing w:after="0" w:line="125" w:lineRule="exact"/>
        <w:rPr>
          <w:sz w:val="20"/>
          <w:szCs w:val="20"/>
          <w:color w:val="auto"/>
        </w:rPr>
      </w:pPr>
    </w:p>
    <w:p>
      <w:pPr>
        <w:ind w:left="460" w:right="499"/>
        <w:spacing w:after="0" w:line="237" w:lineRule="auto"/>
        <w:rPr>
          <w:sz w:val="20"/>
          <w:szCs w:val="20"/>
          <w:color w:val="auto"/>
        </w:rPr>
      </w:pPr>
      <w:r>
        <w:rPr>
          <w:rFonts w:ascii="Arial" w:cs="Arial" w:eastAsia="Arial" w:hAnsi="Arial"/>
          <w:sz w:val="18"/>
          <w:szCs w:val="18"/>
          <w:color w:val="auto"/>
        </w:rPr>
        <w:t>As an affiliate of Foresite Capital, we intend to draw upon its experience and networks, team-based and multidisciplinary investment process and substantial information resources to optimize the sourcing, evaluation, and growth acceleration of prospective target companies. We believe that Foresite Capital’s track record demonstrates the ability of the members of our management team and affiliates to find high quality investment opportunities and achieve liquidity in such investments. Foresite Capital considers investments in hundreds of companies each year and, since inception, has invested in 229 companies in various financing rounds, which can be summarized as follows:</w:t>
      </w:r>
    </w:p>
    <w:p>
      <w:pPr>
        <w:spacing w:after="0" w:line="14" w:lineRule="exact"/>
        <w:rPr>
          <w:sz w:val="20"/>
          <w:szCs w:val="20"/>
          <w:color w:val="auto"/>
        </w:rPr>
      </w:pPr>
    </w:p>
    <w:p>
      <w:pPr>
        <w:ind w:left="1040" w:hanging="262"/>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179 biotechnology companies;</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30 crossover investments;</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28 IPOs following crossover investments; and</w:t>
      </w:r>
    </w:p>
    <w:p>
      <w:pPr>
        <w:spacing w:after="0" w:line="22" w:lineRule="exact"/>
        <w:rPr>
          <w:rFonts w:ascii="Arial" w:cs="Arial" w:eastAsia="Arial" w:hAnsi="Arial"/>
          <w:sz w:val="18"/>
          <w:szCs w:val="18"/>
          <w:color w:val="auto"/>
        </w:rPr>
      </w:pPr>
    </w:p>
    <w:p>
      <w:pPr>
        <w:ind w:left="1040" w:hanging="262"/>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95 IPOs.</w:t>
      </w:r>
    </w:p>
    <w:p>
      <w:pPr>
        <w:spacing w:after="0" w:line="144" w:lineRule="exact"/>
        <w:rPr>
          <w:sz w:val="20"/>
          <w:szCs w:val="20"/>
          <w:color w:val="auto"/>
        </w:rPr>
      </w:pPr>
    </w:p>
    <w:p>
      <w:pPr>
        <w:ind w:left="460" w:right="719"/>
        <w:spacing w:after="0"/>
        <w:rPr>
          <w:sz w:val="20"/>
          <w:szCs w:val="20"/>
          <w:color w:val="auto"/>
        </w:rPr>
      </w:pPr>
      <w:r>
        <w:rPr>
          <w:rFonts w:ascii="Arial" w:cs="Arial" w:eastAsia="Arial" w:hAnsi="Arial"/>
          <w:sz w:val="18"/>
          <w:szCs w:val="18"/>
          <w:color w:val="auto"/>
        </w:rPr>
        <w:t>Representative investments by Foresite include Turning Point Therapeutics, Kinnate Biopharma, Keros Therapeutics, Fulcrum Therapeutics, 10X Genomics, Oric Pharmaceuticals, Generation Bio, Vaxcyte, Relay Therapeutics, Alx Oncology Holdings and Nurix Therapeutics.</w:t>
      </w:r>
    </w:p>
    <w:p>
      <w:pPr>
        <w:spacing w:after="0" w:line="135" w:lineRule="exact"/>
        <w:rPr>
          <w:sz w:val="20"/>
          <w:szCs w:val="20"/>
          <w:color w:val="auto"/>
        </w:rPr>
      </w:pPr>
    </w:p>
    <w:p>
      <w:pPr>
        <w:ind w:left="460" w:right="1039"/>
        <w:spacing w:after="0" w:line="246" w:lineRule="auto"/>
        <w:rPr>
          <w:sz w:val="20"/>
          <w:szCs w:val="20"/>
          <w:color w:val="auto"/>
        </w:rPr>
      </w:pPr>
      <w:r>
        <w:rPr>
          <w:rFonts w:ascii="Arial" w:cs="Arial" w:eastAsia="Arial" w:hAnsi="Arial"/>
          <w:sz w:val="18"/>
          <w:szCs w:val="18"/>
          <w:color w:val="auto"/>
        </w:rPr>
        <w:t>We believe that biotechnology companies at the correct stage of development will see material benefits from being publicly traded.</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Investment Process and Competitive Advantages</w:t>
      </w:r>
    </w:p>
    <w:p>
      <w:pPr>
        <w:spacing w:after="0" w:line="153" w:lineRule="exact"/>
        <w:rPr>
          <w:sz w:val="20"/>
          <w:szCs w:val="20"/>
          <w:color w:val="auto"/>
        </w:rPr>
      </w:pPr>
    </w:p>
    <w:p>
      <w:pPr>
        <w:jc w:val="both"/>
        <w:ind w:left="460" w:right="699"/>
        <w:spacing w:after="0" w:line="238" w:lineRule="auto"/>
        <w:rPr>
          <w:sz w:val="20"/>
          <w:szCs w:val="20"/>
          <w:color w:val="auto"/>
        </w:rPr>
      </w:pPr>
      <w:r>
        <w:rPr>
          <w:rFonts w:ascii="Arial" w:cs="Arial" w:eastAsia="Arial" w:hAnsi="Arial"/>
          <w:sz w:val="18"/>
          <w:szCs w:val="18"/>
          <w:color w:val="auto"/>
        </w:rPr>
        <w:t>Since its inception, Foresite Capital has been developing what we believe to be a state-of-the-art information management system and analytical framework designed to capture, store and surface critical information that impacts target markets and companies when it is most useful. In addition to capturing and synthesizing external sources of information, Foresite Capital seeks to capture every material interaction with prospective and existing</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69" w:name="page70"/>
    <w:bookmarkEnd w:id="69"/>
    <w:p>
      <w:pPr>
        <w:ind w:left="460" w:right="579"/>
        <w:spacing w:after="0" w:line="237" w:lineRule="auto"/>
        <w:rPr>
          <w:sz w:val="20"/>
          <w:szCs w:val="20"/>
          <w:color w:val="auto"/>
        </w:rPr>
      </w:pPr>
      <w:r>
        <w:rPr>
          <w:rFonts w:ascii="Arial" w:cs="Arial" w:eastAsia="Arial" w:hAnsi="Arial"/>
          <w:sz w:val="18"/>
          <w:szCs w:val="18"/>
          <w:color w:val="auto"/>
        </w:rPr>
        <w:t>portfolio companies. Members of Foresite Capital’s investment team receive structured, detailed notes and updates (such as refined product development timelines and revised probabilities of technical success) from these interactions, which also flow to the firm’s detailed financial and investment models. We believe that access to Foresite Capital’s internal database of every company that it has interacted with since inception will provide a competitive advantage to identifying opportunities for the initial business combination.</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Management Team</w:t>
      </w:r>
    </w:p>
    <w:p>
      <w:pPr>
        <w:spacing w:after="0" w:line="153" w:lineRule="exact"/>
        <w:rPr>
          <w:sz w:val="20"/>
          <w:szCs w:val="20"/>
          <w:color w:val="auto"/>
        </w:rPr>
      </w:pPr>
    </w:p>
    <w:p>
      <w:pPr>
        <w:ind w:left="460" w:right="559"/>
        <w:spacing w:after="0" w:line="257" w:lineRule="auto"/>
        <w:rPr>
          <w:sz w:val="20"/>
          <w:szCs w:val="20"/>
          <w:color w:val="auto"/>
        </w:rPr>
      </w:pPr>
      <w:r>
        <w:rPr>
          <w:rFonts w:ascii="Arial" w:cs="Arial" w:eastAsia="Arial" w:hAnsi="Arial"/>
          <w:sz w:val="17"/>
          <w:szCs w:val="17"/>
          <w:color w:val="auto"/>
        </w:rPr>
        <w:t>Our management team includes healthcare industry veterans who have started, built and/or financed multiple companies with revenue in excess of $1 billion, managed clinical development divisions, designed and managed large-scale data science and machine learning projects, and worked in healthcare venture capital, private equity, hedge funds, investment banking and consulting.</w:t>
      </w:r>
    </w:p>
    <w:p>
      <w:pPr>
        <w:spacing w:after="0" w:line="99" w:lineRule="exact"/>
        <w:rPr>
          <w:sz w:val="20"/>
          <w:szCs w:val="20"/>
          <w:color w:val="auto"/>
        </w:rPr>
      </w:pPr>
    </w:p>
    <w:p>
      <w:pPr>
        <w:ind w:left="460" w:right="459"/>
        <w:spacing w:after="0" w:line="236" w:lineRule="auto"/>
        <w:rPr>
          <w:sz w:val="20"/>
          <w:szCs w:val="20"/>
          <w:color w:val="auto"/>
        </w:rPr>
      </w:pPr>
      <w:r>
        <w:rPr>
          <w:rFonts w:ascii="Arial" w:cs="Arial" w:eastAsia="Arial" w:hAnsi="Arial"/>
          <w:sz w:val="18"/>
          <w:szCs w:val="18"/>
          <w:b w:val="1"/>
          <w:bCs w:val="1"/>
          <w:color w:val="auto"/>
        </w:rPr>
        <w:t>Dr. Jim Tananbaum</w:t>
      </w:r>
      <w:r>
        <w:rPr>
          <w:rFonts w:ascii="Arial" w:cs="Arial" w:eastAsia="Arial" w:hAnsi="Arial"/>
          <w:sz w:val="18"/>
          <w:szCs w:val="18"/>
          <w:color w:val="auto"/>
        </w:rPr>
        <w:t>, President, Chief Executive Officer and Director. Dr. Jim Tananbaum has been</w:t>
      </w:r>
      <w:r>
        <w:rPr>
          <w:rFonts w:ascii="Arial" w:cs="Arial" w:eastAsia="Arial" w:hAnsi="Arial"/>
          <w:sz w:val="18"/>
          <w:szCs w:val="18"/>
          <w:b w:val="1"/>
          <w:bCs w:val="1"/>
          <w:color w:val="auto"/>
        </w:rPr>
        <w:t xml:space="preserve"> </w:t>
      </w:r>
      <w:r>
        <w:rPr>
          <w:rFonts w:ascii="Arial" w:cs="Arial" w:eastAsia="Arial" w:hAnsi="Arial"/>
          <w:sz w:val="18"/>
          <w:szCs w:val="18"/>
          <w:color w:val="auto"/>
        </w:rPr>
        <w:t>our President, Chief Executive Officer and a director since June 2020. He founded Foresite Capital in 2011 and has overseen the development of Foresite Capital’s team and systems. While at Harvard Business School in 1991, Dr. Tananbaum co-founded his first company, GelTex Pharmaceuticals (Nasdaq: GENZ). GelTex ultimately brought two drugs to market, and the company was acquired by Genzyme Corporation in 2000 for $1.4 billion. From 1991 to 1994, Dr. Tananbaum worked at Merck in marketing and had product management responsibilities for Prilosec. In 1994, Dr. Tananbaum decided to leave Merck and join Sierra Ventures, to start Sierra Ventures’ healthcare services investment practice. At Sierra Ventures, Dr. Tananbaum was responsible for leading the firm’s investments in Amerigroup (now Anthem Medicaid division) and Healtheon/WebMD, among others. In 1997, he cofounded his second company, Theravance, Inc. (initially called “Advanced Medicine”). As the founding CEO of Theravance, Dr. Tananbaum hired the company’s first approximately 175 employees and raised over $350 million of private capital. Theravance has since split into two companies, one of which is now part of GlaxoSmithKline’s respiratory franchise through a joint venture, Innoviva (Nasdaq: INVA), and the other, Theravance BioPharma, Inc. (Nasdaq: TBPH). Together, they have a combined market capitalization of approximately $3 billion as of July 2020. In 2000, Dr. Tananbaum co-founded Prospect Ventures II (and later III), which raised and deployed approximately $1 billion. During his time at Prospect, Dr. Tananbaum led numerous financings including Jazz Pharmaceuticals and Amira Pharmaceauticals. In 2010, Dr. Tananbaum decided to leave Prospect Ventures to create Foresite Capital. He sought to construct, from the ground up, an investment platform designed and optimized to invest specifically and exclusively in the modern health economy, based on his learnings and observations as a healthcare investor and entrepreneur over the preceding two decades. Dr. Tananbaum earned a BS and BSEE in applied math and electrical engineering/computer science from Yale, an MD from the Harvard-MIT HST program and an MBA from Harvard.</w:t>
      </w:r>
    </w:p>
    <w:p>
      <w:pPr>
        <w:spacing w:after="0" w:line="123"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b w:val="1"/>
          <w:bCs w:val="1"/>
          <w:color w:val="auto"/>
        </w:rPr>
        <w:t>Dennis Ryan</w:t>
      </w:r>
      <w:r>
        <w:rPr>
          <w:rFonts w:ascii="Arial" w:cs="Arial" w:eastAsia="Arial" w:hAnsi="Arial"/>
          <w:sz w:val="18"/>
          <w:szCs w:val="18"/>
          <w:color w:val="auto"/>
        </w:rPr>
        <w:t>, Chief Financial Officer. Dennis Ryan has been our Chief Financial Officer since June</w:t>
      </w:r>
      <w:r>
        <w:rPr>
          <w:rFonts w:ascii="Arial" w:cs="Arial" w:eastAsia="Arial" w:hAnsi="Arial"/>
          <w:sz w:val="18"/>
          <w:szCs w:val="18"/>
          <w:b w:val="1"/>
          <w:bCs w:val="1"/>
          <w:color w:val="auto"/>
        </w:rPr>
        <w:t xml:space="preserve"> </w:t>
      </w:r>
      <w:r>
        <w:rPr>
          <w:rFonts w:ascii="Arial" w:cs="Arial" w:eastAsia="Arial" w:hAnsi="Arial"/>
          <w:sz w:val="18"/>
          <w:szCs w:val="18"/>
          <w:color w:val="auto"/>
        </w:rPr>
        <w:t>2020. Since 2011, Mr. Ryan has also led the Operations Group at Foresite Capital as Chief Financial Officer and Managing Director. Mr. Ryan has over thirty years of experience as a financial executive in the venture capital, private equity, investment and real estate industries. Mr. Ryan began his career with the international accounting firm KPMG (Peat, Marwick &amp; Mitchell). As a licensed certified public accountant (CPA - inactive) in California, Mr. Ryan has served as chief financial officer and senior executive in firms ranging from a publicly owned real estate investment trust (REIT), Western Properties Trust, to a sponsor of a series of venture debt funds, Lighthouse Capital Partners, to a start-up of investment funds, Berkeley Advisors Group. In his role as chief financial officer with these firms, his responsibilities included debt and equity financing, investment structuring, financial reporting, portfolio management and strategic planning. Mr. Ryan currently serves as Board President of Whistlestop, a non-profit providing transportation and nutrition services to seniors. He received a B.A. from University of California, Berkeley in Economics, and an M.B.A from the University of Santa Clara.</w:t>
      </w:r>
    </w:p>
    <w:p>
      <w:pPr>
        <w:spacing w:after="0" w:line="108" w:lineRule="exact"/>
        <w:rPr>
          <w:sz w:val="20"/>
          <w:szCs w:val="20"/>
          <w:color w:val="auto"/>
        </w:rPr>
      </w:pPr>
    </w:p>
    <w:p>
      <w:pPr>
        <w:jc w:val="both"/>
        <w:ind w:left="460" w:right="599"/>
        <w:spacing w:after="0" w:line="257" w:lineRule="auto"/>
        <w:rPr>
          <w:sz w:val="20"/>
          <w:szCs w:val="20"/>
          <w:color w:val="auto"/>
        </w:rPr>
      </w:pPr>
      <w:r>
        <w:rPr>
          <w:rFonts w:ascii="Arial" w:cs="Arial" w:eastAsia="Arial" w:hAnsi="Arial"/>
          <w:sz w:val="17"/>
          <w:szCs w:val="17"/>
          <w:b w:val="1"/>
          <w:bCs w:val="1"/>
          <w:color w:val="auto"/>
        </w:rPr>
        <w:t>Dr. Michael Rome</w:t>
      </w:r>
      <w:r>
        <w:rPr>
          <w:rFonts w:ascii="Arial" w:cs="Arial" w:eastAsia="Arial" w:hAnsi="Arial"/>
          <w:sz w:val="17"/>
          <w:szCs w:val="17"/>
          <w:color w:val="auto"/>
        </w:rPr>
        <w:t>, Vice President and Director. Dr. Michael Rome has been our Vice President and</w:t>
      </w:r>
      <w:r>
        <w:rPr>
          <w:rFonts w:ascii="Arial" w:cs="Arial" w:eastAsia="Arial" w:hAnsi="Arial"/>
          <w:sz w:val="17"/>
          <w:szCs w:val="17"/>
          <w:b w:val="1"/>
          <w:bCs w:val="1"/>
          <w:color w:val="auto"/>
        </w:rPr>
        <w:t xml:space="preserve"> </w:t>
      </w:r>
      <w:r>
        <w:rPr>
          <w:rFonts w:ascii="Arial" w:cs="Arial" w:eastAsia="Arial" w:hAnsi="Arial"/>
          <w:sz w:val="17"/>
          <w:szCs w:val="17"/>
          <w:color w:val="auto"/>
        </w:rPr>
        <w:t>a director on our board of directors since June 2020, and is a Managing Director at Foresite Capital. He joined Foresite Capital in 2016 and is active in the firm’s public and private market investments.</w:t>
      </w:r>
    </w:p>
    <w:p>
      <w:pPr>
        <w:spacing w:after="0" w:line="2" w:lineRule="exact"/>
        <w:rPr>
          <w:sz w:val="20"/>
          <w:szCs w:val="20"/>
          <w:color w:val="auto"/>
        </w:rPr>
      </w:pPr>
    </w:p>
    <w:p>
      <w:pPr>
        <w:ind w:left="460" w:right="519"/>
        <w:spacing w:after="0" w:line="251" w:lineRule="auto"/>
        <w:rPr>
          <w:sz w:val="20"/>
          <w:szCs w:val="20"/>
          <w:color w:val="auto"/>
        </w:rPr>
      </w:pPr>
      <w:r>
        <w:rPr>
          <w:rFonts w:ascii="Arial" w:cs="Arial" w:eastAsia="Arial" w:hAnsi="Arial"/>
          <w:sz w:val="17"/>
          <w:szCs w:val="17"/>
          <w:color w:val="auto"/>
        </w:rPr>
        <w:t>Dr. Rome has experience investing across diverse therapeutic areas and has board roles at Kinnate Biopharma, Phavaris B.V., and board observer roles (past and present) at Turning Point Therapeutics, Arcus Biosciences, Maze Therapeutics, and PACT Pharma. Prior to Foresite Capital from 2015 to 2016, he was an equity analyst at DAFNA Capital Management, a long-short healthcare hedge fund, where he analyzed fund positions and formulated investment ideas in small/midcap biotechnology companies. From 2014 to 2015, Dr. Rome worked in early-stage drug development for an academic start-up out of the California NanoSystems Institute at UCLA. He received his Ph.D. in Biochemistry from Caltech as an NSF graduate research fellow, and his B.S. in Molecular, Cell and Developmental Biology from UCLA. He has more than 12 years of experience as a research scientist and has authored numerous publications in top-tier biomedical research journals.</w:t>
      </w:r>
    </w:p>
    <w:p>
      <w:pPr>
        <w:sectPr>
          <w:pgSz w:w="11900" w:h="16838" w:orient="portrait"/>
          <w:cols w:equalWidth="0" w:num="1">
            <w:col w:w="9019"/>
          </w:cols>
          <w:pgMar w:left="1440" w:top="287" w:right="1440"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70" w:name="page71"/>
    <w:bookmarkEnd w:id="70"/>
    <w:p>
      <w:pPr>
        <w:ind w:left="460" w:right="499"/>
        <w:spacing w:after="0" w:line="237" w:lineRule="auto"/>
        <w:rPr>
          <w:sz w:val="20"/>
          <w:szCs w:val="20"/>
          <w:color w:val="auto"/>
        </w:rPr>
      </w:pPr>
      <w:r>
        <w:rPr>
          <w:rFonts w:ascii="Arial" w:cs="Arial" w:eastAsia="Arial" w:hAnsi="Arial"/>
          <w:sz w:val="18"/>
          <w:szCs w:val="18"/>
          <w:b w:val="1"/>
          <w:bCs w:val="1"/>
          <w:color w:val="auto"/>
        </w:rPr>
        <w:t>Dr. Vikram Bajaj</w:t>
      </w:r>
      <w:r>
        <w:rPr>
          <w:rFonts w:ascii="Arial" w:cs="Arial" w:eastAsia="Arial" w:hAnsi="Arial"/>
          <w:sz w:val="18"/>
          <w:szCs w:val="18"/>
          <w:color w:val="auto"/>
        </w:rPr>
        <w:t>, Director. Dr. Vikram Bajaj has been a director on our board of directors since June</w:t>
      </w:r>
      <w:r>
        <w:rPr>
          <w:rFonts w:ascii="Arial" w:cs="Arial" w:eastAsia="Arial" w:hAnsi="Arial"/>
          <w:sz w:val="18"/>
          <w:szCs w:val="18"/>
          <w:b w:val="1"/>
          <w:bCs w:val="1"/>
          <w:color w:val="auto"/>
        </w:rPr>
        <w:t xml:space="preserve"> </w:t>
      </w:r>
      <w:r>
        <w:rPr>
          <w:rFonts w:ascii="Arial" w:cs="Arial" w:eastAsia="Arial" w:hAnsi="Arial"/>
          <w:sz w:val="18"/>
          <w:szCs w:val="18"/>
          <w:color w:val="auto"/>
        </w:rPr>
        <w:t>2020, and is a Managing Director at Foresite Capital, evaluating and pursuing investments at the intersection of technology and life sciences, including personalized and precision healthcare. Prior to joining Foresite Capital, from 2016 to 2017, Dr. Bajaj was the Chief Scientific Officer of GRAIL, a life sciences company working to detect cancer early when it can be cured, and served on its Scientific Advisory Board. He is also the Co-Founder and former Chief Scientific officer of Verily (formerly Google Life Sciences) from 2013 to 2016, and served as Chair of its Scientific Advisory Board. A former academic principal investigator, Dr. Bajaj retains appointments as Associate Professor (Consulting) at the Stanford School of Medicine, and as an Affiliate Scientist of the Lawrence Berkeley National Laboratory and the University of California, Berkeley, for which he currently serves on the advisory board of the College of Chemistry. He is also currently an advisor to the Department of Defense through the Defense Science Board’s Task Force on Biology. Dr. Bajaj received a Ph.D. in physical chemistry from the Massachusetts Institute of Technology. His scientific and engineering awards include the Anatole Abragam Prize (2012), the R&amp;D 100 Award for the most promising commercialized technologies (2011 and 2013), and the Department of Energy’s LBL Innovation Grant (2013).</w:t>
      </w:r>
    </w:p>
    <w:p>
      <w:pPr>
        <w:spacing w:after="0" w:line="105"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b w:val="1"/>
          <w:bCs w:val="1"/>
          <w:color w:val="auto"/>
        </w:rPr>
        <w:t>Robert Carey</w:t>
      </w:r>
      <w:r>
        <w:rPr>
          <w:rFonts w:ascii="Arial" w:cs="Arial" w:eastAsia="Arial" w:hAnsi="Arial"/>
          <w:sz w:val="18"/>
          <w:szCs w:val="18"/>
          <w:color w:val="auto"/>
        </w:rPr>
        <w:t>, Director Nominee. Mr. Carey served as Executive Vice President and Chief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at Horizon Therapeutics plc (Nasdaq: HZNP) from March 2014 until October 2019, during which time Horizon deployed more than $3 billion to acquire or license eight commercial products and three products in development, including TEPEZZA™ and KRYSTEXXA®, resulting in Horizon’s net sales increasing from $ 74 million in 2013 to $1.2 billion in 2018. Prior to Horizon, Mr. Carey was Managing Director and Head of the Life Sciences Investment Banking Group at JMP Securities International, Inc. from 2003 until 2014 and Managing Director in the healthcare groups at Dresdner Kleinwort Wasserstein, from 2001 until 2003, and Vector Securities, from 1988 until 2001. Mr. Carey currently serves on the board of Sangamo Therapeutics, Inc. (Nasdaq: SGMO) and Beyond Air, Inc. (Nasdaq: XAIR). Mr. Carey also has held roles at Shearson Lehman Hutton and Ernst &amp; Whinney. Mr. Carey received his bachelor’s degree from the University of Notre Dame.</w:t>
      </w:r>
    </w:p>
    <w:p>
      <w:pPr>
        <w:spacing w:after="0" w:line="118" w:lineRule="exact"/>
        <w:rPr>
          <w:sz w:val="20"/>
          <w:szCs w:val="20"/>
          <w:color w:val="auto"/>
        </w:rPr>
      </w:pPr>
    </w:p>
    <w:p>
      <w:pPr>
        <w:ind w:left="460" w:right="499"/>
        <w:spacing w:after="0" w:line="257" w:lineRule="auto"/>
        <w:rPr>
          <w:sz w:val="20"/>
          <w:szCs w:val="20"/>
          <w:color w:val="auto"/>
        </w:rPr>
      </w:pPr>
      <w:r>
        <w:rPr>
          <w:rFonts w:ascii="Arial" w:cs="Arial" w:eastAsia="Arial" w:hAnsi="Arial"/>
          <w:sz w:val="17"/>
          <w:szCs w:val="17"/>
          <w:b w:val="1"/>
          <w:bCs w:val="1"/>
          <w:color w:val="auto"/>
        </w:rPr>
        <w:t>Dan Dubin</w:t>
      </w:r>
      <w:r>
        <w:rPr>
          <w:rFonts w:ascii="Arial" w:cs="Arial" w:eastAsia="Arial" w:hAnsi="Arial"/>
          <w:sz w:val="17"/>
          <w:szCs w:val="17"/>
          <w:color w:val="auto"/>
        </w:rPr>
        <w:t>, Director Nominee. Dr. Dubin is also the Vice Chairman and Head of Biopharma</w:t>
      </w:r>
      <w:r>
        <w:rPr>
          <w:rFonts w:ascii="Arial" w:cs="Arial" w:eastAsia="Arial" w:hAnsi="Arial"/>
          <w:sz w:val="17"/>
          <w:szCs w:val="17"/>
          <w:b w:val="1"/>
          <w:bCs w:val="1"/>
          <w:color w:val="auto"/>
        </w:rPr>
        <w:t xml:space="preserve"> </w:t>
      </w:r>
      <w:r>
        <w:rPr>
          <w:rFonts w:ascii="Arial" w:cs="Arial" w:eastAsia="Arial" w:hAnsi="Arial"/>
          <w:sz w:val="17"/>
          <w:szCs w:val="17"/>
          <w:color w:val="auto"/>
        </w:rPr>
        <w:t>Investment Banking at SVB Leerink, an investment bank specializing in healthcare and life sciences, a role he has held since January 2006. Prior to joining SVB Leerink in 1999, Dr. Dubin co-founded MEDACorp, a provider of insights on the commercial potential of biotherapeutics and medical devices to healthcare companies and investors. He also serves as a director of Olivo Laboratories LLC, a dermatological biotechnology company and sits on the SVB Leerink’s executive committee. Dr. Dubin holds a B.A. from Dartmouth College in Chemistry and an M.D. from Harvard Medical School.</w:t>
      </w:r>
    </w:p>
    <w:p>
      <w:pPr>
        <w:spacing w:after="0" w:line="101"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b w:val="1"/>
          <w:bCs w:val="1"/>
          <w:color w:val="auto"/>
        </w:rPr>
        <w:t>Deepa Pakianathan</w:t>
      </w:r>
      <w:r>
        <w:rPr>
          <w:rFonts w:ascii="Arial" w:cs="Arial" w:eastAsia="Arial" w:hAnsi="Arial"/>
          <w:sz w:val="18"/>
          <w:szCs w:val="18"/>
          <w:color w:val="auto"/>
        </w:rPr>
        <w:t>, Director Nominee. Dr. Pakianathan is a Managing Member of Delphi Ventures,</w:t>
      </w:r>
      <w:r>
        <w:rPr>
          <w:rFonts w:ascii="Arial" w:cs="Arial" w:eastAsia="Arial" w:hAnsi="Arial"/>
          <w:sz w:val="18"/>
          <w:szCs w:val="18"/>
          <w:b w:val="1"/>
          <w:bCs w:val="1"/>
          <w:color w:val="auto"/>
        </w:rPr>
        <w:t xml:space="preserve"> </w:t>
      </w:r>
      <w:r>
        <w:rPr>
          <w:rFonts w:ascii="Arial" w:cs="Arial" w:eastAsia="Arial" w:hAnsi="Arial"/>
          <w:sz w:val="18"/>
          <w:szCs w:val="18"/>
          <w:color w:val="auto"/>
        </w:rPr>
        <w:t>which she joined in 2001 to build and lead the firm’s biotechnology investment practice. Prior to joining Delphi, Deepa was an M&amp;A and corporate finance banker in the healthcare group at J.P. Morgan. Prior to that, she was a biotechnology research analyst at Genesis Merchant Group and a postdoctoral scientist in the Immunology Department at Genentech Corporation. Dr. Pakianathan currently serves on the board of Calithera Biosciences, Inc. (Nasdaq: CALA) where she is lead director, as well as the boards of Karyopharm Therapeutics (Nasdaq: KPTI), Mereo BioPharma Group plc (Nasdaq: MREO) and Theravance Biopharma (Nasdaq: TBPH). She serves as Executive Vice-chair and Treasurer on the San Francisco Conservatory of Music’s Board of Trustees. Deepa previously served on the boards of Alder Biopharma (Nasdaq: ALDR), Relypsa (acquired by Vifor), Proteolix (acquired by Onyx Pharmaceuticals), Ilypsa (acquired by Amgen), Forsight V5 (acquired by Allergan), Alexa Pharmaceuticals (acquired by Ferrer), Salmedix (acquired by Cephalon) and led an investment in Seattle Genetics. She was also on the BIO and NVCA boards. Deepa received her Ph.D. and MS from Wake Forest University and her MSc and BSc from the University of Bombay.</w:t>
      </w:r>
    </w:p>
    <w:p>
      <w:pPr>
        <w:spacing w:after="0" w:line="130" w:lineRule="exact"/>
        <w:rPr>
          <w:sz w:val="20"/>
          <w:szCs w:val="20"/>
          <w:color w:val="auto"/>
        </w:rPr>
      </w:pPr>
    </w:p>
    <w:p>
      <w:pPr>
        <w:ind w:left="460" w:right="599"/>
        <w:spacing w:after="0" w:line="253" w:lineRule="auto"/>
        <w:rPr>
          <w:sz w:val="20"/>
          <w:szCs w:val="20"/>
          <w:color w:val="auto"/>
        </w:rPr>
      </w:pPr>
      <w:r>
        <w:rPr>
          <w:rFonts w:ascii="Arial" w:cs="Arial" w:eastAsia="Arial" w:hAnsi="Arial"/>
          <w:sz w:val="17"/>
          <w:szCs w:val="17"/>
          <w:color w:val="auto"/>
        </w:rPr>
        <w:t>Our management team will also be supported by certain of Foresite Capital’s team of investment professionals, who will also serve as our non-executive officers and will assist us in our efforts to consummate our initial business combination, including Dr. Dorothy Margolskee, our Senior Advisor and a Managing Director of Foresite Capital. Dr. Margolskee joined Foresite Capital in 2012 and has overseen the development of Foresite Capital’s Clinical &amp; Research Analysis team. Dr. Margolskee has worked with Dr. Tananbaum for the last 17.5 years, previously at Prospect Ventures as a managing director in charge of research from 2001 to 2011, and now at Foresite Capital.</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1" w:name="page72"/>
    <w:bookmarkEnd w:id="71"/>
    <w:p>
      <w:pPr>
        <w:ind w:left="460" w:right="559"/>
        <w:spacing w:after="0" w:line="250" w:lineRule="auto"/>
        <w:rPr>
          <w:sz w:val="20"/>
          <w:szCs w:val="20"/>
          <w:color w:val="auto"/>
        </w:rPr>
      </w:pPr>
      <w:r>
        <w:rPr>
          <w:rFonts w:ascii="Arial" w:cs="Arial" w:eastAsia="Arial" w:hAnsi="Arial"/>
          <w:sz w:val="17"/>
          <w:szCs w:val="17"/>
          <w:color w:val="auto"/>
        </w:rPr>
        <w:t>In this capacity, she developed the Foresite Capital investment technical review process, rigorously analyzing biotechnology company portfolios on the basis of scientific validation, clinical efficacy and safety, manufacturing readiness and FDA regulatory risk. Dr. Margolskee had 15 years of drug development experience at Merck Research Labs from 1987 to 2001, ultimately becoming a senior vice president with responsibility for a wide variety of clinical development programs and project planning. In particular, she was deeply involved in the design and execution of several vaccine programs, including Gardisil, RotaTeq and Zostavax. Dr. Margolskee received an MRL Divisional Scientific Award in 1998 for developing one of Merck’s most successful drugs, Singulair. In addition, she led the team that designed and implemented the advanced AIDS program during the development of Crixivan, one of the first HIV protease inhibitors that revolutionized the treatment of HIV infection. Prior to joining Merck, Dr. Margolskee received an M.D. from Johns Hopkins Medical School where she was elected to Alpha Omega Alpha and a B.S. from Harvard University where she graduated summa cum laude. Dr. Margolskee is boarded in both Internal Medicine and Pulmonary, and completed her residency at the Johns Hopkins Hospital and fellowship training at UCSF.</w:t>
      </w:r>
    </w:p>
    <w:p>
      <w:pPr>
        <w:spacing w:after="0" w:line="119"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Past performance of our management team does not guarantee either (i) success with respect to any business combination we may consummate or (ii) that we will be able to identify a suitable candidate for our initial business combination. You should not rely on the historical performance record of our management team or their respective affiliates or any related investment’s performance as indicative of our future performance of an investment in the company or the returns the company will, or is likely to, generate going forward. None of the members of our management team has any experience with blank check companies or special purpose acquisition companies. For more information on the experience and background of our management team, see the section entitled “Management.”</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Industry Opportunity</w:t>
      </w:r>
    </w:p>
    <w:p>
      <w:pPr>
        <w:spacing w:after="0" w:line="166" w:lineRule="exact"/>
        <w:rPr>
          <w:sz w:val="20"/>
          <w:szCs w:val="20"/>
          <w:color w:val="auto"/>
        </w:rPr>
      </w:pPr>
    </w:p>
    <w:p>
      <w:pPr>
        <w:ind w:left="460" w:right="619"/>
        <w:spacing w:after="0" w:line="235" w:lineRule="auto"/>
        <w:rPr>
          <w:sz w:val="20"/>
          <w:szCs w:val="20"/>
          <w:color w:val="auto"/>
        </w:rPr>
      </w:pPr>
      <w:r>
        <w:rPr>
          <w:rFonts w:ascii="Arial" w:cs="Arial" w:eastAsia="Arial" w:hAnsi="Arial"/>
          <w:sz w:val="18"/>
          <w:szCs w:val="18"/>
          <w:color w:val="auto"/>
        </w:rPr>
        <w:t>Our primary focus will be on the healthcare industry in the United States. We believe the healthcare industry, particularly the biotechnology sector, represents an enormous and growing target market with a large number of potential target acquisition opportunities. Overall, total U.S. national health expenditures currently exceed $3.6 trillion according to the Centers for Medicare and Medicaid Services, which also estimates that total healthcare spending will approach 20% of total U.S. Gross Domestic Product in 2028. In addition to these industry-wide dynamics in healthcare, specifically within biotechnology sector, the past decade has seen a shift in the research and development strategy of the Big Pharma companies to external innovation through licensing partnerships and strategic acquisitions, resulting in 1,195 M&amp;A transactions totaling $801 billion from 2015 to 2019 according to Evaluate Pharma, a data-driven pharma, biotechnology and medtech consultant. Furthermore, there has been a gradual increase in US Food and Drugs Administration (FDA) approval of new drugs, from 163 approvals between 2010 and 2014 to 220 approvals between 2015 and 2019. The global biotechnology market is expecting to grow almost 2.9% to over $294 billion in revenue in 2020, according to IBISWorld, and total sales of prescription drugs worldwide were $843 billion in 2019 according to Evaluate Pharma. We believe that these trends present a favorable opportunity for investors in preclinical to pre-commercial companies within the biotechnology sector, which is where Foresite Capital has largely focused since inception.</w:t>
      </w:r>
    </w:p>
    <w:p>
      <w:pPr>
        <w:spacing w:after="0" w:line="146" w:lineRule="exact"/>
        <w:rPr>
          <w:sz w:val="20"/>
          <w:szCs w:val="20"/>
          <w:color w:val="auto"/>
        </w:rPr>
      </w:pPr>
    </w:p>
    <w:p>
      <w:pPr>
        <w:ind w:left="460" w:right="559"/>
        <w:spacing w:after="0" w:line="236" w:lineRule="auto"/>
        <w:rPr>
          <w:sz w:val="20"/>
          <w:szCs w:val="20"/>
          <w:color w:val="auto"/>
        </w:rPr>
      </w:pPr>
      <w:r>
        <w:rPr>
          <w:rFonts w:ascii="Arial" w:cs="Arial" w:eastAsia="Arial" w:hAnsi="Arial"/>
          <w:sz w:val="18"/>
          <w:szCs w:val="18"/>
          <w:color w:val="auto"/>
        </w:rPr>
        <w:t>We believe that there are major benefits for privately-held, pre-commercial stage biotechnology companies to become publicly-traded, including greater access to capital, broader investor base, more liquid securities, and increased market awareness. An acquisition by a special purpose acquisition company with a management team that is well-known and respected by biotechnology company founders, their investors, and management teams, we believe, will become a preferred route for a high quality private healthcare company to access the public markets. Furthermore, we believe that market volatility caused by the COVID-19 pandemic is likely to make such an on-ramp to the public markets even more attractive to private companies, as it promises more certainty about deal completion, a more efficient path to the public markets, and a defined investor base.</w:t>
      </w:r>
    </w:p>
    <w:p>
      <w:pPr>
        <w:spacing w:after="0" w:line="126"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In addition, we believe that the current state of the biotechnology IPO market may enhance our ability to locate an attractive target. According to IBISWorld, in 2019, there were estimated to be approximately 9,500 biotechnology companies globally, only a fraction of which are publicly traded. These privately held biotechnology companies represent an enormous investment opportunity, and recent trends in equity capital markets continue to demonstrate their desire to access public capital. Since 2015, approximately $170 billion has been raised in the public equity markets by biotechnology companies, of which approximately $30 billion has been raised through IPOs by approximately 250 biotechnology companies.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72" w:name="page73"/>
    <w:bookmarkEnd w:id="72"/>
    <w:p>
      <w:pPr>
        <w:ind w:left="460" w:right="599"/>
        <w:spacing w:after="0" w:line="255" w:lineRule="auto"/>
        <w:rPr>
          <w:sz w:val="20"/>
          <w:szCs w:val="20"/>
          <w:color w:val="auto"/>
        </w:rPr>
      </w:pPr>
      <w:r>
        <w:rPr>
          <w:rFonts w:ascii="Arial" w:cs="Arial" w:eastAsia="Arial" w:hAnsi="Arial"/>
          <w:sz w:val="17"/>
          <w:szCs w:val="17"/>
          <w:color w:val="auto"/>
        </w:rPr>
        <w:t>We believe that there is tremendous investor demand for IPOs in the biotechnology sector and that the COVID-19 pandemic has led to a renewed appreciation of the critical contributions the biotechnology sector makes to society, which in turn will continue to fuel investor demand. Given our sponsor’s track record of identifying, evaluating, and investing in leading biotechnology companies, we believe a business combination target we identify will benefit by partnering with us to go public.</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Acquisition Strategy</w:t>
      </w:r>
    </w:p>
    <w:p>
      <w:pPr>
        <w:spacing w:after="0" w:line="153" w:lineRule="exact"/>
        <w:rPr>
          <w:sz w:val="20"/>
          <w:szCs w:val="20"/>
          <w:color w:val="auto"/>
        </w:rPr>
      </w:pPr>
    </w:p>
    <w:p>
      <w:pPr>
        <w:ind w:left="460" w:right="459"/>
        <w:spacing w:after="0" w:line="236" w:lineRule="auto"/>
        <w:rPr>
          <w:sz w:val="20"/>
          <w:szCs w:val="20"/>
          <w:color w:val="auto"/>
        </w:rPr>
      </w:pPr>
      <w:r>
        <w:rPr>
          <w:rFonts w:ascii="Arial" w:cs="Arial" w:eastAsia="Arial" w:hAnsi="Arial"/>
          <w:sz w:val="18"/>
          <w:szCs w:val="18"/>
          <w:color w:val="auto"/>
        </w:rPr>
        <w:t>As Foresite Capital’s affiliate, we will benefit from our access to Foresite Capital’s infrastructure, personnel, network and relationships. Foresite Capital’s investment team is in regular contact with entrepreneurs, key opinion leaders, management teams, and contacts in the venture capital and investment banking communities to source new deals. Our robust screening and due diligence process includes numerous meetings or calls with management and leverages Foresite’s expansive network of key opinion leaders, healthcare company executives, entrepreneurs and leading academics. Foresite Capital has invested heavily in its team, information management systems and data science infrastructure, which we expect will provide us with substantial sourcing and analytical capabilities, as well as other capabilities (including clinical development, translational medicine, chemistry, biostatistics and data science) that would ordinarily be outsourced to specialized third-party consultants. Prospective target companies will need to pass rigorous due diligence criteria, which may include, but are not limited to:</w:t>
      </w:r>
    </w:p>
    <w:p>
      <w:pPr>
        <w:spacing w:after="0" w:line="28" w:lineRule="exact"/>
        <w:rPr>
          <w:sz w:val="20"/>
          <w:szCs w:val="20"/>
          <w:color w:val="auto"/>
        </w:rPr>
      </w:pPr>
    </w:p>
    <w:p>
      <w:pPr>
        <w:ind w:left="1040" w:hanging="262"/>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Compelling risk/reward proposition;</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Potential market leading product;</w:t>
      </w:r>
    </w:p>
    <w:p>
      <w:pPr>
        <w:spacing w:after="0" w:line="22" w:lineRule="exact"/>
        <w:rPr>
          <w:rFonts w:ascii="Arial" w:cs="Arial" w:eastAsia="Arial" w:hAnsi="Arial"/>
          <w:sz w:val="18"/>
          <w:szCs w:val="18"/>
          <w:color w:val="auto"/>
        </w:rPr>
      </w:pPr>
    </w:p>
    <w:p>
      <w:pPr>
        <w:ind w:left="1040" w:hanging="262"/>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Addressing unmet medical need;</w:t>
      </w:r>
    </w:p>
    <w:p>
      <w:pPr>
        <w:spacing w:after="0" w:line="36" w:lineRule="exact"/>
        <w:rPr>
          <w:rFonts w:ascii="Arial" w:cs="Arial" w:eastAsia="Arial" w:hAnsi="Arial"/>
          <w:sz w:val="18"/>
          <w:szCs w:val="18"/>
          <w:color w:val="auto"/>
        </w:rPr>
      </w:pPr>
    </w:p>
    <w:p>
      <w:pPr>
        <w:ind w:left="1100" w:right="859" w:hanging="322"/>
        <w:spacing w:after="0"/>
        <w:tabs>
          <w:tab w:leader="none" w:pos="1039"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Management team with experience in the public market (our management team has often previously worked with or known management of many of the companies in which they invest);</w:t>
      </w:r>
    </w:p>
    <w:p>
      <w:pPr>
        <w:spacing w:after="0" w:line="27" w:lineRule="exact"/>
        <w:rPr>
          <w:rFonts w:ascii="Arial" w:cs="Arial" w:eastAsia="Arial" w:hAnsi="Arial"/>
          <w:sz w:val="18"/>
          <w:szCs w:val="18"/>
          <w:color w:val="auto"/>
        </w:rPr>
      </w:pPr>
    </w:p>
    <w:p>
      <w:pPr>
        <w:ind w:left="1100" w:right="719" w:hanging="322"/>
        <w:spacing w:after="0" w:line="246" w:lineRule="auto"/>
        <w:tabs>
          <w:tab w:leader="none" w:pos="1039" w:val="left"/>
        </w:tabs>
        <w:numPr>
          <w:ilvl w:val="0"/>
          <w:numId w:val="41"/>
        </w:numPr>
        <w:rPr>
          <w:rFonts w:ascii="Arial" w:cs="Arial" w:eastAsia="Arial" w:hAnsi="Arial"/>
          <w:sz w:val="18"/>
          <w:szCs w:val="18"/>
          <w:color w:val="auto"/>
        </w:rPr>
      </w:pPr>
      <w:r>
        <w:rPr>
          <w:rFonts w:ascii="Arial" w:cs="Arial" w:eastAsia="Arial" w:hAnsi="Arial"/>
          <w:sz w:val="18"/>
          <w:szCs w:val="18"/>
          <w:color w:val="auto"/>
        </w:rPr>
        <w:t>Multiple assets with the ability to create value, diversifying risk, looking for multiple shots on goal; and</w:t>
      </w:r>
    </w:p>
    <w:p>
      <w:pPr>
        <w:spacing w:after="0" w:line="7" w:lineRule="exact"/>
        <w:rPr>
          <w:rFonts w:ascii="Arial" w:cs="Arial" w:eastAsia="Arial" w:hAnsi="Arial"/>
          <w:sz w:val="18"/>
          <w:szCs w:val="18"/>
          <w:color w:val="auto"/>
        </w:rPr>
      </w:pPr>
    </w:p>
    <w:p>
      <w:pPr>
        <w:ind w:left="1040" w:hanging="262"/>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Premier scientific and clinical leadership.</w:t>
      </w:r>
    </w:p>
    <w:p>
      <w:pPr>
        <w:spacing w:after="0" w:line="144" w:lineRule="exact"/>
        <w:rPr>
          <w:sz w:val="20"/>
          <w:szCs w:val="20"/>
          <w:color w:val="auto"/>
        </w:rPr>
      </w:pPr>
    </w:p>
    <w:p>
      <w:pPr>
        <w:ind w:left="460" w:right="539"/>
        <w:spacing w:after="0" w:line="235" w:lineRule="auto"/>
        <w:rPr>
          <w:sz w:val="20"/>
          <w:szCs w:val="20"/>
          <w:color w:val="auto"/>
        </w:rPr>
      </w:pPr>
      <w:r>
        <w:rPr>
          <w:rFonts w:ascii="Arial" w:cs="Arial" w:eastAsia="Arial" w:hAnsi="Arial"/>
          <w:sz w:val="18"/>
          <w:szCs w:val="18"/>
          <w:color w:val="auto"/>
        </w:rPr>
        <w:t>Foresite Capital has carefully curated a multidisciplinary investment team with deep, diverse and complementary experience in order to identify emerging leaders across the health economy, develop comprehensive, 360-degree views of companies and their unique risks, and help portfolio companies achieve technical success and reach liquidity. We believe that this purpose-built structure and process reduces biases and asymmetric information flows that may hamper decisions to enter and exit investments in traditional fund structures. Our management team, through its members’ shared experience at Foresite Capital, has significant and coordinated expertise including: (1) clinical and product development experience, which enables deep understanding and evaluation of every aspect of development and regulatory processes; (2) comprehensive commercialization experience across multiple healthcare sectors, which allows the team to evaluate the entire lifecycle of product launch and market adoption, as well as opportunities and structures for partnership and acquisitions; and (3) broad financing experience across investment banking, buy-side investing and venture capital and private equity investing, which enables the team to evaluate IPO and buyout opportunities and structure terms based on a deep understanding of the entire financing lifecycle.</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Acquisition and Diligence Process includes:</w:t>
      </w:r>
    </w:p>
    <w:p>
      <w:pPr>
        <w:spacing w:after="0" w:line="23" w:lineRule="exact"/>
        <w:rPr>
          <w:sz w:val="20"/>
          <w:szCs w:val="20"/>
          <w:color w:val="auto"/>
        </w:rPr>
      </w:pPr>
    </w:p>
    <w:p>
      <w:pPr>
        <w:ind w:left="1040" w:hanging="262"/>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Scientific and clinical analysis, with assessment of clinical and regulatory success factors;</w:t>
      </w:r>
    </w:p>
    <w:p>
      <w:pPr>
        <w:spacing w:after="0" w:line="36" w:lineRule="exact"/>
        <w:rPr>
          <w:rFonts w:ascii="Arial" w:cs="Arial" w:eastAsia="Arial" w:hAnsi="Arial"/>
          <w:sz w:val="18"/>
          <w:szCs w:val="18"/>
          <w:color w:val="auto"/>
        </w:rPr>
      </w:pPr>
    </w:p>
    <w:p>
      <w:pPr>
        <w:ind w:left="1100" w:right="899" w:hanging="322"/>
        <w:spacing w:after="0" w:line="246" w:lineRule="auto"/>
        <w:tabs>
          <w:tab w:leader="none" w:pos="1039"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Review of market factors such as size, growth opportunity, competition, and development trends;</w:t>
      </w:r>
    </w:p>
    <w:p>
      <w:pPr>
        <w:spacing w:after="0" w:line="21" w:lineRule="exact"/>
        <w:rPr>
          <w:rFonts w:ascii="Arial" w:cs="Arial" w:eastAsia="Arial" w:hAnsi="Arial"/>
          <w:sz w:val="18"/>
          <w:szCs w:val="18"/>
          <w:color w:val="auto"/>
        </w:rPr>
      </w:pPr>
    </w:p>
    <w:p>
      <w:pPr>
        <w:ind w:left="1040" w:hanging="262"/>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Reimbursement review;</w:t>
      </w:r>
    </w:p>
    <w:p>
      <w:pPr>
        <w:spacing w:after="0" w:line="22" w:lineRule="exact"/>
        <w:rPr>
          <w:rFonts w:ascii="Arial" w:cs="Arial" w:eastAsia="Arial" w:hAnsi="Arial"/>
          <w:sz w:val="18"/>
          <w:szCs w:val="18"/>
          <w:color w:val="auto"/>
        </w:rPr>
      </w:pPr>
    </w:p>
    <w:p>
      <w:pPr>
        <w:ind w:left="1040" w:hanging="262"/>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Full review of proprietary technology content and intellectual property;</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Interviews with key opinion leaders, customers, competitors and industry experts;</w:t>
      </w:r>
    </w:p>
    <w:p>
      <w:pPr>
        <w:spacing w:after="0" w:line="36" w:lineRule="exact"/>
        <w:rPr>
          <w:rFonts w:ascii="Arial" w:cs="Arial" w:eastAsia="Arial" w:hAnsi="Arial"/>
          <w:sz w:val="18"/>
          <w:szCs w:val="18"/>
          <w:color w:val="auto"/>
        </w:rPr>
      </w:pPr>
    </w:p>
    <w:p>
      <w:pPr>
        <w:ind w:left="1100" w:right="1139" w:hanging="322"/>
        <w:spacing w:after="0" w:line="246" w:lineRule="auto"/>
        <w:tabs>
          <w:tab w:leader="none" w:pos="1039" w:val="left"/>
        </w:tabs>
        <w:numPr>
          <w:ilvl w:val="0"/>
          <w:numId w:val="42"/>
        </w:numPr>
        <w:rPr>
          <w:rFonts w:ascii="Arial" w:cs="Arial" w:eastAsia="Arial" w:hAnsi="Arial"/>
          <w:sz w:val="18"/>
          <w:szCs w:val="18"/>
          <w:color w:val="auto"/>
        </w:rPr>
      </w:pPr>
      <w:r>
        <w:rPr>
          <w:rFonts w:ascii="Arial" w:cs="Arial" w:eastAsia="Arial" w:hAnsi="Arial"/>
          <w:sz w:val="18"/>
          <w:szCs w:val="18"/>
          <w:color w:val="auto"/>
        </w:rPr>
        <w:t>Full financial evaluation including analysis of historical results and modeling of various scenarios including product launch forecasting;</w:t>
      </w:r>
    </w:p>
    <w:p>
      <w:pPr>
        <w:spacing w:after="0" w:line="7" w:lineRule="exact"/>
        <w:rPr>
          <w:rFonts w:ascii="Arial" w:cs="Arial" w:eastAsia="Arial" w:hAnsi="Arial"/>
          <w:sz w:val="18"/>
          <w:szCs w:val="18"/>
          <w:color w:val="auto"/>
        </w:rPr>
      </w:pPr>
    </w:p>
    <w:p>
      <w:pPr>
        <w:ind w:left="1040" w:hanging="262"/>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Review and evaluation of operations including R&amp;D, manufacturing, sales, and distribution;</w:t>
      </w:r>
    </w:p>
    <w:p>
      <w:pPr>
        <w:spacing w:after="0" w:line="36" w:lineRule="exact"/>
        <w:rPr>
          <w:rFonts w:ascii="Arial" w:cs="Arial" w:eastAsia="Arial" w:hAnsi="Arial"/>
          <w:sz w:val="18"/>
          <w:szCs w:val="18"/>
          <w:color w:val="auto"/>
        </w:rPr>
      </w:pPr>
    </w:p>
    <w:p>
      <w:pPr>
        <w:ind w:left="1100" w:right="899" w:hanging="322"/>
        <w:spacing w:after="0" w:line="246" w:lineRule="auto"/>
        <w:tabs>
          <w:tab w:leader="none" w:pos="1039" w:val="left"/>
        </w:tabs>
        <w:numPr>
          <w:ilvl w:val="0"/>
          <w:numId w:val="42"/>
        </w:numPr>
        <w:rPr>
          <w:rFonts w:ascii="Arial" w:cs="Arial" w:eastAsia="Arial" w:hAnsi="Arial"/>
          <w:sz w:val="18"/>
          <w:szCs w:val="18"/>
          <w:color w:val="auto"/>
        </w:rPr>
      </w:pPr>
      <w:r>
        <w:rPr>
          <w:rFonts w:ascii="Arial" w:cs="Arial" w:eastAsia="Arial" w:hAnsi="Arial"/>
          <w:sz w:val="18"/>
          <w:szCs w:val="18"/>
          <w:color w:val="auto"/>
        </w:rPr>
        <w:t>Identification of key milestones that will drive liquidity, and assessment of the likelihood of various paths to liquidity;</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73" w:name="page74"/>
    <w:bookmarkEnd w:id="73"/>
    <w:p>
      <w:pPr>
        <w:ind w:left="1100" w:right="619" w:hanging="322"/>
        <w:spacing w:after="0" w:line="246" w:lineRule="auto"/>
        <w:tabs>
          <w:tab w:leader="none" w:pos="1039"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Preparation of a detailed financial forecast and potential cash-on-cash returns analysis using several scenarios of financial performance, structure and exit timing;</w:t>
      </w:r>
    </w:p>
    <w:p>
      <w:pPr>
        <w:spacing w:after="0" w:line="7" w:lineRule="exact"/>
        <w:rPr>
          <w:rFonts w:ascii="Arial" w:cs="Arial" w:eastAsia="Arial" w:hAnsi="Arial"/>
          <w:sz w:val="18"/>
          <w:szCs w:val="18"/>
          <w:color w:val="auto"/>
        </w:rPr>
      </w:pPr>
    </w:p>
    <w:p>
      <w:pPr>
        <w:ind w:left="1040" w:hanging="262"/>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Comparison of a company’s progress against tracked prior meetings and its competition; and</w:t>
      </w:r>
    </w:p>
    <w:p>
      <w:pPr>
        <w:spacing w:after="0" w:line="36" w:lineRule="exact"/>
        <w:rPr>
          <w:rFonts w:ascii="Arial" w:cs="Arial" w:eastAsia="Arial" w:hAnsi="Arial"/>
          <w:sz w:val="18"/>
          <w:szCs w:val="18"/>
          <w:color w:val="auto"/>
        </w:rPr>
      </w:pPr>
    </w:p>
    <w:p>
      <w:pPr>
        <w:ind w:left="1100" w:right="519" w:hanging="322"/>
        <w:spacing w:after="0" w:line="246" w:lineRule="auto"/>
        <w:tabs>
          <w:tab w:leader="none" w:pos="1039"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Analysis of relevant and available data using advanced data science techniques (for example, claims analysis to identify potential patient population).</w:t>
      </w:r>
    </w:p>
    <w:p>
      <w:pPr>
        <w:spacing w:after="0" w:line="129" w:lineRule="exact"/>
        <w:rPr>
          <w:sz w:val="20"/>
          <w:szCs w:val="20"/>
          <w:color w:val="auto"/>
        </w:rPr>
      </w:pPr>
    </w:p>
    <w:p>
      <w:pPr>
        <w:ind w:left="460" w:right="499"/>
        <w:spacing w:after="0" w:line="235" w:lineRule="auto"/>
        <w:rPr>
          <w:sz w:val="20"/>
          <w:szCs w:val="20"/>
          <w:color w:val="auto"/>
        </w:rPr>
      </w:pPr>
      <w:r>
        <w:rPr>
          <w:rFonts w:ascii="Arial" w:cs="Arial" w:eastAsia="Arial" w:hAnsi="Arial"/>
          <w:sz w:val="18"/>
          <w:szCs w:val="18"/>
          <w:color w:val="auto"/>
        </w:rPr>
        <w:t>Our management team will utilize the information management system of our affiliate, Foresite Capital, to track company progress, milestones, commercial KPIs, future financing needs and timing, action items, key risks and open items. Decisions to proceed with final negotiation and consummation of the initial business combination will be made by consensus of the management team after the completion of what we believe to be appropriate due diligence, which may encompass, among other things, meetings with incumbent management and employees, document reviews, interviews of customers and suppliers, inspections of facilities, as well as reviewing financial and other information which will be made available to us. The time required for the initial business combination to advance from sourcing to final approval will vary depending on the circumstances. If our management team or our affiliate, Foresite Capital, has been previously following a prospective target company and has identified key hurdles, open items, or pieces of data believed essential to making an investment, we will be able leverage these insights and move quickly when our requirements are met. These criteria are not intended to be exhaustive. Any evaluation relating to the merits of a particular initial business combination may be based, to the extent relevant, on these general guidelines as well as other considerations, factors and criteria that our management team may deem relevant. In the event that we decide to enter into our initial business combination with a target business that does not meet the above criteria and guidelines, we will disclose that the target business does not meet the above criteria in our stockholder communications related to our initial business combination, which, as discussed in this prospectus, would be in the form of proxy materials or tender offer documents, as applicable, that we would file with the SEC.</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Initial Business Combination</w:t>
      </w:r>
    </w:p>
    <w:p>
      <w:pPr>
        <w:spacing w:after="0" w:line="139" w:lineRule="exact"/>
        <w:rPr>
          <w:sz w:val="20"/>
          <w:szCs w:val="20"/>
          <w:color w:val="auto"/>
        </w:rPr>
      </w:pPr>
    </w:p>
    <w:p>
      <w:pPr>
        <w:ind w:left="460" w:right="619"/>
        <w:spacing w:after="0" w:line="235" w:lineRule="auto"/>
        <w:rPr>
          <w:sz w:val="20"/>
          <w:szCs w:val="20"/>
          <w:color w:val="auto"/>
        </w:rPr>
      </w:pPr>
      <w:r>
        <w:rPr>
          <w:rFonts w:ascii="Arial" w:cs="Arial" w:eastAsia="Arial" w:hAnsi="Arial"/>
          <w:sz w:val="18"/>
          <w:szCs w:val="18"/>
          <w:color w:val="auto"/>
        </w:rPr>
        <w:t>Nasdaq rules require that we must complete one or more business combinations having an aggregate fair market value of at least 80% of the value of the assets held in the trust account (excluding the deferred underwriting commissions and taxes payable on the interest earned on the trust account) at the time of our signing a definitive agreement in connection with our initial business combination. Our board of directors will make the determination as to the fair market value of our initial business combination. If our board of directors is not able to independently determine the fair market value of our initial business combination, we will obtain an opinion from an independent investment banking firm which is a member of FINRA or a valuation or appraisal firm with respect to the satisfaction of such criteria. While we consider it unlikely that our board of directors will not be able to make an independent determination of the fair market value of our initial business combination, it may be unable to do so if it is less familiar or experienced with the business of a particular target or if there is a significant amount of uncertainty as to the value of the target’s assets or prospects. Additionally, pursuant to Nasdaq rules, any initial business combination must be approved by a majority of our independent directors.</w:t>
      </w:r>
    </w:p>
    <w:p>
      <w:pPr>
        <w:spacing w:after="0" w:line="133"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We anticipate structuring our initial business combination so that the post-transaction company in which our public stockholders own shares will own or acquire 100% of the equity interests or assets of the target business or businesses. We may, however, structure our initial business combination such that the post-transaction company owns or acquires less than 100% of such interests or assets of the target business in order to meet certain objectives of the target management team or stockholders or for other reasons, but we will only complete such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of 1940, as amended, or the Investment Company Act. Even if the post-transaction company owns or acquires 50% or more of the voting securities of the target, our stockholders prior to the business combination may collectively own a minority interest in the post-transaction company, depending on valuations ascribed to the target and us in the business combination transaction. For example, we could pursue a transaction in which we issue a substantial number of new shares in exchange for all of the outstanding capital stock of a target. In this case, we would acquire a 100% controlling interest in the target. However, as a result of the issuance of a substantial number of new shares, our stockholders immediately prior to our initial business combination could own less than a majority of our issued and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taken into account for purposes of the 80% of net assets test described above. If the business combination involves more than one target business, the 80% of net assets test will be based on the aggregate value of all of the target businesses.</w:t>
      </w:r>
    </w:p>
    <w:p>
      <w:pPr>
        <w:sectPr>
          <w:pgSz w:w="11900" w:h="16838" w:orient="portrait"/>
          <w:cols w:equalWidth="0" w:num="1">
            <w:col w:w="9019"/>
          </w:cols>
          <w:pgMar w:left="1440" w:top="179" w:right="1440" w:bottom="1440" w:gutter="0" w:footer="0" w:header="0"/>
        </w:sectPr>
      </w:pP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179" w:right="1440" w:bottom="1440" w:gutter="0" w:footer="0" w:header="0"/>
          <w:type w:val="continuous"/>
        </w:sectPr>
      </w:pPr>
    </w:p>
    <w:bookmarkStart w:id="74" w:name="page75"/>
    <w:bookmarkEnd w:id="74"/>
    <w:p>
      <w:pPr>
        <w:ind w:left="460" w:right="519"/>
        <w:spacing w:after="0" w:line="236" w:lineRule="auto"/>
        <w:rPr>
          <w:sz w:val="20"/>
          <w:szCs w:val="20"/>
          <w:color w:val="auto"/>
        </w:rPr>
      </w:pPr>
      <w:r>
        <w:rPr>
          <w:rFonts w:ascii="Arial" w:cs="Arial" w:eastAsia="Arial" w:hAnsi="Arial"/>
          <w:sz w:val="18"/>
          <w:szCs w:val="18"/>
          <w:color w:val="auto"/>
        </w:rPr>
        <w:t>In addition, our sponsor has indicated an interest to purchase $25,000,000 of our shares of Class A common stock in a private placement that would occur concurrently with the consummation of our initial business combination. However, because indications of interest are not binding agreements or commitments to purchase, our sponsor may determine not to purchase any such shares, or to purchase fewer shares than it has indicated an interest in purchasing. Furthermore, we are not under any obligation to sell any such shares. If we sell shares to our sponsor (or any other investor) in connection with our initial business combination, the equity interest of investors in this offering in the combined company may be diluted and the market prices for our securities may be adversely affected. In addition, if the per share trading price of our shares of common stock is greater than the price per share paid in the private placement, the private placement will result in value dilution to you, in addition to the immediate dilution that you will experience in connection with the consummation of this offering. See “Dilution.”</w:t>
      </w:r>
    </w:p>
    <w:p>
      <w:pPr>
        <w:spacing w:after="0" w:line="123" w:lineRule="exact"/>
        <w:rPr>
          <w:sz w:val="20"/>
          <w:szCs w:val="20"/>
          <w:color w:val="auto"/>
        </w:rPr>
      </w:pPr>
    </w:p>
    <w:p>
      <w:pPr>
        <w:ind w:left="460" w:right="459"/>
        <w:spacing w:after="0" w:line="237" w:lineRule="auto"/>
        <w:rPr>
          <w:sz w:val="20"/>
          <w:szCs w:val="20"/>
          <w:color w:val="auto"/>
        </w:rPr>
      </w:pPr>
      <w:r>
        <w:rPr>
          <w:rFonts w:ascii="Arial" w:cs="Arial" w:eastAsia="Arial" w:hAnsi="Arial"/>
          <w:sz w:val="18"/>
          <w:szCs w:val="18"/>
          <w:color w:val="auto"/>
        </w:rPr>
        <w:t>Prior to the date of this prospectus, we will file a Registration Statement on Form 8-A with the SEC to voluntarily register our securities under Section 12 of the Securities Exchange Act of 1934, as amended, or the Exchange Act. As a result, we will be subject to the rules and regulations promulgated under the Exchange Act. We have no current intention of filing a Form 15 to suspend our reporting or other obligations under the Exchange Act prior or subsequent to the consummation of our initial business combination.</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Sourcing of Potential Initial Business Combination Targets</w:t>
      </w:r>
    </w:p>
    <w:p>
      <w:pPr>
        <w:spacing w:after="0" w:line="166"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While we do not presently anticipate engaging the services of professional firms or other individuals that specialize in business acquisitions on any formal basis, we may engage these firms or other individuals in the future, in which event we may pay a finder’s fee, consulting fee or other compensation to be determined in an arm’s length negotiation based on the terms of the transaction. We will engage a finder only to the extent our management determines that the use of a finder may bring opportunities to us that may not otherwise be available to us or if finders approach us on an unsolicited basis with a potential transaction that our management determines is in our best interest to pursue. Payment of a finder’s fee is customarily tied to completion of a transaction, in which case any such fee will be paid out of the funds held in the trust account. In no event, however, will our sponsor or any of our existing officers or directors, or any entity with which they are affiliated, be paid any finder’s fee, consulting fee or other compensation by the company prior to, or for any services they render in order to effectuate, the completion of our initial business combination (regardless of the type of transaction that it is). In addition, commencing on the date of this prospectus, we will pay our sponsor $ 10,000 per month for office space, secretarial and administrative services provided to members of our management team. Any such payments prior to our initial business combination will be made from funds held outside the trust account. Other than the foregoing, there will be no finder’s fees, reimbursement, consulting fee, monies in respect of any payment of a loan or other compensation paid by us to our sponsor, officers or directors, or any affiliate of our sponsor or officers prior to, or in connection with any services rendered in order to effectuate, the consummation of our initial business combination (regardless of the type of transaction that it is).</w:t>
      </w:r>
    </w:p>
    <w:p>
      <w:pPr>
        <w:spacing w:after="0" w:line="145"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We are not prohibited from pursuing an initial business combination with a company that is affiliated with our sponsor, executive officers or directors, or completing the business combination through a joint venture or other form of shared ownership with our sponsor, executive officers or directors. In the event we seek to complete an initial business combination with a target that is affiliated with our sponsor, executive officers or directors, we, or a committee of independent directors, would obtain an opinion from an independent investment banking firm which is a member of FINRA or a valuation or appraisal firm stating that such an initial business combination is fair to our company from a financial point of view.</w:t>
      </w:r>
    </w:p>
    <w:p>
      <w:pPr>
        <w:spacing w:after="0" w:line="127" w:lineRule="exact"/>
        <w:rPr>
          <w:sz w:val="20"/>
          <w:szCs w:val="20"/>
          <w:color w:val="auto"/>
        </w:rPr>
      </w:pPr>
    </w:p>
    <w:p>
      <w:pPr>
        <w:ind w:left="460" w:right="559"/>
        <w:spacing w:after="0" w:line="237" w:lineRule="auto"/>
        <w:rPr>
          <w:sz w:val="20"/>
          <w:szCs w:val="20"/>
          <w:color w:val="auto"/>
        </w:rPr>
      </w:pPr>
      <w:r>
        <w:rPr>
          <w:rFonts w:ascii="Arial" w:cs="Arial" w:eastAsia="Arial" w:hAnsi="Arial"/>
          <w:sz w:val="18"/>
          <w:szCs w:val="18"/>
          <w:color w:val="auto"/>
        </w:rPr>
        <w:t>Members of our management team and our independent directors will directly or indirectly own founder shares and/or private placement shares following this offering and, accordingly, may have a conflict of interest in determining whether a particular target business is an appropriate business with which to effectuate our initial business combination. Further, each of 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135" w:lineRule="exact"/>
        <w:rPr>
          <w:sz w:val="20"/>
          <w:szCs w:val="20"/>
          <w:color w:val="auto"/>
        </w:rPr>
      </w:pPr>
    </w:p>
    <w:p>
      <w:pPr>
        <w:ind w:left="460" w:right="519"/>
        <w:spacing w:after="0" w:line="238" w:lineRule="auto"/>
        <w:rPr>
          <w:sz w:val="20"/>
          <w:szCs w:val="20"/>
          <w:color w:val="auto"/>
        </w:rPr>
      </w:pPr>
      <w:r>
        <w:rPr>
          <w:rFonts w:ascii="Arial" w:cs="Arial" w:eastAsia="Arial" w:hAnsi="Arial"/>
          <w:sz w:val="18"/>
          <w:szCs w:val="18"/>
          <w:color w:val="auto"/>
        </w:rPr>
        <w:t>Each of our officers and directors presently has, and any of them in the future may have additional, fiduciary or contractual obligations to another entity pursuant to which such officer or director is or will be required to present a business combination opportunity to such entity. Accordingly, if any of our officers or directors becomes aware of a business combination opportunity which is suitable for an entity to which he or she has then current fiduciary or</w:t>
      </w:r>
    </w:p>
    <w:p>
      <w:pPr>
        <w:sectPr>
          <w:pgSz w:w="11900" w:h="16838" w:orient="portrait"/>
          <w:cols w:equalWidth="0" w:num="1">
            <w:col w:w="9019"/>
          </w:cols>
          <w:pgMar w:left="1440" w:top="287" w:right="1440"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75" w:name="page76"/>
    <w:bookmarkEnd w:id="75"/>
    <w:p>
      <w:pPr>
        <w:ind w:left="460" w:right="619"/>
        <w:spacing w:after="0" w:line="236" w:lineRule="auto"/>
        <w:rPr>
          <w:sz w:val="20"/>
          <w:szCs w:val="20"/>
          <w:color w:val="auto"/>
        </w:rPr>
      </w:pPr>
      <w:r>
        <w:rPr>
          <w:rFonts w:ascii="Arial" w:cs="Arial" w:eastAsia="Arial" w:hAnsi="Arial"/>
          <w:sz w:val="18"/>
          <w:szCs w:val="18"/>
          <w:color w:val="auto"/>
        </w:rPr>
        <w:t>contractual obligations, he or she will honor his or her fiduciary or contractual obligations to present such business combination opportunity to such other entity. Our amended and restated certificate of incorporation will provide that we renounce our interest in any corporate opportunity offered to any director or officer unless such opportunity is expressly offered to such person solely in his or her capacity as a director or officer of the company and such opportunity is one we are legally and contractually permitted to undertake and would otherwise be reasonable for us to pursue, and to the extent the director or officer is permitted to refer that opportunity to us without violating another legal obligation. We do not believe, however, that the fiduciary duties or contractual obligations of our officers or directors will materially affect our ability to complete our initial business combination.</w:t>
      </w:r>
    </w:p>
    <w:p>
      <w:pPr>
        <w:spacing w:after="0" w:line="126"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In addition, our sponsor and our officers and directors may sponsor or form other special purpose acquisition companies similar to ours or may pursue other business or investment ventures during the period in which we are seeking an initial business combination. Any such companies, businesses or investments may present additional conflicts of interest in pursuing an initial business combination. However, we do not believe that any such potential conflicts would materially affect our ability to complete our initial business combination.</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Financial Position</w:t>
      </w:r>
    </w:p>
    <w:p>
      <w:pPr>
        <w:spacing w:after="0" w:line="166"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With funds available for a business combination initially in the amount of $96,500,000 (assuming no redemptions), after payment of $3,500,000 of deferred underwriting fees (or $110,975,000 (assuming no redemptions) after payment of $4,025,000 of deferred underwriting fees if the underwriters’ over-allotment option is exercised in full), we offer a target business a variety of options such as creating a liquidity event for its owners, providing capital for the potential growth and expansion of its operations or strengthening its balance sheet by reducing its debt ratio. Because we are able to complete our initial business combination using our cash, debt or equity securities, or a combination of the foregoing, we have the flexibility to use the most efficient combination that will allow us to tailor the consideration to be paid to the target business to fit its needs and desires. However, we have not taken any steps to secure third party financing and there can be no assurance it will be available to us.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Lack of Business Diversification</w:t>
      </w:r>
    </w:p>
    <w:p>
      <w:pPr>
        <w:spacing w:after="0" w:line="166" w:lineRule="exact"/>
        <w:rPr>
          <w:sz w:val="20"/>
          <w:szCs w:val="20"/>
          <w:color w:val="auto"/>
        </w:rPr>
      </w:pPr>
    </w:p>
    <w:p>
      <w:pPr>
        <w:ind w:left="460" w:right="579"/>
        <w:spacing w:after="0" w:line="237" w:lineRule="auto"/>
        <w:rPr>
          <w:sz w:val="20"/>
          <w:szCs w:val="20"/>
          <w:color w:val="auto"/>
        </w:rPr>
      </w:pPr>
      <w:r>
        <w:rPr>
          <w:rFonts w:ascii="Arial" w:cs="Arial" w:eastAsia="Arial" w:hAnsi="Arial"/>
          <w:sz w:val="18"/>
          <w:szCs w:val="18"/>
          <w:color w:val="auto"/>
        </w:rPr>
        <w:t>For an indefinite period of time after the completion of our initial business combination, the prospects for our success may depend entirely on the future performance of a single business. Unlike other entities that have the resources to complete business combinations with multiple entities in one or several industries, it is probable that we will not have the resources to diversify our operations and mitigate the risks of being in a single line of business. By completing our initial business combination with only a single entity, our lack of diversification may:</w:t>
      </w:r>
    </w:p>
    <w:p>
      <w:pPr>
        <w:spacing w:after="0" w:line="16" w:lineRule="exact"/>
        <w:rPr>
          <w:sz w:val="20"/>
          <w:szCs w:val="20"/>
          <w:color w:val="auto"/>
        </w:rPr>
      </w:pPr>
    </w:p>
    <w:p>
      <w:pPr>
        <w:ind w:left="1100" w:right="499" w:hanging="322"/>
        <w:spacing w:after="0"/>
        <w:tabs>
          <w:tab w:leader="none" w:pos="1039"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subject us to negative economic, competitive and regulatory developments, any or all of which may have a substantial adverse impact on the particular industry in which we operate after our initial business combination, and</w:t>
      </w:r>
    </w:p>
    <w:p>
      <w:pPr>
        <w:spacing w:after="0" w:line="27" w:lineRule="exact"/>
        <w:rPr>
          <w:rFonts w:ascii="Arial" w:cs="Arial" w:eastAsia="Arial" w:hAnsi="Arial"/>
          <w:sz w:val="18"/>
          <w:szCs w:val="18"/>
          <w:color w:val="auto"/>
        </w:rPr>
      </w:pPr>
    </w:p>
    <w:p>
      <w:pPr>
        <w:ind w:left="1100" w:right="1119" w:hanging="322"/>
        <w:spacing w:after="0" w:line="246" w:lineRule="auto"/>
        <w:tabs>
          <w:tab w:leader="none" w:pos="1039" w:val="left"/>
        </w:tabs>
        <w:numPr>
          <w:ilvl w:val="0"/>
          <w:numId w:val="44"/>
        </w:numPr>
        <w:rPr>
          <w:rFonts w:ascii="Arial" w:cs="Arial" w:eastAsia="Arial" w:hAnsi="Arial"/>
          <w:sz w:val="18"/>
          <w:szCs w:val="18"/>
          <w:color w:val="auto"/>
        </w:rPr>
      </w:pPr>
      <w:r>
        <w:rPr>
          <w:rFonts w:ascii="Arial" w:cs="Arial" w:eastAsia="Arial" w:hAnsi="Arial"/>
          <w:sz w:val="18"/>
          <w:szCs w:val="18"/>
          <w:color w:val="auto"/>
        </w:rPr>
        <w:t>cause us to depend on the marketing and sale of a single product or limited number of products or services.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Limited Ability to Evaluate the Target’s Management Team</w:t>
      </w:r>
    </w:p>
    <w:p>
      <w:pPr>
        <w:spacing w:after="0" w:line="166"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Although we intend to closely scrutinize the management of a prospective target business when evaluating the desirability of effecting our initial business combination with that business, our assessment of the target business’s management may not prove to be correct. In addition, the future management may not have the necessary skills, qualifications or abilities to manage a public company. Furthermore, the future role of members of our management team, if any, in the target business cannot presently be stated with any certainty. The determination as to whether any of the members of our management team will remain with the combined company will be made at the time of our initial business combination. While it is possible that one or more of our directors will remain associated in some capacity with us following our initial business combination, it is unlikely that any of them will devote their full efforts to our affairs subsequent to our initial business combination. Moreover, we cannot assure you that members of our management team will have significant experience or knowledge relating to the operations of the particular target business.</w:t>
      </w:r>
    </w:p>
    <w:p>
      <w:pPr>
        <w:spacing w:after="0" w:line="123" w:lineRule="exact"/>
        <w:rPr>
          <w:sz w:val="20"/>
          <w:szCs w:val="20"/>
          <w:color w:val="auto"/>
        </w:rPr>
      </w:pPr>
    </w:p>
    <w:p>
      <w:pPr>
        <w:ind w:left="460" w:right="579"/>
        <w:spacing w:after="0"/>
        <w:rPr>
          <w:sz w:val="20"/>
          <w:szCs w:val="20"/>
          <w:color w:val="auto"/>
        </w:rPr>
      </w:pPr>
      <w:r>
        <w:rPr>
          <w:rFonts w:ascii="Arial" w:cs="Arial" w:eastAsia="Arial" w:hAnsi="Arial"/>
          <w:sz w:val="18"/>
          <w:szCs w:val="18"/>
          <w:color w:val="auto"/>
        </w:rPr>
        <w:t>We cannot assure you that any of our key personnel will remain in senior management or advisory positions with the combined company. The determination as to whether any of our key personnel will remain with the combined company will be made at the time of our initial business combination.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76" w:name="page77"/>
    <w:bookmarkEnd w:id="76"/>
    <w:p>
      <w:pPr>
        <w:ind w:left="460" w:right="599"/>
        <w:spacing w:after="0" w:line="238" w:lineRule="auto"/>
        <w:rPr>
          <w:sz w:val="20"/>
          <w:szCs w:val="20"/>
          <w:color w:val="auto"/>
        </w:rPr>
      </w:pPr>
      <w:r>
        <w:rPr>
          <w:rFonts w:ascii="Arial" w:cs="Arial" w:eastAsia="Arial" w:hAnsi="Arial"/>
          <w:sz w:val="18"/>
          <w:szCs w:val="18"/>
          <w:color w:val="auto"/>
        </w:rPr>
        <w:t>Following a business combination, we may seek to recruit additional managers to supplement the incumbent management of the target business. We cannot assure you that we will have the ability to recruit additional managers, or that additional managers will have the requisite skills, knowledge or experience necessary to enhance the incumbent management.</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Stockholders May Not Have the Ability to Approve Our Initial Business Combination</w:t>
      </w:r>
    </w:p>
    <w:p>
      <w:pPr>
        <w:spacing w:after="0" w:line="153"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We may conduct redemptions without a stockholder vote pursuant to the tender offer rules of the SEC subject to the provisions of our amended and restated certificate of incorporation. However, we will seek stockholder approval if it is required by law or applicable stock exchange rule, or we may decide to seek stockholder approval for business or other legal reasons.</w:t>
      </w:r>
    </w:p>
    <w:p>
      <w:pPr>
        <w:spacing w:after="0" w:line="137" w:lineRule="exact"/>
        <w:rPr>
          <w:sz w:val="20"/>
          <w:szCs w:val="20"/>
          <w:color w:val="auto"/>
        </w:rPr>
      </w:pPr>
    </w:p>
    <w:p>
      <w:pPr>
        <w:ind w:left="460" w:right="559"/>
        <w:spacing w:after="0"/>
        <w:rPr>
          <w:sz w:val="20"/>
          <w:szCs w:val="20"/>
          <w:color w:val="auto"/>
        </w:rPr>
      </w:pPr>
      <w:r>
        <w:rPr>
          <w:rFonts w:ascii="Arial" w:cs="Arial" w:eastAsia="Arial" w:hAnsi="Arial"/>
          <w:sz w:val="18"/>
          <w:szCs w:val="18"/>
          <w:color w:val="auto"/>
        </w:rPr>
        <w:t>Presented in the table below is a graphic explanation of the types of initial business combinations we may consider and whether stockholder approval is currently required under Delaware law for each such transaction.</w:t>
      </w:r>
    </w:p>
    <w:p>
      <w:pPr>
        <w:spacing w:after="0" w:line="150"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6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WHETHER</w:t>
            </w:r>
          </w:p>
        </w:tc>
      </w:tr>
      <w:tr>
        <w:trPr>
          <w:trHeight w:val="162"/>
        </w:trPr>
        <w:tc>
          <w:tcPr>
            <w:tcW w:w="6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STOCKHOLDER</w:t>
            </w:r>
          </w:p>
        </w:tc>
      </w:tr>
      <w:tr>
        <w:trPr>
          <w:trHeight w:val="162"/>
        </w:trPr>
        <w:tc>
          <w:tcPr>
            <w:tcW w:w="6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APPROVAL IS</w:t>
            </w:r>
          </w:p>
        </w:tc>
      </w:tr>
      <w:tr>
        <w:trPr>
          <w:trHeight w:val="190"/>
        </w:trPr>
        <w:tc>
          <w:tcPr>
            <w:tcW w:w="6900" w:type="dxa"/>
            <w:vAlign w:val="bottom"/>
            <w:gridSpan w:val="2"/>
          </w:tcPr>
          <w:p>
            <w:pPr>
              <w:spacing w:after="0"/>
              <w:rPr>
                <w:sz w:val="20"/>
                <w:szCs w:val="20"/>
                <w:color w:val="auto"/>
              </w:rPr>
            </w:pPr>
            <w:r>
              <w:rPr>
                <w:rFonts w:ascii="Arial" w:cs="Arial" w:eastAsia="Arial" w:hAnsi="Arial"/>
                <w:sz w:val="14"/>
                <w:szCs w:val="14"/>
                <w:b w:val="1"/>
                <w:bCs w:val="1"/>
                <w:color w:val="auto"/>
              </w:rPr>
              <w:t>TYPE OF TRANSACTION</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REQUIRED</w:t>
            </w:r>
          </w:p>
        </w:tc>
      </w:tr>
      <w:tr>
        <w:trPr>
          <w:trHeight w:val="26"/>
        </w:trPr>
        <w:tc>
          <w:tcPr>
            <w:tcW w:w="6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6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Purchase of assets</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No</w:t>
            </w:r>
          </w:p>
        </w:tc>
      </w:tr>
      <w:tr>
        <w:trPr>
          <w:trHeight w:val="257"/>
        </w:trPr>
        <w:tc>
          <w:tcPr>
            <w:tcW w:w="6900" w:type="dxa"/>
            <w:vAlign w:val="bottom"/>
            <w:gridSpan w:val="2"/>
          </w:tcPr>
          <w:p>
            <w:pPr>
              <w:spacing w:after="0"/>
              <w:rPr>
                <w:sz w:val="20"/>
                <w:szCs w:val="20"/>
                <w:color w:val="auto"/>
              </w:rPr>
            </w:pPr>
            <w:r>
              <w:rPr>
                <w:rFonts w:ascii="Arial" w:cs="Arial" w:eastAsia="Arial" w:hAnsi="Arial"/>
                <w:sz w:val="16"/>
                <w:szCs w:val="16"/>
                <w:color w:val="auto"/>
              </w:rPr>
              <w:t>Purchase of stock of target not involving a merger with the company</w:t>
            </w:r>
          </w:p>
        </w:tc>
        <w:tc>
          <w:tcPr>
            <w:tcW w:w="1200" w:type="dxa"/>
            <w:vAlign w:val="bottom"/>
          </w:tcPr>
          <w:p>
            <w:pPr>
              <w:jc w:val="center"/>
              <w:spacing w:after="0"/>
              <w:rPr>
                <w:sz w:val="20"/>
                <w:szCs w:val="20"/>
                <w:color w:val="auto"/>
              </w:rPr>
            </w:pPr>
            <w:r>
              <w:rPr>
                <w:rFonts w:ascii="Arial" w:cs="Arial" w:eastAsia="Arial" w:hAnsi="Arial"/>
                <w:sz w:val="18"/>
                <w:szCs w:val="18"/>
                <w:color w:val="auto"/>
              </w:rPr>
              <w:t>No</w:t>
            </w:r>
          </w:p>
        </w:tc>
      </w:tr>
      <w:tr>
        <w:trPr>
          <w:trHeight w:val="27"/>
        </w:trPr>
        <w:tc>
          <w:tcPr>
            <w:tcW w:w="6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3"/>
        </w:trPr>
        <w:tc>
          <w:tcPr>
            <w:tcW w:w="6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Merger of target into a subsidiary of the company</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No</w:t>
            </w:r>
          </w:p>
        </w:tc>
      </w:tr>
      <w:tr>
        <w:trPr>
          <w:trHeight w:val="257"/>
        </w:trPr>
        <w:tc>
          <w:tcPr>
            <w:tcW w:w="6900" w:type="dxa"/>
            <w:vAlign w:val="bottom"/>
            <w:gridSpan w:val="2"/>
          </w:tcPr>
          <w:p>
            <w:pPr>
              <w:spacing w:after="0"/>
              <w:rPr>
                <w:sz w:val="20"/>
                <w:szCs w:val="20"/>
                <w:color w:val="auto"/>
              </w:rPr>
            </w:pPr>
            <w:r>
              <w:rPr>
                <w:rFonts w:ascii="Arial" w:cs="Arial" w:eastAsia="Arial" w:hAnsi="Arial"/>
                <w:sz w:val="16"/>
                <w:szCs w:val="16"/>
                <w:color w:val="auto"/>
              </w:rPr>
              <w:t>Merger of the company with a target</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Yes</w:t>
            </w:r>
          </w:p>
        </w:tc>
      </w:tr>
    </w:tbl>
    <w:p>
      <w:pPr>
        <w:spacing w:after="0" w:line="215" w:lineRule="exact"/>
        <w:rPr>
          <w:sz w:val="20"/>
          <w:szCs w:val="20"/>
          <w:color w:val="auto"/>
        </w:rPr>
      </w:pPr>
    </w:p>
    <w:p>
      <w:pPr>
        <w:ind w:left="460" w:right="1299"/>
        <w:spacing w:after="0" w:line="246" w:lineRule="auto"/>
        <w:rPr>
          <w:sz w:val="20"/>
          <w:szCs w:val="20"/>
          <w:color w:val="auto"/>
        </w:rPr>
      </w:pPr>
      <w:r>
        <w:rPr>
          <w:rFonts w:ascii="Arial" w:cs="Arial" w:eastAsia="Arial" w:hAnsi="Arial"/>
          <w:sz w:val="18"/>
          <w:szCs w:val="18"/>
          <w:color w:val="auto"/>
        </w:rPr>
        <w:t>Under Nasdaq’s listing rules, stockholder approval would be required for our initial business combination if, for example:</w:t>
      </w:r>
    </w:p>
    <w:p>
      <w:pPr>
        <w:spacing w:after="0" w:line="8" w:lineRule="exact"/>
        <w:rPr>
          <w:sz w:val="20"/>
          <w:szCs w:val="20"/>
          <w:color w:val="auto"/>
        </w:rPr>
      </w:pPr>
    </w:p>
    <w:p>
      <w:pPr>
        <w:ind w:left="1100" w:right="639" w:hanging="322"/>
        <w:spacing w:after="0" w:line="238" w:lineRule="auto"/>
        <w:tabs>
          <w:tab w:leader="none" w:pos="1039"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issue (other than in a public offering for cash) shares of common stock that will either (a) be equal to or in excess of 20% of the number of our shares of common stock then issued and outstanding (excluding the private placement shares) or (b) have voting power equal to or in excess of 20% of the voting power then outstanding;</w:t>
      </w:r>
    </w:p>
    <w:p>
      <w:pPr>
        <w:spacing w:after="0" w:line="29" w:lineRule="exact"/>
        <w:rPr>
          <w:rFonts w:ascii="Arial" w:cs="Arial" w:eastAsia="Arial" w:hAnsi="Arial"/>
          <w:sz w:val="18"/>
          <w:szCs w:val="18"/>
          <w:color w:val="auto"/>
        </w:rPr>
      </w:pPr>
    </w:p>
    <w:p>
      <w:pPr>
        <w:ind w:left="1100" w:right="659" w:hanging="322"/>
        <w:spacing w:after="0" w:line="236" w:lineRule="auto"/>
        <w:tabs>
          <w:tab w:leader="none" w:pos="1039"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of our directors, officers or substantial stockholders (as defined by Nasdaq rules) has a 5% or greater interest, directly or indirectly, in the target business or assets to be acquired and if the number of shares of common stock to be issued, or if the number of shares of common stock in which the securities may be convertible or exercisable, exceeds either (a) 1% of the number of shares of common stock or 1% of the voting power outstanding before the issuance in the case of any of our directors and officers and (b) 5% of the number of shares of common stock or 5% of the voting power outstanding before the issuance in the case of any substantial security holder; or</w:t>
      </w:r>
    </w:p>
    <w:p>
      <w:pPr>
        <w:spacing w:after="0" w:line="32" w:lineRule="exact"/>
        <w:rPr>
          <w:rFonts w:ascii="Arial" w:cs="Arial" w:eastAsia="Arial" w:hAnsi="Arial"/>
          <w:sz w:val="18"/>
          <w:szCs w:val="18"/>
          <w:color w:val="auto"/>
        </w:rPr>
      </w:pPr>
    </w:p>
    <w:p>
      <w:pPr>
        <w:ind w:left="1100" w:right="559" w:hanging="322"/>
        <w:spacing w:after="0" w:line="246" w:lineRule="auto"/>
        <w:tabs>
          <w:tab w:leader="none" w:pos="1039"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issuance or potential issuance of common stock will result in our undergoing a change of control</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Permitted Purchases of Our Securities</w:t>
      </w:r>
    </w:p>
    <w:p>
      <w:pPr>
        <w:spacing w:after="0" w:line="153"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If we seek stockholder approval of our initial business combination and we do not conduct redemptions in connection with our initial business combination pursuant to the tender offer rules, our sponsor, initial stockholders, directors, executive officers, advisors or their respective affiliates may purchase public shares in privately negotiated transactions or in the open market either prior to or following the completion of our initial business combination. There is no limit on the number of shares our initial stockholders, directors, officers, advisors or their respective affiliates may purchase in such transactions, subject to compliance with applicable law and Nasdaq rules. However, they have no current commitments, plans or intentions to engage in such purchases or other transactions and have not formulated any terms or conditions for any such purchases or other transactions. None of the funds in the trust account will be used to purchase shares in such transactions. If they engage in such transactions, they will be restricted from making any such purchases when they are in possession of any material non-public information not disclosed to the seller or if such purchases are prohibited by Regulation M under the Exchange Act.</w:t>
      </w:r>
    </w:p>
    <w:p>
      <w:pPr>
        <w:spacing w:after="0" w:line="135" w:lineRule="exact"/>
        <w:rPr>
          <w:sz w:val="20"/>
          <w:szCs w:val="20"/>
          <w:color w:val="auto"/>
        </w:rPr>
      </w:pPr>
    </w:p>
    <w:p>
      <w:pPr>
        <w:ind w:left="460" w:right="799"/>
        <w:spacing w:after="0" w:line="238" w:lineRule="auto"/>
        <w:rPr>
          <w:sz w:val="20"/>
          <w:szCs w:val="20"/>
          <w:color w:val="auto"/>
        </w:rPr>
      </w:pPr>
      <w:r>
        <w:rPr>
          <w:rFonts w:ascii="Arial" w:cs="Arial" w:eastAsia="Arial" w:hAnsi="Arial"/>
          <w:sz w:val="18"/>
          <w:szCs w:val="18"/>
          <w:color w:val="auto"/>
        </w:rPr>
        <w:t>In the event that our sponsor, initial stockholders, directors, officers, advisors or their respective affiliates purchase shares in privately negotiated transactions from public stockholders who have already elected to exercise their redemption rights, such selling stockholders would be required to revoke their prior elections to redeem their shares. We do not currently anticipate that such purchases, if any, would constitute a tender offer subject to the tender offer</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77" w:name="page78"/>
    <w:bookmarkEnd w:id="77"/>
    <w:p>
      <w:pPr>
        <w:jc w:val="both"/>
        <w:ind w:left="460" w:right="659"/>
        <w:spacing w:after="0" w:line="261" w:lineRule="auto"/>
        <w:rPr>
          <w:sz w:val="20"/>
          <w:szCs w:val="20"/>
          <w:color w:val="auto"/>
        </w:rPr>
      </w:pPr>
      <w:r>
        <w:rPr>
          <w:rFonts w:ascii="Arial" w:cs="Arial" w:eastAsia="Arial" w:hAnsi="Arial"/>
          <w:sz w:val="17"/>
          <w:szCs w:val="17"/>
          <w:color w:val="auto"/>
        </w:rPr>
        <w:t>rules under the Exchange Act or a going-private transaction subject to the going-private rules under the Exchange Act; however, if the purchasers determine at the time of any such purchases that the purchases are subject to such rules, the purchasers will be required to comply with such rules.</w:t>
      </w:r>
    </w:p>
    <w:p>
      <w:pPr>
        <w:spacing w:after="0" w:line="105" w:lineRule="exact"/>
        <w:rPr>
          <w:sz w:val="20"/>
          <w:szCs w:val="20"/>
          <w:color w:val="auto"/>
        </w:rPr>
      </w:pPr>
    </w:p>
    <w:p>
      <w:pPr>
        <w:ind w:left="460" w:right="499"/>
        <w:spacing w:after="0" w:line="237" w:lineRule="auto"/>
        <w:rPr>
          <w:sz w:val="20"/>
          <w:szCs w:val="20"/>
          <w:color w:val="auto"/>
        </w:rPr>
      </w:pPr>
      <w:r>
        <w:rPr>
          <w:rFonts w:ascii="Arial" w:cs="Arial" w:eastAsia="Arial" w:hAnsi="Arial"/>
          <w:sz w:val="18"/>
          <w:szCs w:val="18"/>
          <w:color w:val="auto"/>
        </w:rPr>
        <w:t>The purpose of any such purchases of shares could be to (i) vote such shares in favor of the business combination and thereby increase the likelihood of obtaining the requisite stockholder approval of the business combination or (ii) to satisfy a closing condition in an agreement with a target that requires us to have a minimum net worth or a certain amount of cash at the closing of our initial business combination, where it appears that such requirement would otherwise not be met. Any such purchases of our shares may result in the completion of our initial business combination that may not otherwise have been possible.</w:t>
      </w:r>
    </w:p>
    <w:p>
      <w:pPr>
        <w:spacing w:after="0" w:line="135" w:lineRule="exact"/>
        <w:rPr>
          <w:sz w:val="20"/>
          <w:szCs w:val="20"/>
          <w:color w:val="auto"/>
        </w:rPr>
      </w:pPr>
    </w:p>
    <w:p>
      <w:pPr>
        <w:ind w:left="460" w:right="659"/>
        <w:spacing w:after="0" w:line="238" w:lineRule="auto"/>
        <w:rPr>
          <w:sz w:val="20"/>
          <w:szCs w:val="20"/>
          <w:color w:val="auto"/>
        </w:rPr>
      </w:pPr>
      <w:r>
        <w:rPr>
          <w:rFonts w:ascii="Arial" w:cs="Arial" w:eastAsia="Arial" w:hAnsi="Arial"/>
          <w:sz w:val="18"/>
          <w:szCs w:val="18"/>
          <w:color w:val="auto"/>
        </w:rPr>
        <w:t>In addition, if such purchases are made, the public “float” of our Class A common stock may be reduced and the number of beneficial holders of our Class A common stock may be reduced, which may make it difficult to maintain or obtain the quotation, listing or trading of our Class A common stock on a national securities exchange.</w:t>
      </w:r>
    </w:p>
    <w:p>
      <w:pPr>
        <w:spacing w:after="0" w:line="137" w:lineRule="exact"/>
        <w:rPr>
          <w:sz w:val="20"/>
          <w:szCs w:val="20"/>
          <w:color w:val="auto"/>
        </w:rPr>
      </w:pPr>
    </w:p>
    <w:p>
      <w:pPr>
        <w:ind w:left="460" w:right="539"/>
        <w:spacing w:after="0" w:line="235" w:lineRule="auto"/>
        <w:rPr>
          <w:sz w:val="20"/>
          <w:szCs w:val="20"/>
          <w:color w:val="auto"/>
        </w:rPr>
      </w:pPr>
      <w:r>
        <w:rPr>
          <w:rFonts w:ascii="Arial" w:cs="Arial" w:eastAsia="Arial" w:hAnsi="Arial"/>
          <w:sz w:val="18"/>
          <w:szCs w:val="18"/>
          <w:color w:val="auto"/>
        </w:rPr>
        <w:t>Our sponsor, initial stockholders, officers, directors and/or their respective affiliates anticipate that they may identify the stockholders with whom our initial stockholders, officers, directors or their respective affiliates may pursue privately negotiated purchases by either the stockholders contacting us directly or by our receipt of redemption requests submitted by stockholders (in the case of Class A common stock) following our mailing of proxy materials in connection with our initial business combination. To the extent that our sponsor, officers, directors, advisors or their respective affiliates enter into a private purchase, they would identify and contact only potential selling stockholders who have expressed their election to redeem their shares for a pro rata share of the trust account or vote against our initial business combination, whether or not such stockholder has already submitted a proxy with respect to our initial business combination but only if such shares have not already been voted at the stockholder meeting related to our initial business combination. Our sponsor, executive officers, directors, advisors or any of their affiliates will select which stockholders to purchase shares from based on a negotiated price and number of shares and any other factors that they may deem relevant, and will only purchase shares if such purchases comply with Regulation M under the Exchange Act and the other federal securities laws. Our sponsor, officers, directors and/or their respective affiliates will be restricted from making purchases of shares if the purchases would violate Section 9(a)(2) or Rule 10b-5 of the Exchange Act. We expect any such purchases will be reported pursuant to Section 13 and Section 16 of the Exchange Act to the extent such purchases are subject to such reporting requirements.</w:t>
      </w:r>
    </w:p>
    <w:p>
      <w:pPr>
        <w:spacing w:after="0" w:line="191" w:lineRule="exact"/>
        <w:rPr>
          <w:sz w:val="20"/>
          <w:szCs w:val="20"/>
          <w:color w:val="auto"/>
        </w:rPr>
      </w:pPr>
    </w:p>
    <w:p>
      <w:pPr>
        <w:ind w:left="460" w:right="1359"/>
        <w:spacing w:after="0" w:line="271" w:lineRule="auto"/>
        <w:rPr>
          <w:sz w:val="20"/>
          <w:szCs w:val="20"/>
          <w:color w:val="auto"/>
        </w:rPr>
      </w:pPr>
      <w:r>
        <w:rPr>
          <w:rFonts w:ascii="Arial" w:cs="Arial" w:eastAsia="Arial" w:hAnsi="Arial"/>
          <w:sz w:val="18"/>
          <w:szCs w:val="18"/>
          <w:b w:val="1"/>
          <w:bCs w:val="1"/>
          <w:i w:val="1"/>
          <w:iCs w:val="1"/>
          <w:color w:val="auto"/>
        </w:rPr>
        <w:t>Redemption Rights for Public Stockholders upon Completion of Our Initial Business Combination</w:t>
      </w:r>
    </w:p>
    <w:p>
      <w:pPr>
        <w:spacing w:after="0" w:line="95" w:lineRule="exact"/>
        <w:rPr>
          <w:sz w:val="20"/>
          <w:szCs w:val="20"/>
          <w:color w:val="auto"/>
        </w:rPr>
      </w:pPr>
    </w:p>
    <w:p>
      <w:pPr>
        <w:ind w:left="460" w:right="559"/>
        <w:spacing w:after="0" w:line="236" w:lineRule="auto"/>
        <w:rPr>
          <w:sz w:val="20"/>
          <w:szCs w:val="20"/>
          <w:color w:val="auto"/>
        </w:rPr>
      </w:pPr>
      <w:r>
        <w:rPr>
          <w:rFonts w:ascii="Arial" w:cs="Arial" w:eastAsia="Arial" w:hAnsi="Arial"/>
          <w:sz w:val="18"/>
          <w:szCs w:val="18"/>
          <w:color w:val="auto"/>
        </w:rPr>
        <w:t>We will provide our public stockholders with the opportunity to redeem all or a portion of their shares of Class A common stock upon the completion of our initial business combination at a per-share price, payable in cash, equal to the aggregate amount then on deposit in the trust account calculated as of two business days prior to the consummation of the initial business combination, including interest earned on the funds held in the trust account and not previously released to us to pay our taxes, divided by the number of then outstanding public shares, subject to the limitations and on the conditions described herein. The amount in the trust account is initially anticipated to be $10.00 per public share. The per share amount we will distribute to investors who properly redeem their shares will not be reduced by the deferred underwriting commissions we will pay to the underwriters. Our initial stockholders, sponsor, officers and directors have entered into a letter agreement with us, pursuant to which they have agreed to waive their redemption rights with respect to any founder shares, private placement shares and public shares they may hold in connection with the completion of our initial business combination.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Limitations on Redemptions</w:t>
      </w:r>
    </w:p>
    <w:p>
      <w:pPr>
        <w:spacing w:after="0" w:line="166" w:lineRule="exact"/>
        <w:rPr>
          <w:sz w:val="20"/>
          <w:szCs w:val="20"/>
          <w:color w:val="auto"/>
        </w:rPr>
      </w:pPr>
    </w:p>
    <w:p>
      <w:pPr>
        <w:ind w:left="460" w:right="539"/>
        <w:spacing w:after="0" w:line="236" w:lineRule="auto"/>
        <w:rPr>
          <w:sz w:val="20"/>
          <w:szCs w:val="20"/>
          <w:color w:val="auto"/>
        </w:rPr>
      </w:pPr>
      <w:r>
        <w:rPr>
          <w:rFonts w:ascii="Arial" w:cs="Arial" w:eastAsia="Arial" w:hAnsi="Arial"/>
          <w:sz w:val="18"/>
          <w:szCs w:val="18"/>
          <w:color w:val="auto"/>
        </w:rPr>
        <w:t>Our amended and restated certificate of incorporation will provide that in no event will we redeem our public shares in an amount that would cause our net tangible assets to be less than $5,000,001. In addition, our proposed initial business combination may impose a minimum cash requirement for: (i) cash consideration to be paid to the target or its owners, (ii) cash for working capital or other general corporate purposes or (iii) the retention of cash to satisfy other conditions. In the event the aggregate cash consideration we would be required to pay for all shares of Class A common stock that are validly submitted for redemption plus any amount required to satisfy cash conditions pursuant to the terms of the proposed initial business combination exceed the aggregate amount of cash available to us, we will not complete the initial business combination or redeem any shares in connection with such initial business combination, and all shares of Class A common stock submitted for redemption will be returned to the</w:t>
      </w:r>
    </w:p>
    <w:p>
      <w:pPr>
        <w:sectPr>
          <w:pgSz w:w="11900" w:h="16838" w:orient="portrait"/>
          <w:cols w:equalWidth="0" w:num="1">
            <w:col w:w="9019"/>
          </w:cols>
          <w:pgMar w:left="1440" w:top="287" w:right="1440" w:bottom="1440" w:gutter="0" w:footer="0" w:header="0"/>
        </w:sectPr>
      </w:pP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78" w:name="page79"/>
    <w:bookmarkEnd w:id="78"/>
    <w:p>
      <w:pPr>
        <w:ind w:left="460" w:right="739"/>
        <w:spacing w:after="0" w:line="238" w:lineRule="auto"/>
        <w:rPr>
          <w:sz w:val="20"/>
          <w:szCs w:val="20"/>
          <w:color w:val="auto"/>
        </w:rPr>
      </w:pPr>
      <w:r>
        <w:rPr>
          <w:rFonts w:ascii="Arial" w:cs="Arial" w:eastAsia="Arial" w:hAnsi="Arial"/>
          <w:sz w:val="18"/>
          <w:szCs w:val="18"/>
          <w:color w:val="auto"/>
        </w:rPr>
        <w:t>holders thereof. We may, however, raise funds through the issuance of equity-linked securities or through loans, advances or other indebtedness in connection with our initial business combination, including pursuant to forward purchase agreements or backstop arrangements we may enter into following consummation of this offering, in order to, among other reasons, satisfy such net tangible assets or minimum cash requirements.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Manner of Conducting Redemptions</w:t>
      </w:r>
    </w:p>
    <w:p>
      <w:pPr>
        <w:spacing w:after="0" w:line="153"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We will provide our public stockholders with the opportunity to redeem all or a portion of their public shares upon the completion of our initial business combination either (i) in connection with a stockholder meeting called to approve the initial business combination or (ii) without a stockholder vote by means of a tender offer. The decision as to whether we will seek stockholder approval of a proposed initial business combination or conduct a tender offer will be made by us, solely in our discretion, and will be based on a variety of factors such as the timing of the transaction and whether the terms of the transaction would require us to seek stockholder approval under applicable law or stock exchange listing requirements. Asset acquisitions and stock purchases would not typically require stockholder approval while direct mergers with our company where we do not survive and any transactions where we issue more than 20% of our issued and outstanding common stock (excluding the private placement shares) or seek to amend our amended and restated certificate of incorporation would require stockholder approval. So long as we obtain and maintain a listing for our securities on Nasdaq, we will be required to comply with Nasdaq’s stockholder approval rules.</w:t>
      </w:r>
    </w:p>
    <w:p>
      <w:pPr>
        <w:spacing w:after="0" w:line="135" w:lineRule="exact"/>
        <w:rPr>
          <w:sz w:val="20"/>
          <w:szCs w:val="20"/>
          <w:color w:val="auto"/>
        </w:rPr>
      </w:pPr>
    </w:p>
    <w:p>
      <w:pPr>
        <w:ind w:left="460" w:right="519"/>
        <w:spacing w:after="0" w:line="237" w:lineRule="auto"/>
        <w:rPr>
          <w:sz w:val="20"/>
          <w:szCs w:val="20"/>
          <w:color w:val="auto"/>
        </w:rPr>
      </w:pPr>
      <w:r>
        <w:rPr>
          <w:rFonts w:ascii="Arial" w:cs="Arial" w:eastAsia="Arial" w:hAnsi="Arial"/>
          <w:sz w:val="18"/>
          <w:szCs w:val="18"/>
          <w:color w:val="auto"/>
        </w:rPr>
        <w:t>The requirement that we provide our public stockholders with the opportunity to redeem their public shares by one of the two methods listed above will be contained in provisions of our amended and restated certificate of incorporation and will apply whether or not we maintain our registration under the Exchange Act or our listing on Nasdaq. Such provisions of our amended and restated certificate of incorporation may be amended if approved by holders of 65% of our common stock entitled to vote thereon.</w:t>
      </w:r>
    </w:p>
    <w:p>
      <w:pPr>
        <w:spacing w:after="0" w:line="137" w:lineRule="exact"/>
        <w:rPr>
          <w:sz w:val="20"/>
          <w:szCs w:val="20"/>
          <w:color w:val="auto"/>
        </w:rPr>
      </w:pPr>
    </w:p>
    <w:p>
      <w:pPr>
        <w:ind w:left="460" w:right="559"/>
        <w:spacing w:after="0" w:line="246" w:lineRule="auto"/>
        <w:rPr>
          <w:sz w:val="20"/>
          <w:szCs w:val="20"/>
          <w:color w:val="auto"/>
        </w:rPr>
      </w:pPr>
      <w:r>
        <w:rPr>
          <w:rFonts w:ascii="Arial" w:cs="Arial" w:eastAsia="Arial" w:hAnsi="Arial"/>
          <w:sz w:val="18"/>
          <w:szCs w:val="18"/>
          <w:color w:val="auto"/>
        </w:rPr>
        <w:t>If we provide our public stockholders with the opportunity to redeem their public shares in connection with a stockholder meeting, we will:</w:t>
      </w:r>
    </w:p>
    <w:p>
      <w:pPr>
        <w:spacing w:after="0" w:line="8" w:lineRule="exact"/>
        <w:rPr>
          <w:sz w:val="20"/>
          <w:szCs w:val="20"/>
          <w:color w:val="auto"/>
        </w:rPr>
      </w:pPr>
    </w:p>
    <w:p>
      <w:pPr>
        <w:ind w:left="1100" w:right="519" w:hanging="322"/>
        <w:spacing w:after="0"/>
        <w:tabs>
          <w:tab w:leader="none" w:pos="1039"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conduct the redemptions in conjunction with a proxy solicitation pursuant to Regulation 14A of the Exchange Act, which regulates the solicitation of proxies, and not pursuant to the tender offer rules, and</w:t>
      </w:r>
    </w:p>
    <w:p>
      <w:pPr>
        <w:spacing w:after="0" w:line="27" w:lineRule="exact"/>
        <w:rPr>
          <w:rFonts w:ascii="Arial" w:cs="Arial" w:eastAsia="Arial" w:hAnsi="Arial"/>
          <w:sz w:val="18"/>
          <w:szCs w:val="18"/>
          <w:color w:val="auto"/>
        </w:rPr>
      </w:pPr>
    </w:p>
    <w:p>
      <w:pPr>
        <w:ind w:left="1040" w:hanging="262"/>
        <w:spacing w:after="0"/>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file proxy materials with the SEC.</w:t>
      </w:r>
    </w:p>
    <w:p>
      <w:pPr>
        <w:spacing w:after="0" w:line="144" w:lineRule="exact"/>
        <w:rPr>
          <w:sz w:val="20"/>
          <w:szCs w:val="20"/>
          <w:color w:val="auto"/>
        </w:rPr>
      </w:pPr>
    </w:p>
    <w:p>
      <w:pPr>
        <w:ind w:left="460" w:right="459"/>
        <w:spacing w:after="0" w:line="248" w:lineRule="auto"/>
        <w:rPr>
          <w:sz w:val="20"/>
          <w:szCs w:val="20"/>
          <w:color w:val="auto"/>
        </w:rPr>
      </w:pPr>
      <w:r>
        <w:rPr>
          <w:rFonts w:ascii="Arial" w:cs="Arial" w:eastAsia="Arial" w:hAnsi="Arial"/>
          <w:sz w:val="17"/>
          <w:szCs w:val="17"/>
          <w:color w:val="auto"/>
        </w:rPr>
        <w:t>If we seek stockholder approval, we will complete our initial business combination only if a majority of the issued and outstanding shares of common stock voted are voted in favor of the initial business combination. A quorum for such meeting will consist of the holders present in person or by proxy of shares of outstanding capital stock of the Company representing a majority of the voting power of all issued and outstanding shares of capital stock of the Company entitled to vote at such meeting. Our initial stockholders will count towards this quorum and, pursuant to the letter agreement, our sponsor, officers and directors have agreed to vote any founder shares they hold and any public shares purchased during or after this offering (including in open market and privately-negotiated transactions) in favor of our initial business combination. For purposes of seeking approval of the majority of our issued and outstanding shares of common stock voted, non-votes will have no effect on the approval of our initial business combination once a quorum is obtained. As a result, in addition to our initial stockholders’ founder shares and private placement shares, we would need only 3,550,001, or</w:t>
      </w:r>
    </w:p>
    <w:p>
      <w:pPr>
        <w:spacing w:after="0" w:line="6"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35.5%, of the 10,000,000 public shares sold in this offering to be voted in favor of an initial business combination in order to have our initial business combination approved (assuming all issued and outstanding shares of common stock are voted, the private placement shares to be issued to our sponsor are voted in favor of the transaction and the over-allotment option is not exercised). These quorum and voting thresholds, and the voting agreements of our initial stockholders, may make it more likely that we will consummate our initial business combination. Each public stockholder may elect to redeem its public shares irrespective of whether they vote for or against the proposed transaction or whether they were a stockholder on the record date for the stockholder meeting held to approve the proposed transaction.</w:t>
      </w:r>
    </w:p>
    <w:p>
      <w:pPr>
        <w:spacing w:after="0" w:line="126" w:lineRule="exact"/>
        <w:rPr>
          <w:sz w:val="20"/>
          <w:szCs w:val="20"/>
          <w:color w:val="auto"/>
        </w:rPr>
      </w:pPr>
    </w:p>
    <w:p>
      <w:pPr>
        <w:ind w:left="460" w:right="679"/>
        <w:spacing w:after="0" w:line="246" w:lineRule="auto"/>
        <w:rPr>
          <w:sz w:val="20"/>
          <w:szCs w:val="20"/>
          <w:color w:val="auto"/>
        </w:rPr>
      </w:pPr>
      <w:r>
        <w:rPr>
          <w:rFonts w:ascii="Arial" w:cs="Arial" w:eastAsia="Arial" w:hAnsi="Arial"/>
          <w:sz w:val="18"/>
          <w:szCs w:val="18"/>
          <w:color w:val="auto"/>
        </w:rPr>
        <w:t>If a stockholder vote is not required and we do not decide to hold a stockholder vote for business or other legal reasons, we will:</w:t>
      </w:r>
    </w:p>
    <w:p>
      <w:pPr>
        <w:spacing w:after="0" w:line="21" w:lineRule="exact"/>
        <w:rPr>
          <w:sz w:val="20"/>
          <w:szCs w:val="20"/>
          <w:color w:val="auto"/>
        </w:rPr>
      </w:pPr>
    </w:p>
    <w:p>
      <w:pPr>
        <w:ind w:left="1100" w:right="779" w:hanging="322"/>
        <w:spacing w:after="0" w:line="246" w:lineRule="auto"/>
        <w:tabs>
          <w:tab w:leader="none" w:pos="1039"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conduct the redemptions pursuant to Rule 13e-4 and Regulation 14E of the Exchange Act, which regulate issuer tender offers, and</w:t>
      </w:r>
    </w:p>
    <w:p>
      <w:pPr>
        <w:spacing w:after="0" w:line="21" w:lineRule="exact"/>
        <w:rPr>
          <w:rFonts w:ascii="Arial" w:cs="Arial" w:eastAsia="Arial" w:hAnsi="Arial"/>
          <w:sz w:val="18"/>
          <w:szCs w:val="18"/>
          <w:color w:val="auto"/>
        </w:rPr>
      </w:pPr>
    </w:p>
    <w:p>
      <w:pPr>
        <w:ind w:left="1100" w:right="519" w:hanging="322"/>
        <w:spacing w:after="0" w:line="238" w:lineRule="auto"/>
        <w:tabs>
          <w:tab w:leader="none" w:pos="1039" w:val="left"/>
        </w:tabs>
        <w:numPr>
          <w:ilvl w:val="0"/>
          <w:numId w:val="47"/>
        </w:numPr>
        <w:rPr>
          <w:rFonts w:ascii="Arial" w:cs="Arial" w:eastAsia="Arial" w:hAnsi="Arial"/>
          <w:sz w:val="18"/>
          <w:szCs w:val="18"/>
          <w:color w:val="auto"/>
        </w:rPr>
      </w:pPr>
      <w:r>
        <w:rPr>
          <w:rFonts w:ascii="Arial" w:cs="Arial" w:eastAsia="Arial" w:hAnsi="Arial"/>
          <w:sz w:val="18"/>
          <w:szCs w:val="18"/>
          <w:color w:val="auto"/>
        </w:rPr>
        <w:t>file tender offer documents with the SEC prior to completing our initial business combination, which contain substantially the same financial and other information about the initial business combination and the redemption rights as is required under Regulation 14A of the Exchange Act, which regulates the solicitation of proxies.</w:t>
      </w:r>
    </w:p>
    <w:p>
      <w:pPr>
        <w:sectPr>
          <w:pgSz w:w="11900" w:h="16838" w:orient="portrait"/>
          <w:cols w:equalWidth="0" w:num="1">
            <w:col w:w="9019"/>
          </w:cols>
          <w:pgMar w:left="1440" w:top="287" w:right="1440" w:bottom="1440" w:gutter="0" w:footer="0" w:header="0"/>
        </w:sectPr>
      </w:pP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79" w:name="page80"/>
    <w:bookmarkEnd w:id="79"/>
    <w:p>
      <w:pPr>
        <w:ind w:left="460" w:right="479"/>
        <w:spacing w:after="0" w:line="236" w:lineRule="auto"/>
        <w:rPr>
          <w:sz w:val="20"/>
          <w:szCs w:val="20"/>
          <w:color w:val="auto"/>
        </w:rPr>
      </w:pPr>
      <w:r>
        <w:rPr>
          <w:rFonts w:ascii="Arial" w:cs="Arial" w:eastAsia="Arial" w:hAnsi="Arial"/>
          <w:sz w:val="18"/>
          <w:szCs w:val="18"/>
          <w:color w:val="auto"/>
        </w:rPr>
        <w:t>In the event we conduct redemptions pursuant to the tender offer rules, our offer to redeem will remain open for at least 20 business days, in accordance with Rule 14e-1(a) under the Exchange Act, and we will not be permitted to complete our initial business combination until the expiration of the tender offer period. In addition, the tender offer will be conditioned on public stockholders not tendering more than a specified number of public shares, which number will be based on the requirement that we may not redeem public shares in an amount that would cause our net tangible assets to be less than $5,000,001. If public stockholders tender more shares than we have offered to purchase, we will withdraw the tender offer and not complete the initial business combination.</w:t>
      </w:r>
    </w:p>
    <w:p>
      <w:pPr>
        <w:spacing w:after="0" w:line="127"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Upon the public announcement of our initial business combination, if we elect to conduct redemptions pursuant to the tender offer rules, we and our sponsor will terminate any plan established in accordance with Rule 10b5-1 to purchase shares of our Class A common stock in the open market, in order to comply with Rule 14e-5 under the Exchange Act.</w:t>
      </w:r>
    </w:p>
    <w:p>
      <w:pPr>
        <w:spacing w:after="0" w:line="137"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We intend to require our public stockholders seeking to exercise their redemption rights, whether they are record holders or hold their shares in “street name,” to, at the holder’s option, either deliver their stock certificates to our transfer agent or deliver their shares to our transfer agent electronically using The Depository Trust Company’s DWAC (Deposit/Withdrawal At Custodian) system, prior to the date set forth in the proxy materials or tender offer documents, as applicable. In the case of proxy materials, this date may be up to two business days prior to the date on which the vote on the proposal to approve the initial business combination is to be held. In addition, if we conduct redemptions in connection with a stockholder vote, we intend to require a public stockholder seeking redemption of its public shares to also submit a written request for redemption to our transfer agent two business days prior to the vote in which the name of the beneficial owner of such shares is included. The proxy materials or tender offer documents, as applicable, that we will furnish to holders of our public shares in connection with our initial business combination will indicate whether we are requiring public stockholders to satisfy such delivery requirements. We believe that this will allow our transfer agent to efficiently process any redemptions without the need for further communication or action from the redeeming public stockholders, which could delay redemptions and result in additional administrative cost. If the proposed initial business combination is not approved and we continue to search for a target company, we will promptly return any certificates or shares delivered by public stockholders who elected to redeem their shares.</w:t>
      </w:r>
    </w:p>
    <w:p>
      <w:pPr>
        <w:spacing w:after="0" w:line="145" w:lineRule="exact"/>
        <w:rPr>
          <w:sz w:val="20"/>
          <w:szCs w:val="20"/>
          <w:color w:val="auto"/>
        </w:rPr>
      </w:pPr>
    </w:p>
    <w:p>
      <w:pPr>
        <w:ind w:left="460" w:right="499"/>
        <w:spacing w:after="0" w:line="235" w:lineRule="auto"/>
        <w:rPr>
          <w:sz w:val="20"/>
          <w:szCs w:val="20"/>
          <w:color w:val="auto"/>
        </w:rPr>
      </w:pPr>
      <w:r>
        <w:rPr>
          <w:rFonts w:ascii="Arial" w:cs="Arial" w:eastAsia="Arial" w:hAnsi="Arial"/>
          <w:sz w:val="18"/>
          <w:szCs w:val="18"/>
          <w:color w:val="auto"/>
        </w:rPr>
        <w:t>Our amended and restated certificate of incorporation will provide that in no event will we redeem our public shares in an amount that would cause our net tangible assets to be less than $5,000,001. In addition, our proposed initial business combination may impose a minimum cash requirement for: (i) cash consideration to be paid to the target or its owners, (ii) cash for working capital or other general corporate purposes or (iii) the retention of cash to satisfy other conditions. In the event the aggregate cash consideration we would be required to pay for all shares of Class A common stock that are validly submitted for redemption plus any amount required to satisfy cash conditions pursuant to the terms of the proposed initial business combination exceed the aggregate amount of cash available to us, we will not complete the initial business combination or redeem any shares in connection with such initial business combination, and all shares of Class A common stock submitted for redemption will be returned to the holders thereof. We may, however, raise funds through the issuance of equity-linked securities or through loans, advances or other indebtedness in connection with our initial business combination, including pursuant to forward purchase agreements or backstop arrangements we may enter into following consummation of this offering, in order to, among other reasons, satisfy such net tangible assets or minimum cash requirements.</w:t>
      </w:r>
    </w:p>
    <w:p>
      <w:pPr>
        <w:spacing w:after="0" w:line="191" w:lineRule="exact"/>
        <w:rPr>
          <w:sz w:val="20"/>
          <w:szCs w:val="20"/>
          <w:color w:val="auto"/>
        </w:rPr>
      </w:pPr>
    </w:p>
    <w:p>
      <w:pPr>
        <w:ind w:left="460" w:right="739"/>
        <w:spacing w:after="0" w:line="271" w:lineRule="auto"/>
        <w:rPr>
          <w:sz w:val="20"/>
          <w:szCs w:val="20"/>
          <w:color w:val="auto"/>
        </w:rPr>
      </w:pPr>
      <w:r>
        <w:rPr>
          <w:rFonts w:ascii="Arial" w:cs="Arial" w:eastAsia="Arial" w:hAnsi="Arial"/>
          <w:sz w:val="18"/>
          <w:szCs w:val="18"/>
          <w:b w:val="1"/>
          <w:bCs w:val="1"/>
          <w:i w:val="1"/>
          <w:iCs w:val="1"/>
          <w:color w:val="auto"/>
        </w:rPr>
        <w:t>Limitation on Redemption Upon Completion of Our Initial Business Combination If We Seek Stockholder Approval</w:t>
      </w:r>
    </w:p>
    <w:p>
      <w:pPr>
        <w:spacing w:after="0" w:line="95"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If we seek stockholder approval of our initial business combination and we do not conduct redemptions in connection with our initial business combination pursuant to the tender offer rules, our amended and restated certificate of incorporation provides that a public stockholder, together with any affiliate of such stockholder or any other person with whom such stockholder is acting in concert or as a “group” (as defined under Section 13 of the Exchange Act), will be restricted from seeking redemption rights with respect to Excess Shares, without our prior consent. We believe this restriction will discourage stockholders from accumulating large blocks of shares, and subsequent attempts by such holders to use their ability to exercise their redemption rights against a proposed business combination as a means to force us or our management to purchase their shares at a significant premium to the then-current market price or on other undesirable terms. Absent this provision, a public stockholder holding more than an aggregate of 20% of the shares sold in this offering could threaten to exercise its redemption rights if such holder’s shares are not purchased by us, our sponsor or our management at a premium to the then-current market</w:t>
      </w:r>
    </w:p>
    <w:p>
      <w:pPr>
        <w:sectPr>
          <w:pgSz w:w="11900" w:h="16838" w:orient="portrait"/>
          <w:cols w:equalWidth="0" w:num="1">
            <w:col w:w="9019"/>
          </w:cols>
          <w:pgMar w:left="1440" w:top="287" w:right="1440"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80" w:name="page81"/>
    <w:bookmarkEnd w:id="80"/>
    <w:p>
      <w:pPr>
        <w:ind w:left="460" w:right="559"/>
        <w:spacing w:after="0" w:line="238" w:lineRule="auto"/>
        <w:rPr>
          <w:sz w:val="20"/>
          <w:szCs w:val="20"/>
          <w:color w:val="auto"/>
        </w:rPr>
      </w:pPr>
      <w:r>
        <w:rPr>
          <w:rFonts w:ascii="Arial" w:cs="Arial" w:eastAsia="Arial" w:hAnsi="Arial"/>
          <w:sz w:val="18"/>
          <w:szCs w:val="18"/>
          <w:color w:val="auto"/>
        </w:rPr>
        <w:t>price or on other undesirable terms. By limiting our stockholders’ ability to redeem no more than 20% of the shares sold in this offering without our prior consent, we believe we will limit the ability of a small group of stockholders to unreasonably attempt to block our ability to complete our initial business combination, particularly in connection with a business combination with a target that requires as a closing condition that we have a minimum net worth or a certain amount of cash.</w:t>
      </w:r>
    </w:p>
    <w:p>
      <w:pPr>
        <w:spacing w:after="0" w:line="121" w:lineRule="exact"/>
        <w:rPr>
          <w:sz w:val="20"/>
          <w:szCs w:val="20"/>
          <w:color w:val="auto"/>
        </w:rPr>
      </w:pPr>
    </w:p>
    <w:p>
      <w:pPr>
        <w:ind w:left="460" w:right="879"/>
        <w:spacing w:after="0" w:line="246" w:lineRule="auto"/>
        <w:rPr>
          <w:sz w:val="20"/>
          <w:szCs w:val="20"/>
          <w:color w:val="auto"/>
        </w:rPr>
      </w:pPr>
      <w:r>
        <w:rPr>
          <w:rFonts w:ascii="Arial" w:cs="Arial" w:eastAsia="Arial" w:hAnsi="Arial"/>
          <w:sz w:val="18"/>
          <w:szCs w:val="18"/>
          <w:color w:val="auto"/>
        </w:rPr>
        <w:t>However, we would not be restricting our stockholders’ ability to vote all of their shares (including Excess Shares) for or against our initial business combination.</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Delivering Stock Certificates in Connection with the Exercise of Redemption Rights</w:t>
      </w:r>
    </w:p>
    <w:p>
      <w:pPr>
        <w:spacing w:after="0" w:line="166"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As described above, we intend to require our public stockholders seeking to exercise their redemption rights, whether they are record holders or hold their shares in “street name,” to, at the holder’s option, either deliver their stock certificates to our transfer agent or deliver their shares to our transfer agent electronically using The Depository Trust Company’s DWAC (Deposit/Withdrawal At Custodian) system, prior to the date set forth in the proxy materials or tender offer documents, as applicable. In the case of proxy materials, this date may be up to two business days prior to the date on which the vote on the proposal to approve the initial business combination is to be held. In addition, if we conduct redemptions in connection with a stockholder vote, we intend to require a public stockholder seeking redemption of its public shares to also submit a written request for redemption to our transfer agent two business days prior to the vote in which the name of the beneficial owner of such shares is included. The proxy materials or tender offer documents, as applicable, that we will furnish to holders of our public shares in connection with our initial business combination will indicate whether we are requiring public stockholders to satisfy such delivery requirements. Accordingly, a public stockholder would have up to two business days prior to the vote on the initial business combination if we distribute proxy materials, or from the time we send out our tender offer materials until the close of the tender offer period, as applicable, to submit or tender its shares if it wishes to seek to exercise its redemption rights. In the event that a stockholder fails to comply with these or any other procedures disclosed in the proxy or tender offer materials, as applicable, its shares may not be redeemed. Given the relatively short exercise period, it is advisable for stockholders to use electronic delivery of their public shares.</w:t>
      </w:r>
    </w:p>
    <w:p>
      <w:pPr>
        <w:spacing w:after="0" w:line="145" w:lineRule="exact"/>
        <w:rPr>
          <w:sz w:val="20"/>
          <w:szCs w:val="20"/>
          <w:color w:val="auto"/>
        </w:rPr>
      </w:pPr>
    </w:p>
    <w:p>
      <w:pPr>
        <w:ind w:left="460" w:right="579"/>
        <w:spacing w:after="0" w:line="237" w:lineRule="auto"/>
        <w:rPr>
          <w:sz w:val="20"/>
          <w:szCs w:val="20"/>
          <w:color w:val="auto"/>
        </w:rPr>
      </w:pPr>
      <w:r>
        <w:rPr>
          <w:rFonts w:ascii="Arial" w:cs="Arial" w:eastAsia="Arial" w:hAnsi="Arial"/>
          <w:sz w:val="18"/>
          <w:szCs w:val="18"/>
          <w:color w:val="auto"/>
        </w:rPr>
        <w:t>There is a nominal cost associated with the above-referenced process and the act of certificating the shares or delivering them through the DWAC system. The transfer agent will typically charge the broker submitting or tendering shares a fee of approximately $80.00 and it would be up to the broker whether or not to pass this cost on to the redeeming holder. However, this fee would be incurred regardless of whether or not we require holders seeking to exercise redemption rights to submit or tender their shares. The need to deliver shares is a requirement of exercising redemption rights regardless of the timing of when such delivery must be effectuated.</w:t>
      </w:r>
    </w:p>
    <w:p>
      <w:pPr>
        <w:spacing w:after="0" w:line="122"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Any request to redeem such shares, once made, may be withdrawn at any time up to the date set forth in the proxy materials or tender offer documents, as applicable. Furthermore, if a holder of a public share delivered its certificate in connection with an election of redemption rights and subsequently decides prior to the applicable date not to elect to exercise such rights, such holder may simply request that the transfer agent return the certificate (physically or electronically). It is anticipated that the funds to be distributed to holders of our public shares electing to redeem their shares will be distributed promptly after the completion of our initial business combination.</w:t>
      </w:r>
    </w:p>
    <w:p>
      <w:pPr>
        <w:spacing w:after="0" w:line="135" w:lineRule="exact"/>
        <w:rPr>
          <w:sz w:val="20"/>
          <w:szCs w:val="20"/>
          <w:color w:val="auto"/>
        </w:rPr>
      </w:pPr>
    </w:p>
    <w:p>
      <w:pPr>
        <w:ind w:left="460" w:right="519"/>
        <w:spacing w:after="0" w:line="238" w:lineRule="auto"/>
        <w:rPr>
          <w:sz w:val="20"/>
          <w:szCs w:val="20"/>
          <w:color w:val="auto"/>
        </w:rPr>
      </w:pPr>
      <w:r>
        <w:rPr>
          <w:rFonts w:ascii="Arial" w:cs="Arial" w:eastAsia="Arial" w:hAnsi="Arial"/>
          <w:sz w:val="18"/>
          <w:szCs w:val="18"/>
          <w:color w:val="auto"/>
        </w:rPr>
        <w:t>If our initial business combination is not approved or completed for any reason, then our public stockholders who elected to exercise their redemption rights would not be entitled to redeem their shares for the applicable pro rata share of the trust account. In such case, we will promptly return any certificates delivered by public holders who elected to redeem their shares.</w:t>
      </w:r>
    </w:p>
    <w:p>
      <w:pPr>
        <w:spacing w:after="0" w:line="137" w:lineRule="exact"/>
        <w:rPr>
          <w:sz w:val="20"/>
          <w:szCs w:val="20"/>
          <w:color w:val="auto"/>
        </w:rPr>
      </w:pPr>
    </w:p>
    <w:p>
      <w:pPr>
        <w:ind w:left="460" w:right="499"/>
        <w:spacing w:after="0"/>
        <w:rPr>
          <w:sz w:val="20"/>
          <w:szCs w:val="20"/>
          <w:color w:val="auto"/>
        </w:rPr>
      </w:pPr>
      <w:r>
        <w:rPr>
          <w:rFonts w:ascii="Arial" w:cs="Arial" w:eastAsia="Arial" w:hAnsi="Arial"/>
          <w:sz w:val="18"/>
          <w:szCs w:val="18"/>
          <w:color w:val="auto"/>
        </w:rPr>
        <w:t>If our initial proposed initial business combination is not completed, we may continue to try to complete an initial business combination with a different target until 24 months from the closing of this offering.</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Redemption of Public Shares and Liquidation if No Initial Business Combination</w:t>
      </w:r>
    </w:p>
    <w:p>
      <w:pPr>
        <w:spacing w:after="0" w:line="153" w:lineRule="exact"/>
        <w:rPr>
          <w:sz w:val="20"/>
          <w:szCs w:val="20"/>
          <w:color w:val="auto"/>
        </w:rPr>
      </w:pPr>
    </w:p>
    <w:p>
      <w:pPr>
        <w:ind w:left="460" w:right="499"/>
        <w:spacing w:after="0" w:line="237" w:lineRule="auto"/>
        <w:rPr>
          <w:sz w:val="20"/>
          <w:szCs w:val="20"/>
          <w:color w:val="auto"/>
        </w:rPr>
      </w:pPr>
      <w:r>
        <w:rPr>
          <w:rFonts w:ascii="Arial" w:cs="Arial" w:eastAsia="Arial" w:hAnsi="Arial"/>
          <w:sz w:val="18"/>
          <w:szCs w:val="18"/>
          <w:color w:val="auto"/>
        </w:rPr>
        <w:t>Our amended and restated certificate of incorporation provides that we will have only 24 months from the closing of this offering to complete our initial business combination. If we are unable to complete our initial business combination within such 24-month period from the closing of this offering or during any Extension Period, we will: (i) cease all operations except for the purpose of winding up, (ii) as promptly as reasonably possible but not more than ten business days thereafter, redeem the public shares, at a per-share price, payable in cash, equal</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81" w:name="page82"/>
    <w:bookmarkEnd w:id="81"/>
    <w:p>
      <w:pPr>
        <w:ind w:left="460" w:right="539"/>
        <w:spacing w:after="0" w:line="236" w:lineRule="auto"/>
        <w:rPr>
          <w:sz w:val="20"/>
          <w:szCs w:val="20"/>
          <w:color w:val="auto"/>
        </w:rPr>
      </w:pPr>
      <w:r>
        <w:rPr>
          <w:rFonts w:ascii="Arial" w:cs="Arial" w:eastAsia="Arial" w:hAnsi="Arial"/>
          <w:sz w:val="18"/>
          <w:szCs w:val="18"/>
          <w:color w:val="auto"/>
        </w:rPr>
        <w:t>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our remaining stockholders and our board of directors, liquidate and dissolve, subject in each case to our obligations under Delaware law to provide for claims of creditors and the requirements of other applicable law.</w:t>
      </w:r>
    </w:p>
    <w:p>
      <w:pPr>
        <w:spacing w:after="0" w:line="127" w:lineRule="exact"/>
        <w:rPr>
          <w:sz w:val="20"/>
          <w:szCs w:val="20"/>
          <w:color w:val="auto"/>
        </w:rPr>
      </w:pPr>
    </w:p>
    <w:p>
      <w:pPr>
        <w:ind w:left="460" w:right="539"/>
        <w:spacing w:after="0" w:line="236" w:lineRule="auto"/>
        <w:rPr>
          <w:sz w:val="20"/>
          <w:szCs w:val="20"/>
          <w:color w:val="auto"/>
        </w:rPr>
      </w:pPr>
      <w:r>
        <w:rPr>
          <w:rFonts w:ascii="Arial" w:cs="Arial" w:eastAsia="Arial" w:hAnsi="Arial"/>
          <w:sz w:val="18"/>
          <w:szCs w:val="18"/>
          <w:color w:val="auto"/>
        </w:rPr>
        <w:t>Our initial stockholders, sponsor, officers and directors have entered into a letter agreement with us, pursuant to which they have waived their rights to liquidating distributions from the trust account with respect to any founder shares and private placement shares they hold if we fail to complete our initial business combination within 24 months from the closing of this offering or during any Extension Period. However, if our initial stockholders, sponsor or management team acquire public shares in or after this offering, they will be entitled to liquidating distributions from the trust account with respect to such public shares if we fail to complete our initial business combination within the allotted 24-month time period.</w:t>
      </w:r>
    </w:p>
    <w:p>
      <w:pPr>
        <w:spacing w:after="0" w:line="140"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Our initial stockholders, sponsor, officers and directors have agreed, pursuant to a letter agreement with us, that they will not propose any amendment to our amended and restated certificate of incorporation to modify the substance or timing of our obligation to redeem 100% of our public shares if we do not complete our initial business combination within 24 months from the closing of this offering or with respect to any other material provisions relating to stockholders’ rights or pre-initial business combination activity, unless we provide our public stockholders with the opportunity to redeem their public shares upon approval of any such amendment at a per-share price, payable in cash, equal to the aggregate amount then on deposit in the trust account, including interest earned on the funds held in the trust account and not previously released to us to pay our taxes, divided by the number of then outstanding public shares. However, we may not redeem our public shares in an amount that would cause our net tangible assets to be less than $5,000,001. If this optional redemption right is exercised with respect to an excessive number of public shares such that we cannot satisfy the net tangible asset requirement, we would not proceed with the amendment or the related redemption of our public shares at such time.</w:t>
      </w:r>
    </w:p>
    <w:p>
      <w:pPr>
        <w:spacing w:after="0" w:line="146" w:lineRule="exact"/>
        <w:rPr>
          <w:sz w:val="20"/>
          <w:szCs w:val="20"/>
          <w:color w:val="auto"/>
        </w:rPr>
      </w:pPr>
    </w:p>
    <w:p>
      <w:pPr>
        <w:ind w:left="460" w:right="519"/>
        <w:spacing w:after="0" w:line="237" w:lineRule="auto"/>
        <w:rPr>
          <w:sz w:val="20"/>
          <w:szCs w:val="20"/>
          <w:color w:val="auto"/>
        </w:rPr>
      </w:pPr>
      <w:r>
        <w:rPr>
          <w:rFonts w:ascii="Arial" w:cs="Arial" w:eastAsia="Arial" w:hAnsi="Arial"/>
          <w:sz w:val="18"/>
          <w:szCs w:val="18"/>
          <w:color w:val="auto"/>
        </w:rPr>
        <w:t>We expect that all costs and expenses associated with implementing our plan of dissolution, as well as payments to any creditors, will be funded from amounts remaining out of the approximately $1,000,000 of proceeds held outside the trust account, although we cannot assure you that there will be sufficient funds for such purpose. However, if those funds are not sufficient to cover the costs and expenses associated with implementing our plan of dissolution, to the extent that there is any interest accrued in the trust account not required to pay taxes, we may request the trustee to release to us an additional amount of up to $100,000 of such accrued interest to pay those costs and expenses.</w:t>
      </w:r>
    </w:p>
    <w:p>
      <w:pPr>
        <w:spacing w:after="0" w:line="122"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If we were to expend all of the net proceeds of this offering and the sale of the private placement shares, other than the proceeds deposited in the trust account, and without taking into account interest, if any, earned on the trust account and any tax payments or expenses for the dissolution of the trust, the per-share redemption amount received by stockholders upon our dissolution would be approximately $10.00. The proceeds deposited in the trust account could, however, become subject to the claims of our creditors which would have higher priority than the claims of our public stockholders. We cannot assure you that the actual per-share redemption amount received by stockholders will not be substantially less than $10.00. Under Section 281(b) of the DGCL, our plan of dissolution must provide for all claims against us to be paid in full or make provision for payments to be made in full, as applicable, if there are sufficient assets. These claims must be paid or provided for before we make any distribution of our remaining assets to our stockholders. While we intend to pay such amounts, if any, we cannot assure you that we will have funds sufficient to pay or provide for all creditors’ claims.</w:t>
      </w:r>
    </w:p>
    <w:p>
      <w:pPr>
        <w:spacing w:after="0" w:line="122"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Although we will seek to have all vendors, service providers (other than our independent registered public accounting firm), prospective target businesses and other entities with which we do business execute agreements with us waiving any right, title, interest or claim of any kind in or to any monies held in the trust account for the benefit of our public stockholders, there is no guarantee that they will execute such agreements or even if they execute such agreements that they would be prevented from bringing claims against the trust account including but not limited to fraudulent inducement, breach of fiduciary responsibility or other similar claims, as well as claims challenging the enforceability of the waiver, in each case in order to gain an advantage with respect to a claim against our assets, including the funds held in the trust account. If any third party refuses to execute an agreement waiving such claims to the monies held in the trust account, our management will consider whether competitive alternatives are</w:t>
      </w:r>
    </w:p>
    <w:p>
      <w:pPr>
        <w:sectPr>
          <w:pgSz w:w="11900" w:h="16838" w:orient="portrait"/>
          <w:cols w:equalWidth="0" w:num="1">
            <w:col w:w="9019"/>
          </w:cols>
          <w:pgMar w:left="1440" w:top="287" w:right="1440" w:bottom="1440" w:gutter="0" w:footer="0" w:header="0"/>
        </w:sectPr>
      </w:pP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82" w:name="page83"/>
    <w:bookmarkEnd w:id="82"/>
    <w:p>
      <w:pPr>
        <w:ind w:left="460" w:right="479"/>
        <w:spacing w:after="0" w:line="235" w:lineRule="auto"/>
        <w:rPr>
          <w:sz w:val="20"/>
          <w:szCs w:val="20"/>
          <w:color w:val="auto"/>
        </w:rPr>
      </w:pPr>
      <w:r>
        <w:rPr>
          <w:rFonts w:ascii="Arial" w:cs="Arial" w:eastAsia="Arial" w:hAnsi="Arial"/>
          <w:sz w:val="18"/>
          <w:szCs w:val="18"/>
          <w:color w:val="auto"/>
        </w:rPr>
        <w:t>reasonably available to us and will only enter into an agreement with such third party if management believes that such third party’s engagement would be in the best interests of the company under the circumstances. Examples of possible instances where we may engage a third party that refuses to execute a waiver include the engagement of a third party consultant whose particular expertise or skills are believed by management to be significantly superior to those of other consultants that would agree to execute a waiver or in cases where management is unable to find a service provider willing to execute a waiver. The underwriters of this offering and our independent registered public accounting firm will not execute agreements with us waiving such claims to the monies held in the trust account. In addition, there is no guarantee that such entities will agree to waive any claims they may have in the future as a result of, or arising out of, any negotiations, contracts or agreements with us and will not seek recourse against the trust account for any reason. In order to protect the amounts held in the trust account, our sponsor has agreed that it will be liable to us if and to the extent any claims by a third party for services rendered or products sold to us, or a prospective target business with which we have entered into a written letter of intent, confidentiality or other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$ 10.00 per public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our indemnity of the underwriters of this offering against certain liabilities, including liabilities under the Securities Act. However, we have not asked our sponsor to reserve for such indemnification obligations, nor have we independently verified whether our sponsor has sufficient funds to satisfy its indemnity obligations and we believe that our sponsor’s only assets are securities of our company. Therefore, we cannot assure you that our sponsor would be able to satisfy those obligations. As a result, if any such claims were successfully made against the trust account, the funds available for our initial business combination and redemptions could be reduced to less than $10.00 per public share. In such event, we may not be able to complete our initial business combination, and you would receive such lesser amount per share in connection with any redemption of your public shares. None of our officers or directors will indemnify us for claims by third parties including, without limitation, claims by vendors and prospective target businesses.</w:t>
      </w:r>
    </w:p>
    <w:p>
      <w:pPr>
        <w:spacing w:after="0" w:line="130" w:lineRule="exact"/>
        <w:rPr>
          <w:sz w:val="20"/>
          <w:szCs w:val="20"/>
          <w:color w:val="auto"/>
        </w:rPr>
      </w:pPr>
    </w:p>
    <w:p>
      <w:pPr>
        <w:ind w:left="460" w:right="539"/>
        <w:spacing w:after="0" w:line="236" w:lineRule="auto"/>
        <w:rPr>
          <w:sz w:val="20"/>
          <w:szCs w:val="20"/>
          <w:color w:val="auto"/>
        </w:rPr>
      </w:pPr>
      <w:r>
        <w:rPr>
          <w:rFonts w:ascii="Arial" w:cs="Arial" w:eastAsia="Arial" w:hAnsi="Arial"/>
          <w:sz w:val="18"/>
          <w:szCs w:val="18"/>
          <w:color w:val="auto"/>
        </w:rPr>
        <w:t>In the event that the proceeds in the trust account are reduced below the lesser of (i) $10.00 per public share and (ii) the actual amount per public share held in the trust account as of the date of the liquidation of the trust account if less than $10.00 per share due to reductions in the value of the trust assets, in each case less taxes payable, and our sponsor asserts that it is unable to satisfy its indemnification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may choose not to do so in any particular instance. Accordingly, we cannot assure you that due to claims of creditors the actual value of the per-share redemption price will not be less than $10.00 per share.</w:t>
      </w:r>
    </w:p>
    <w:p>
      <w:pPr>
        <w:spacing w:after="0" w:line="110"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We will seek to reduce the possibility that our sponsor will have to indemnify the trust account due to claims of creditors by endeavoring to have all vendors, service providers, prospective target businesses or other entities with which we do business execute agreements with us waiving any right, title, interest or claim of any kind in or to monies held in the trust account. Our sponsor will also not be liable as to any claims under our indemnity of the underwriters of this offering against certain liabilities, including liabilities under the Securities Act. We will have access to up to approximately $1,000,000 from the proceeds of this offering with which to pay any such potential claims (including costs and expenses incurred in connection with our liquidation, currently estimated to be no more than approximately $100,000). In the event that we liquidate and it is subsequently determined that the reserve for claims and liabilities is insufficient, stockholders who received funds from our trust account could be liable for claims made by creditors. In the event that our offering expenses exceed our estimate of $1,000,000, we may fund such excess with funds from the funds not to be held in the trust account. In such case, the amount of funds we intend to be held outside the trust account would decrease by a corresponding amount. Conversely, in the event that the offering expenses are less than our estimate of $1,000,000, the amount of funds we intend to be held outside the trust account would increase by a corresponding amount.</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0" w:right="1440" w:bottom="1440" w:gutter="0" w:footer="0" w:header="0"/>
        </w:sectPr>
      </w:pPr>
    </w:p>
    <w:bookmarkStart w:id="83" w:name="page84"/>
    <w:bookmarkEnd w:id="83"/>
    <w:p>
      <w:pPr>
        <w:ind w:left="460" w:right="479"/>
        <w:spacing w:after="0" w:line="251" w:lineRule="auto"/>
        <w:rPr>
          <w:sz w:val="20"/>
          <w:szCs w:val="20"/>
          <w:color w:val="auto"/>
        </w:rPr>
      </w:pPr>
      <w:r>
        <w:rPr>
          <w:rFonts w:ascii="Arial" w:cs="Arial" w:eastAsia="Arial" w:hAnsi="Arial"/>
          <w:sz w:val="17"/>
          <w:szCs w:val="17"/>
          <w:color w:val="auto"/>
        </w:rPr>
        <w:t>Under the DGCL, stockholders may be held liable for claims by third parties against a corporation to the extent of distributions received by them in a dissolution. The pro rata portion of our trust account distributed to our public stockholders upon the redemption of our public shares in the event we do not complete our initial business combination within 24 months from the closing of this offering may be considered a liquidating distribution under Delaware law. If the corporation complies with certain procedures set forth in Section 280 of the DGCL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liquidating distributions are made to stockholders, any liability of stockholders with respect to a liquidating distribution is limited to the lesser of such stockholder’s pro rata share of the claim or the amount distributed to the stockholder, and any liability of the stockholder would be barred after the third anniversary of the dissolution.</w:t>
      </w:r>
    </w:p>
    <w:p>
      <w:pPr>
        <w:spacing w:after="0" w:line="112" w:lineRule="exact"/>
        <w:rPr>
          <w:sz w:val="20"/>
          <w:szCs w:val="20"/>
          <w:color w:val="auto"/>
        </w:rPr>
      </w:pPr>
    </w:p>
    <w:p>
      <w:pPr>
        <w:ind w:left="460" w:right="479"/>
        <w:spacing w:after="0" w:line="234" w:lineRule="auto"/>
        <w:rPr>
          <w:sz w:val="20"/>
          <w:szCs w:val="20"/>
          <w:color w:val="auto"/>
        </w:rPr>
      </w:pPr>
      <w:r>
        <w:rPr>
          <w:rFonts w:ascii="Arial" w:cs="Arial" w:eastAsia="Arial" w:hAnsi="Arial"/>
          <w:sz w:val="18"/>
          <w:szCs w:val="18"/>
          <w:color w:val="auto"/>
        </w:rPr>
        <w:t>Furthermore, if the pro rata portion of our trust account distributed to our public stockholders upon the redemption of our public shares in the event we do not complete our initial business combination within 24 months from the closing of this offering, is not considered a liquidating distribution under Delaware law and such redemption distribution is deemed to be unlawful (potentially due to the imposition of legal proceedings that a party may bring or due to other circumstances that are currently unknown), then pursuant to Section 174 of the DGCL, the statute of limitations for claims of creditors could then be six years after the unlawful redemption distribution, instead of three years, as in the case of a liquidating distribution. If we are unable to complete our initial business combination within 24 months from the closing of this offering,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our remaining stockholders and our board of directors, dissolve and liquidate, subject in each case to our obligations under Delaware law to provide for claims of creditors and the requirements of other applicable law. Accordingly, it is our intention to redeem our public shares as soon as reasonably possible following our 24</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month and, therefore, we do not intend to comply with those procedures. As such, our stockholders could potentially be liable for any claims to the extent of distributions received by them (but no more) and any liability of our stockholders may extend well beyond the third anniversary of such date.</w:t>
      </w:r>
    </w:p>
    <w:p>
      <w:pPr>
        <w:spacing w:after="0" w:line="128" w:lineRule="exact"/>
        <w:rPr>
          <w:sz w:val="20"/>
          <w:szCs w:val="20"/>
          <w:color w:val="auto"/>
        </w:rPr>
      </w:pPr>
    </w:p>
    <w:p>
      <w:pPr>
        <w:ind w:left="460" w:right="479"/>
        <w:spacing w:after="0" w:line="250" w:lineRule="auto"/>
        <w:rPr>
          <w:sz w:val="20"/>
          <w:szCs w:val="20"/>
          <w:color w:val="auto"/>
        </w:rPr>
      </w:pPr>
      <w:r>
        <w:rPr>
          <w:rFonts w:ascii="Arial" w:cs="Arial" w:eastAsia="Arial" w:hAnsi="Arial"/>
          <w:sz w:val="17"/>
          <w:szCs w:val="17"/>
          <w:color w:val="auto"/>
        </w:rPr>
        <w:t>Because we will not be complying with Section 280, Section 281(b) of the DGCL requires us to adopt a plan, based on facts known to us at such time that will provide for our payment of all existing and pending claims or claims that may be potentially brought against us within the subsequent 10 years. However, because we are a blank check company, rather than an operating company, and our operations will be limited to searching for prospective target businesses to acquire, the only likely claims to arise would be from our vendors (such as lawyers, investment bankers, etc.) or prospective target businesses. As described above, pursuant to the obligation contained in our underwriting agreement, we will seek to have all vendors, service providers, prospective target businesses or other entities with which we do business execute agreements with us waiving any right, title, interest or claim of any kind in or to any monies held in the trust account. As a result of this obligation, the claims that could be made against us are significantly limited and the likelihood that any claim that would result in any liability extending to the trust account is remote. Further, our sponsor may be liable only to the extent necessary to ensure that the amounts in the trust account are not reduced below (i) $10.00 per public share or (ii) such lesser amount per public share held in the trust account as of the date of the liquidation of the trust account, due to reductions in value of the trust assets, in each case net of the amount of interest withdrawn to pay taxes and will not be liable as to any claims under our indemnity of the underwriters of this offering against certain liabilities, including liabilities under the Securities Act. In the event that an executed waiver is deemed to be unenforceable against a third party, our sponsor will not be responsible to the extent of any liability for such third-party claims.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0" w:right="1440" w:bottom="1440" w:gutter="0" w:footer="0" w:header="0"/>
        </w:sectPr>
      </w:pPr>
    </w:p>
    <w:bookmarkStart w:id="84" w:name="page85"/>
    <w:bookmarkEnd w:id="84"/>
    <w:p>
      <w:pPr>
        <w:ind w:left="460" w:right="479"/>
        <w:spacing w:after="0" w:line="235" w:lineRule="auto"/>
        <w:rPr>
          <w:sz w:val="20"/>
          <w:szCs w:val="20"/>
          <w:color w:val="auto"/>
        </w:rPr>
      </w:pPr>
      <w:r>
        <w:rPr>
          <w:rFonts w:ascii="Arial" w:cs="Arial" w:eastAsia="Arial" w:hAnsi="Arial"/>
          <w:sz w:val="18"/>
          <w:szCs w:val="18"/>
          <w:color w:val="auto"/>
        </w:rPr>
        <w:t>If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we cannot assure you we will be able to return $10.00 per share to our public stockholders. Additionally, if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some or all amounts received by our stockholders. Furthermore, our board of directors may be viewed as having breached its fiduciary duty to our creditors and/or may have acted in bad faith, and thereby exposing itself and our company to claims of punitive damages, by paying public stockholders from the trust account prior to addressing the claims of creditors. We cannot assure you that claims will not be brought against us for these reasons.</w:t>
      </w:r>
    </w:p>
    <w:p>
      <w:pPr>
        <w:spacing w:after="0" w:line="133" w:lineRule="exact"/>
        <w:rPr>
          <w:sz w:val="20"/>
          <w:szCs w:val="20"/>
          <w:color w:val="auto"/>
        </w:rPr>
      </w:pPr>
    </w:p>
    <w:p>
      <w:pPr>
        <w:ind w:left="460" w:right="499"/>
        <w:spacing w:after="0" w:line="235" w:lineRule="auto"/>
        <w:rPr>
          <w:sz w:val="20"/>
          <w:szCs w:val="20"/>
          <w:color w:val="auto"/>
        </w:rPr>
      </w:pPr>
      <w:r>
        <w:rPr>
          <w:rFonts w:ascii="Arial" w:cs="Arial" w:eastAsia="Arial" w:hAnsi="Arial"/>
          <w:sz w:val="18"/>
          <w:szCs w:val="18"/>
          <w:color w:val="auto"/>
        </w:rPr>
        <w:t>Our public stockholders will be entitled to receive funds from the trust account only (i) in the event of the redemption of our public shares if we do not complete our initial business combination within 24 months from the closing of this offering, (ii) in connection with a stockholder vote to amend our amended and restated certificate of incorporation to modify the substance or timing of our obligation to redeem 100% of our public shares if we do not complete our initial business combination within 24 months from the closing of this offering or with respect to any other material provisions relating to stockholders’ rights or pre-initial business combination activity or (iii) if they redeem their respective shares for cash upon the completion of our initial business combination. In no other circumstances will a stockholder have any right or interest of any kind to or in the trust account. In the event we seek stockholder approval in connection with our initial business combination, a stockholder’s voting in connection with the business combination alone will not result in a stockholder’s redeeming its shares to us for an applicable pro rata share of the trust account. Such stockholder must have also exercised its redemption rights described above. These provisions of our amended and restated certificate of incorporation, like all provisions of our amended and restated certificate of incorporation, may be amended with a stockholder vote.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85" w:name="page86"/>
    <w:bookmarkEnd w:id="85"/>
    <w:p>
      <w:pPr>
        <w:ind w:left="460" w:right="1119"/>
        <w:spacing w:after="0" w:line="271" w:lineRule="auto"/>
        <w:rPr>
          <w:sz w:val="20"/>
          <w:szCs w:val="20"/>
          <w:color w:val="auto"/>
        </w:rPr>
      </w:pPr>
      <w:r>
        <w:rPr>
          <w:rFonts w:ascii="Arial" w:cs="Arial" w:eastAsia="Arial" w:hAnsi="Arial"/>
          <w:sz w:val="18"/>
          <w:szCs w:val="18"/>
          <w:b w:val="1"/>
          <w:bCs w:val="1"/>
          <w:color w:val="auto"/>
        </w:rPr>
        <w:t>Comparison of Redemption or Purchase Prices in Connection with Our Initial Business Combination and if We Fail to Complete Our Initial Business Combination.</w:t>
      </w:r>
    </w:p>
    <w:p>
      <w:pPr>
        <w:spacing w:after="0" w:line="108" w:lineRule="exact"/>
        <w:rPr>
          <w:sz w:val="20"/>
          <w:szCs w:val="20"/>
          <w:color w:val="auto"/>
        </w:rPr>
      </w:pPr>
    </w:p>
    <w:p>
      <w:pPr>
        <w:ind w:left="460" w:right="539"/>
        <w:spacing w:after="0" w:line="261" w:lineRule="auto"/>
        <w:rPr>
          <w:sz w:val="20"/>
          <w:szCs w:val="20"/>
          <w:color w:val="auto"/>
        </w:rPr>
      </w:pPr>
      <w:r>
        <w:rPr>
          <w:rFonts w:ascii="Arial" w:cs="Arial" w:eastAsia="Arial" w:hAnsi="Arial"/>
          <w:sz w:val="17"/>
          <w:szCs w:val="17"/>
          <w:color w:val="auto"/>
        </w:rPr>
        <w:t>The following table compares the redemptions and other permitted purchases of public shares that may take place in connection with the completion of our initial business combination and if we are unable to complete our initial business combination within 24 months from the closing of this offering.</w:t>
      </w:r>
    </w:p>
    <w:p>
      <w:pPr>
        <w:sectPr>
          <w:pgSz w:w="11900" w:h="16838" w:orient="portrait"/>
          <w:cols w:equalWidth="0" w:num="1">
            <w:col w:w="9019"/>
          </w:cols>
          <w:pgMar w:left="1440" w:top="33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40" w:hanging="179"/>
        <w:spacing w:after="0" w:line="301" w:lineRule="auto"/>
        <w:rPr>
          <w:sz w:val="20"/>
          <w:szCs w:val="20"/>
          <w:color w:val="auto"/>
        </w:rPr>
      </w:pPr>
      <w:r>
        <w:rPr>
          <w:rFonts w:ascii="Arial" w:cs="Arial" w:eastAsia="Arial" w:hAnsi="Arial"/>
          <w:sz w:val="17"/>
          <w:szCs w:val="17"/>
          <w:b w:val="1"/>
          <w:bCs w:val="1"/>
          <w:color w:val="auto"/>
        </w:rPr>
        <w:t>Calculation of redemption price</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900" w:type="dxa"/>
            <w:vAlign w:val="bottom"/>
          </w:tcPr>
          <w:p>
            <w:pPr>
              <w:spacing w:after="0"/>
              <w:rPr>
                <w:sz w:val="20"/>
                <w:szCs w:val="20"/>
                <w:color w:val="auto"/>
              </w:rPr>
            </w:pPr>
            <w:r>
              <w:rPr>
                <w:rFonts w:ascii="Arial" w:cs="Arial" w:eastAsia="Arial" w:hAnsi="Arial"/>
                <w:sz w:val="14"/>
                <w:szCs w:val="14"/>
                <w:b w:val="1"/>
                <w:bCs w:val="1"/>
                <w:color w:val="auto"/>
              </w:rPr>
              <w:t>Redemptions in Connection</w:t>
            </w:r>
          </w:p>
        </w:tc>
        <w:tc>
          <w:tcPr>
            <w:tcW w:w="100" w:type="dxa"/>
            <w:vAlign w:val="bottom"/>
          </w:tcPr>
          <w:p>
            <w:pPr>
              <w:spacing w:after="0"/>
              <w:rPr>
                <w:sz w:val="14"/>
                <w:szCs w:val="14"/>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Other Permitted Purchases</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rPr>
              <w:t>Redemptions if we fail to</w:t>
            </w:r>
          </w:p>
        </w:tc>
      </w:tr>
      <w:tr>
        <w:trPr>
          <w:trHeight w:val="162"/>
        </w:trPr>
        <w:tc>
          <w:tcPr>
            <w:tcW w:w="2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rPr>
              <w:t>with our Initial Business</w:t>
            </w:r>
          </w:p>
        </w:tc>
        <w:tc>
          <w:tcPr>
            <w:tcW w:w="100" w:type="dxa"/>
            <w:vAlign w:val="bottom"/>
          </w:tcPr>
          <w:p>
            <w:pPr>
              <w:spacing w:after="0"/>
              <w:rPr>
                <w:sz w:val="14"/>
                <w:szCs w:val="14"/>
                <w:color w:val="auto"/>
              </w:rPr>
            </w:pPr>
          </w:p>
        </w:tc>
        <w:tc>
          <w:tcPr>
            <w:tcW w:w="20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of Public Shares by our</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rPr>
              <w:t>Complete an Initial Business</w:t>
            </w:r>
          </w:p>
        </w:tc>
      </w:tr>
      <w:tr>
        <w:trPr>
          <w:trHeight w:val="190"/>
        </w:trPr>
        <w:tc>
          <w:tcPr>
            <w:tcW w:w="2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rPr>
              <w:t>Combination</w:t>
            </w:r>
          </w:p>
        </w:tc>
        <w:tc>
          <w:tcPr>
            <w:tcW w:w="100" w:type="dxa"/>
            <w:vAlign w:val="bottom"/>
          </w:tcPr>
          <w:p>
            <w:pPr>
              <w:spacing w:after="0"/>
              <w:rPr>
                <w:sz w:val="16"/>
                <w:szCs w:val="16"/>
                <w:color w:val="auto"/>
              </w:rPr>
            </w:pPr>
          </w:p>
        </w:tc>
        <w:tc>
          <w:tcPr>
            <w:tcW w:w="20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Affiliates</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rPr>
              <w:t>Combination</w:t>
            </w:r>
          </w:p>
        </w:tc>
      </w:tr>
      <w:tr>
        <w:trPr>
          <w:trHeight w:val="26"/>
        </w:trPr>
        <w:tc>
          <w:tcPr>
            <w:tcW w:w="2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195"/>
        </w:trPr>
        <w:tc>
          <w:tcPr>
            <w:tcW w:w="20" w:type="dxa"/>
            <w:vAlign w:val="bottom"/>
          </w:tcPr>
          <w:p>
            <w:pPr>
              <w:spacing w:after="0"/>
              <w:rPr>
                <w:sz w:val="16"/>
                <w:szCs w:val="16"/>
                <w:color w:val="auto"/>
              </w:rPr>
            </w:pPr>
          </w:p>
        </w:tc>
        <w:tc>
          <w:tcPr>
            <w:tcW w:w="1900" w:type="dxa"/>
            <w:vAlign w:val="bottom"/>
          </w:tcPr>
          <w:p>
            <w:pPr>
              <w:spacing w:after="0" w:line="195" w:lineRule="exact"/>
              <w:rPr>
                <w:sz w:val="20"/>
                <w:szCs w:val="20"/>
                <w:color w:val="auto"/>
              </w:rPr>
            </w:pPr>
            <w:r>
              <w:rPr>
                <w:rFonts w:ascii="Arial" w:cs="Arial" w:eastAsia="Arial" w:hAnsi="Arial"/>
                <w:sz w:val="18"/>
                <w:szCs w:val="18"/>
                <w:color w:val="auto"/>
              </w:rPr>
              <w:t>Redemptions at the</w:t>
            </w:r>
          </w:p>
        </w:tc>
        <w:tc>
          <w:tcPr>
            <w:tcW w:w="100" w:type="dxa"/>
            <w:vAlign w:val="bottom"/>
          </w:tcPr>
          <w:p>
            <w:pPr>
              <w:spacing w:after="0"/>
              <w:rPr>
                <w:sz w:val="16"/>
                <w:szCs w:val="16"/>
                <w:color w:val="auto"/>
              </w:rPr>
            </w:pPr>
          </w:p>
        </w:tc>
        <w:tc>
          <w:tcPr>
            <w:tcW w:w="1940" w:type="dxa"/>
            <w:vAlign w:val="bottom"/>
          </w:tcPr>
          <w:p>
            <w:pPr>
              <w:spacing w:after="0" w:line="195" w:lineRule="exact"/>
              <w:rPr>
                <w:sz w:val="20"/>
                <w:szCs w:val="20"/>
                <w:color w:val="auto"/>
              </w:rPr>
            </w:pPr>
            <w:r>
              <w:rPr>
                <w:rFonts w:ascii="Arial" w:cs="Arial" w:eastAsia="Arial" w:hAnsi="Arial"/>
                <w:sz w:val="18"/>
                <w:szCs w:val="18"/>
                <w:color w:val="auto"/>
              </w:rPr>
              <w:t>If we seek stockholder</w:t>
            </w:r>
          </w:p>
        </w:tc>
        <w:tc>
          <w:tcPr>
            <w:tcW w:w="100" w:type="dxa"/>
            <w:vAlign w:val="bottom"/>
          </w:tcPr>
          <w:p>
            <w:pPr>
              <w:spacing w:after="0"/>
              <w:rPr>
                <w:sz w:val="16"/>
                <w:szCs w:val="16"/>
                <w:color w:val="auto"/>
              </w:rPr>
            </w:pPr>
          </w:p>
        </w:tc>
        <w:tc>
          <w:tcPr>
            <w:tcW w:w="2060" w:type="dxa"/>
            <w:vAlign w:val="bottom"/>
          </w:tcPr>
          <w:p>
            <w:pPr>
              <w:spacing w:after="0" w:line="195" w:lineRule="exact"/>
              <w:rPr>
                <w:sz w:val="20"/>
                <w:szCs w:val="20"/>
                <w:color w:val="auto"/>
              </w:rPr>
            </w:pPr>
            <w:r>
              <w:rPr>
                <w:rFonts w:ascii="Arial" w:cs="Arial" w:eastAsia="Arial" w:hAnsi="Arial"/>
                <w:sz w:val="18"/>
                <w:szCs w:val="18"/>
                <w:color w:val="auto"/>
              </w:rPr>
              <w:t>If we are unable to</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time of our initial</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approval of our initial</w:t>
            </w:r>
          </w:p>
        </w:tc>
        <w:tc>
          <w:tcPr>
            <w:tcW w:w="2060" w:type="dxa"/>
            <w:vAlign w:val="bottom"/>
          </w:tcPr>
          <w:p>
            <w:pPr>
              <w:spacing w:after="0" w:line="202" w:lineRule="exact"/>
              <w:rPr>
                <w:sz w:val="20"/>
                <w:szCs w:val="20"/>
                <w:color w:val="auto"/>
              </w:rPr>
            </w:pPr>
            <w:r>
              <w:rPr>
                <w:rFonts w:ascii="Arial" w:cs="Arial" w:eastAsia="Arial" w:hAnsi="Arial"/>
                <w:sz w:val="18"/>
                <w:szCs w:val="18"/>
                <w:color w:val="auto"/>
              </w:rPr>
              <w:t>complete our initial</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business combination</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business combination,</w:t>
            </w:r>
          </w:p>
        </w:tc>
        <w:tc>
          <w:tcPr>
            <w:tcW w:w="2060" w:type="dxa"/>
            <w:vAlign w:val="bottom"/>
          </w:tcPr>
          <w:p>
            <w:pPr>
              <w:spacing w:after="0" w:line="202" w:lineRule="exact"/>
              <w:rPr>
                <w:sz w:val="20"/>
                <w:szCs w:val="20"/>
                <w:color w:val="auto"/>
              </w:rPr>
            </w:pPr>
            <w:r>
              <w:rPr>
                <w:rFonts w:ascii="Arial" w:cs="Arial" w:eastAsia="Arial" w:hAnsi="Arial"/>
                <w:sz w:val="18"/>
                <w:szCs w:val="18"/>
                <w:color w:val="auto"/>
              </w:rPr>
              <w:t>business combination</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may be made pursuant</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our initial stockholders,</w:t>
            </w:r>
          </w:p>
        </w:tc>
        <w:tc>
          <w:tcPr>
            <w:tcW w:w="2060" w:type="dxa"/>
            <w:vAlign w:val="bottom"/>
          </w:tcPr>
          <w:p>
            <w:pPr>
              <w:spacing w:after="0" w:line="202" w:lineRule="exact"/>
              <w:rPr>
                <w:sz w:val="20"/>
                <w:szCs w:val="20"/>
                <w:color w:val="auto"/>
              </w:rPr>
            </w:pPr>
            <w:r>
              <w:rPr>
                <w:rFonts w:ascii="Arial" w:cs="Arial" w:eastAsia="Arial" w:hAnsi="Arial"/>
                <w:sz w:val="18"/>
                <w:szCs w:val="18"/>
                <w:color w:val="auto"/>
              </w:rPr>
              <w:t>within 24 months from</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to a tender offer or in</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directors, officers,</w:t>
            </w:r>
          </w:p>
        </w:tc>
        <w:tc>
          <w:tcPr>
            <w:tcW w:w="2060" w:type="dxa"/>
            <w:vAlign w:val="bottom"/>
          </w:tcPr>
          <w:p>
            <w:pPr>
              <w:spacing w:after="0" w:line="202" w:lineRule="exact"/>
              <w:rPr>
                <w:sz w:val="20"/>
                <w:szCs w:val="20"/>
                <w:color w:val="auto"/>
              </w:rPr>
            </w:pPr>
            <w:r>
              <w:rPr>
                <w:rFonts w:ascii="Arial" w:cs="Arial" w:eastAsia="Arial" w:hAnsi="Arial"/>
                <w:sz w:val="18"/>
                <w:szCs w:val="18"/>
                <w:color w:val="auto"/>
              </w:rPr>
              <w:t>the closing of this</w:t>
            </w:r>
          </w:p>
        </w:tc>
      </w:tr>
      <w:tr>
        <w:trPr>
          <w:trHeight w:val="202"/>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connection with a</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advisors or their</w:t>
            </w:r>
          </w:p>
        </w:tc>
        <w:tc>
          <w:tcPr>
            <w:tcW w:w="2060" w:type="dxa"/>
            <w:vAlign w:val="bottom"/>
          </w:tcPr>
          <w:p>
            <w:pPr>
              <w:spacing w:after="0" w:line="202" w:lineRule="exact"/>
              <w:rPr>
                <w:sz w:val="20"/>
                <w:szCs w:val="20"/>
                <w:color w:val="auto"/>
              </w:rPr>
            </w:pPr>
            <w:r>
              <w:rPr>
                <w:rFonts w:ascii="Arial" w:cs="Arial" w:eastAsia="Arial" w:hAnsi="Arial"/>
                <w:sz w:val="18"/>
                <w:szCs w:val="18"/>
                <w:color w:val="auto"/>
              </w:rPr>
              <w:t>offering, we will redeem</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stockholder vote. The</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respective affiliates may</w:t>
            </w:r>
          </w:p>
        </w:tc>
        <w:tc>
          <w:tcPr>
            <w:tcW w:w="2060" w:type="dxa"/>
            <w:vAlign w:val="bottom"/>
          </w:tcPr>
          <w:p>
            <w:pPr>
              <w:spacing w:after="0" w:line="202" w:lineRule="exact"/>
              <w:rPr>
                <w:sz w:val="20"/>
                <w:szCs w:val="20"/>
                <w:color w:val="auto"/>
              </w:rPr>
            </w:pPr>
            <w:r>
              <w:rPr>
                <w:rFonts w:ascii="Arial" w:cs="Arial" w:eastAsia="Arial" w:hAnsi="Arial"/>
                <w:sz w:val="18"/>
                <w:szCs w:val="18"/>
                <w:color w:val="auto"/>
              </w:rPr>
              <w:t>all public shares at a per-</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redemption price will be</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purchase public shares</w:t>
            </w:r>
          </w:p>
        </w:tc>
        <w:tc>
          <w:tcPr>
            <w:tcW w:w="2060" w:type="dxa"/>
            <w:vAlign w:val="bottom"/>
          </w:tcPr>
          <w:p>
            <w:pPr>
              <w:spacing w:after="0" w:line="202" w:lineRule="exact"/>
              <w:rPr>
                <w:sz w:val="20"/>
                <w:szCs w:val="20"/>
                <w:color w:val="auto"/>
              </w:rPr>
            </w:pPr>
            <w:r>
              <w:rPr>
                <w:rFonts w:ascii="Arial" w:cs="Arial" w:eastAsia="Arial" w:hAnsi="Arial"/>
                <w:sz w:val="18"/>
                <w:szCs w:val="18"/>
                <w:color w:val="auto"/>
              </w:rPr>
              <w:t>share price, payable in</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the same whether we</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in privately negotiated</w:t>
            </w:r>
          </w:p>
        </w:tc>
        <w:tc>
          <w:tcPr>
            <w:tcW w:w="2060" w:type="dxa"/>
            <w:vAlign w:val="bottom"/>
          </w:tcPr>
          <w:p>
            <w:pPr>
              <w:spacing w:after="0" w:line="202" w:lineRule="exact"/>
              <w:rPr>
                <w:sz w:val="20"/>
                <w:szCs w:val="20"/>
                <w:color w:val="auto"/>
              </w:rPr>
            </w:pPr>
            <w:r>
              <w:rPr>
                <w:rFonts w:ascii="Arial" w:cs="Arial" w:eastAsia="Arial" w:hAnsi="Arial"/>
                <w:sz w:val="18"/>
                <w:szCs w:val="18"/>
                <w:color w:val="auto"/>
              </w:rPr>
              <w:t>cash, equal to the</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conduct redemptions</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transactions or in the</w:t>
            </w:r>
          </w:p>
        </w:tc>
        <w:tc>
          <w:tcPr>
            <w:tcW w:w="2060" w:type="dxa"/>
            <w:vAlign w:val="bottom"/>
          </w:tcPr>
          <w:p>
            <w:pPr>
              <w:spacing w:after="0" w:line="202" w:lineRule="exact"/>
              <w:rPr>
                <w:sz w:val="20"/>
                <w:szCs w:val="20"/>
                <w:color w:val="auto"/>
              </w:rPr>
            </w:pPr>
            <w:r>
              <w:rPr>
                <w:rFonts w:ascii="Arial" w:cs="Arial" w:eastAsia="Arial" w:hAnsi="Arial"/>
                <w:sz w:val="18"/>
                <w:szCs w:val="18"/>
                <w:color w:val="auto"/>
              </w:rPr>
              <w:t>aggregate amount, then</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pursuant to a tender</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open market either prior</w:t>
            </w:r>
          </w:p>
        </w:tc>
        <w:tc>
          <w:tcPr>
            <w:tcW w:w="2060" w:type="dxa"/>
            <w:vAlign w:val="bottom"/>
          </w:tcPr>
          <w:p>
            <w:pPr>
              <w:spacing w:after="0" w:line="202" w:lineRule="exact"/>
              <w:rPr>
                <w:sz w:val="20"/>
                <w:szCs w:val="20"/>
                <w:color w:val="auto"/>
              </w:rPr>
            </w:pPr>
            <w:r>
              <w:rPr>
                <w:rFonts w:ascii="Arial" w:cs="Arial" w:eastAsia="Arial" w:hAnsi="Arial"/>
                <w:sz w:val="18"/>
                <w:szCs w:val="18"/>
                <w:color w:val="auto"/>
              </w:rPr>
              <w:t>on deposit in the trust</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offer or in connection</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to or following</w:t>
            </w:r>
          </w:p>
        </w:tc>
        <w:tc>
          <w:tcPr>
            <w:tcW w:w="2060" w:type="dxa"/>
            <w:vAlign w:val="bottom"/>
          </w:tcPr>
          <w:p>
            <w:pPr>
              <w:spacing w:after="0" w:line="202" w:lineRule="exact"/>
              <w:rPr>
                <w:sz w:val="20"/>
                <w:szCs w:val="20"/>
                <w:color w:val="auto"/>
              </w:rPr>
            </w:pPr>
            <w:r>
              <w:rPr>
                <w:rFonts w:ascii="Arial" w:cs="Arial" w:eastAsia="Arial" w:hAnsi="Arial"/>
                <w:sz w:val="18"/>
                <w:szCs w:val="18"/>
                <w:color w:val="auto"/>
              </w:rPr>
              <w:t>account (which is initially</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with a stockholder vote.</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completion of our initial</w:t>
            </w:r>
          </w:p>
        </w:tc>
        <w:tc>
          <w:tcPr>
            <w:tcW w:w="2060" w:type="dxa"/>
            <w:vAlign w:val="bottom"/>
          </w:tcPr>
          <w:p>
            <w:pPr>
              <w:spacing w:after="0" w:line="202" w:lineRule="exact"/>
              <w:rPr>
                <w:sz w:val="20"/>
                <w:szCs w:val="20"/>
                <w:color w:val="auto"/>
              </w:rPr>
            </w:pPr>
            <w:r>
              <w:rPr>
                <w:rFonts w:ascii="Arial" w:cs="Arial" w:eastAsia="Arial" w:hAnsi="Arial"/>
                <w:sz w:val="18"/>
                <w:szCs w:val="18"/>
                <w:color w:val="auto"/>
              </w:rPr>
              <w:t>anticipated to be $10.00</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In either case, our</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business combination.</w:t>
            </w:r>
          </w:p>
        </w:tc>
        <w:tc>
          <w:tcPr>
            <w:tcW w:w="2060" w:type="dxa"/>
            <w:vAlign w:val="bottom"/>
          </w:tcPr>
          <w:p>
            <w:pPr>
              <w:spacing w:after="0" w:line="202" w:lineRule="exact"/>
              <w:rPr>
                <w:sz w:val="20"/>
                <w:szCs w:val="20"/>
                <w:color w:val="auto"/>
              </w:rPr>
            </w:pPr>
            <w:r>
              <w:rPr>
                <w:rFonts w:ascii="Arial" w:cs="Arial" w:eastAsia="Arial" w:hAnsi="Arial"/>
                <w:sz w:val="18"/>
                <w:szCs w:val="18"/>
                <w:color w:val="auto"/>
              </w:rPr>
              <w:t>per share), including</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w w:val="98"/>
              </w:rPr>
              <w:t>public stockholders may</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There is no limit to the</w:t>
            </w:r>
          </w:p>
        </w:tc>
        <w:tc>
          <w:tcPr>
            <w:tcW w:w="2060" w:type="dxa"/>
            <w:vAlign w:val="bottom"/>
          </w:tcPr>
          <w:p>
            <w:pPr>
              <w:spacing w:after="0" w:line="202" w:lineRule="exact"/>
              <w:rPr>
                <w:sz w:val="20"/>
                <w:szCs w:val="20"/>
                <w:color w:val="auto"/>
              </w:rPr>
            </w:pPr>
            <w:r>
              <w:rPr>
                <w:rFonts w:ascii="Arial" w:cs="Arial" w:eastAsia="Arial" w:hAnsi="Arial"/>
                <w:sz w:val="18"/>
                <w:szCs w:val="18"/>
                <w:color w:val="auto"/>
              </w:rPr>
              <w:t>interest earned on the</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redeem their public</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prices that our initial</w:t>
            </w:r>
          </w:p>
        </w:tc>
        <w:tc>
          <w:tcPr>
            <w:tcW w:w="2060" w:type="dxa"/>
            <w:vAlign w:val="bottom"/>
          </w:tcPr>
          <w:p>
            <w:pPr>
              <w:spacing w:after="0" w:line="202" w:lineRule="exact"/>
              <w:rPr>
                <w:sz w:val="20"/>
                <w:szCs w:val="20"/>
                <w:color w:val="auto"/>
              </w:rPr>
            </w:pPr>
            <w:r>
              <w:rPr>
                <w:rFonts w:ascii="Arial" w:cs="Arial" w:eastAsia="Arial" w:hAnsi="Arial"/>
                <w:sz w:val="18"/>
                <w:szCs w:val="18"/>
                <w:color w:val="auto"/>
              </w:rPr>
              <w:t>funds held in the trust</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w w:val="98"/>
              </w:rPr>
              <w:t>shares for cash equal to</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stockholders, directors,</w:t>
            </w:r>
          </w:p>
        </w:tc>
        <w:tc>
          <w:tcPr>
            <w:tcW w:w="2060" w:type="dxa"/>
            <w:vAlign w:val="bottom"/>
          </w:tcPr>
          <w:p>
            <w:pPr>
              <w:spacing w:after="0" w:line="202" w:lineRule="exact"/>
              <w:rPr>
                <w:sz w:val="20"/>
                <w:szCs w:val="20"/>
                <w:color w:val="auto"/>
              </w:rPr>
            </w:pPr>
            <w:r>
              <w:rPr>
                <w:rFonts w:ascii="Arial" w:cs="Arial" w:eastAsia="Arial" w:hAnsi="Arial"/>
                <w:sz w:val="18"/>
                <w:szCs w:val="18"/>
                <w:color w:val="auto"/>
              </w:rPr>
              <w:t>account and not</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the aggregate amount</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officers, advisors or</w:t>
            </w:r>
          </w:p>
        </w:tc>
        <w:tc>
          <w:tcPr>
            <w:tcW w:w="2060" w:type="dxa"/>
            <w:vAlign w:val="bottom"/>
          </w:tcPr>
          <w:p>
            <w:pPr>
              <w:spacing w:after="0" w:line="202" w:lineRule="exact"/>
              <w:rPr>
                <w:sz w:val="20"/>
                <w:szCs w:val="20"/>
                <w:color w:val="auto"/>
              </w:rPr>
            </w:pPr>
            <w:r>
              <w:rPr>
                <w:rFonts w:ascii="Arial" w:cs="Arial" w:eastAsia="Arial" w:hAnsi="Arial"/>
                <w:sz w:val="18"/>
                <w:szCs w:val="18"/>
                <w:color w:val="auto"/>
              </w:rPr>
              <w:t>previously released to us</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then on deposit in the</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their respective affiliates</w:t>
            </w:r>
          </w:p>
        </w:tc>
        <w:tc>
          <w:tcPr>
            <w:tcW w:w="2060" w:type="dxa"/>
            <w:vAlign w:val="bottom"/>
          </w:tcPr>
          <w:p>
            <w:pPr>
              <w:spacing w:after="0" w:line="202" w:lineRule="exact"/>
              <w:rPr>
                <w:sz w:val="20"/>
                <w:szCs w:val="20"/>
                <w:color w:val="auto"/>
              </w:rPr>
            </w:pPr>
            <w:r>
              <w:rPr>
                <w:rFonts w:ascii="Arial" w:cs="Arial" w:eastAsia="Arial" w:hAnsi="Arial"/>
                <w:sz w:val="18"/>
                <w:szCs w:val="18"/>
                <w:color w:val="auto"/>
              </w:rPr>
              <w:t>to pay our taxes (less up</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trust account calculated</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may pay in these</w:t>
            </w:r>
          </w:p>
        </w:tc>
        <w:tc>
          <w:tcPr>
            <w:tcW w:w="2060" w:type="dxa"/>
            <w:vAlign w:val="bottom"/>
          </w:tcPr>
          <w:p>
            <w:pPr>
              <w:spacing w:after="0" w:line="202" w:lineRule="exact"/>
              <w:rPr>
                <w:sz w:val="20"/>
                <w:szCs w:val="20"/>
                <w:color w:val="auto"/>
              </w:rPr>
            </w:pPr>
            <w:r>
              <w:rPr>
                <w:rFonts w:ascii="Arial" w:cs="Arial" w:eastAsia="Arial" w:hAnsi="Arial"/>
                <w:sz w:val="18"/>
                <w:szCs w:val="18"/>
                <w:color w:val="auto"/>
              </w:rPr>
              <w:t>to $100,000 of interest to</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w w:val="99"/>
              </w:rPr>
              <w:t>as of two business days</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transactions. If they</w:t>
            </w:r>
          </w:p>
        </w:tc>
        <w:tc>
          <w:tcPr>
            <w:tcW w:w="2060" w:type="dxa"/>
            <w:vAlign w:val="bottom"/>
          </w:tcPr>
          <w:p>
            <w:pPr>
              <w:spacing w:after="0" w:line="202" w:lineRule="exact"/>
              <w:rPr>
                <w:sz w:val="20"/>
                <w:szCs w:val="20"/>
                <w:color w:val="auto"/>
              </w:rPr>
            </w:pPr>
            <w:r>
              <w:rPr>
                <w:rFonts w:ascii="Arial" w:cs="Arial" w:eastAsia="Arial" w:hAnsi="Arial"/>
                <w:sz w:val="18"/>
                <w:szCs w:val="18"/>
                <w:color w:val="auto"/>
              </w:rPr>
              <w:t>pay dissolution</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prior to the</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engage in such</w:t>
            </w:r>
          </w:p>
        </w:tc>
        <w:tc>
          <w:tcPr>
            <w:tcW w:w="2060" w:type="dxa"/>
            <w:vAlign w:val="bottom"/>
          </w:tcPr>
          <w:p>
            <w:pPr>
              <w:spacing w:after="0" w:line="202" w:lineRule="exact"/>
              <w:rPr>
                <w:sz w:val="20"/>
                <w:szCs w:val="20"/>
                <w:color w:val="auto"/>
              </w:rPr>
            </w:pPr>
            <w:r>
              <w:rPr>
                <w:rFonts w:ascii="Arial" w:cs="Arial" w:eastAsia="Arial" w:hAnsi="Arial"/>
                <w:sz w:val="18"/>
                <w:szCs w:val="18"/>
                <w:color w:val="auto"/>
              </w:rPr>
              <w:t>expenses) divided by the</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consummation of the</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transactions, they will</w:t>
            </w:r>
          </w:p>
        </w:tc>
        <w:tc>
          <w:tcPr>
            <w:tcW w:w="2060" w:type="dxa"/>
            <w:vAlign w:val="bottom"/>
          </w:tcPr>
          <w:p>
            <w:pPr>
              <w:spacing w:after="0" w:line="202" w:lineRule="exact"/>
              <w:rPr>
                <w:sz w:val="20"/>
                <w:szCs w:val="20"/>
                <w:color w:val="auto"/>
              </w:rPr>
            </w:pPr>
            <w:r>
              <w:rPr>
                <w:rFonts w:ascii="Arial" w:cs="Arial" w:eastAsia="Arial" w:hAnsi="Arial"/>
                <w:sz w:val="18"/>
                <w:szCs w:val="18"/>
                <w:color w:val="auto"/>
              </w:rPr>
              <w:t>number of then</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initial business</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be restricted from</w:t>
            </w:r>
          </w:p>
        </w:tc>
        <w:tc>
          <w:tcPr>
            <w:tcW w:w="2060" w:type="dxa"/>
            <w:vAlign w:val="bottom"/>
          </w:tcPr>
          <w:p>
            <w:pPr>
              <w:spacing w:after="0" w:line="202" w:lineRule="exact"/>
              <w:rPr>
                <w:sz w:val="20"/>
                <w:szCs w:val="20"/>
                <w:color w:val="auto"/>
              </w:rPr>
            </w:pPr>
            <w:r>
              <w:rPr>
                <w:rFonts w:ascii="Arial" w:cs="Arial" w:eastAsia="Arial" w:hAnsi="Arial"/>
                <w:sz w:val="18"/>
                <w:szCs w:val="18"/>
                <w:color w:val="auto"/>
              </w:rPr>
              <w:t>outstanding public</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combination (which is</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making any such</w:t>
            </w:r>
          </w:p>
        </w:tc>
        <w:tc>
          <w:tcPr>
            <w:tcW w:w="2060" w:type="dxa"/>
            <w:vAlign w:val="bottom"/>
          </w:tcPr>
          <w:p>
            <w:pPr>
              <w:spacing w:after="0" w:line="202" w:lineRule="exact"/>
              <w:rPr>
                <w:sz w:val="20"/>
                <w:szCs w:val="20"/>
                <w:color w:val="auto"/>
              </w:rPr>
            </w:pPr>
            <w:r>
              <w:rPr>
                <w:rFonts w:ascii="Arial" w:cs="Arial" w:eastAsia="Arial" w:hAnsi="Arial"/>
                <w:sz w:val="18"/>
                <w:szCs w:val="18"/>
                <w:color w:val="auto"/>
              </w:rPr>
              <w:t>shares.</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w w:val="99"/>
              </w:rPr>
              <w:t>initially anticipated to be</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purchases when they</w:t>
            </w:r>
          </w:p>
        </w:tc>
        <w:tc>
          <w:tcPr>
            <w:tcW w:w="2060" w:type="dxa"/>
            <w:vAlign w:val="bottom"/>
          </w:tcPr>
          <w:p>
            <w:pPr>
              <w:spacing w:after="0"/>
              <w:rPr>
                <w:sz w:val="17"/>
                <w:szCs w:val="17"/>
                <w:color w:val="auto"/>
              </w:rPr>
            </w:pP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$10.00 per share),</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are in possession of any</w:t>
            </w:r>
          </w:p>
        </w:tc>
        <w:tc>
          <w:tcPr>
            <w:tcW w:w="2060" w:type="dxa"/>
            <w:vAlign w:val="bottom"/>
          </w:tcPr>
          <w:p>
            <w:pPr>
              <w:spacing w:after="0"/>
              <w:rPr>
                <w:sz w:val="17"/>
                <w:szCs w:val="17"/>
                <w:color w:val="auto"/>
              </w:rPr>
            </w:pP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including interest</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material nonpublic</w:t>
            </w:r>
          </w:p>
        </w:tc>
        <w:tc>
          <w:tcPr>
            <w:tcW w:w="2060" w:type="dxa"/>
            <w:vAlign w:val="bottom"/>
          </w:tcPr>
          <w:p>
            <w:pPr>
              <w:spacing w:after="0"/>
              <w:rPr>
                <w:sz w:val="17"/>
                <w:szCs w:val="17"/>
                <w:color w:val="auto"/>
              </w:rPr>
            </w:pP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earned on the funds</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information not</w:t>
            </w:r>
          </w:p>
        </w:tc>
        <w:tc>
          <w:tcPr>
            <w:tcW w:w="2060" w:type="dxa"/>
            <w:vAlign w:val="bottom"/>
          </w:tcPr>
          <w:p>
            <w:pPr>
              <w:spacing w:after="0"/>
              <w:rPr>
                <w:sz w:val="17"/>
                <w:szCs w:val="17"/>
                <w:color w:val="auto"/>
              </w:rPr>
            </w:pP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w w:val="99"/>
              </w:rPr>
              <w:t>held in the trust account</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disclosed to the seller or</w:t>
            </w:r>
          </w:p>
        </w:tc>
        <w:tc>
          <w:tcPr>
            <w:tcW w:w="2060" w:type="dxa"/>
            <w:vAlign w:val="bottom"/>
          </w:tcPr>
          <w:p>
            <w:pPr>
              <w:spacing w:after="0"/>
              <w:rPr>
                <w:sz w:val="17"/>
                <w:szCs w:val="17"/>
                <w:color w:val="auto"/>
              </w:rPr>
            </w:pP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and not previously</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if such purchases are</w:t>
            </w:r>
          </w:p>
        </w:tc>
        <w:tc>
          <w:tcPr>
            <w:tcW w:w="2060" w:type="dxa"/>
            <w:vAlign w:val="bottom"/>
          </w:tcPr>
          <w:p>
            <w:pPr>
              <w:spacing w:after="0"/>
              <w:rPr>
                <w:sz w:val="17"/>
                <w:szCs w:val="17"/>
                <w:color w:val="auto"/>
              </w:rPr>
            </w:pP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released to us to pay</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prohibited by Regulation</w:t>
            </w:r>
          </w:p>
        </w:tc>
        <w:tc>
          <w:tcPr>
            <w:tcW w:w="2060" w:type="dxa"/>
            <w:vAlign w:val="bottom"/>
          </w:tcPr>
          <w:p>
            <w:pPr>
              <w:spacing w:after="0"/>
              <w:rPr>
                <w:sz w:val="17"/>
                <w:szCs w:val="17"/>
                <w:color w:val="auto"/>
              </w:rPr>
            </w:pP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our taxes, divided by</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M under the Exchange</w:t>
            </w:r>
          </w:p>
        </w:tc>
        <w:tc>
          <w:tcPr>
            <w:tcW w:w="2060" w:type="dxa"/>
            <w:vAlign w:val="bottom"/>
          </w:tcPr>
          <w:p>
            <w:pPr>
              <w:spacing w:after="0"/>
              <w:rPr>
                <w:sz w:val="17"/>
                <w:szCs w:val="17"/>
                <w:color w:val="auto"/>
              </w:rPr>
            </w:pP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the number of then</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Act. We do not currently</w:t>
            </w:r>
          </w:p>
        </w:tc>
        <w:tc>
          <w:tcPr>
            <w:tcW w:w="2060" w:type="dxa"/>
            <w:vAlign w:val="bottom"/>
          </w:tcPr>
          <w:p>
            <w:pPr>
              <w:spacing w:after="0"/>
              <w:rPr>
                <w:sz w:val="17"/>
                <w:szCs w:val="17"/>
                <w:color w:val="auto"/>
              </w:rPr>
            </w:pP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outstanding public</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anticipate that such</w:t>
            </w:r>
          </w:p>
        </w:tc>
        <w:tc>
          <w:tcPr>
            <w:tcW w:w="2060" w:type="dxa"/>
            <w:vAlign w:val="bottom"/>
          </w:tcPr>
          <w:p>
            <w:pPr>
              <w:spacing w:after="0"/>
              <w:rPr>
                <w:sz w:val="17"/>
                <w:szCs w:val="17"/>
                <w:color w:val="auto"/>
              </w:rPr>
            </w:pP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shares, subject to the</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purchases, if any, would</w:t>
            </w:r>
          </w:p>
        </w:tc>
        <w:tc>
          <w:tcPr>
            <w:tcW w:w="2060" w:type="dxa"/>
            <w:vAlign w:val="bottom"/>
          </w:tcPr>
          <w:p>
            <w:pPr>
              <w:spacing w:after="0"/>
              <w:rPr>
                <w:sz w:val="17"/>
                <w:szCs w:val="17"/>
                <w:color w:val="auto"/>
              </w:rPr>
            </w:pP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limitation that no</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constitute a tender offer</w:t>
            </w:r>
          </w:p>
        </w:tc>
        <w:tc>
          <w:tcPr>
            <w:tcW w:w="2060" w:type="dxa"/>
            <w:vAlign w:val="bottom"/>
          </w:tcPr>
          <w:p>
            <w:pPr>
              <w:spacing w:after="0"/>
              <w:rPr>
                <w:sz w:val="17"/>
                <w:szCs w:val="17"/>
                <w:color w:val="auto"/>
              </w:rPr>
            </w:pP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redemptions will take</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subject to the tender</w:t>
            </w:r>
          </w:p>
        </w:tc>
        <w:tc>
          <w:tcPr>
            <w:tcW w:w="2060" w:type="dxa"/>
            <w:vAlign w:val="bottom"/>
          </w:tcPr>
          <w:p>
            <w:pPr>
              <w:spacing w:after="0"/>
              <w:rPr>
                <w:sz w:val="17"/>
                <w:szCs w:val="17"/>
                <w:color w:val="auto"/>
              </w:rPr>
            </w:pP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place if all of the</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offer rules under the</w:t>
            </w:r>
          </w:p>
        </w:tc>
        <w:tc>
          <w:tcPr>
            <w:tcW w:w="2060" w:type="dxa"/>
            <w:vAlign w:val="bottom"/>
          </w:tcPr>
          <w:p>
            <w:pPr>
              <w:spacing w:after="0"/>
              <w:rPr>
                <w:sz w:val="17"/>
                <w:szCs w:val="17"/>
                <w:color w:val="auto"/>
              </w:rPr>
            </w:pP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redemptions would</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Exchange Act or a</w:t>
            </w:r>
          </w:p>
        </w:tc>
        <w:tc>
          <w:tcPr>
            <w:tcW w:w="2060" w:type="dxa"/>
            <w:vAlign w:val="bottom"/>
          </w:tcPr>
          <w:p>
            <w:pPr>
              <w:spacing w:after="0"/>
              <w:rPr>
                <w:sz w:val="17"/>
                <w:szCs w:val="17"/>
                <w:color w:val="auto"/>
              </w:rPr>
            </w:pP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cause our net tangible</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going-private</w:t>
            </w:r>
          </w:p>
        </w:tc>
        <w:tc>
          <w:tcPr>
            <w:tcW w:w="2060" w:type="dxa"/>
            <w:vAlign w:val="bottom"/>
          </w:tcPr>
          <w:p>
            <w:pPr>
              <w:spacing w:after="0"/>
              <w:rPr>
                <w:sz w:val="17"/>
                <w:szCs w:val="17"/>
                <w:color w:val="auto"/>
              </w:rPr>
            </w:pP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assets to be less than</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transaction subject to</w:t>
            </w:r>
          </w:p>
        </w:tc>
        <w:tc>
          <w:tcPr>
            <w:tcW w:w="2060" w:type="dxa"/>
            <w:vAlign w:val="bottom"/>
          </w:tcPr>
          <w:p>
            <w:pPr>
              <w:spacing w:after="0"/>
              <w:rPr>
                <w:sz w:val="17"/>
                <w:szCs w:val="17"/>
                <w:color w:val="auto"/>
              </w:rPr>
            </w:pP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$5,000,001.</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the going-private rules</w:t>
            </w:r>
          </w:p>
        </w:tc>
        <w:tc>
          <w:tcPr>
            <w:tcW w:w="20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under the Exchange</w:t>
            </w:r>
          </w:p>
        </w:tc>
        <w:tc>
          <w:tcPr>
            <w:tcW w:w="20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Act; however, if the</w:t>
            </w:r>
          </w:p>
        </w:tc>
        <w:tc>
          <w:tcPr>
            <w:tcW w:w="206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purchasers determine at</w:t>
            </w:r>
          </w:p>
        </w:tc>
        <w:tc>
          <w:tcPr>
            <w:tcW w:w="20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the time of any such</w:t>
            </w:r>
          </w:p>
        </w:tc>
        <w:tc>
          <w:tcPr>
            <w:tcW w:w="20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purchases that the</w:t>
            </w:r>
          </w:p>
        </w:tc>
        <w:tc>
          <w:tcPr>
            <w:tcW w:w="20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purchases are subject</w:t>
            </w:r>
          </w:p>
        </w:tc>
        <w:tc>
          <w:tcPr>
            <w:tcW w:w="20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to such rules, the</w:t>
            </w:r>
          </w:p>
        </w:tc>
        <w:tc>
          <w:tcPr>
            <w:tcW w:w="20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purchasers will be</w:t>
            </w:r>
          </w:p>
        </w:tc>
        <w:tc>
          <w:tcPr>
            <w:tcW w:w="206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required to comply with</w:t>
            </w:r>
          </w:p>
        </w:tc>
        <w:tc>
          <w:tcPr>
            <w:tcW w:w="2060" w:type="dxa"/>
            <w:vAlign w:val="bottom"/>
          </w:tcPr>
          <w:p>
            <w:pPr>
              <w:spacing w:after="0"/>
              <w:rPr>
                <w:sz w:val="17"/>
                <w:szCs w:val="17"/>
                <w:color w:val="auto"/>
              </w:rPr>
            </w:pPr>
          </w:p>
        </w:tc>
      </w:tr>
      <w:tr>
        <w:trPr>
          <w:trHeight w:val="217"/>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140" w:type="dxa"/>
            <w:vAlign w:val="bottom"/>
            <w:gridSpan w:val="3"/>
          </w:tcPr>
          <w:p>
            <w:pPr>
              <w:ind w:left="100"/>
              <w:spacing w:after="0"/>
              <w:rPr>
                <w:sz w:val="20"/>
                <w:szCs w:val="20"/>
                <w:color w:val="auto"/>
              </w:rPr>
            </w:pPr>
            <w:r>
              <w:rPr>
                <w:rFonts w:ascii="Arial" w:cs="Arial" w:eastAsia="Arial" w:hAnsi="Arial"/>
                <w:sz w:val="18"/>
                <w:szCs w:val="18"/>
                <w:color w:val="auto"/>
              </w:rPr>
              <w:t>such rules.</w:t>
            </w:r>
          </w:p>
        </w:tc>
        <w:tc>
          <w:tcPr>
            <w:tcW w:w="2060" w:type="dxa"/>
            <w:vAlign w:val="bottom"/>
          </w:tcPr>
          <w:p>
            <w:pPr>
              <w:spacing w:after="0"/>
              <w:rPr>
                <w:sz w:val="18"/>
                <w:szCs w:val="18"/>
                <w:color w:val="auto"/>
              </w:rPr>
            </w:pPr>
          </w:p>
        </w:tc>
      </w:tr>
      <w:tr>
        <w:trPr>
          <w:trHeight w:val="418"/>
        </w:trPr>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40" w:type="dxa"/>
            <w:vAlign w:val="bottom"/>
            <w:gridSpan w:val="2"/>
          </w:tcPr>
          <w:p>
            <w:pPr>
              <w:jc w:val="right"/>
              <w:ind w:right="1724"/>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-1260475</wp:posOffset>
            </wp:positionH>
            <wp:positionV relativeFrom="paragraph">
              <wp:posOffset>-7620</wp:posOffset>
            </wp:positionV>
            <wp:extent cx="51435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2">
            <w:col w:w="2100" w:space="340"/>
            <w:col w:w="6579"/>
          </w:cols>
          <w:pgMar w:left="1440" w:top="333" w:right="1440" w:bottom="1440" w:gutter="0" w:footer="0" w:header="0"/>
          <w:type w:val="continuous"/>
        </w:sectPr>
      </w:pPr>
    </w:p>
    <w:bookmarkStart w:id="86" w:name="page87"/>
    <w:bookmarkEnd w:id="86"/>
    <w:p>
      <w:pPr>
        <w:spacing w:after="0" w:line="200" w:lineRule="exact"/>
        <w:rPr>
          <w:sz w:val="20"/>
          <w:szCs w:val="20"/>
          <w:color w:val="auto"/>
        </w:rPr>
      </w:pPr>
    </w:p>
    <w:p>
      <w:pPr>
        <w:spacing w:after="0" w:line="317" w:lineRule="exact"/>
        <w:rPr>
          <w:sz w:val="20"/>
          <w:szCs w:val="20"/>
          <w:color w:val="auto"/>
        </w:rPr>
      </w:pPr>
    </w:p>
    <w:p>
      <w:pPr>
        <w:ind w:left="640" w:hanging="179"/>
        <w:spacing w:after="0" w:line="301" w:lineRule="auto"/>
        <w:rPr>
          <w:sz w:val="20"/>
          <w:szCs w:val="20"/>
          <w:color w:val="auto"/>
        </w:rPr>
      </w:pPr>
      <w:r>
        <w:rPr>
          <w:rFonts w:ascii="Arial" w:cs="Arial" w:eastAsia="Arial" w:hAnsi="Arial"/>
          <w:sz w:val="17"/>
          <w:szCs w:val="17"/>
          <w:b w:val="1"/>
          <w:bCs w:val="1"/>
          <w:color w:val="auto"/>
        </w:rPr>
        <w:t>Impact to remaining stockholders</w:t>
      </w:r>
    </w:p>
    <w:p>
      <w:pPr>
        <w:spacing w:after="0" w:line="20" w:lineRule="exact"/>
        <w:rPr>
          <w:sz w:val="20"/>
          <w:szCs w:val="20"/>
          <w:color w:val="auto"/>
        </w:rPr>
      </w:pPr>
      <w:r>
        <w:rPr>
          <w:sz w:val="20"/>
          <w:szCs w:val="20"/>
          <w:color w:val="auto"/>
        </w:rPr>
        <w:br w:type="column"/>
      </w:r>
    </w:p>
    <w:p>
      <w:pPr>
        <w:jc w:val="center"/>
        <w:spacing w:after="0" w:line="263" w:lineRule="auto"/>
        <w:rPr>
          <w:sz w:val="20"/>
          <w:szCs w:val="20"/>
          <w:color w:val="auto"/>
        </w:rPr>
      </w:pPr>
      <w:r>
        <w:rPr>
          <w:rFonts w:ascii="Arial" w:cs="Arial" w:eastAsia="Arial" w:hAnsi="Arial"/>
          <w:sz w:val="14"/>
          <w:szCs w:val="14"/>
          <w:b w:val="1"/>
          <w:bCs w:val="1"/>
          <w:color w:val="auto"/>
        </w:rPr>
        <w:t>Redemptions in Connection with our Initial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122618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26185" cy="8255"/>
                    </a:xfrm>
                    <a:prstGeom prst="rect">
                      <a:avLst/>
                    </a:prstGeom>
                    <a:noFill/>
                  </pic:spPr>
                </pic:pic>
              </a:graphicData>
            </a:graphic>
          </wp:anchor>
        </w:drawing>
      </w:r>
    </w:p>
    <w:p>
      <w:pPr>
        <w:spacing w:after="0" w:line="3" w:lineRule="exact"/>
        <w:rPr>
          <w:sz w:val="20"/>
          <w:szCs w:val="20"/>
          <w:color w:val="auto"/>
        </w:rPr>
      </w:pPr>
    </w:p>
    <w:p>
      <w:pPr>
        <w:ind w:right="60"/>
        <w:spacing w:after="0" w:line="250" w:lineRule="auto"/>
        <w:rPr>
          <w:sz w:val="20"/>
          <w:szCs w:val="20"/>
          <w:color w:val="auto"/>
        </w:rPr>
      </w:pPr>
      <w:r>
        <w:rPr>
          <w:rFonts w:ascii="Arial" w:cs="Arial" w:eastAsia="Arial" w:hAnsi="Arial"/>
          <w:sz w:val="17"/>
          <w:szCs w:val="17"/>
          <w:color w:val="auto"/>
        </w:rPr>
        <w:t>The redemptions in connection with our initial business combination will reduce the book value per share for our remaining stockholders, who will bear the burden of the deferred underwriting commissions and interest withdrawn in order to pay our taxes (to the extent not paid from amounts accrued as interest on the funds held in the trust account).</w:t>
      </w:r>
    </w:p>
    <w:p>
      <w:pPr>
        <w:spacing w:after="0" w:line="20" w:lineRule="exact"/>
        <w:rPr>
          <w:sz w:val="20"/>
          <w:szCs w:val="20"/>
          <w:color w:val="auto"/>
        </w:rPr>
      </w:pPr>
      <w:r>
        <w:rPr>
          <w:sz w:val="20"/>
          <w:szCs w:val="20"/>
          <w:color w:val="auto"/>
        </w:rPr>
        <w:br w:type="column"/>
      </w:r>
    </w:p>
    <w:p>
      <w:pPr>
        <w:jc w:val="center"/>
        <w:ind w:left="40"/>
        <w:spacing w:after="0" w:line="263" w:lineRule="auto"/>
        <w:rPr>
          <w:sz w:val="20"/>
          <w:szCs w:val="20"/>
          <w:color w:val="auto"/>
        </w:rPr>
      </w:pPr>
      <w:r>
        <w:rPr>
          <w:rFonts w:ascii="Arial" w:cs="Arial" w:eastAsia="Arial" w:hAnsi="Arial"/>
          <w:sz w:val="14"/>
          <w:szCs w:val="14"/>
          <w:b w:val="1"/>
          <w:bCs w:val="1"/>
          <w:color w:val="auto"/>
        </w:rPr>
        <w:t>Other Permitted Purchases of Public Shares by our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123444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If the permitted purchases described above are made, there would be no impact to our remaining stockholders because the purchase price would not be paid by us.</w:t>
      </w:r>
    </w:p>
    <w:p>
      <w:pPr>
        <w:spacing w:after="0" w:line="20" w:lineRule="exact"/>
        <w:rPr>
          <w:sz w:val="20"/>
          <w:szCs w:val="20"/>
          <w:color w:val="auto"/>
        </w:rPr>
      </w:pPr>
      <w:r>
        <w:rPr>
          <w:sz w:val="20"/>
          <w:szCs w:val="20"/>
          <w:color w:val="auto"/>
        </w:rPr>
        <w:br w:type="column"/>
      </w:r>
    </w:p>
    <w:p>
      <w:pPr>
        <w:jc w:val="center"/>
        <w:ind w:left="20" w:right="519"/>
        <w:spacing w:after="0" w:line="263" w:lineRule="auto"/>
        <w:rPr>
          <w:sz w:val="20"/>
          <w:szCs w:val="20"/>
          <w:color w:val="auto"/>
        </w:rPr>
      </w:pPr>
      <w:r>
        <w:rPr>
          <w:rFonts w:ascii="Arial" w:cs="Arial" w:eastAsia="Arial" w:hAnsi="Arial"/>
          <w:sz w:val="14"/>
          <w:szCs w:val="14"/>
          <w:b w:val="1"/>
          <w:bCs w:val="1"/>
          <w:color w:val="auto"/>
        </w:rPr>
        <w:t>Redemptions if we fail to Complete an Initial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wp:posOffset>
            </wp:positionV>
            <wp:extent cx="13030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3" w:lineRule="exact"/>
        <w:rPr>
          <w:sz w:val="20"/>
          <w:szCs w:val="20"/>
          <w:color w:val="auto"/>
        </w:rPr>
      </w:pPr>
    </w:p>
    <w:p>
      <w:pPr>
        <w:ind w:right="479"/>
        <w:spacing w:after="0" w:line="236" w:lineRule="auto"/>
        <w:rPr>
          <w:sz w:val="20"/>
          <w:szCs w:val="20"/>
          <w:color w:val="auto"/>
        </w:rPr>
      </w:pPr>
      <w:r>
        <w:rPr>
          <w:rFonts w:ascii="Arial" w:cs="Arial" w:eastAsia="Arial" w:hAnsi="Arial"/>
          <w:sz w:val="18"/>
          <w:szCs w:val="18"/>
          <w:color w:val="auto"/>
        </w:rPr>
        <w:t>The redemption of our public shares if we fail to complete our initial business combination will reduce the book value per share for the shares held by our initial stockholders, who will be our only remaining stockholders after such redemptions.</w:t>
      </w:r>
    </w:p>
    <w:p>
      <w:pPr>
        <w:spacing w:after="0" w:line="1422" w:lineRule="exact"/>
        <w:rPr>
          <w:sz w:val="20"/>
          <w:szCs w:val="20"/>
          <w:color w:val="auto"/>
        </w:rPr>
      </w:pPr>
    </w:p>
    <w:p>
      <w:pPr>
        <w:sectPr>
          <w:pgSz w:w="11900" w:h="16838" w:orient="portrait"/>
          <w:cols w:equalWidth="0" w:num="4">
            <w:col w:w="2160" w:space="280"/>
            <w:col w:w="1920" w:space="100"/>
            <w:col w:w="1940" w:space="100"/>
            <w:col w:w="2519"/>
          </w:cols>
          <w:pgMar w:left="1440" w:top="302" w:right="1440" w:bottom="1440" w:gutter="0" w:footer="0" w:header="0"/>
        </w:sectPr>
      </w:pP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Comparison of This Offering to Those of Blank Check Companies Subject to Rule 419</w:t>
      </w:r>
    </w:p>
    <w:p>
      <w:pPr>
        <w:spacing w:after="0" w:line="166" w:lineRule="exact"/>
        <w:rPr>
          <w:sz w:val="20"/>
          <w:szCs w:val="20"/>
          <w:color w:val="auto"/>
        </w:rPr>
      </w:pPr>
    </w:p>
    <w:p>
      <w:pPr>
        <w:ind w:left="460" w:right="519"/>
        <w:spacing w:after="0" w:line="238" w:lineRule="auto"/>
        <w:rPr>
          <w:sz w:val="20"/>
          <w:szCs w:val="20"/>
          <w:color w:val="auto"/>
        </w:rPr>
      </w:pPr>
      <w:r>
        <w:rPr>
          <w:rFonts w:ascii="Arial" w:cs="Arial" w:eastAsia="Arial" w:hAnsi="Arial"/>
          <w:sz w:val="18"/>
          <w:szCs w:val="18"/>
          <w:color w:val="auto"/>
        </w:rPr>
        <w:t>The following table compares the terms of this offering to the terms of an offering by a blank check company subject to the provisions of Rule 419. This comparison assumes that the gross proceeds, underwriting commissions and underwriting expenses of our offering would be identical to those of an offering undertaken by a company subject to Rule 419, and that the underwriters will not exercise their over-allotment option. None of the provisions of Rule 419 apply to our offering.</w:t>
      </w:r>
    </w:p>
    <w:p>
      <w:pPr>
        <w:spacing w:after="0" w:line="149" w:lineRule="exact"/>
        <w:rPr>
          <w:sz w:val="20"/>
          <w:szCs w:val="20"/>
          <w:color w:val="auto"/>
        </w:rPr>
      </w:pPr>
    </w:p>
    <w:p>
      <w:pPr>
        <w:ind w:left="3180"/>
        <w:spacing w:after="0"/>
        <w:tabs>
          <w:tab w:leader="none" w:pos="5880" w:val="left"/>
        </w:tabs>
        <w:rPr>
          <w:sz w:val="20"/>
          <w:szCs w:val="20"/>
          <w:color w:val="auto"/>
        </w:rPr>
      </w:pPr>
      <w:r>
        <w:rPr>
          <w:rFonts w:ascii="Arial" w:cs="Arial" w:eastAsia="Arial" w:hAnsi="Arial"/>
          <w:sz w:val="14"/>
          <w:szCs w:val="14"/>
          <w:b w:val="1"/>
          <w:bCs w:val="1"/>
          <w:color w:val="auto"/>
        </w:rPr>
        <w:t>Terms of Our Offering</w:t>
      </w:r>
      <w:r>
        <w:rPr>
          <w:sz w:val="20"/>
          <w:szCs w:val="20"/>
          <w:color w:val="auto"/>
        </w:rPr>
        <w:tab/>
      </w:r>
      <w:r>
        <w:rPr>
          <w:rFonts w:ascii="Arial" w:cs="Arial" w:eastAsia="Arial" w:hAnsi="Arial"/>
          <w:sz w:val="14"/>
          <w:szCs w:val="14"/>
          <w:b w:val="1"/>
          <w:bCs w:val="1"/>
          <w:color w:val="auto"/>
        </w:rPr>
        <w:t>Terms Under a Rule 419 Offering</w:t>
      </w:r>
    </w:p>
    <w:p>
      <w:pPr>
        <w:sectPr>
          <w:pgSz w:w="11900" w:h="16838" w:orient="portrait"/>
          <w:cols w:equalWidth="0" w:num="1">
            <w:col w:w="9019"/>
          </w:cols>
          <w:pgMar w:left="1440" w:top="302" w:right="1440" w:bottom="1440" w:gutter="0" w:footer="0" w:header="0"/>
          <w:type w:val="continuous"/>
        </w:sectPr>
      </w:pPr>
    </w:p>
    <w:p>
      <w:pPr>
        <w:spacing w:after="0" w:line="113" w:lineRule="exact"/>
        <w:rPr>
          <w:sz w:val="20"/>
          <w:szCs w:val="20"/>
          <w:color w:val="auto"/>
        </w:rPr>
      </w:pPr>
    </w:p>
    <w:p>
      <w:pPr>
        <w:ind w:left="640" w:hanging="179"/>
        <w:spacing w:after="0" w:line="301" w:lineRule="auto"/>
        <w:rPr>
          <w:sz w:val="20"/>
          <w:szCs w:val="20"/>
          <w:color w:val="auto"/>
        </w:rPr>
      </w:pPr>
      <w:r>
        <w:rPr>
          <w:rFonts w:ascii="Arial" w:cs="Arial" w:eastAsia="Arial" w:hAnsi="Arial"/>
          <w:sz w:val="17"/>
          <w:szCs w:val="17"/>
          <w:b w:val="1"/>
          <w:bCs w:val="1"/>
          <w:color w:val="auto"/>
        </w:rPr>
        <w:t>Escrow of offering proceeds</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$100,000,000 of the net proceeds of this offering and the sale of the private placement shares will be deposited into a trust account located in the United States with Continental Stock Transfer &amp; Trust Company acting 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-915670</wp:posOffset>
            </wp:positionV>
            <wp:extent cx="18770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ind w:right="479"/>
        <w:spacing w:after="0" w:line="236" w:lineRule="auto"/>
        <w:rPr>
          <w:sz w:val="20"/>
          <w:szCs w:val="20"/>
          <w:color w:val="auto"/>
        </w:rPr>
      </w:pPr>
      <w:r>
        <w:rPr>
          <w:rFonts w:ascii="Arial" w:cs="Arial" w:eastAsia="Arial" w:hAnsi="Arial"/>
          <w:sz w:val="18"/>
          <w:szCs w:val="18"/>
          <w:color w:val="auto"/>
        </w:rPr>
        <w:t>Approximately $85,050,000 of the offering proceeds, representing the gross proceeds of this offering, would be required to be deposited into either an escrow account with an insured depositary institution or in a separate bank account established by a broker-dealer in which the broker-dealer acts as trustee for persons having the beneficial interests in the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-1299845</wp:posOffset>
            </wp:positionV>
            <wp:extent cx="194564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170" w:lineRule="exact"/>
        <w:rPr>
          <w:sz w:val="20"/>
          <w:szCs w:val="20"/>
          <w:color w:val="auto"/>
        </w:rPr>
      </w:pPr>
    </w:p>
    <w:p>
      <w:pPr>
        <w:sectPr>
          <w:pgSz w:w="11900" w:h="16838" w:orient="portrait"/>
          <w:cols w:equalWidth="0" w:num="3">
            <w:col w:w="2040" w:space="400"/>
            <w:col w:w="2880" w:space="160"/>
            <w:col w:w="3539"/>
          </w:cols>
          <w:pgMar w:left="1440" w:top="302" w:right="1440" w:bottom="1440" w:gutter="0" w:footer="0" w:header="0"/>
          <w:type w:val="continuous"/>
        </w:sectPr>
      </w:pPr>
    </w:p>
    <w:p>
      <w:pPr>
        <w:ind w:left="460"/>
        <w:spacing w:after="0"/>
        <w:tabs>
          <w:tab w:leader="none" w:pos="2420" w:val="left"/>
        </w:tabs>
        <w:rPr>
          <w:sz w:val="20"/>
          <w:szCs w:val="20"/>
          <w:color w:val="auto"/>
        </w:rPr>
      </w:pPr>
      <w:r>
        <w:rPr>
          <w:rFonts w:ascii="Arial" w:cs="Arial" w:eastAsia="Arial" w:hAnsi="Arial"/>
          <w:sz w:val="18"/>
          <w:szCs w:val="18"/>
          <w:b w:val="1"/>
          <w:bCs w:val="1"/>
          <w:color w:val="auto"/>
        </w:rPr>
        <w:t>Investment of net</w:t>
      </w:r>
      <w:r>
        <w:rPr>
          <w:sz w:val="20"/>
          <w:szCs w:val="20"/>
          <w:color w:val="auto"/>
        </w:rPr>
        <w:tab/>
      </w:r>
      <w:r>
        <w:rPr>
          <w:rFonts w:ascii="Arial" w:cs="Arial" w:eastAsia="Arial" w:hAnsi="Arial"/>
          <w:sz w:val="17"/>
          <w:szCs w:val="17"/>
          <w:color w:val="auto"/>
        </w:rPr>
        <w:t>$100,000,000 of the net proceeds of</w:t>
      </w:r>
    </w:p>
    <w:p>
      <w:pPr>
        <w:spacing w:after="0" w:line="18" w:lineRule="exact"/>
        <w:rPr>
          <w:sz w:val="20"/>
          <w:szCs w:val="20"/>
          <w:color w:val="auto"/>
        </w:rPr>
      </w:pPr>
    </w:p>
    <w:p>
      <w:pPr>
        <w:ind w:left="2440" w:hanging="1799"/>
        <w:spacing w:after="0" w:line="236" w:lineRule="auto"/>
        <w:tabs>
          <w:tab w:leader="none" w:pos="2420" w:val="left"/>
        </w:tabs>
        <w:rPr>
          <w:sz w:val="20"/>
          <w:szCs w:val="20"/>
          <w:color w:val="auto"/>
        </w:rPr>
      </w:pPr>
      <w:r>
        <w:rPr>
          <w:rFonts w:ascii="Arial" w:cs="Arial" w:eastAsia="Arial" w:hAnsi="Arial"/>
          <w:sz w:val="18"/>
          <w:szCs w:val="18"/>
          <w:b w:val="1"/>
          <w:bCs w:val="1"/>
          <w:color w:val="auto"/>
        </w:rPr>
        <w:t>proceeds</w:t>
      </w:r>
      <w:r>
        <w:rPr>
          <w:sz w:val="20"/>
          <w:szCs w:val="20"/>
          <w:color w:val="auto"/>
        </w:rPr>
        <w:tab/>
      </w:r>
      <w:r>
        <w:rPr>
          <w:rFonts w:ascii="Arial" w:cs="Arial" w:eastAsia="Arial" w:hAnsi="Arial"/>
          <w:sz w:val="18"/>
          <w:szCs w:val="18"/>
          <w:color w:val="auto"/>
        </w:rPr>
        <w:t>this offering and the sale of the private placement shares held in trust will be invested only in U.S. government treasury obligations with a maturity of 185 days or less or in money market funds meeting certain conditions under Rule 2a-7 under the Investment Company Act which invest only in direct U.S. government treasury obligations.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519"/>
        <w:spacing w:after="0" w:line="236" w:lineRule="auto"/>
        <w:rPr>
          <w:sz w:val="20"/>
          <w:szCs w:val="20"/>
          <w:color w:val="auto"/>
        </w:rPr>
      </w:pPr>
      <w:r>
        <w:rPr>
          <w:rFonts w:ascii="Arial" w:cs="Arial" w:eastAsia="Arial" w:hAnsi="Arial"/>
          <w:sz w:val="18"/>
          <w:szCs w:val="18"/>
          <w:color w:val="auto"/>
        </w:rPr>
        <w:t>Proceeds could be invested only in specified securities such as a money market fund meeting conditions of the Investment Company Act or in securities that are direct obligations of, or obligations guaranteed as to principal or interest by, the United States.</w:t>
      </w:r>
    </w:p>
    <w:p>
      <w:pPr>
        <w:spacing w:after="0" w:line="779" w:lineRule="exact"/>
        <w:rPr>
          <w:sz w:val="20"/>
          <w:szCs w:val="20"/>
          <w:color w:val="auto"/>
        </w:rPr>
      </w:pPr>
    </w:p>
    <w:p>
      <w:pPr>
        <w:sectPr>
          <w:pgSz w:w="11900" w:h="16838" w:orient="portrait"/>
          <w:cols w:equalWidth="0" w:num="2">
            <w:col w:w="5360" w:space="120"/>
            <w:col w:w="3539"/>
          </w:cols>
          <w:pgMar w:left="1440" w:top="302" w:right="1440" w:bottom="1440" w:gutter="0" w:footer="0" w:header="0"/>
          <w:type w:val="continuous"/>
        </w:sectPr>
      </w:pPr>
    </w:p>
    <w:p>
      <w:pPr>
        <w:ind w:left="460"/>
        <w:spacing w:after="0"/>
        <w:rPr>
          <w:sz w:val="20"/>
          <w:szCs w:val="20"/>
          <w:color w:val="auto"/>
        </w:rPr>
      </w:pPr>
      <w:r>
        <w:rPr>
          <w:rFonts w:ascii="Arial" w:cs="Arial" w:eastAsia="Arial" w:hAnsi="Arial"/>
          <w:sz w:val="18"/>
          <w:szCs w:val="18"/>
          <w:b w:val="1"/>
          <w:bCs w:val="1"/>
          <w:color w:val="auto"/>
        </w:rPr>
        <w:t xml:space="preserve">Receipt of interest on  </w:t>
      </w:r>
      <w:r>
        <w:rPr>
          <w:rFonts w:ascii="Arial" w:cs="Arial" w:eastAsia="Arial" w:hAnsi="Arial"/>
          <w:sz w:val="18"/>
          <w:szCs w:val="18"/>
          <w:color w:val="auto"/>
        </w:rPr>
        <w:t>Interest on proceeds from the trust</w:t>
      </w:r>
    </w:p>
    <w:p>
      <w:pPr>
        <w:spacing w:after="0" w:line="18" w:lineRule="exact"/>
        <w:rPr>
          <w:sz w:val="20"/>
          <w:szCs w:val="20"/>
          <w:color w:val="auto"/>
        </w:rPr>
      </w:pPr>
    </w:p>
    <w:p>
      <w:pPr>
        <w:ind w:left="2440" w:hanging="1803"/>
        <w:spacing w:after="0" w:line="236" w:lineRule="auto"/>
        <w:tabs>
          <w:tab w:leader="none" w:pos="2420" w:val="left"/>
        </w:tabs>
        <w:rPr>
          <w:sz w:val="20"/>
          <w:szCs w:val="20"/>
          <w:color w:val="auto"/>
        </w:rPr>
      </w:pPr>
      <w:r>
        <w:rPr>
          <w:rFonts w:ascii="Arial" w:cs="Arial" w:eastAsia="Arial" w:hAnsi="Arial"/>
          <w:sz w:val="18"/>
          <w:szCs w:val="18"/>
          <w:b w:val="1"/>
          <w:bCs w:val="1"/>
          <w:color w:val="auto"/>
        </w:rPr>
        <w:t>escrowed funds</w:t>
      </w:r>
      <w:r>
        <w:rPr>
          <w:sz w:val="20"/>
          <w:szCs w:val="20"/>
          <w:color w:val="auto"/>
        </w:rPr>
        <w:tab/>
      </w:r>
      <w:r>
        <w:rPr>
          <w:rFonts w:ascii="Arial" w:cs="Arial" w:eastAsia="Arial" w:hAnsi="Arial"/>
          <w:sz w:val="18"/>
          <w:szCs w:val="18"/>
          <w:color w:val="auto"/>
        </w:rPr>
        <w:t>account to be paid to stockholders is reduced by (i) any taxes paid or payable and (ii) in the event of our liquidation for failure to complete our initial business combination within the allotted time, up to $ 100,000 of net interest that may be released to us should we have no or insufficient working capital to fund the costs and expenses of our dissolution and liquidation.</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499"/>
        <w:spacing w:after="0" w:line="237" w:lineRule="auto"/>
        <w:rPr>
          <w:sz w:val="20"/>
          <w:szCs w:val="20"/>
          <w:color w:val="auto"/>
        </w:rPr>
      </w:pPr>
      <w:r>
        <w:rPr>
          <w:rFonts w:ascii="Arial" w:cs="Arial" w:eastAsia="Arial" w:hAnsi="Arial"/>
          <w:sz w:val="18"/>
          <w:szCs w:val="18"/>
          <w:color w:val="auto"/>
        </w:rPr>
        <w:t>Interest on funds in escrow account would be held for the sole benefit of investors, unless and only after the funds held in escrow were released to us in connection with our completion of a business combination.</w:t>
      </w:r>
    </w:p>
    <w:p>
      <w:pPr>
        <w:spacing w:after="0" w:line="1414" w:lineRule="exact"/>
        <w:rPr>
          <w:sz w:val="20"/>
          <w:szCs w:val="20"/>
          <w:color w:val="auto"/>
        </w:rPr>
      </w:pPr>
    </w:p>
    <w:p>
      <w:pPr>
        <w:sectPr>
          <w:pgSz w:w="11900" w:h="16838" w:orient="portrait"/>
          <w:cols w:equalWidth="0" w:num="2">
            <w:col w:w="5340" w:space="140"/>
            <w:col w:w="3539"/>
          </w:cols>
          <w:pgMar w:left="1440" w:top="302" w:right="1440" w:bottom="1440" w:gutter="0" w:footer="0" w:header="0"/>
          <w:type w:val="continuous"/>
        </w:sectPr>
      </w:pP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02" w:right="1440" w:bottom="1440" w:gutter="0" w:footer="0" w:header="0"/>
          <w:type w:val="continuous"/>
        </w:sectPr>
      </w:pPr>
    </w:p>
    <w:bookmarkStart w:id="87" w:name="page88"/>
    <w:bookmarkEnd w:id="87"/>
    <w:p>
      <w:pPr>
        <w:ind w:left="3180"/>
        <w:spacing w:after="0"/>
        <w:tabs>
          <w:tab w:leader="none" w:pos="5880" w:val="left"/>
        </w:tabs>
        <w:rPr>
          <w:sz w:val="20"/>
          <w:szCs w:val="20"/>
          <w:color w:val="auto"/>
        </w:rPr>
      </w:pPr>
      <w:r>
        <w:rPr>
          <w:rFonts w:ascii="Arial" w:cs="Arial" w:eastAsia="Arial" w:hAnsi="Arial"/>
          <w:sz w:val="14"/>
          <w:szCs w:val="14"/>
          <w:b w:val="1"/>
          <w:bCs w:val="1"/>
          <w:color w:val="auto"/>
        </w:rPr>
        <w:t>Terms of Our Offering</w:t>
      </w:r>
      <w:r>
        <w:rPr>
          <w:sz w:val="20"/>
          <w:szCs w:val="20"/>
          <w:color w:val="auto"/>
        </w:rPr>
        <w:tab/>
      </w:r>
      <w:r>
        <w:rPr>
          <w:rFonts w:ascii="Arial" w:cs="Arial" w:eastAsia="Arial" w:hAnsi="Arial"/>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86360</wp:posOffset>
            </wp:positionV>
            <wp:extent cx="38830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883025" cy="8255"/>
                    </a:xfrm>
                    <a:prstGeom prst="rect">
                      <a:avLst/>
                    </a:prstGeom>
                    <a:noFill/>
                  </pic:spPr>
                </pic:pic>
              </a:graphicData>
            </a:graphic>
          </wp:anchor>
        </w:drawing>
      </w:r>
    </w:p>
    <w:p>
      <w:pPr>
        <w:sectPr>
          <w:pgSz w:w="11900" w:h="16838" w:orient="portrait"/>
          <w:cols w:equalWidth="0" w:num="1">
            <w:col w:w="9019"/>
          </w:cols>
          <w:pgMar w:left="1440" w:top="302" w:right="1440" w:bottom="1440" w:gutter="0" w:footer="0" w:header="0"/>
        </w:sectPr>
      </w:pPr>
    </w:p>
    <w:p>
      <w:pPr>
        <w:spacing w:after="0" w:line="167" w:lineRule="exact"/>
        <w:rPr>
          <w:sz w:val="20"/>
          <w:szCs w:val="20"/>
          <w:color w:val="auto"/>
        </w:rPr>
      </w:pPr>
    </w:p>
    <w:p>
      <w:pPr>
        <w:ind w:left="640" w:hanging="179"/>
        <w:spacing w:after="0" w:line="275" w:lineRule="auto"/>
        <w:rPr>
          <w:sz w:val="20"/>
          <w:szCs w:val="20"/>
          <w:color w:val="auto"/>
        </w:rPr>
      </w:pPr>
      <w:r>
        <w:rPr>
          <w:rFonts w:ascii="Arial" w:cs="Arial" w:eastAsia="Arial" w:hAnsi="Arial"/>
          <w:sz w:val="17"/>
          <w:szCs w:val="17"/>
          <w:b w:val="1"/>
          <w:bCs w:val="1"/>
          <w:color w:val="auto"/>
        </w:rPr>
        <w:t>Limitation on fair value or net assets of target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640" w:right="300" w:hanging="179"/>
        <w:spacing w:after="0" w:line="271" w:lineRule="auto"/>
        <w:rPr>
          <w:sz w:val="20"/>
          <w:szCs w:val="20"/>
          <w:color w:val="auto"/>
        </w:rPr>
      </w:pPr>
      <w:r>
        <w:rPr>
          <w:rFonts w:ascii="Arial" w:cs="Arial" w:eastAsia="Arial" w:hAnsi="Arial"/>
          <w:sz w:val="18"/>
          <w:szCs w:val="18"/>
          <w:b w:val="1"/>
          <w:bCs w:val="1"/>
          <w:color w:val="auto"/>
        </w:rPr>
        <w:t>Trading of shares issued</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must complete one or more business combinations having an aggregate fair market value of at least 80% of our assets held in the trust account (excluding the deferred underwriting commissions and taxes payable on the income earned on the trust account) at the time of the agreement to enter into the initial business combination.</w:t>
      </w:r>
    </w:p>
    <w:p>
      <w:pPr>
        <w:spacing w:after="0" w:line="192"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The shares of Class A common stock are expected to begin trading on or promptly after the date of this prospectus.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both"/>
        <w:ind w:right="499"/>
        <w:spacing w:after="0"/>
        <w:rPr>
          <w:sz w:val="20"/>
          <w:szCs w:val="20"/>
          <w:color w:val="auto"/>
        </w:rPr>
      </w:pPr>
      <w:r>
        <w:rPr>
          <w:rFonts w:ascii="Arial" w:cs="Arial" w:eastAsia="Arial" w:hAnsi="Arial"/>
          <w:sz w:val="18"/>
          <w:szCs w:val="18"/>
          <w:color w:val="auto"/>
        </w:rPr>
        <w:t>The fair value or net assets of a target business must represent at least 80% of the maximum offering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699"/>
        <w:spacing w:after="0" w:line="237" w:lineRule="auto"/>
        <w:rPr>
          <w:sz w:val="20"/>
          <w:szCs w:val="20"/>
          <w:color w:val="auto"/>
        </w:rPr>
      </w:pPr>
      <w:r>
        <w:rPr>
          <w:rFonts w:ascii="Arial" w:cs="Arial" w:eastAsia="Arial" w:hAnsi="Arial"/>
          <w:sz w:val="18"/>
          <w:szCs w:val="18"/>
          <w:color w:val="auto"/>
        </w:rPr>
        <w:t>No trading of the shares of Class A common stock would be permitted until the completion of a business combination. During this period, the shares of Class A common stock would be held in the escrow or trust account.</w:t>
      </w:r>
    </w:p>
    <w:p>
      <w:pPr>
        <w:spacing w:after="0" w:line="167" w:lineRule="exact"/>
        <w:rPr>
          <w:sz w:val="20"/>
          <w:szCs w:val="20"/>
          <w:color w:val="auto"/>
        </w:rPr>
      </w:pPr>
    </w:p>
    <w:p>
      <w:pPr>
        <w:sectPr>
          <w:pgSz w:w="11900" w:h="16838" w:orient="portrait"/>
          <w:cols w:equalWidth="0" w:num="3">
            <w:col w:w="2260" w:space="180"/>
            <w:col w:w="2920" w:space="120"/>
            <w:col w:w="3539"/>
          </w:cols>
          <w:pgMar w:left="1440" w:top="302" w:right="1440" w:bottom="1440" w:gutter="0" w:footer="0" w:header="0"/>
          <w:type w:val="continuous"/>
        </w:sectPr>
      </w:pPr>
    </w:p>
    <w:p>
      <w:pPr>
        <w:ind w:left="460"/>
        <w:spacing w:after="0"/>
        <w:tabs>
          <w:tab w:leader="none" w:pos="2420" w:val="left"/>
        </w:tabs>
        <w:rPr>
          <w:sz w:val="20"/>
          <w:szCs w:val="20"/>
          <w:color w:val="auto"/>
        </w:rPr>
      </w:pPr>
      <w:r>
        <w:rPr>
          <w:rFonts w:ascii="Arial" w:cs="Arial" w:eastAsia="Arial" w:hAnsi="Arial"/>
          <w:sz w:val="18"/>
          <w:szCs w:val="18"/>
          <w:b w:val="1"/>
          <w:bCs w:val="1"/>
          <w:color w:val="auto"/>
        </w:rPr>
        <w:t>Election to remain an</w:t>
      </w:r>
      <w:r>
        <w:rPr>
          <w:sz w:val="20"/>
          <w:szCs w:val="20"/>
          <w:color w:val="auto"/>
        </w:rPr>
        <w:tab/>
      </w:r>
      <w:r>
        <w:rPr>
          <w:rFonts w:ascii="Arial" w:cs="Arial" w:eastAsia="Arial" w:hAnsi="Arial"/>
          <w:sz w:val="17"/>
          <w:szCs w:val="17"/>
          <w:color w:val="auto"/>
        </w:rPr>
        <w:t>We will provide our public</w:t>
      </w:r>
    </w:p>
    <w:p>
      <w:pPr>
        <w:spacing w:after="0" w:line="13" w:lineRule="exact"/>
        <w:rPr>
          <w:sz w:val="20"/>
          <w:szCs w:val="20"/>
          <w:color w:val="auto"/>
        </w:rPr>
      </w:pPr>
    </w:p>
    <w:p>
      <w:pPr>
        <w:ind w:left="640"/>
        <w:spacing w:after="0"/>
        <w:tabs>
          <w:tab w:leader="none" w:pos="2420" w:val="left"/>
        </w:tabs>
        <w:rPr>
          <w:sz w:val="20"/>
          <w:szCs w:val="20"/>
          <w:color w:val="auto"/>
        </w:rPr>
      </w:pPr>
      <w:r>
        <w:rPr>
          <w:rFonts w:ascii="Arial" w:cs="Arial" w:eastAsia="Arial" w:hAnsi="Arial"/>
          <w:sz w:val="18"/>
          <w:szCs w:val="18"/>
          <w:b w:val="1"/>
          <w:bCs w:val="1"/>
          <w:color w:val="auto"/>
        </w:rPr>
        <w:t>investor</w:t>
      </w:r>
      <w:r>
        <w:rPr>
          <w:sz w:val="20"/>
          <w:szCs w:val="20"/>
          <w:color w:val="auto"/>
        </w:rPr>
        <w:tab/>
      </w:r>
      <w:r>
        <w:rPr>
          <w:rFonts w:ascii="Arial" w:cs="Arial" w:eastAsia="Arial" w:hAnsi="Arial"/>
          <w:sz w:val="18"/>
          <w:szCs w:val="18"/>
          <w:color w:val="auto"/>
        </w:rPr>
        <w:t>stockholders with the opportunity to</w:t>
      </w:r>
    </w:p>
    <w:p>
      <w:pPr>
        <w:ind w:left="2440"/>
        <w:spacing w:after="0" w:line="234" w:lineRule="auto"/>
        <w:rPr>
          <w:sz w:val="20"/>
          <w:szCs w:val="20"/>
          <w:color w:val="auto"/>
        </w:rPr>
      </w:pPr>
      <w:r>
        <w:rPr>
          <w:rFonts w:ascii="Arial" w:cs="Arial" w:eastAsia="Arial" w:hAnsi="Arial"/>
          <w:sz w:val="18"/>
          <w:szCs w:val="18"/>
          <w:color w:val="auto"/>
        </w:rPr>
        <w:t>redeem their public shares for cash</w:t>
      </w:r>
    </w:p>
    <w:p>
      <w:pPr>
        <w:ind w:left="2440"/>
        <w:spacing w:after="0" w:line="235" w:lineRule="auto"/>
        <w:rPr>
          <w:sz w:val="20"/>
          <w:szCs w:val="20"/>
          <w:color w:val="auto"/>
        </w:rPr>
      </w:pPr>
      <w:r>
        <w:rPr>
          <w:rFonts w:ascii="Arial" w:cs="Arial" w:eastAsia="Arial" w:hAnsi="Arial"/>
          <w:sz w:val="18"/>
          <w:szCs w:val="18"/>
          <w:color w:val="auto"/>
        </w:rPr>
        <w:t>at a per share price equal to the</w:t>
      </w:r>
    </w:p>
    <w:p>
      <w:pPr>
        <w:ind w:left="2440"/>
        <w:spacing w:after="0" w:line="235" w:lineRule="auto"/>
        <w:rPr>
          <w:sz w:val="20"/>
          <w:szCs w:val="20"/>
          <w:color w:val="auto"/>
        </w:rPr>
      </w:pPr>
      <w:r>
        <w:rPr>
          <w:rFonts w:ascii="Arial" w:cs="Arial" w:eastAsia="Arial" w:hAnsi="Arial"/>
          <w:sz w:val="18"/>
          <w:szCs w:val="18"/>
          <w:color w:val="auto"/>
        </w:rPr>
        <w:t>aggregate amount then on deposit in</w:t>
      </w:r>
    </w:p>
    <w:p>
      <w:pPr>
        <w:ind w:left="2440"/>
        <w:spacing w:after="0" w:line="235" w:lineRule="auto"/>
        <w:rPr>
          <w:sz w:val="20"/>
          <w:szCs w:val="20"/>
          <w:color w:val="auto"/>
        </w:rPr>
      </w:pPr>
      <w:r>
        <w:rPr>
          <w:rFonts w:ascii="Arial" w:cs="Arial" w:eastAsia="Arial" w:hAnsi="Arial"/>
          <w:sz w:val="18"/>
          <w:szCs w:val="18"/>
          <w:color w:val="auto"/>
        </w:rPr>
        <w:t>the trust account calculated as of</w:t>
      </w:r>
    </w:p>
    <w:p>
      <w:pPr>
        <w:ind w:left="2440"/>
        <w:spacing w:after="0" w:line="235" w:lineRule="auto"/>
        <w:rPr>
          <w:sz w:val="20"/>
          <w:szCs w:val="20"/>
          <w:color w:val="auto"/>
        </w:rPr>
      </w:pPr>
      <w:r>
        <w:rPr>
          <w:rFonts w:ascii="Arial" w:cs="Arial" w:eastAsia="Arial" w:hAnsi="Arial"/>
          <w:sz w:val="18"/>
          <w:szCs w:val="18"/>
          <w:color w:val="auto"/>
        </w:rPr>
        <w:t>two business days prior to the</w:t>
      </w:r>
    </w:p>
    <w:p>
      <w:pPr>
        <w:ind w:left="2440"/>
        <w:spacing w:after="0" w:line="234" w:lineRule="auto"/>
        <w:rPr>
          <w:sz w:val="20"/>
          <w:szCs w:val="20"/>
          <w:color w:val="auto"/>
        </w:rPr>
      </w:pPr>
      <w:r>
        <w:rPr>
          <w:rFonts w:ascii="Arial" w:cs="Arial" w:eastAsia="Arial" w:hAnsi="Arial"/>
          <w:sz w:val="18"/>
          <w:szCs w:val="18"/>
          <w:color w:val="auto"/>
        </w:rPr>
        <w:t>consummation of our initial business</w:t>
      </w:r>
    </w:p>
    <w:p>
      <w:pPr>
        <w:ind w:left="2440"/>
        <w:spacing w:after="0" w:line="235" w:lineRule="auto"/>
        <w:rPr>
          <w:sz w:val="20"/>
          <w:szCs w:val="20"/>
          <w:color w:val="auto"/>
        </w:rPr>
      </w:pPr>
      <w:r>
        <w:rPr>
          <w:rFonts w:ascii="Arial" w:cs="Arial" w:eastAsia="Arial" w:hAnsi="Arial"/>
          <w:sz w:val="18"/>
          <w:szCs w:val="18"/>
          <w:color w:val="auto"/>
        </w:rPr>
        <w:t>combination, including interest</w:t>
      </w:r>
    </w:p>
    <w:p>
      <w:pPr>
        <w:ind w:left="2440"/>
        <w:spacing w:after="0" w:line="235" w:lineRule="auto"/>
        <w:rPr>
          <w:sz w:val="20"/>
          <w:szCs w:val="20"/>
          <w:color w:val="auto"/>
        </w:rPr>
      </w:pPr>
      <w:r>
        <w:rPr>
          <w:rFonts w:ascii="Arial" w:cs="Arial" w:eastAsia="Arial" w:hAnsi="Arial"/>
          <w:sz w:val="18"/>
          <w:szCs w:val="18"/>
          <w:color w:val="auto"/>
        </w:rPr>
        <w:t>earned on the funds held in the trust</w:t>
      </w:r>
    </w:p>
    <w:p>
      <w:pPr>
        <w:ind w:left="2440"/>
        <w:spacing w:after="0" w:line="235" w:lineRule="auto"/>
        <w:rPr>
          <w:sz w:val="20"/>
          <w:szCs w:val="20"/>
          <w:color w:val="auto"/>
        </w:rPr>
      </w:pPr>
      <w:r>
        <w:rPr>
          <w:rFonts w:ascii="Arial" w:cs="Arial" w:eastAsia="Arial" w:hAnsi="Arial"/>
          <w:sz w:val="18"/>
          <w:szCs w:val="18"/>
          <w:color w:val="auto"/>
        </w:rPr>
        <w:t>account and not previously released</w:t>
      </w:r>
    </w:p>
    <w:p>
      <w:pPr>
        <w:ind w:left="2440"/>
        <w:spacing w:after="0" w:line="235" w:lineRule="auto"/>
        <w:rPr>
          <w:sz w:val="20"/>
          <w:szCs w:val="20"/>
          <w:color w:val="auto"/>
        </w:rPr>
      </w:pPr>
      <w:r>
        <w:rPr>
          <w:rFonts w:ascii="Arial" w:cs="Arial" w:eastAsia="Arial" w:hAnsi="Arial"/>
          <w:sz w:val="18"/>
          <w:szCs w:val="18"/>
          <w:color w:val="auto"/>
        </w:rPr>
        <w:t>to us to pay our taxes, divided by the</w:t>
      </w:r>
    </w:p>
    <w:p>
      <w:pPr>
        <w:ind w:left="2440"/>
        <w:spacing w:after="0" w:line="234" w:lineRule="auto"/>
        <w:rPr>
          <w:sz w:val="20"/>
          <w:szCs w:val="20"/>
          <w:color w:val="auto"/>
        </w:rPr>
      </w:pPr>
      <w:r>
        <w:rPr>
          <w:rFonts w:ascii="Arial" w:cs="Arial" w:eastAsia="Arial" w:hAnsi="Arial"/>
          <w:sz w:val="18"/>
          <w:szCs w:val="18"/>
          <w:color w:val="auto"/>
        </w:rPr>
        <w:t>number of then outstanding public</w:t>
      </w:r>
    </w:p>
    <w:p>
      <w:pPr>
        <w:ind w:left="2440"/>
        <w:spacing w:after="0" w:line="235" w:lineRule="auto"/>
        <w:rPr>
          <w:sz w:val="20"/>
          <w:szCs w:val="20"/>
          <w:color w:val="auto"/>
        </w:rPr>
      </w:pPr>
      <w:r>
        <w:rPr>
          <w:rFonts w:ascii="Arial" w:cs="Arial" w:eastAsia="Arial" w:hAnsi="Arial"/>
          <w:sz w:val="18"/>
          <w:szCs w:val="18"/>
          <w:color w:val="auto"/>
        </w:rPr>
        <w:t>shares, upon the completion of our</w:t>
      </w:r>
    </w:p>
    <w:p>
      <w:pPr>
        <w:ind w:left="2440"/>
        <w:spacing w:after="0" w:line="235" w:lineRule="auto"/>
        <w:rPr>
          <w:sz w:val="20"/>
          <w:szCs w:val="20"/>
          <w:color w:val="auto"/>
        </w:rPr>
      </w:pPr>
      <w:r>
        <w:rPr>
          <w:rFonts w:ascii="Arial" w:cs="Arial" w:eastAsia="Arial" w:hAnsi="Arial"/>
          <w:sz w:val="18"/>
          <w:szCs w:val="18"/>
          <w:color w:val="auto"/>
        </w:rPr>
        <w:t>initial business combination, subject</w:t>
      </w:r>
    </w:p>
    <w:p>
      <w:pPr>
        <w:ind w:left="2440"/>
        <w:spacing w:after="0" w:line="235" w:lineRule="auto"/>
        <w:rPr>
          <w:sz w:val="20"/>
          <w:szCs w:val="20"/>
          <w:color w:val="auto"/>
        </w:rPr>
      </w:pPr>
      <w:r>
        <w:rPr>
          <w:rFonts w:ascii="Arial" w:cs="Arial" w:eastAsia="Arial" w:hAnsi="Arial"/>
          <w:sz w:val="18"/>
          <w:szCs w:val="18"/>
          <w:color w:val="auto"/>
        </w:rPr>
        <w:t>to the limitations described herein.</w:t>
      </w:r>
    </w:p>
    <w:p>
      <w:pPr>
        <w:ind w:left="2440"/>
        <w:spacing w:after="0" w:line="235" w:lineRule="auto"/>
        <w:rPr>
          <w:sz w:val="20"/>
          <w:szCs w:val="20"/>
          <w:color w:val="auto"/>
        </w:rPr>
      </w:pPr>
      <w:r>
        <w:rPr>
          <w:rFonts w:ascii="Arial" w:cs="Arial" w:eastAsia="Arial" w:hAnsi="Arial"/>
          <w:sz w:val="18"/>
          <w:szCs w:val="18"/>
          <w:color w:val="auto"/>
        </w:rPr>
        <w:t>We may not be required by law to</w:t>
      </w:r>
    </w:p>
    <w:p>
      <w:pPr>
        <w:ind w:left="2440"/>
        <w:spacing w:after="0"/>
        <w:rPr>
          <w:sz w:val="20"/>
          <w:szCs w:val="20"/>
          <w:color w:val="auto"/>
        </w:rPr>
      </w:pPr>
      <w:r>
        <w:rPr>
          <w:rFonts w:ascii="Arial" w:cs="Arial" w:eastAsia="Arial" w:hAnsi="Arial"/>
          <w:sz w:val="17"/>
          <w:szCs w:val="17"/>
          <w:color w:val="auto"/>
        </w:rPr>
        <w:t>hold a stockholder vote. If we are not</w:t>
      </w:r>
    </w:p>
    <w:p>
      <w:pPr>
        <w:spacing w:after="0" w:line="7" w:lineRule="exact"/>
        <w:rPr>
          <w:sz w:val="20"/>
          <w:szCs w:val="20"/>
          <w:color w:val="auto"/>
        </w:rPr>
      </w:pPr>
    </w:p>
    <w:p>
      <w:pPr>
        <w:ind w:left="2440"/>
        <w:spacing w:after="0"/>
        <w:rPr>
          <w:sz w:val="20"/>
          <w:szCs w:val="20"/>
          <w:color w:val="auto"/>
        </w:rPr>
      </w:pPr>
      <w:r>
        <w:rPr>
          <w:rFonts w:ascii="Arial" w:cs="Arial" w:eastAsia="Arial" w:hAnsi="Arial"/>
          <w:sz w:val="17"/>
          <w:szCs w:val="17"/>
          <w:color w:val="auto"/>
        </w:rPr>
        <w:t>required by law and do not otherwise</w:t>
      </w:r>
    </w:p>
    <w:p>
      <w:pPr>
        <w:spacing w:after="0" w:line="3"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decide to hold a stockholder vote,</w:t>
      </w:r>
    </w:p>
    <w:p>
      <w:pPr>
        <w:ind w:left="2440"/>
        <w:spacing w:after="0" w:line="234" w:lineRule="auto"/>
        <w:rPr>
          <w:sz w:val="20"/>
          <w:szCs w:val="20"/>
          <w:color w:val="auto"/>
        </w:rPr>
      </w:pPr>
      <w:r>
        <w:rPr>
          <w:rFonts w:ascii="Arial" w:cs="Arial" w:eastAsia="Arial" w:hAnsi="Arial"/>
          <w:sz w:val="18"/>
          <w:szCs w:val="18"/>
          <w:color w:val="auto"/>
        </w:rPr>
        <w:t>we will, pursuant to our amended</w:t>
      </w:r>
    </w:p>
    <w:p>
      <w:pPr>
        <w:ind w:left="2440"/>
        <w:spacing w:after="0" w:line="235" w:lineRule="auto"/>
        <w:rPr>
          <w:sz w:val="20"/>
          <w:szCs w:val="20"/>
          <w:color w:val="auto"/>
        </w:rPr>
      </w:pPr>
      <w:r>
        <w:rPr>
          <w:rFonts w:ascii="Arial" w:cs="Arial" w:eastAsia="Arial" w:hAnsi="Arial"/>
          <w:sz w:val="18"/>
          <w:szCs w:val="18"/>
          <w:color w:val="auto"/>
        </w:rPr>
        <w:t>and restated certificate of</w:t>
      </w:r>
    </w:p>
    <w:p>
      <w:pPr>
        <w:ind w:left="2440"/>
        <w:spacing w:after="0" w:line="235" w:lineRule="auto"/>
        <w:rPr>
          <w:sz w:val="20"/>
          <w:szCs w:val="20"/>
          <w:color w:val="auto"/>
        </w:rPr>
      </w:pPr>
      <w:r>
        <w:rPr>
          <w:rFonts w:ascii="Arial" w:cs="Arial" w:eastAsia="Arial" w:hAnsi="Arial"/>
          <w:sz w:val="18"/>
          <w:szCs w:val="18"/>
          <w:color w:val="auto"/>
        </w:rPr>
        <w:t>incorporation, conduct the</w:t>
      </w:r>
    </w:p>
    <w:p>
      <w:pPr>
        <w:ind w:left="2440"/>
        <w:spacing w:after="0" w:line="235" w:lineRule="auto"/>
        <w:rPr>
          <w:sz w:val="20"/>
          <w:szCs w:val="20"/>
          <w:color w:val="auto"/>
        </w:rPr>
      </w:pPr>
      <w:r>
        <w:rPr>
          <w:rFonts w:ascii="Arial" w:cs="Arial" w:eastAsia="Arial" w:hAnsi="Arial"/>
          <w:sz w:val="18"/>
          <w:szCs w:val="18"/>
          <w:color w:val="auto"/>
        </w:rPr>
        <w:t>redemptions pursuant to the tender</w:t>
      </w:r>
    </w:p>
    <w:p>
      <w:pPr>
        <w:ind w:left="2440"/>
        <w:spacing w:after="0" w:line="235" w:lineRule="auto"/>
        <w:rPr>
          <w:sz w:val="20"/>
          <w:szCs w:val="20"/>
          <w:color w:val="auto"/>
        </w:rPr>
      </w:pPr>
      <w:r>
        <w:rPr>
          <w:rFonts w:ascii="Arial" w:cs="Arial" w:eastAsia="Arial" w:hAnsi="Arial"/>
          <w:sz w:val="18"/>
          <w:szCs w:val="18"/>
          <w:color w:val="auto"/>
        </w:rPr>
        <w:t>offer rules of the SEC and file tender</w:t>
      </w:r>
    </w:p>
    <w:p>
      <w:pPr>
        <w:ind w:left="2440"/>
        <w:spacing w:after="0" w:line="234" w:lineRule="auto"/>
        <w:rPr>
          <w:sz w:val="20"/>
          <w:szCs w:val="20"/>
          <w:color w:val="auto"/>
        </w:rPr>
      </w:pPr>
      <w:r>
        <w:rPr>
          <w:rFonts w:ascii="Arial" w:cs="Arial" w:eastAsia="Arial" w:hAnsi="Arial"/>
          <w:sz w:val="18"/>
          <w:szCs w:val="18"/>
          <w:color w:val="auto"/>
        </w:rPr>
        <w:t>offer documents with the SEC which</w:t>
      </w:r>
    </w:p>
    <w:p>
      <w:pPr>
        <w:ind w:left="2440"/>
        <w:spacing w:after="0" w:line="235" w:lineRule="auto"/>
        <w:rPr>
          <w:sz w:val="20"/>
          <w:szCs w:val="20"/>
          <w:color w:val="auto"/>
        </w:rPr>
      </w:pPr>
      <w:r>
        <w:rPr>
          <w:rFonts w:ascii="Arial" w:cs="Arial" w:eastAsia="Arial" w:hAnsi="Arial"/>
          <w:sz w:val="18"/>
          <w:szCs w:val="18"/>
          <w:color w:val="auto"/>
        </w:rPr>
        <w:t>will contain substantially the same</w:t>
      </w:r>
    </w:p>
    <w:p>
      <w:pPr>
        <w:ind w:left="2440"/>
        <w:spacing w:after="0" w:line="235" w:lineRule="auto"/>
        <w:rPr>
          <w:sz w:val="20"/>
          <w:szCs w:val="20"/>
          <w:color w:val="auto"/>
        </w:rPr>
      </w:pPr>
      <w:r>
        <w:rPr>
          <w:rFonts w:ascii="Arial" w:cs="Arial" w:eastAsia="Arial" w:hAnsi="Arial"/>
          <w:sz w:val="18"/>
          <w:szCs w:val="18"/>
          <w:color w:val="auto"/>
        </w:rPr>
        <w:t>financial and other information about</w:t>
      </w:r>
    </w:p>
    <w:p>
      <w:pPr>
        <w:ind w:left="2440"/>
        <w:spacing w:after="0" w:line="235" w:lineRule="auto"/>
        <w:rPr>
          <w:sz w:val="20"/>
          <w:szCs w:val="20"/>
          <w:color w:val="auto"/>
        </w:rPr>
      </w:pPr>
      <w:r>
        <w:rPr>
          <w:rFonts w:ascii="Arial" w:cs="Arial" w:eastAsia="Arial" w:hAnsi="Arial"/>
          <w:sz w:val="18"/>
          <w:szCs w:val="18"/>
          <w:color w:val="auto"/>
        </w:rPr>
        <w:t>the initial business combination and</w:t>
      </w:r>
    </w:p>
    <w:p>
      <w:pPr>
        <w:ind w:left="2440"/>
        <w:spacing w:after="0" w:line="235" w:lineRule="auto"/>
        <w:rPr>
          <w:sz w:val="20"/>
          <w:szCs w:val="20"/>
          <w:color w:val="auto"/>
        </w:rPr>
      </w:pPr>
      <w:r>
        <w:rPr>
          <w:rFonts w:ascii="Arial" w:cs="Arial" w:eastAsia="Arial" w:hAnsi="Arial"/>
          <w:sz w:val="18"/>
          <w:szCs w:val="18"/>
          <w:color w:val="auto"/>
        </w:rPr>
        <w:t>the redemption rights as is required</w:t>
      </w:r>
    </w:p>
    <w:p>
      <w:pPr>
        <w:ind w:left="2440"/>
        <w:spacing w:after="0" w:line="234" w:lineRule="auto"/>
        <w:rPr>
          <w:sz w:val="20"/>
          <w:szCs w:val="20"/>
          <w:color w:val="auto"/>
        </w:rPr>
      </w:pPr>
      <w:r>
        <w:rPr>
          <w:rFonts w:ascii="Arial" w:cs="Arial" w:eastAsia="Arial" w:hAnsi="Arial"/>
          <w:sz w:val="18"/>
          <w:szCs w:val="18"/>
          <w:color w:val="auto"/>
        </w:rPr>
        <w:t>under the SEC’s proxy rules. If,</w:t>
      </w:r>
    </w:p>
    <w:p>
      <w:pPr>
        <w:spacing w:after="0" w:line="1" w:lineRule="exact"/>
        <w:rPr>
          <w:sz w:val="20"/>
          <w:szCs w:val="20"/>
          <w:color w:val="auto"/>
        </w:rPr>
      </w:pPr>
    </w:p>
    <w:p>
      <w:pPr>
        <w:ind w:left="2440"/>
        <w:spacing w:after="0"/>
        <w:rPr>
          <w:sz w:val="20"/>
          <w:szCs w:val="20"/>
          <w:color w:val="auto"/>
        </w:rPr>
      </w:pPr>
      <w:r>
        <w:rPr>
          <w:rFonts w:ascii="Arial" w:cs="Arial" w:eastAsia="Arial" w:hAnsi="Arial"/>
          <w:sz w:val="17"/>
          <w:szCs w:val="17"/>
          <w:color w:val="auto"/>
        </w:rPr>
        <w:t>however, we hold a stockholder vote,</w:t>
      </w:r>
    </w:p>
    <w:p>
      <w:pPr>
        <w:spacing w:after="0" w:line="3"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we will, like many blank check</w:t>
      </w:r>
    </w:p>
    <w:p>
      <w:pPr>
        <w:ind w:left="2440"/>
        <w:spacing w:after="0" w:line="234" w:lineRule="auto"/>
        <w:rPr>
          <w:sz w:val="20"/>
          <w:szCs w:val="20"/>
          <w:color w:val="auto"/>
        </w:rPr>
      </w:pPr>
      <w:r>
        <w:rPr>
          <w:rFonts w:ascii="Arial" w:cs="Arial" w:eastAsia="Arial" w:hAnsi="Arial"/>
          <w:sz w:val="18"/>
          <w:szCs w:val="18"/>
          <w:color w:val="auto"/>
        </w:rPr>
        <w:t>companies, offer to redeem shares</w:t>
      </w:r>
    </w:p>
    <w:p>
      <w:pPr>
        <w:ind w:left="2440"/>
        <w:spacing w:after="0" w:line="235" w:lineRule="auto"/>
        <w:rPr>
          <w:sz w:val="20"/>
          <w:szCs w:val="20"/>
          <w:color w:val="auto"/>
        </w:rPr>
      </w:pPr>
      <w:r>
        <w:rPr>
          <w:rFonts w:ascii="Arial" w:cs="Arial" w:eastAsia="Arial" w:hAnsi="Arial"/>
          <w:sz w:val="18"/>
          <w:szCs w:val="18"/>
          <w:color w:val="auto"/>
        </w:rPr>
        <w:t>in conjunction with a proxy</w:t>
      </w:r>
    </w:p>
    <w:p>
      <w:pPr>
        <w:ind w:left="2440"/>
        <w:spacing w:after="0" w:line="235" w:lineRule="auto"/>
        <w:rPr>
          <w:sz w:val="20"/>
          <w:szCs w:val="20"/>
          <w:color w:val="auto"/>
        </w:rPr>
      </w:pPr>
      <w:r>
        <w:rPr>
          <w:rFonts w:ascii="Arial" w:cs="Arial" w:eastAsia="Arial" w:hAnsi="Arial"/>
          <w:sz w:val="18"/>
          <w:szCs w:val="18"/>
          <w:color w:val="auto"/>
        </w:rPr>
        <w:t>solicitation pursuant to the proxy</w:t>
      </w:r>
    </w:p>
    <w:p>
      <w:pPr>
        <w:ind w:left="2440"/>
        <w:spacing w:after="0" w:line="235" w:lineRule="auto"/>
        <w:rPr>
          <w:sz w:val="20"/>
          <w:szCs w:val="20"/>
          <w:color w:val="auto"/>
        </w:rPr>
      </w:pPr>
      <w:r>
        <w:rPr>
          <w:rFonts w:ascii="Arial" w:cs="Arial" w:eastAsia="Arial" w:hAnsi="Arial"/>
          <w:sz w:val="18"/>
          <w:szCs w:val="18"/>
          <w:color w:val="auto"/>
        </w:rPr>
        <w:t>rules and not pursuant to the tender</w:t>
      </w:r>
    </w:p>
    <w:p>
      <w:pPr>
        <w:ind w:left="2440"/>
        <w:spacing w:after="0" w:line="235" w:lineRule="auto"/>
        <w:rPr>
          <w:sz w:val="20"/>
          <w:szCs w:val="20"/>
          <w:color w:val="auto"/>
        </w:rPr>
      </w:pPr>
      <w:r>
        <w:rPr>
          <w:rFonts w:ascii="Arial" w:cs="Arial" w:eastAsia="Arial" w:hAnsi="Arial"/>
          <w:sz w:val="18"/>
          <w:szCs w:val="18"/>
          <w:color w:val="auto"/>
        </w:rPr>
        <w:t>offer rules. If we seek stockholder</w:t>
      </w:r>
    </w:p>
    <w:p>
      <w:pPr>
        <w:ind w:left="2440"/>
        <w:spacing w:after="0" w:line="234" w:lineRule="auto"/>
        <w:rPr>
          <w:sz w:val="20"/>
          <w:szCs w:val="20"/>
          <w:color w:val="auto"/>
        </w:rPr>
      </w:pPr>
      <w:r>
        <w:rPr>
          <w:rFonts w:ascii="Arial" w:cs="Arial" w:eastAsia="Arial" w:hAnsi="Arial"/>
          <w:sz w:val="18"/>
          <w:szCs w:val="18"/>
          <w:color w:val="auto"/>
        </w:rPr>
        <w:t>approval, we will complete our initial</w:t>
      </w:r>
    </w:p>
    <w:p>
      <w:pPr>
        <w:ind w:left="2440"/>
        <w:spacing w:after="0" w:line="235" w:lineRule="auto"/>
        <w:rPr>
          <w:sz w:val="20"/>
          <w:szCs w:val="20"/>
          <w:color w:val="auto"/>
        </w:rPr>
      </w:pPr>
      <w:r>
        <w:rPr>
          <w:rFonts w:ascii="Arial" w:cs="Arial" w:eastAsia="Arial" w:hAnsi="Arial"/>
          <w:sz w:val="18"/>
          <w:szCs w:val="18"/>
          <w:color w:val="auto"/>
        </w:rPr>
        <w:t>business combination only if a</w:t>
      </w:r>
    </w:p>
    <w:p>
      <w:pPr>
        <w:ind w:left="2440"/>
        <w:spacing w:after="0" w:line="235" w:lineRule="auto"/>
        <w:rPr>
          <w:sz w:val="20"/>
          <w:szCs w:val="20"/>
          <w:color w:val="auto"/>
        </w:rPr>
      </w:pPr>
      <w:r>
        <w:rPr>
          <w:rFonts w:ascii="Arial" w:cs="Arial" w:eastAsia="Arial" w:hAnsi="Arial"/>
          <w:sz w:val="18"/>
          <w:szCs w:val="18"/>
          <w:color w:val="auto"/>
        </w:rPr>
        <w:t>majority of the shares of common</w:t>
      </w:r>
    </w:p>
    <w:p>
      <w:pPr>
        <w:ind w:left="2440"/>
        <w:spacing w:after="0" w:line="235" w:lineRule="auto"/>
        <w:rPr>
          <w:sz w:val="20"/>
          <w:szCs w:val="20"/>
          <w:color w:val="auto"/>
        </w:rPr>
      </w:pPr>
      <w:r>
        <w:rPr>
          <w:rFonts w:ascii="Arial" w:cs="Arial" w:eastAsia="Arial" w:hAnsi="Arial"/>
          <w:sz w:val="18"/>
          <w:szCs w:val="18"/>
          <w:color w:val="auto"/>
        </w:rPr>
        <w:t>stock voted are voted in favor of the</w:t>
      </w:r>
    </w:p>
    <w:p>
      <w:pPr>
        <w:ind w:left="2440"/>
        <w:spacing w:after="0" w:line="235" w:lineRule="auto"/>
        <w:rPr>
          <w:sz w:val="20"/>
          <w:szCs w:val="20"/>
          <w:color w:val="auto"/>
        </w:rPr>
      </w:pPr>
      <w:r>
        <w:rPr>
          <w:rFonts w:ascii="Arial" w:cs="Arial" w:eastAsia="Arial" w:hAnsi="Arial"/>
          <w:sz w:val="18"/>
          <w:szCs w:val="18"/>
          <w:color w:val="auto"/>
        </w:rPr>
        <w:t>business combination. Additionally,</w:t>
      </w:r>
    </w:p>
    <w:p>
      <w:pPr>
        <w:ind w:left="2440"/>
        <w:spacing w:after="0" w:line="234" w:lineRule="auto"/>
        <w:rPr>
          <w:sz w:val="20"/>
          <w:szCs w:val="20"/>
          <w:color w:val="auto"/>
        </w:rPr>
      </w:pPr>
      <w:r>
        <w:rPr>
          <w:rFonts w:ascii="Arial" w:cs="Arial" w:eastAsia="Arial" w:hAnsi="Arial"/>
          <w:sz w:val="18"/>
          <w:szCs w:val="18"/>
          <w:color w:val="auto"/>
        </w:rPr>
        <w:t>each public stockholder may elect to</w:t>
      </w:r>
    </w:p>
    <w:p>
      <w:pPr>
        <w:ind w:left="2440"/>
        <w:spacing w:after="0" w:line="235" w:lineRule="auto"/>
        <w:rPr>
          <w:sz w:val="20"/>
          <w:szCs w:val="20"/>
          <w:color w:val="auto"/>
        </w:rPr>
      </w:pPr>
      <w:r>
        <w:rPr>
          <w:rFonts w:ascii="Arial" w:cs="Arial" w:eastAsia="Arial" w:hAnsi="Arial"/>
          <w:sz w:val="18"/>
          <w:szCs w:val="18"/>
          <w:color w:val="auto"/>
        </w:rPr>
        <w:t>redeem their public shares</w:t>
      </w:r>
    </w:p>
    <w:p>
      <w:pPr>
        <w:ind w:left="2440"/>
        <w:spacing w:after="0" w:line="235" w:lineRule="auto"/>
        <w:rPr>
          <w:sz w:val="20"/>
          <w:szCs w:val="20"/>
          <w:color w:val="auto"/>
        </w:rPr>
      </w:pPr>
      <w:r>
        <w:rPr>
          <w:rFonts w:ascii="Arial" w:cs="Arial" w:eastAsia="Arial" w:hAnsi="Arial"/>
          <w:sz w:val="18"/>
          <w:szCs w:val="18"/>
          <w:color w:val="auto"/>
        </w:rPr>
        <w:t>irrespective of whether they vote for</w:t>
      </w:r>
    </w:p>
    <w:p>
      <w:pPr>
        <w:ind w:left="2440"/>
        <w:spacing w:after="0"/>
        <w:rPr>
          <w:sz w:val="20"/>
          <w:szCs w:val="20"/>
          <w:color w:val="auto"/>
        </w:rPr>
      </w:pPr>
      <w:r>
        <w:rPr>
          <w:rFonts w:ascii="Arial" w:cs="Arial" w:eastAsia="Arial" w:hAnsi="Arial"/>
          <w:sz w:val="18"/>
          <w:szCs w:val="18"/>
          <w:color w:val="auto"/>
        </w:rPr>
        <w:t>or against the proposed transaction.</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479"/>
        <w:spacing w:after="0" w:line="234" w:lineRule="auto"/>
        <w:rPr>
          <w:sz w:val="20"/>
          <w:szCs w:val="20"/>
          <w:color w:val="auto"/>
        </w:rPr>
      </w:pPr>
      <w:r>
        <w:rPr>
          <w:rFonts w:ascii="Arial" w:cs="Arial" w:eastAsia="Arial" w:hAnsi="Arial"/>
          <w:sz w:val="18"/>
          <w:szCs w:val="18"/>
          <w:color w:val="auto"/>
        </w:rPr>
        <w:t>A prospectus containing information pertaining to the business combination required by the SEC would be sent to each investor. Each investor would be given the opportunity to notify the company in writing, within a period of no less than 20 business days and no more than 45 business days from the effective date of a post-effective amendment to the company’s registration statement, to decide if he, she or it elects to remain a stockholder of the company or require the return of his, her or its investment. If the company has not received the notification by the end of the 45</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business day, funds and interest or dividends, if any, held in the trust or escrow account are automatically returned to the stockholder. Unless a sufficient number of investors elect to remain investors, all funds on deposit in the escrow account must be returned to all of the investors and none of the securities are issued.</w:t>
      </w:r>
    </w:p>
    <w:p>
      <w:pPr>
        <w:spacing w:after="0" w:line="4452" w:lineRule="exact"/>
        <w:rPr>
          <w:sz w:val="20"/>
          <w:szCs w:val="20"/>
          <w:color w:val="auto"/>
        </w:rPr>
      </w:pPr>
    </w:p>
    <w:p>
      <w:pPr>
        <w:sectPr>
          <w:pgSz w:w="11900" w:h="16838" w:orient="portrait"/>
          <w:cols w:equalWidth="0" w:num="2">
            <w:col w:w="5380" w:space="100"/>
            <w:col w:w="3539"/>
          </w:cols>
          <w:pgMar w:left="1440" w:top="302" w:right="1440" w:bottom="1440" w:gutter="0" w:footer="0" w:header="0"/>
          <w:type w:val="continuous"/>
        </w:sectPr>
      </w:pP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02" w:right="1440" w:bottom="1440" w:gutter="0" w:footer="0" w:header="0"/>
          <w:type w:val="continuous"/>
        </w:sectPr>
      </w:pPr>
    </w:p>
    <w:bookmarkStart w:id="88" w:name="page89"/>
    <w:bookmarkEnd w:id="88"/>
    <w:p>
      <w:pPr>
        <w:ind w:left="3180"/>
        <w:spacing w:after="0"/>
        <w:tabs>
          <w:tab w:leader="none" w:pos="5880" w:val="left"/>
        </w:tabs>
        <w:rPr>
          <w:sz w:val="20"/>
          <w:szCs w:val="20"/>
          <w:color w:val="auto"/>
        </w:rPr>
      </w:pPr>
      <w:r>
        <w:rPr>
          <w:rFonts w:ascii="Arial" w:cs="Arial" w:eastAsia="Arial" w:hAnsi="Arial"/>
          <w:sz w:val="14"/>
          <w:szCs w:val="14"/>
          <w:b w:val="1"/>
          <w:bCs w:val="1"/>
          <w:color w:val="auto"/>
        </w:rPr>
        <w:t>Terms of Our Offering</w:t>
      </w:r>
      <w:r>
        <w:rPr>
          <w:sz w:val="20"/>
          <w:szCs w:val="20"/>
          <w:color w:val="auto"/>
        </w:rPr>
        <w:tab/>
      </w:r>
      <w:r>
        <w:rPr>
          <w:rFonts w:ascii="Arial" w:cs="Arial" w:eastAsia="Arial" w:hAnsi="Arial"/>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86360</wp:posOffset>
            </wp:positionV>
            <wp:extent cx="38830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883025" cy="8255"/>
                    </a:xfrm>
                    <a:prstGeom prst="rect">
                      <a:avLst/>
                    </a:prstGeom>
                    <a:noFill/>
                  </pic:spPr>
                </pic:pic>
              </a:graphicData>
            </a:graphic>
          </wp:anchor>
        </w:drawing>
      </w:r>
    </w:p>
    <w:p>
      <w:pPr>
        <w:sectPr>
          <w:pgSz w:w="11900" w:h="16838" w:orient="portrait"/>
          <w:cols w:equalWidth="0" w:num="1">
            <w:col w:w="9019"/>
          </w:cols>
          <w:pgMar w:left="1440" w:top="302" w:right="1440" w:bottom="1440" w:gutter="0" w:footer="0" w:header="0"/>
        </w:sectPr>
      </w:pPr>
    </w:p>
    <w:p>
      <w:pPr>
        <w:spacing w:after="0" w:line="167" w:lineRule="exact"/>
        <w:rPr>
          <w:sz w:val="20"/>
          <w:szCs w:val="20"/>
          <w:color w:val="auto"/>
        </w:rPr>
      </w:pPr>
    </w:p>
    <w:p>
      <w:pPr>
        <w:ind w:left="640" w:right="200" w:hanging="179"/>
        <w:spacing w:after="0" w:line="275" w:lineRule="auto"/>
        <w:rPr>
          <w:sz w:val="20"/>
          <w:szCs w:val="20"/>
          <w:color w:val="auto"/>
        </w:rPr>
      </w:pPr>
      <w:r>
        <w:rPr>
          <w:rFonts w:ascii="Arial" w:cs="Arial" w:eastAsia="Arial" w:hAnsi="Arial"/>
          <w:sz w:val="17"/>
          <w:szCs w:val="17"/>
          <w:b w:val="1"/>
          <w:bCs w:val="1"/>
          <w:color w:val="auto"/>
        </w:rPr>
        <w:t>Business combination deadline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Release of funds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If we are unable to complete an initial business combination within 24 months from the closing of this offering, we will (i) cease all operations except for the purpose of winding up, (ii) as promptly as reasonably possible but not more than ten business days thereafter, redeem 100% of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our remaining stockholders and our board of directors, liquidate and dissolve, subject in each case to our obligations under Delaware law to provide for claims of creditors and in all cases subject to the requirements of other applicable law.</w:t>
      </w:r>
    </w:p>
    <w:p>
      <w:pPr>
        <w:spacing w:after="0" w:line="197"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Except for the withdrawal of interest to pay our taxes, none of the funds held in trust will be released from the trust account until the earliest of (i) the completion of our initial business combination, (ii) the redemption of our public shares if we are unable to complete our initial business combination within 24 months from the closing of this offering, subject to applicable law, and (iii) the redemption of our public shares properly submitted in connection with a stockholder vote to approve an amendment to our amended and restated certificate of incorporation to modify the substance or timing of our obligation to redeem 100% of our public shares if we have not consummated an initial business combination within 24 months from the closing of this offering or with respect to any other material provisions relating to stockholders’ rights or pre-initial business combination activity.</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right="599"/>
        <w:spacing w:after="0" w:line="237" w:lineRule="auto"/>
        <w:rPr>
          <w:sz w:val="20"/>
          <w:szCs w:val="20"/>
          <w:color w:val="auto"/>
        </w:rPr>
      </w:pPr>
      <w:r>
        <w:rPr>
          <w:rFonts w:ascii="Arial" w:cs="Arial" w:eastAsia="Arial" w:hAnsi="Arial"/>
          <w:sz w:val="18"/>
          <w:szCs w:val="18"/>
          <w:color w:val="auto"/>
        </w:rPr>
        <w:t>If an acquisition has not been completed within 18 months after the effective date of the company’s registration statement, funds held in the trust or escrow account are returned to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499"/>
        <w:spacing w:after="0" w:line="237" w:lineRule="auto"/>
        <w:rPr>
          <w:sz w:val="20"/>
          <w:szCs w:val="20"/>
          <w:color w:val="auto"/>
        </w:rPr>
      </w:pPr>
      <w:r>
        <w:rPr>
          <w:rFonts w:ascii="Arial" w:cs="Arial" w:eastAsia="Arial" w:hAnsi="Arial"/>
          <w:sz w:val="18"/>
          <w:szCs w:val="18"/>
          <w:color w:val="auto"/>
        </w:rPr>
        <w:t>The proceeds held in the escrow account are not released until the earlier of the completion of a business combination or the failure to effect a business combination within the allotted time.</w:t>
      </w:r>
    </w:p>
    <w:p>
      <w:pPr>
        <w:spacing w:after="0" w:line="4243" w:lineRule="exact"/>
        <w:rPr>
          <w:sz w:val="20"/>
          <w:szCs w:val="20"/>
          <w:color w:val="auto"/>
        </w:rPr>
      </w:pPr>
    </w:p>
    <w:p>
      <w:pPr>
        <w:sectPr>
          <w:pgSz w:w="11900" w:h="16838" w:orient="portrait"/>
          <w:cols w:equalWidth="0" w:num="3">
            <w:col w:w="1900" w:space="540"/>
            <w:col w:w="2940" w:space="100"/>
            <w:col w:w="3539"/>
          </w:cols>
          <w:pgMar w:left="1440" w:top="302" w:right="1440" w:bottom="1440" w:gutter="0" w:footer="0" w:header="0"/>
          <w:type w:val="continuous"/>
        </w:sectPr>
      </w:pP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02" w:right="1440" w:bottom="1440" w:gutter="0" w:footer="0" w:header="0"/>
          <w:type w:val="continuous"/>
        </w:sectPr>
      </w:pPr>
    </w:p>
    <w:bookmarkStart w:id="89" w:name="page90"/>
    <w:bookmarkEnd w:id="89"/>
    <w:p>
      <w:pPr>
        <w:ind w:left="3180"/>
        <w:spacing w:after="0"/>
        <w:tabs>
          <w:tab w:leader="none" w:pos="5880" w:val="left"/>
        </w:tabs>
        <w:rPr>
          <w:sz w:val="20"/>
          <w:szCs w:val="20"/>
          <w:color w:val="auto"/>
        </w:rPr>
      </w:pPr>
      <w:r>
        <w:rPr>
          <w:rFonts w:ascii="Arial" w:cs="Arial" w:eastAsia="Arial" w:hAnsi="Arial"/>
          <w:sz w:val="14"/>
          <w:szCs w:val="14"/>
          <w:b w:val="1"/>
          <w:bCs w:val="1"/>
          <w:color w:val="auto"/>
        </w:rPr>
        <w:t>Terms of Our Offering</w:t>
      </w:r>
      <w:r>
        <w:rPr>
          <w:sz w:val="20"/>
          <w:szCs w:val="20"/>
          <w:color w:val="auto"/>
        </w:rPr>
        <w:tab/>
      </w:r>
      <w:r>
        <w:rPr>
          <w:rFonts w:ascii="Arial" w:cs="Arial" w:eastAsia="Arial" w:hAnsi="Arial"/>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86360</wp:posOffset>
            </wp:positionV>
            <wp:extent cx="38830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883025" cy="8255"/>
                    </a:xfrm>
                    <a:prstGeom prst="rect">
                      <a:avLst/>
                    </a:prstGeom>
                    <a:noFill/>
                  </pic:spPr>
                </pic:pic>
              </a:graphicData>
            </a:graphic>
          </wp:anchor>
        </w:drawing>
      </w:r>
    </w:p>
    <w:p>
      <w:pPr>
        <w:sectPr>
          <w:pgSz w:w="11900" w:h="16838" w:orient="portrait"/>
          <w:cols w:equalWidth="0" w:num="1">
            <w:col w:w="9019"/>
          </w:cols>
          <w:pgMar w:left="1440" w:top="302" w:right="1440" w:bottom="1440" w:gutter="0" w:footer="0" w:header="0"/>
        </w:sectPr>
      </w:pPr>
    </w:p>
    <w:p>
      <w:pPr>
        <w:spacing w:after="0" w:line="167" w:lineRule="exact"/>
        <w:rPr>
          <w:sz w:val="20"/>
          <w:szCs w:val="20"/>
          <w:color w:val="auto"/>
        </w:rPr>
      </w:pPr>
    </w:p>
    <w:p>
      <w:pPr>
        <w:ind w:left="640" w:hanging="179"/>
        <w:spacing w:after="0" w:line="244" w:lineRule="auto"/>
        <w:rPr>
          <w:sz w:val="20"/>
          <w:szCs w:val="20"/>
          <w:color w:val="auto"/>
        </w:rPr>
      </w:pPr>
      <w:r>
        <w:rPr>
          <w:rFonts w:ascii="Arial" w:cs="Arial" w:eastAsia="Arial" w:hAnsi="Arial"/>
          <w:sz w:val="18"/>
          <w:szCs w:val="18"/>
          <w:b w:val="1"/>
          <w:bCs w:val="1"/>
          <w:color w:val="auto"/>
        </w:rPr>
        <w:t>Delivering stock certificates in connection with the exercise of redemption rights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We intend to require our public stockholders seeking to exercise their redemption rights, whether they are record holders or hold their shares in “street name,” to, at the holder’s option, either deliver their stock certificates to our transfer agent or deliver their shares to our transfer agent electronically using The Depository Trust Company’s DWAC (Deposit/Withdrawal At Custodian) system, prior to the date set forth in the proxy materials or tender offer documents, as applicable In the case of proxy materials, this date may be up to two business days prior to the date on which the vote on the proposal to approve the initial business combination is to be held. In addition, if we conduct redemptions in connection with a stockholder vote, we intend to require a public stockholder seeking redemption of its public shares to also submit a written request for redemption to our transfer agent two business days prior to the vote in which the name of the beneficial owner of such shares is included. The proxy materials or tender offer documents, as applicable, that we will furnish to holders of our public shares in connection with our initial business combination will indicate whether we are requiring public stockholders to satisfy such delivery requirements. Accordingly, a public stockholder would have up to two business days prior to the vote on the initial business combination if we distribute proxy materials, or from the time we send out our tender offer materials until the close of the tender offer period, as applicable, to submit or tender its shares if it wishes to seek to exercise its redemption rights.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right="539"/>
        <w:spacing w:after="0" w:line="251" w:lineRule="auto"/>
        <w:rPr>
          <w:sz w:val="20"/>
          <w:szCs w:val="20"/>
          <w:color w:val="auto"/>
        </w:rPr>
      </w:pPr>
      <w:r>
        <w:rPr>
          <w:rFonts w:ascii="Arial" w:cs="Arial" w:eastAsia="Arial" w:hAnsi="Arial"/>
          <w:sz w:val="17"/>
          <w:szCs w:val="17"/>
          <w:color w:val="auto"/>
        </w:rPr>
        <w:t>Many blank check companies provide that a stockholder can vote against a proposed business combination and check a box on the proxy card indicating that such stockholder is seeking to exercise its redemption rights. After the business combination is approved, the company would contact such stockholder to arrange for delivery of its share certificates to verify ownership.</w:t>
      </w:r>
    </w:p>
    <w:p>
      <w:pPr>
        <w:spacing w:after="0" w:line="7476" w:lineRule="exact"/>
        <w:rPr>
          <w:sz w:val="20"/>
          <w:szCs w:val="20"/>
          <w:color w:val="auto"/>
        </w:rPr>
      </w:pPr>
    </w:p>
    <w:p>
      <w:pPr>
        <w:sectPr>
          <w:pgSz w:w="11900" w:h="16838" w:orient="portrait"/>
          <w:cols w:equalWidth="0" w:num="3">
            <w:col w:w="2320" w:space="120"/>
            <w:col w:w="2940" w:space="100"/>
            <w:col w:w="3539"/>
          </w:cols>
          <w:pgMar w:left="1440" w:top="302" w:right="1440" w:bottom="1440" w:gutter="0" w:footer="0" w:header="0"/>
          <w:type w:val="continuous"/>
        </w:sectPr>
      </w:pP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02" w:right="1440" w:bottom="1440" w:gutter="0" w:footer="0" w:header="0"/>
          <w:type w:val="continuous"/>
        </w:sectPr>
      </w:pPr>
    </w:p>
    <w:bookmarkStart w:id="90" w:name="page91"/>
    <w:bookmarkEnd w:id="90"/>
    <w:p>
      <w:pPr>
        <w:ind w:left="3180"/>
        <w:spacing w:after="0"/>
        <w:tabs>
          <w:tab w:leader="none" w:pos="5880" w:val="left"/>
        </w:tabs>
        <w:rPr>
          <w:sz w:val="20"/>
          <w:szCs w:val="20"/>
          <w:color w:val="auto"/>
        </w:rPr>
      </w:pPr>
      <w:r>
        <w:rPr>
          <w:rFonts w:ascii="Arial" w:cs="Arial" w:eastAsia="Arial" w:hAnsi="Arial"/>
          <w:sz w:val="14"/>
          <w:szCs w:val="14"/>
          <w:b w:val="1"/>
          <w:bCs w:val="1"/>
          <w:color w:val="auto"/>
        </w:rPr>
        <w:t>Terms of Our Offering</w:t>
      </w:r>
      <w:r>
        <w:rPr>
          <w:sz w:val="20"/>
          <w:szCs w:val="20"/>
          <w:color w:val="auto"/>
        </w:rPr>
        <w:tab/>
      </w:r>
      <w:r>
        <w:rPr>
          <w:rFonts w:ascii="Arial" w:cs="Arial" w:eastAsia="Arial" w:hAnsi="Arial"/>
          <w:sz w:val="14"/>
          <w:szCs w:val="14"/>
          <w:b w:val="1"/>
          <w:bCs w:val="1"/>
          <w:color w:val="auto"/>
        </w:rPr>
        <w:t>Terms Under a Rule 419 Offering</w:t>
      </w:r>
    </w:p>
    <w:p>
      <w:pPr>
        <w:sectPr>
          <w:pgSz w:w="11900" w:h="16838" w:orient="portrait"/>
          <w:cols w:equalWidth="0" w:num="1">
            <w:col w:w="9019"/>
          </w:cols>
          <w:pgMar w:left="1440" w:top="302" w:right="1440" w:bottom="1440" w:gutter="0" w:footer="0" w:header="0"/>
        </w:sectPr>
      </w:pPr>
    </w:p>
    <w:p>
      <w:pPr>
        <w:spacing w:after="0" w:line="113" w:lineRule="exact"/>
        <w:rPr>
          <w:sz w:val="20"/>
          <w:szCs w:val="20"/>
          <w:color w:val="auto"/>
        </w:rPr>
      </w:pPr>
    </w:p>
    <w:p>
      <w:pPr>
        <w:ind w:left="640" w:hanging="179"/>
        <w:spacing w:after="0"/>
        <w:rPr>
          <w:sz w:val="20"/>
          <w:szCs w:val="20"/>
          <w:color w:val="auto"/>
        </w:rPr>
      </w:pPr>
      <w:r>
        <w:rPr>
          <w:rFonts w:ascii="Arial" w:cs="Arial" w:eastAsia="Arial" w:hAnsi="Arial"/>
          <w:sz w:val="18"/>
          <w:szCs w:val="18"/>
          <w:b w:val="1"/>
          <w:bCs w:val="1"/>
          <w:color w:val="auto"/>
        </w:rPr>
        <w:t>Limitation on redemption rights of stockholders holding more than 20% of the shares sold in this offering if we hold a stockholder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Competition</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If we seek stockholder approval of our initial business combination and we do not conduct redemptions in connection with our initial business combination pursuant to the tender offer rules, our amended and restated certificate of incorporation provides that a public stockholder, together with any affiliate of such stockholder or any other person with whom such stockholder is acting in concert or as a “group” (as defined under Section 13 of the Exchange Act), will be restricted from seeking redemption rights with respect to Excess Shares, without our prior consent. However, we would not restrict our stockholders’ ability to vote all of their shares (including Excess Shares) for or against our initial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-2617470</wp:posOffset>
            </wp:positionV>
            <wp:extent cx="18770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right="519"/>
        <w:spacing w:after="0" w:line="237" w:lineRule="auto"/>
        <w:rPr>
          <w:sz w:val="20"/>
          <w:szCs w:val="20"/>
          <w:color w:val="auto"/>
        </w:rPr>
      </w:pPr>
      <w:r>
        <w:rPr>
          <w:rFonts w:ascii="Arial" w:cs="Arial" w:eastAsia="Arial" w:hAnsi="Arial"/>
          <w:sz w:val="18"/>
          <w:szCs w:val="18"/>
          <w:color w:val="auto"/>
        </w:rPr>
        <w:t>Many blank check companies provide no restrictions on the ability of stockholders to redeem shares based on the number of shares held by such stockholders in connection with an initial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-820420</wp:posOffset>
            </wp:positionV>
            <wp:extent cx="194564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3593" w:lineRule="exact"/>
        <w:rPr>
          <w:sz w:val="20"/>
          <w:szCs w:val="20"/>
          <w:color w:val="auto"/>
        </w:rPr>
      </w:pPr>
    </w:p>
    <w:p>
      <w:pPr>
        <w:sectPr>
          <w:pgSz w:w="11900" w:h="16838" w:orient="portrait"/>
          <w:cols w:equalWidth="0" w:num="3">
            <w:col w:w="2300" w:space="140"/>
            <w:col w:w="2900" w:space="140"/>
            <w:col w:w="3539"/>
          </w:cols>
          <w:pgMar w:left="1440" w:top="302" w:right="1440" w:bottom="1440" w:gutter="0" w:footer="0" w:header="0"/>
          <w:type w:val="continuous"/>
        </w:sectPr>
      </w:pPr>
    </w:p>
    <w:p>
      <w:pPr>
        <w:ind w:left="460" w:right="479"/>
        <w:spacing w:after="0" w:line="236" w:lineRule="auto"/>
        <w:rPr>
          <w:sz w:val="20"/>
          <w:szCs w:val="20"/>
          <w:color w:val="auto"/>
        </w:rPr>
      </w:pPr>
      <w:r>
        <w:rPr>
          <w:rFonts w:ascii="Arial" w:cs="Arial" w:eastAsia="Arial" w:hAnsi="Arial"/>
          <w:sz w:val="18"/>
          <w:szCs w:val="18"/>
          <w:color w:val="auto"/>
        </w:rPr>
        <w:t>In identifying, evaluating and selecting a target business for our initial business combination, we may encounter competition from other entities having a business objective similar to ours, including other special purpose acquisition companies, private equity groups and leveraged buyout funds, public companies and operating businesses seeking strategic acquisitions. Many of these entities are well established and have extensive experience identifying and effecting business combinations directly or through affiliates. Moreover, many of these competitors possess greater financial, technical, human and other resources than us. Our ability to acquire larger target businesses will be limited by our available financial resources. This inherent limitation gives others an advantage in pursuing the acquisition of a target business. Furthermore, our obligation to pay cash in connection with our public stockholders who properly exercise their redemption rights may reduce the resources available to us for our initial business combination and the future dilution they potentially represent, may not be viewed favorably by certain target businesses. Either of these factors may place us at a competitive disadvantage in successfully negotiating an initial business combination.</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Facilities</w:t>
      </w:r>
    </w:p>
    <w:p>
      <w:pPr>
        <w:spacing w:after="0" w:line="126" w:lineRule="exact"/>
        <w:rPr>
          <w:sz w:val="20"/>
          <w:szCs w:val="20"/>
          <w:color w:val="auto"/>
        </w:rPr>
      </w:pPr>
    </w:p>
    <w:p>
      <w:pPr>
        <w:ind w:left="460" w:right="659"/>
        <w:spacing w:after="0"/>
        <w:rPr>
          <w:sz w:val="20"/>
          <w:szCs w:val="20"/>
          <w:color w:val="auto"/>
        </w:rPr>
      </w:pPr>
      <w:r>
        <w:rPr>
          <w:rFonts w:ascii="Arial" w:cs="Arial" w:eastAsia="Arial" w:hAnsi="Arial"/>
          <w:sz w:val="18"/>
          <w:szCs w:val="18"/>
          <w:color w:val="auto"/>
        </w:rPr>
        <w:t>We currently utilize office space at 600 Montgomery Street, Suite 4500, San Francisco, California 94111 from our sponsor and the members of our management team. We consider our current office space adequate for our current operations.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Employees</w:t>
      </w:r>
    </w:p>
    <w:p>
      <w:pPr>
        <w:spacing w:after="0" w:line="126" w:lineRule="exact"/>
        <w:rPr>
          <w:sz w:val="20"/>
          <w:szCs w:val="20"/>
          <w:color w:val="auto"/>
        </w:rPr>
      </w:pPr>
    </w:p>
    <w:p>
      <w:pPr>
        <w:ind w:left="460" w:right="499"/>
        <w:spacing w:after="0" w:line="237" w:lineRule="auto"/>
        <w:rPr>
          <w:sz w:val="20"/>
          <w:szCs w:val="20"/>
          <w:color w:val="auto"/>
        </w:rPr>
      </w:pPr>
      <w:r>
        <w:rPr>
          <w:rFonts w:ascii="Arial" w:cs="Arial" w:eastAsia="Arial" w:hAnsi="Arial"/>
          <w:sz w:val="18"/>
          <w:szCs w:val="18"/>
          <w:color w:val="auto"/>
        </w:rPr>
        <w:t>We currently have three executive officers: Jim Tananbaum, Dennis Ryan and Michael Rome. These individuals are not obligated to devote any specific number of hours to our matters but they intend to devote as much of their time as they deem necessary to our affairs until we have completed our initial business combination. The amount of time they will devote in any time period will vary based on whether a target business has been selected for our initial business combination and the stage of the business combination process we are in. We do not intend to have any full time employees prior to the completion of our initial business combination.</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Periodic Reporting and Financial Information</w:t>
      </w:r>
    </w:p>
    <w:p>
      <w:pPr>
        <w:spacing w:after="0" w:line="126" w:lineRule="exact"/>
        <w:rPr>
          <w:sz w:val="20"/>
          <w:szCs w:val="20"/>
          <w:color w:val="auto"/>
        </w:rPr>
      </w:pPr>
    </w:p>
    <w:p>
      <w:pPr>
        <w:ind w:left="460" w:right="579"/>
        <w:spacing w:after="0" w:line="238" w:lineRule="auto"/>
        <w:rPr>
          <w:sz w:val="20"/>
          <w:szCs w:val="20"/>
          <w:color w:val="auto"/>
        </w:rPr>
      </w:pPr>
      <w:r>
        <w:rPr>
          <w:rFonts w:ascii="Arial" w:cs="Arial" w:eastAsia="Arial" w:hAnsi="Arial"/>
          <w:sz w:val="18"/>
          <w:szCs w:val="18"/>
          <w:color w:val="auto"/>
        </w:rPr>
        <w:t>We will register our shares of Class A common stock under the Exchange Act and have reporting obligations, including the requirement that we file annual, quarterly and current reports with the SEC. In accordance with the requirements of the Exchange Act, our annual reports will contain financial statements audited and reported on by our independent registered public accountants.</w:t>
      </w:r>
    </w:p>
    <w:p>
      <w:pPr>
        <w:spacing w:after="0" w:line="97"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We will provide stockholders with audited financial statements of the prospective target business as part of the proxy solicitation materials or tender offer documents sent to stockholders to assist them in assessing the target business. In all likelihood, these financial statements will need to be prepared in accordance with, or reconciled</w:t>
      </w:r>
    </w:p>
    <w:p>
      <w:pPr>
        <w:sectPr>
          <w:pgSz w:w="11900" w:h="16838" w:orient="portrait"/>
          <w:cols w:equalWidth="0" w:num="1">
            <w:col w:w="9019"/>
          </w:cols>
          <w:pgMar w:left="1440" w:top="302" w:right="1440" w:bottom="1440" w:gutter="0" w:footer="0" w:header="0"/>
          <w:type w:val="continuous"/>
        </w:sectPr>
      </w:pP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02" w:right="1440" w:bottom="1440" w:gutter="0" w:footer="0" w:header="0"/>
          <w:type w:val="continuous"/>
        </w:sectPr>
      </w:pPr>
    </w:p>
    <w:bookmarkStart w:id="91" w:name="page92"/>
    <w:bookmarkEnd w:id="91"/>
    <w:p>
      <w:pPr>
        <w:ind w:left="460" w:right="479"/>
        <w:spacing w:after="0" w:line="236" w:lineRule="auto"/>
        <w:rPr>
          <w:sz w:val="20"/>
          <w:szCs w:val="20"/>
          <w:color w:val="auto"/>
        </w:rPr>
      </w:pPr>
      <w:r>
        <w:rPr>
          <w:rFonts w:ascii="Arial" w:cs="Arial" w:eastAsia="Arial" w:hAnsi="Arial"/>
          <w:sz w:val="18"/>
          <w:szCs w:val="18"/>
          <w:color w:val="auto"/>
        </w:rPr>
        <w:t>to, GAAP, or IFRS, depending on the circumstances, and the historical financial statements may be required to be audited in accordance with the standards of the PCAOB. These financial statement requirements may limit the pool of potential target businesses we may conduct an initial business combination with because some targets may be unable to provide such statements in time for us to disclose such statements in accordance with federal proxy rules and complete our initial business combination within the prescribed time frame. We cannot assure you that any particular target business identified by us as a potential business combination candidate will have financial statements prepared in accordance with the requirements outlined above, or that the potential target business will be able to prepare its financial statements in accordance with the requirements outlined above. To the extent that these requirements cannot be met, we may not be able to acquire the proposed target business. While this may limit the pool of potential business combination candidates, we do not believe that this limitation will be material.</w:t>
      </w:r>
    </w:p>
    <w:p>
      <w:pPr>
        <w:spacing w:after="0" w:line="136"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We will be required to evaluate our internal control procedures for the fiscal year ending December 31, 2021 as required by the Sarbanes-Oxley Act. Only in the event we are deemed to be a large accelerated filer or an accelerated filer, and no longer qualify as an emerging growth company, will we be required to have our internal control procedures audited. A target business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business combination.</w:t>
      </w:r>
    </w:p>
    <w:p>
      <w:pPr>
        <w:spacing w:after="0" w:line="127" w:lineRule="exact"/>
        <w:rPr>
          <w:sz w:val="20"/>
          <w:szCs w:val="20"/>
          <w:color w:val="auto"/>
        </w:rPr>
      </w:pPr>
    </w:p>
    <w:p>
      <w:pPr>
        <w:ind w:left="460" w:right="539"/>
        <w:spacing w:after="0" w:line="238" w:lineRule="auto"/>
        <w:rPr>
          <w:sz w:val="20"/>
          <w:szCs w:val="20"/>
          <w:color w:val="auto"/>
        </w:rPr>
      </w:pPr>
      <w:r>
        <w:rPr>
          <w:rFonts w:ascii="Arial" w:cs="Arial" w:eastAsia="Arial" w:hAnsi="Arial"/>
          <w:sz w:val="18"/>
          <w:szCs w:val="18"/>
          <w:color w:val="auto"/>
        </w:rPr>
        <w:t>Prior to the date of this prospectus, we will file a Registration Statement on Form 8-A with the SEC to voluntarily register our securities under Section 12 of the Exchange Act. As a result, we will be subject to the rules and regulations promulgated under the Exchange Act. We have no current intention of filing a Form 15 to suspend our reporting or other obligations under the Exchange Act prior or subsequent to the consummation of our initial business combination.</w:t>
      </w:r>
    </w:p>
    <w:p>
      <w:pPr>
        <w:spacing w:after="0" w:line="135" w:lineRule="exact"/>
        <w:rPr>
          <w:sz w:val="20"/>
          <w:szCs w:val="20"/>
          <w:color w:val="auto"/>
        </w:rPr>
      </w:pPr>
    </w:p>
    <w:p>
      <w:pPr>
        <w:ind w:left="460" w:right="659"/>
        <w:spacing w:after="0" w:line="236" w:lineRule="auto"/>
        <w:rPr>
          <w:sz w:val="20"/>
          <w:szCs w:val="20"/>
          <w:color w:val="auto"/>
        </w:rPr>
      </w:pPr>
      <w:r>
        <w:rPr>
          <w:rFonts w:ascii="Arial" w:cs="Arial" w:eastAsia="Arial" w:hAnsi="Arial"/>
          <w:sz w:val="18"/>
          <w:szCs w:val="18"/>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38"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21" w:lineRule="exact"/>
        <w:rPr>
          <w:sz w:val="20"/>
          <w:szCs w:val="20"/>
          <w:color w:val="auto"/>
        </w:rPr>
      </w:pPr>
    </w:p>
    <w:p>
      <w:pPr>
        <w:ind w:left="460" w:right="599"/>
        <w:spacing w:after="0" w:line="233" w:lineRule="auto"/>
        <w:rPr>
          <w:sz w:val="20"/>
          <w:szCs w:val="20"/>
          <w:color w:val="auto"/>
        </w:rPr>
      </w:pPr>
      <w:r>
        <w:rPr>
          <w:rFonts w:ascii="Arial" w:cs="Arial" w:eastAsia="Arial" w:hAnsi="Arial"/>
          <w:sz w:val="18"/>
          <w:szCs w:val="18"/>
          <w:color w:val="auto"/>
        </w:rPr>
        <w:t>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shares of Class A common stock that are held by non-affiliates exceeds $700 million as of the prior June 30</w:t>
      </w:r>
      <w:r>
        <w:rPr>
          <w:rFonts w:ascii="Arial" w:cs="Arial" w:eastAsia="Arial" w:hAnsi="Arial"/>
          <w:sz w:val="20"/>
          <w:szCs w:val="20"/>
          <w:color w:val="auto"/>
          <w:vertAlign w:val="superscript"/>
        </w:rPr>
        <w:t>th</w:t>
      </w:r>
      <w:r>
        <w:rPr>
          <w:rFonts w:ascii="Arial" w:cs="Arial" w:eastAsia="Arial" w:hAnsi="Arial"/>
          <w:sz w:val="18"/>
          <w:szCs w:val="18"/>
          <w:color w:val="auto"/>
        </w:rPr>
        <w:t>, and (2) the date on which we have issued more than $1.0 billion in non-convertible debt securities during the prior three-year period.</w:t>
      </w:r>
    </w:p>
    <w:p>
      <w:pPr>
        <w:spacing w:after="0" w:line="135" w:lineRule="exact"/>
        <w:rPr>
          <w:sz w:val="20"/>
          <w:szCs w:val="20"/>
          <w:color w:val="auto"/>
        </w:rPr>
      </w:pPr>
    </w:p>
    <w:p>
      <w:pPr>
        <w:ind w:left="460" w:right="459"/>
        <w:spacing w:after="0" w:line="233" w:lineRule="auto"/>
        <w:rPr>
          <w:sz w:val="20"/>
          <w:szCs w:val="20"/>
          <w:color w:val="auto"/>
        </w:rPr>
      </w:pPr>
      <w:r>
        <w:rPr>
          <w:rFonts w:ascii="Arial" w:cs="Arial" w:eastAsia="Arial" w:hAnsi="Arial"/>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stock held by non-affiliates exceeds $250 million as of the prior June 30</w:t>
      </w:r>
      <w:r>
        <w:rPr>
          <w:rFonts w:ascii="Arial" w:cs="Arial" w:eastAsia="Arial" w:hAnsi="Arial"/>
          <w:sz w:val="20"/>
          <w:szCs w:val="20"/>
          <w:color w:val="auto"/>
          <w:vertAlign w:val="superscript"/>
        </w:rPr>
        <w:t>th</w:t>
      </w:r>
      <w:r>
        <w:rPr>
          <w:rFonts w:ascii="Arial" w:cs="Arial" w:eastAsia="Arial" w:hAnsi="Arial"/>
          <w:sz w:val="18"/>
          <w:szCs w:val="18"/>
          <w:color w:val="auto"/>
        </w:rPr>
        <w:t>, or (2) our annual revenues exceeded $100 million during such completed fiscal year and the market value of our common stock held by non-affiliates exceeds $700 million as of the prior June 30.</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Legal Proceedings</w:t>
      </w:r>
    </w:p>
    <w:p>
      <w:pPr>
        <w:spacing w:after="0" w:line="166" w:lineRule="exact"/>
        <w:rPr>
          <w:sz w:val="20"/>
          <w:szCs w:val="20"/>
          <w:color w:val="auto"/>
        </w:rPr>
      </w:pPr>
    </w:p>
    <w:p>
      <w:pPr>
        <w:ind w:left="460" w:right="559"/>
        <w:spacing w:after="0" w:line="246" w:lineRule="auto"/>
        <w:rPr>
          <w:sz w:val="20"/>
          <w:szCs w:val="20"/>
          <w:color w:val="auto"/>
        </w:rPr>
      </w:pPr>
      <w:r>
        <w:rPr>
          <w:rFonts w:ascii="Arial" w:cs="Arial" w:eastAsia="Arial" w:hAnsi="Arial"/>
          <w:sz w:val="18"/>
          <w:szCs w:val="18"/>
          <w:color w:val="auto"/>
        </w:rPr>
        <w:t>There is no material litigation, arbitration or governmental proceeding currently pending against us or any members of our management team in their capacity as such.</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47" w:right="1440" w:bottom="1440" w:gutter="0" w:footer="0" w:header="0"/>
        </w:sectPr>
      </w:pPr>
    </w:p>
    <w:bookmarkStart w:id="92" w:name="page93"/>
    <w:bookmarkEnd w:id="92"/>
    <w:p>
      <w:pPr>
        <w:ind w:left="3840"/>
        <w:spacing w:after="0"/>
        <w:rPr>
          <w:sz w:val="20"/>
          <w:szCs w:val="20"/>
          <w:color w:val="auto"/>
        </w:rPr>
      </w:pPr>
      <w:r>
        <w:rPr>
          <w:rFonts w:ascii="Arial" w:cs="Arial" w:eastAsia="Arial" w:hAnsi="Arial"/>
          <w:sz w:val="18"/>
          <w:szCs w:val="18"/>
          <w:b w:val="1"/>
          <w:bCs w:val="1"/>
          <w:color w:val="auto"/>
        </w:rPr>
        <w:t>MANAGEMENT</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Officers, Directors and Director Nominees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officers, directors and director nominees are as follows:</w:t>
      </w:r>
    </w:p>
    <w:p>
      <w:pPr>
        <w:spacing w:after="0" w:line="240"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30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8"/>
              </w:rPr>
              <w:t>Age</w:t>
            </w:r>
          </w:p>
        </w:tc>
        <w:tc>
          <w:tcPr>
            <w:tcW w:w="100" w:type="dxa"/>
            <w:vAlign w:val="bottom"/>
          </w:tcPr>
          <w:p>
            <w:pPr>
              <w:spacing w:after="0"/>
              <w:rPr>
                <w:sz w:val="16"/>
                <w:szCs w:val="16"/>
                <w:color w:val="auto"/>
              </w:rPr>
            </w:pPr>
          </w:p>
        </w:tc>
        <w:tc>
          <w:tcPr>
            <w:tcW w:w="3900" w:type="dxa"/>
            <w:vAlign w:val="bottom"/>
          </w:tcPr>
          <w:p>
            <w:pPr>
              <w:ind w:left="1660"/>
              <w:spacing w:after="0"/>
              <w:rPr>
                <w:sz w:val="20"/>
                <w:szCs w:val="20"/>
                <w:color w:val="auto"/>
              </w:rPr>
            </w:pPr>
            <w:r>
              <w:rPr>
                <w:rFonts w:ascii="Arial" w:cs="Arial" w:eastAsia="Arial" w:hAnsi="Arial"/>
                <w:sz w:val="14"/>
                <w:szCs w:val="14"/>
                <w:b w:val="1"/>
                <w:bCs w:val="1"/>
                <w:color w:val="auto"/>
              </w:rPr>
              <w:t>Position</w:t>
            </w:r>
          </w:p>
        </w:tc>
      </w:tr>
      <w:tr>
        <w:trPr>
          <w:trHeight w:val="26"/>
        </w:trPr>
        <w:tc>
          <w:tcPr>
            <w:tcW w:w="2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r>
      <w:tr>
        <w:trPr>
          <w:trHeight w:val="237"/>
        </w:trPr>
        <w:tc>
          <w:tcPr>
            <w:tcW w:w="3000" w:type="dxa"/>
            <w:vAlign w:val="bottom"/>
            <w:gridSpan w:val="2"/>
          </w:tcPr>
          <w:p>
            <w:pPr>
              <w:spacing w:after="0"/>
              <w:rPr>
                <w:sz w:val="20"/>
                <w:szCs w:val="20"/>
                <w:color w:val="auto"/>
              </w:rPr>
            </w:pPr>
            <w:r>
              <w:rPr>
                <w:rFonts w:ascii="Arial" w:cs="Arial" w:eastAsia="Arial" w:hAnsi="Arial"/>
                <w:sz w:val="18"/>
                <w:szCs w:val="18"/>
                <w:color w:val="auto"/>
              </w:rPr>
              <w:t>Jim Tananbaum</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57</w:t>
            </w:r>
          </w:p>
        </w:tc>
        <w:tc>
          <w:tcPr>
            <w:tcW w:w="4000" w:type="dxa"/>
            <w:vAlign w:val="bottom"/>
            <w:gridSpan w:val="2"/>
          </w:tcPr>
          <w:p>
            <w:pPr>
              <w:ind w:left="100"/>
              <w:spacing w:after="0"/>
              <w:rPr>
                <w:sz w:val="20"/>
                <w:szCs w:val="20"/>
                <w:color w:val="auto"/>
              </w:rPr>
            </w:pPr>
            <w:r>
              <w:rPr>
                <w:rFonts w:ascii="Arial" w:cs="Arial" w:eastAsia="Arial" w:hAnsi="Arial"/>
                <w:sz w:val="18"/>
                <w:szCs w:val="18"/>
                <w:color w:val="auto"/>
              </w:rPr>
              <w:t>President, Chief Executive Officer and Director</w:t>
            </w:r>
          </w:p>
        </w:tc>
      </w:tr>
      <w:tr>
        <w:trPr>
          <w:trHeight w:val="283"/>
        </w:trPr>
        <w:tc>
          <w:tcPr>
            <w:tcW w:w="3000" w:type="dxa"/>
            <w:vAlign w:val="bottom"/>
            <w:gridSpan w:val="2"/>
          </w:tcPr>
          <w:p>
            <w:pPr>
              <w:spacing w:after="0"/>
              <w:rPr>
                <w:sz w:val="20"/>
                <w:szCs w:val="20"/>
                <w:color w:val="auto"/>
              </w:rPr>
            </w:pPr>
            <w:r>
              <w:rPr>
                <w:rFonts w:ascii="Arial" w:cs="Arial" w:eastAsia="Arial" w:hAnsi="Arial"/>
                <w:sz w:val="18"/>
                <w:szCs w:val="18"/>
                <w:color w:val="auto"/>
              </w:rPr>
              <w:t>Dennis Ryan</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65</w:t>
            </w:r>
          </w:p>
        </w:tc>
        <w:tc>
          <w:tcPr>
            <w:tcW w:w="4000" w:type="dxa"/>
            <w:vAlign w:val="bottom"/>
            <w:gridSpan w:val="2"/>
          </w:tcPr>
          <w:p>
            <w:pPr>
              <w:ind w:left="100"/>
              <w:spacing w:after="0"/>
              <w:rPr>
                <w:sz w:val="20"/>
                <w:szCs w:val="20"/>
                <w:color w:val="auto"/>
              </w:rPr>
            </w:pPr>
            <w:r>
              <w:rPr>
                <w:rFonts w:ascii="Arial" w:cs="Arial" w:eastAsia="Arial" w:hAnsi="Arial"/>
                <w:sz w:val="18"/>
                <w:szCs w:val="18"/>
                <w:color w:val="auto"/>
              </w:rPr>
              <w:t>Chief Financial Officer</w:t>
            </w:r>
          </w:p>
        </w:tc>
      </w:tr>
      <w:tr>
        <w:trPr>
          <w:trHeight w:val="284"/>
        </w:trPr>
        <w:tc>
          <w:tcPr>
            <w:tcW w:w="3000" w:type="dxa"/>
            <w:vAlign w:val="bottom"/>
            <w:gridSpan w:val="2"/>
          </w:tcPr>
          <w:p>
            <w:pPr>
              <w:spacing w:after="0"/>
              <w:rPr>
                <w:sz w:val="20"/>
                <w:szCs w:val="20"/>
                <w:color w:val="auto"/>
              </w:rPr>
            </w:pPr>
            <w:r>
              <w:rPr>
                <w:rFonts w:ascii="Arial" w:cs="Arial" w:eastAsia="Arial" w:hAnsi="Arial"/>
                <w:sz w:val="18"/>
                <w:szCs w:val="18"/>
                <w:color w:val="auto"/>
              </w:rPr>
              <w:t>Michael Rome</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35</w:t>
            </w:r>
          </w:p>
        </w:tc>
        <w:tc>
          <w:tcPr>
            <w:tcW w:w="4000" w:type="dxa"/>
            <w:vAlign w:val="bottom"/>
            <w:gridSpan w:val="2"/>
          </w:tcPr>
          <w:p>
            <w:pPr>
              <w:ind w:left="100"/>
              <w:spacing w:after="0"/>
              <w:rPr>
                <w:sz w:val="20"/>
                <w:szCs w:val="20"/>
                <w:color w:val="auto"/>
              </w:rPr>
            </w:pPr>
            <w:r>
              <w:rPr>
                <w:rFonts w:ascii="Arial" w:cs="Arial" w:eastAsia="Arial" w:hAnsi="Arial"/>
                <w:sz w:val="18"/>
                <w:szCs w:val="18"/>
                <w:color w:val="auto"/>
              </w:rPr>
              <w:t>Vice President and Director</w:t>
            </w:r>
          </w:p>
        </w:tc>
      </w:tr>
      <w:tr>
        <w:trPr>
          <w:trHeight w:val="283"/>
        </w:trPr>
        <w:tc>
          <w:tcPr>
            <w:tcW w:w="3000" w:type="dxa"/>
            <w:vAlign w:val="bottom"/>
            <w:gridSpan w:val="2"/>
          </w:tcPr>
          <w:p>
            <w:pPr>
              <w:spacing w:after="0"/>
              <w:rPr>
                <w:sz w:val="20"/>
                <w:szCs w:val="20"/>
                <w:color w:val="auto"/>
              </w:rPr>
            </w:pPr>
            <w:r>
              <w:rPr>
                <w:rFonts w:ascii="Arial" w:cs="Arial" w:eastAsia="Arial" w:hAnsi="Arial"/>
                <w:sz w:val="18"/>
                <w:szCs w:val="18"/>
                <w:color w:val="auto"/>
              </w:rPr>
              <w:t>Vikram Bajaj</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42</w:t>
            </w:r>
          </w:p>
        </w:tc>
        <w:tc>
          <w:tcPr>
            <w:tcW w:w="400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83"/>
        </w:trPr>
        <w:tc>
          <w:tcPr>
            <w:tcW w:w="3000" w:type="dxa"/>
            <w:vAlign w:val="bottom"/>
            <w:gridSpan w:val="2"/>
          </w:tcPr>
          <w:p>
            <w:pPr>
              <w:spacing w:after="0"/>
              <w:rPr>
                <w:sz w:val="20"/>
                <w:szCs w:val="20"/>
                <w:color w:val="auto"/>
              </w:rPr>
            </w:pPr>
            <w:r>
              <w:rPr>
                <w:rFonts w:ascii="Arial" w:cs="Arial" w:eastAsia="Arial" w:hAnsi="Arial"/>
                <w:sz w:val="18"/>
                <w:szCs w:val="18"/>
                <w:color w:val="auto"/>
              </w:rPr>
              <w:t>Robert Carey</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62</w:t>
            </w:r>
          </w:p>
        </w:tc>
        <w:tc>
          <w:tcPr>
            <w:tcW w:w="4000" w:type="dxa"/>
            <w:vAlign w:val="bottom"/>
            <w:gridSpan w:val="2"/>
          </w:tcPr>
          <w:p>
            <w:pPr>
              <w:ind w:left="100"/>
              <w:spacing w:after="0"/>
              <w:rPr>
                <w:sz w:val="20"/>
                <w:szCs w:val="20"/>
                <w:color w:val="auto"/>
              </w:rPr>
            </w:pPr>
            <w:r>
              <w:rPr>
                <w:rFonts w:ascii="Arial" w:cs="Arial" w:eastAsia="Arial" w:hAnsi="Arial"/>
                <w:sz w:val="18"/>
                <w:szCs w:val="18"/>
                <w:color w:val="auto"/>
              </w:rPr>
              <w:t>Director Nominee</w:t>
            </w:r>
          </w:p>
        </w:tc>
      </w:tr>
      <w:tr>
        <w:trPr>
          <w:trHeight w:val="283"/>
        </w:trPr>
        <w:tc>
          <w:tcPr>
            <w:tcW w:w="3000" w:type="dxa"/>
            <w:vAlign w:val="bottom"/>
            <w:gridSpan w:val="2"/>
          </w:tcPr>
          <w:p>
            <w:pPr>
              <w:spacing w:after="0"/>
              <w:rPr>
                <w:sz w:val="20"/>
                <w:szCs w:val="20"/>
                <w:color w:val="auto"/>
              </w:rPr>
            </w:pPr>
            <w:r>
              <w:rPr>
                <w:rFonts w:ascii="Arial" w:cs="Arial" w:eastAsia="Arial" w:hAnsi="Arial"/>
                <w:sz w:val="18"/>
                <w:szCs w:val="18"/>
                <w:color w:val="auto"/>
              </w:rPr>
              <w:t>Daniel Dubin</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55</w:t>
            </w:r>
          </w:p>
        </w:tc>
        <w:tc>
          <w:tcPr>
            <w:tcW w:w="4000" w:type="dxa"/>
            <w:vAlign w:val="bottom"/>
            <w:gridSpan w:val="2"/>
          </w:tcPr>
          <w:p>
            <w:pPr>
              <w:ind w:left="100"/>
              <w:spacing w:after="0"/>
              <w:rPr>
                <w:sz w:val="20"/>
                <w:szCs w:val="20"/>
                <w:color w:val="auto"/>
              </w:rPr>
            </w:pPr>
            <w:r>
              <w:rPr>
                <w:rFonts w:ascii="Arial" w:cs="Arial" w:eastAsia="Arial" w:hAnsi="Arial"/>
                <w:sz w:val="18"/>
                <w:szCs w:val="18"/>
                <w:color w:val="auto"/>
              </w:rPr>
              <w:t>Director Nominee</w:t>
            </w:r>
          </w:p>
        </w:tc>
      </w:tr>
      <w:tr>
        <w:trPr>
          <w:trHeight w:val="283"/>
        </w:trPr>
        <w:tc>
          <w:tcPr>
            <w:tcW w:w="3000" w:type="dxa"/>
            <w:vAlign w:val="bottom"/>
            <w:gridSpan w:val="2"/>
          </w:tcPr>
          <w:p>
            <w:pPr>
              <w:spacing w:after="0"/>
              <w:rPr>
                <w:sz w:val="20"/>
                <w:szCs w:val="20"/>
                <w:color w:val="auto"/>
              </w:rPr>
            </w:pPr>
            <w:r>
              <w:rPr>
                <w:rFonts w:ascii="Arial" w:cs="Arial" w:eastAsia="Arial" w:hAnsi="Arial"/>
                <w:sz w:val="18"/>
                <w:szCs w:val="18"/>
                <w:color w:val="auto"/>
              </w:rPr>
              <w:t>Deepa Pakianathan</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55</w:t>
            </w:r>
          </w:p>
        </w:tc>
        <w:tc>
          <w:tcPr>
            <w:tcW w:w="4000" w:type="dxa"/>
            <w:vAlign w:val="bottom"/>
            <w:gridSpan w:val="2"/>
          </w:tcPr>
          <w:p>
            <w:pPr>
              <w:ind w:left="100"/>
              <w:spacing w:after="0"/>
              <w:rPr>
                <w:sz w:val="20"/>
                <w:szCs w:val="20"/>
                <w:color w:val="auto"/>
              </w:rPr>
            </w:pPr>
            <w:r>
              <w:rPr>
                <w:rFonts w:ascii="Arial" w:cs="Arial" w:eastAsia="Arial" w:hAnsi="Arial"/>
                <w:sz w:val="18"/>
                <w:szCs w:val="18"/>
                <w:color w:val="auto"/>
              </w:rPr>
              <w:t>Director Nominee</w:t>
            </w:r>
          </w:p>
        </w:tc>
      </w:tr>
    </w:tbl>
    <w:p>
      <w:pPr>
        <w:spacing w:after="0" w:line="180" w:lineRule="exact"/>
        <w:rPr>
          <w:sz w:val="20"/>
          <w:szCs w:val="20"/>
          <w:color w:val="auto"/>
        </w:rPr>
      </w:pPr>
    </w:p>
    <w:p>
      <w:pPr>
        <w:ind w:left="460" w:right="499"/>
        <w:spacing w:after="0" w:line="253" w:lineRule="auto"/>
        <w:rPr>
          <w:sz w:val="20"/>
          <w:szCs w:val="20"/>
          <w:color w:val="auto"/>
        </w:rPr>
      </w:pPr>
      <w:r>
        <w:rPr>
          <w:rFonts w:ascii="Arial" w:cs="Arial" w:eastAsia="Arial" w:hAnsi="Arial"/>
          <w:sz w:val="17"/>
          <w:szCs w:val="17"/>
          <w:b w:val="1"/>
          <w:bCs w:val="1"/>
          <w:i w:val="1"/>
          <w:iCs w:val="1"/>
          <w:color w:val="auto"/>
        </w:rPr>
        <w:t xml:space="preserve">Jim Tananbaum </w:t>
      </w:r>
      <w:r>
        <w:rPr>
          <w:rFonts w:ascii="Arial" w:cs="Arial" w:eastAsia="Arial" w:hAnsi="Arial"/>
          <w:sz w:val="17"/>
          <w:szCs w:val="17"/>
          <w:color w:val="auto"/>
        </w:rPr>
        <w:t>has been our President, Chief Executive Officer and a director since June 2020. Dr.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Tananbaum is also the chief executive officer of Foresite Capital, a U.S.-focused healthcare investment firm, which he founded in 2011. Prior to founding Foresite Capital, Dr. Tananbaum served as Co-Founder and Managing Director of Prospect Venture Partners L.P. II and III, healthcare venture partnerships, from 2000 to 2010. Dr. Tananbaum was also the Founder of GelTex, Inc. in 1991, an intestinal medicine pharmaceutical company acquired by Sanofi-Genzyme, and Theravance, Inc. in 1997 (now Theravance Biopharma, Inc., a diversified biopharmaceutical company focused on organ-selective medicines, and Innoviva, Inc., a respiratory-focused healthcare asset management company partnered with Glaxo Group Limited). Dr. Tananbaum received a B.S. and a B.S.E.E. from Yale University in Applied Math and Computer Science, and an M.D. and an M.B.A. from Harvard University. Dr. Tananbaum’s qualifications to serve on our board of directors include his scientific, financial and strategic business development expertise gained as a physician, founder of two life science companies and venture capital investor focused on life science companies.</w:t>
      </w:r>
    </w:p>
    <w:p>
      <w:pPr>
        <w:spacing w:after="0" w:line="102" w:lineRule="exact"/>
        <w:rPr>
          <w:sz w:val="20"/>
          <w:szCs w:val="20"/>
          <w:color w:val="auto"/>
        </w:rPr>
      </w:pPr>
    </w:p>
    <w:p>
      <w:pPr>
        <w:ind w:left="460" w:right="539"/>
        <w:spacing w:after="0" w:line="242" w:lineRule="auto"/>
        <w:rPr>
          <w:sz w:val="20"/>
          <w:szCs w:val="20"/>
          <w:color w:val="auto"/>
        </w:rPr>
      </w:pPr>
      <w:r>
        <w:rPr>
          <w:rFonts w:ascii="Arial" w:cs="Arial" w:eastAsia="Arial" w:hAnsi="Arial"/>
          <w:sz w:val="18"/>
          <w:szCs w:val="18"/>
          <w:b w:val="1"/>
          <w:bCs w:val="1"/>
          <w:i w:val="1"/>
          <w:iCs w:val="1"/>
          <w:color w:val="auto"/>
        </w:rPr>
        <w:t xml:space="preserve">Dennis Ryan </w:t>
      </w:r>
      <w:r>
        <w:rPr>
          <w:rFonts w:ascii="Arial" w:cs="Arial" w:eastAsia="Arial" w:hAnsi="Arial"/>
          <w:sz w:val="18"/>
          <w:szCs w:val="18"/>
          <w:color w:val="auto"/>
        </w:rPr>
        <w:t>has been our Chief Financial Officer since June 2020. Since 2011, Mr. Ryan has also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led the Operations Group at Foresite Capital as Chief Financial Officer and Managing Director. Mr. Ryan currently serves as Board President of Whistlestop, a non-profit providing transportation and nutrition services to seniors. He received a B.A. from University of California, Berkeley in Economics, and an M.B.A from the University of Santa Clara. Mr. Ryan is a licensed certified public accountant in California.</w:t>
      </w:r>
    </w:p>
    <w:p>
      <w:pPr>
        <w:spacing w:after="0" w:line="111" w:lineRule="exact"/>
        <w:rPr>
          <w:sz w:val="20"/>
          <w:szCs w:val="20"/>
          <w:color w:val="auto"/>
        </w:rPr>
      </w:pPr>
    </w:p>
    <w:p>
      <w:pPr>
        <w:ind w:left="460" w:right="519"/>
        <w:spacing w:after="0" w:line="238" w:lineRule="auto"/>
        <w:rPr>
          <w:sz w:val="20"/>
          <w:szCs w:val="20"/>
          <w:color w:val="auto"/>
        </w:rPr>
      </w:pPr>
      <w:r>
        <w:rPr>
          <w:rFonts w:ascii="Arial" w:cs="Arial" w:eastAsia="Arial" w:hAnsi="Arial"/>
          <w:sz w:val="18"/>
          <w:szCs w:val="18"/>
          <w:b w:val="1"/>
          <w:bCs w:val="1"/>
          <w:i w:val="1"/>
          <w:iCs w:val="1"/>
          <w:color w:val="auto"/>
        </w:rPr>
        <w:t xml:space="preserve">Michael Rome </w:t>
      </w:r>
      <w:r>
        <w:rPr>
          <w:rFonts w:ascii="Arial" w:cs="Arial" w:eastAsia="Arial" w:hAnsi="Arial"/>
          <w:sz w:val="18"/>
          <w:szCs w:val="18"/>
          <w:color w:val="auto"/>
        </w:rPr>
        <w:t>has been our Vice President and Director since June 2020. Dr. Rome also serves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Managing Director at Foresite Capital, where he has held various roles since 2016. From September 2015 to July 2016, he was an Analyst at DAFNA Capital Management, a healthcare hedge fund, where he covered and formulated investment ideas for small/mid-cap biotech companies. Prior to joining DAFNA Capital Management, Dr. Rome worked in early-stage drug development as a Senior Scientist for Vault Pharma, an academic start-up out of the California NanoSystems Institute at UCLA from April 2014 to September 2015. In the past five years, Dr. Rome held a board observer role at Turning Point Therapeutics, Inc., a clinical-stage precision oncology company. Dr. Rome received a B.S. from UCLA in Molecular, Cell and Developmental Biology and a Ph.D. in Biochemistry from Caltech. Dr. Rome’s qualifications to serve on our board of directors include his substantial experience as a research scientist and depth of knowledge of the biotechnology and pharmaceuticals research and development process, as well as his experience investing across diverse therapeutic areas.</w:t>
      </w:r>
    </w:p>
    <w:p>
      <w:pPr>
        <w:spacing w:after="0" w:line="99"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b w:val="1"/>
          <w:bCs w:val="1"/>
          <w:i w:val="1"/>
          <w:iCs w:val="1"/>
          <w:color w:val="auto"/>
        </w:rPr>
        <w:t xml:space="preserve">Vikram Bajaj </w:t>
      </w:r>
      <w:r>
        <w:rPr>
          <w:rFonts w:ascii="Arial" w:cs="Arial" w:eastAsia="Arial" w:hAnsi="Arial"/>
          <w:sz w:val="18"/>
          <w:szCs w:val="18"/>
          <w:color w:val="auto"/>
        </w:rPr>
        <w:t>has been a director on our board of directors since June 2020. Dr. Bajaj currently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serves as a Managing Director at Foresite Capital, since September 2017 and Chief Executive Officer of Foresite Labs, a healthcare and data science incubator, since October 2019. He is also an Associate Professor of Radiology (Consulting) at the Stanford University School of Medicine, since 2014, and an Affiliate Scientist of the Lawrence Berkeley National Laboratory, since 2011. Prior to joining Foresite Capital, Dr. Bajaj was the Chief Scientific Officer of GRAIL, Inc., a life sciences company developing a multi-cancer early detection test, from September 2016 to September 2017. From April 2013 to September 2016, Dr. Bajaj was the Co-Founder and Chief Scientific Officer of Verily (formerly Google Life Sciences), a research organization devoted to the study of life sciences, and served as Chair of its Scientific Advisory Board from September 2016 to September 2017. He is currently on the advisory board of UC Berkeley, College of Chemistry. Dr. Bajaj holds a B.A./M.S. from University of Pennsylvania in Biochemistry and a</w:t>
      </w:r>
    </w:p>
    <w:p>
      <w:pPr>
        <w:sectPr>
          <w:pgSz w:w="11900" w:h="16838" w:orient="portrait"/>
          <w:cols w:equalWidth="0" w:num="1">
            <w:col w:w="9019"/>
          </w:cols>
          <w:pgMar w:left="1440" w:top="333" w:right="1440" w:bottom="1440" w:gutter="0" w:footer="0" w:header="0"/>
        </w:sectPr>
      </w:pP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93" w:name="page94"/>
    <w:bookmarkEnd w:id="93"/>
    <w:p>
      <w:pPr>
        <w:ind w:left="460" w:right="559"/>
        <w:spacing w:after="0"/>
        <w:rPr>
          <w:sz w:val="20"/>
          <w:szCs w:val="20"/>
          <w:color w:val="auto"/>
        </w:rPr>
      </w:pPr>
      <w:r>
        <w:rPr>
          <w:rFonts w:ascii="Arial" w:cs="Arial" w:eastAsia="Arial" w:hAnsi="Arial"/>
          <w:sz w:val="18"/>
          <w:szCs w:val="18"/>
          <w:color w:val="auto"/>
        </w:rPr>
        <w:t>Ph.D. from the Massachusetts Institute of Technology in Physical Chemistry. Dr. Bajaj’s qualifications to serve on our board of directors include his breadth of scientific and engineering expertise and his network of contacts in the life sciences sector.</w:t>
      </w:r>
    </w:p>
    <w:p>
      <w:pPr>
        <w:spacing w:after="0" w:line="100"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b w:val="1"/>
          <w:bCs w:val="1"/>
          <w:i w:val="1"/>
          <w:iCs w:val="1"/>
          <w:color w:val="auto"/>
        </w:rPr>
        <w:t xml:space="preserve">Robert Carey </w:t>
      </w:r>
      <w:r>
        <w:rPr>
          <w:rFonts w:ascii="Arial" w:cs="Arial" w:eastAsia="Arial" w:hAnsi="Arial"/>
          <w:sz w:val="18"/>
          <w:szCs w:val="18"/>
          <w:color w:val="auto"/>
        </w:rPr>
        <w:t>will serve on our board of directors following the completion of this offering. Mr. Carey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served as Executive Vice President and Chief Business Officer for Horizon Therapeutics plc, a biopharmaceutical company, from March 2014 to October 2019. Prior to joining Horizon Therapeutics, he served as Managing Director and Head of the Healthcare Investment Banking Group at JMP Securities LLC, a full-service investment bank, from March 2003 to March 2014. Mr. Carey currently serves on the board of directors of Beyond Air, Inc. (formerly AIT Therapeutics, Inc.) and Sangamo Therapeutics, Inc. Mr. Carey holds a B.S. from the University of Notre Dame in Accounting. Mr. Carey’s qualifications to serve on our board of directors include his experience and knowledge in the healthcare investment banking industry, particularly with financings, global expansion and other strategic transactions by life-science companies, as well as his role in business development for a public biopharmaceutical company.</w:t>
      </w:r>
    </w:p>
    <w:p>
      <w:pPr>
        <w:spacing w:after="0" w:line="118" w:lineRule="exact"/>
        <w:rPr>
          <w:sz w:val="20"/>
          <w:szCs w:val="20"/>
          <w:color w:val="auto"/>
        </w:rPr>
      </w:pPr>
    </w:p>
    <w:p>
      <w:pPr>
        <w:ind w:left="460" w:right="499"/>
        <w:spacing w:after="0" w:line="239" w:lineRule="auto"/>
        <w:rPr>
          <w:sz w:val="20"/>
          <w:szCs w:val="20"/>
          <w:color w:val="auto"/>
        </w:rPr>
      </w:pPr>
      <w:r>
        <w:rPr>
          <w:rFonts w:ascii="Arial" w:cs="Arial" w:eastAsia="Arial" w:hAnsi="Arial"/>
          <w:sz w:val="18"/>
          <w:szCs w:val="18"/>
          <w:b w:val="1"/>
          <w:bCs w:val="1"/>
          <w:i w:val="1"/>
          <w:iCs w:val="1"/>
          <w:color w:val="auto"/>
        </w:rPr>
        <w:t xml:space="preserve">Dan Dubin </w:t>
      </w:r>
      <w:r>
        <w:rPr>
          <w:rFonts w:ascii="Arial" w:cs="Arial" w:eastAsia="Arial" w:hAnsi="Arial"/>
          <w:sz w:val="18"/>
          <w:szCs w:val="18"/>
          <w:color w:val="auto"/>
        </w:rPr>
        <w:t>will serve on our board of directors following the completion of this offering. Dr. Dubin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also the Vice Chairman and Head of Biopharma Investment Banking at SVB Leerink, an investment bank specializing in healthcare and life sciences, a role he has held since January 2006. He also sits on the SVB Leerink’s executive committee. Prior to joining SVB Leerink in 1999, Dr. Dubin co-founded MEDACorp, Inc., a provider of insights on the commercial potential of biotherapeutics and medical devices to healthcare companies and investors. Dr. Dubin holds a B.A. from Dartmouth College in Chemistry and an M.D. from Harvard Medical School. Dr. Dubin’s qualifications to serve on our board of directors include his extensive leadership experience as an advisor to life sciences companies and his experience and expertise in the execution of financing, partnership and M&amp;A transactions in the life sciences sector, as well as his medical training.</w:t>
      </w:r>
    </w:p>
    <w:p>
      <w:pPr>
        <w:spacing w:after="0" w:line="112"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b w:val="1"/>
          <w:bCs w:val="1"/>
          <w:i w:val="1"/>
          <w:iCs w:val="1"/>
          <w:color w:val="auto"/>
        </w:rPr>
        <w:t xml:space="preserve">Deepa Pakianathan </w:t>
      </w:r>
      <w:r>
        <w:rPr>
          <w:rFonts w:ascii="Arial" w:cs="Arial" w:eastAsia="Arial" w:hAnsi="Arial"/>
          <w:sz w:val="18"/>
          <w:szCs w:val="18"/>
          <w:color w:val="auto"/>
        </w:rPr>
        <w:t>will serve on our board of directors following the completion of this offering.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Since 2001, Dr. Pakianathan has served as a Managing Member at Delphi Ventures, a venture capital firm. She is also the Chief Executive Officer of Redd Pharmaceuticals, Inc., a pharmaceuticals company, since September 2019. She currently serves on the boards of directors of Calithera Biosciences, Inc., Karyopharm Therapeutics, Inc., Mereo Biopharma Group plc (formerly OncoMed Pharmaceuticals, Inc.) and Theravance Biopharma, Inc., and serves as the Executive Vice Chair and Treasurer on the Board of Trustees of the San Francisco Conservatory of Music. In the past five years, she also served on the board of directors of Alder Biopharmaceuticals, Inc. and Alexza Pharmaceuticals, Inc. Dr. Pakianathan holds a B.Sc. from the University of Bombay, India, an M.Sc. from The Cancer Research Institute at the University of Bombay, India and an M.S. and a Ph.D. from Wake Forest University. Dr. Pakianathan’s qualifications to serve on our board of directors include her depth of experience leading a biotechnology investment practice focused on drug discovery and development platform technologies and serving as a director for multiple biotechnology companies.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Number and Terms of Office of Officers and Directors</w:t>
      </w:r>
    </w:p>
    <w:p>
      <w:pPr>
        <w:spacing w:after="0" w:line="139"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Our board of directors consists of six members is divided into three classes with only one class of directors being elected in each year, and with each class (except for those directors appointed prior to our first annual meeting of stockholders) serving a three-year term. In accordance with Nasdaq corporate governance requirements, we are not required to hold an annual meeting until one year after our first fiscal year end following our listing on Nasdaq. The term of office of the first class of directors, consisting of Dr. Bajaj and Dr. Dubin, will expire at our first annual meeting of stockholders. The term of office of the second class of directors, consisting of Dr. Rome and Mr. Carey, will expire at the second annual meeting of stockholders. The term of office of the third class of directors, consisting of Dr. Tananbaum and Dr. Pakianathan, will expire at the third annual meeting of stockholders.</w:t>
      </w:r>
    </w:p>
    <w:p>
      <w:pPr>
        <w:spacing w:after="0" w:line="125" w:lineRule="exact"/>
        <w:rPr>
          <w:sz w:val="20"/>
          <w:szCs w:val="20"/>
          <w:color w:val="auto"/>
        </w:rPr>
      </w:pPr>
    </w:p>
    <w:p>
      <w:pPr>
        <w:ind w:left="460" w:right="779"/>
        <w:spacing w:after="0" w:line="261" w:lineRule="auto"/>
        <w:rPr>
          <w:sz w:val="20"/>
          <w:szCs w:val="20"/>
          <w:color w:val="auto"/>
        </w:rPr>
      </w:pPr>
      <w:r>
        <w:rPr>
          <w:rFonts w:ascii="Arial" w:cs="Arial" w:eastAsia="Arial" w:hAnsi="Arial"/>
          <w:sz w:val="17"/>
          <w:szCs w:val="17"/>
          <w:color w:val="auto"/>
        </w:rPr>
        <w:t>Our officers are appointed by the board of directors and serve at the discretion of the board of directors, rather than for specific terms of office. Our board of directors is authorized to appoint officers as it deems appropriate pursuant to our amended and restated certificate of incorporation.</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Director Independence</w:t>
      </w:r>
    </w:p>
    <w:p>
      <w:pPr>
        <w:spacing w:after="0" w:line="139" w:lineRule="exact"/>
        <w:rPr>
          <w:sz w:val="20"/>
          <w:szCs w:val="20"/>
          <w:color w:val="auto"/>
        </w:rPr>
      </w:pPr>
    </w:p>
    <w:p>
      <w:pPr>
        <w:ind w:left="460" w:right="519"/>
        <w:spacing w:after="0" w:line="237" w:lineRule="auto"/>
        <w:rPr>
          <w:sz w:val="20"/>
          <w:szCs w:val="20"/>
          <w:color w:val="auto"/>
        </w:rPr>
      </w:pPr>
      <w:r>
        <w:rPr>
          <w:rFonts w:ascii="Arial" w:cs="Arial" w:eastAsia="Arial" w:hAnsi="Arial"/>
          <w:sz w:val="18"/>
          <w:szCs w:val="18"/>
          <w:color w:val="auto"/>
        </w:rPr>
        <w:t>Nasdaq listing standards require that a majority of our board of directors be independent within one year of our initial public offering. Our board of directors has determined that Mr. Carey, Dr. Dubin and Dr. Pakianathan are “independent directors” as defined in Nasdaq listing standards and applicable SEC rules and Dr. Bajaj is an “independent director” as defined in Nasdaq listing standards. Our independent directors will have regularly scheduled meetings at which only independent directors are present.</w:t>
      </w:r>
    </w:p>
    <w:p>
      <w:pPr>
        <w:sectPr>
          <w:pgSz w:w="11900" w:h="16838" w:orient="portrait"/>
          <w:cols w:equalWidth="0" w:num="1">
            <w:col w:w="9019"/>
          </w:cols>
          <w:pgMar w:left="1440" w:top="287" w:right="1440" w:bottom="1440" w:gutter="0" w:footer="0" w:header="0"/>
        </w:sectPr>
      </w:pP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94" w:name="page95"/>
    <w:bookmarkEnd w:id="94"/>
    <w:p>
      <w:pPr>
        <w:ind w:left="460"/>
        <w:spacing w:after="0"/>
        <w:rPr>
          <w:sz w:val="20"/>
          <w:szCs w:val="20"/>
          <w:color w:val="auto"/>
        </w:rPr>
      </w:pPr>
      <w:r>
        <w:rPr>
          <w:rFonts w:ascii="Arial" w:cs="Arial" w:eastAsia="Arial" w:hAnsi="Arial"/>
          <w:sz w:val="18"/>
          <w:szCs w:val="18"/>
          <w:b w:val="1"/>
          <w:bCs w:val="1"/>
          <w:color w:val="auto"/>
        </w:rPr>
        <w:t>Executive Officer and Director Compensation</w:t>
      </w:r>
    </w:p>
    <w:p>
      <w:pPr>
        <w:spacing w:after="0" w:line="139" w:lineRule="exact"/>
        <w:rPr>
          <w:sz w:val="20"/>
          <w:szCs w:val="20"/>
          <w:color w:val="auto"/>
        </w:rPr>
      </w:pPr>
    </w:p>
    <w:p>
      <w:pPr>
        <w:ind w:left="460" w:right="499"/>
        <w:spacing w:after="0" w:line="250" w:lineRule="auto"/>
        <w:rPr>
          <w:sz w:val="20"/>
          <w:szCs w:val="20"/>
          <w:color w:val="auto"/>
        </w:rPr>
      </w:pPr>
      <w:r>
        <w:rPr>
          <w:rFonts w:ascii="Arial" w:cs="Arial" w:eastAsia="Arial" w:hAnsi="Arial"/>
          <w:sz w:val="17"/>
          <w:szCs w:val="17"/>
          <w:color w:val="auto"/>
        </w:rPr>
        <w:t>In July 2020, our sponsor transferred 30,000 founder shares to each of Mr. Carey, Dr. Dubin and Dr. Pakianathan. None of our executive officers or directors have received any cash compensation for services rendered to us. Commencing on the date that our securities are first listed on Nasdaq through the earlier of consummation of our initial business combination and our liquidation, we will pay our sponsor $10,000 per month for office space, secretarial and administrative services provided to members of our management team. In addition, our sponsor, executive officers and directors, or any of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executive officers or directors, or our or their affiliates. Any such payments prior to an initial business combination will be made from funds held outside the trust account. Other than quarterly audit committee review of such reimbursements, we do not expect to have any additional controls in place governing our reimbursement payments to our directors and executive officers for their out-of-pocket expenses incurred in connection with our activities on our behalf in connection with identifying and consummating an initial business combination. Other than these payments and reimbursements, no compensation of any kind, including finder’s and consulting fees, will be paid by the company to our sponsor, executive officers and directors, or any of their respective affiliates, prior to completion of our initial business combination.</w:t>
      </w:r>
    </w:p>
    <w:p>
      <w:pPr>
        <w:spacing w:after="0" w:line="332"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After the completion of our initial business combination, directors or members of our management team who remain with us may be paid consulting or management fees from the combined company. All of these fees will be fully disclosed to stockholders, to the extent then known, in the proxy solicitation materials or tender offer materials furnished to our stockholders in connection with a proposed business combination. We have not established any limit on the amount of such fees that may be paid by the combined company to our directors or members of management. It is unlikely the amount of such compensation will be known at the time of the proposed business combination, because the directors of the post-combination business will be responsible for determining executive officer and director compensation. Any compensation to be paid to our executive officers will be determined, or recommended to the board of directors for determination, either by a compensation committee constituted solely by independent directors or by a majority of the independent directors on our board of directors.</w:t>
      </w:r>
    </w:p>
    <w:p>
      <w:pPr>
        <w:spacing w:after="0" w:line="123" w:lineRule="exact"/>
        <w:rPr>
          <w:sz w:val="20"/>
          <w:szCs w:val="20"/>
          <w:color w:val="auto"/>
        </w:rPr>
      </w:pPr>
    </w:p>
    <w:p>
      <w:pPr>
        <w:ind w:left="460" w:right="599"/>
        <w:spacing w:after="0" w:line="236" w:lineRule="auto"/>
        <w:rPr>
          <w:sz w:val="20"/>
          <w:szCs w:val="20"/>
          <w:color w:val="auto"/>
        </w:rPr>
      </w:pPr>
      <w:r>
        <w:rPr>
          <w:rFonts w:ascii="Arial" w:cs="Arial" w:eastAsia="Arial" w:hAnsi="Arial"/>
          <w:sz w:val="18"/>
          <w:szCs w:val="18"/>
          <w:color w:val="auto"/>
        </w:rPr>
        <w:t>We do not intend to take any action to ensure that members of our management team maintain their positions with us after the consummation of our initial business combination, although it is possible that some or all of our executive officers and directors may negotiate employment or consulting arrangements to remain with us after our initial business combination. The existence or terms of any such employment or consulting arrangements to retain their positions with us may influence our management’s motivation in identifying or selecting a target business but we do not believe that the ability of our management to remain with us after the consummation of our initial business combination will be a determining factor in our decision to proceed with any potential business combination. We are not party to any agreements with our executive officers and directors that provide for benefits upon termination of employment.</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53" w:lineRule="exact"/>
        <w:rPr>
          <w:sz w:val="20"/>
          <w:szCs w:val="20"/>
          <w:color w:val="auto"/>
        </w:rPr>
      </w:pPr>
    </w:p>
    <w:p>
      <w:pPr>
        <w:ind w:left="460" w:right="599"/>
        <w:spacing w:after="0" w:line="253" w:lineRule="auto"/>
        <w:rPr>
          <w:sz w:val="20"/>
          <w:szCs w:val="20"/>
          <w:color w:val="auto"/>
        </w:rPr>
      </w:pPr>
      <w:r>
        <w:rPr>
          <w:rFonts w:ascii="Arial" w:cs="Arial" w:eastAsia="Arial" w:hAnsi="Arial"/>
          <w:sz w:val="17"/>
          <w:szCs w:val="17"/>
          <w:color w:val="auto"/>
        </w:rPr>
        <w:t>Upon the effectiveness of the registration statement of which this prospectus forms a part, our board of directors will have two standing committees: an audit committee and a compensation committee. Subject to phase-in rules and a limited exception, the rules of Nasdaq and Rule 10A-3 of the Exchange Act require that the audit committee of a listed company be comprised solely of independent directors. Subject to phase-in rules and a limited exception, the rules of Nasdaq require that the compensation committee of a listed company be comprised solely of independent directors.</w:t>
      </w:r>
    </w:p>
    <w:p>
      <w:pPr>
        <w:spacing w:after="0" w:line="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53" w:lineRule="exact"/>
        <w:rPr>
          <w:sz w:val="20"/>
          <w:szCs w:val="20"/>
          <w:color w:val="auto"/>
        </w:rPr>
      </w:pPr>
    </w:p>
    <w:p>
      <w:pPr>
        <w:ind w:left="460" w:right="559"/>
        <w:spacing w:after="0" w:line="257" w:lineRule="auto"/>
        <w:rPr>
          <w:sz w:val="20"/>
          <w:szCs w:val="20"/>
          <w:color w:val="auto"/>
        </w:rPr>
      </w:pPr>
      <w:r>
        <w:rPr>
          <w:rFonts w:ascii="Arial" w:cs="Arial" w:eastAsia="Arial" w:hAnsi="Arial"/>
          <w:sz w:val="17"/>
          <w:szCs w:val="17"/>
          <w:color w:val="auto"/>
        </w:rPr>
        <w:t>Upon the effectiveness of the registration statement of which this prospectus forms a part, we will establish an audit committee of the board of directors. Mr. Carey, Dr. Dubin and Dr. Pakianathan will serve as members of our audit committee, and Mr. Carey will chair the audit committee. All members of our audit committee are independent of and unaffiliated with our sponsor and our underwriters.</w:t>
      </w:r>
    </w:p>
    <w:p>
      <w:pPr>
        <w:spacing w:after="0" w:line="94" w:lineRule="exact"/>
        <w:rPr>
          <w:sz w:val="20"/>
          <w:szCs w:val="20"/>
          <w:color w:val="auto"/>
        </w:rPr>
      </w:pPr>
    </w:p>
    <w:p>
      <w:pPr>
        <w:ind w:left="460" w:right="619"/>
        <w:spacing w:after="0"/>
        <w:rPr>
          <w:sz w:val="20"/>
          <w:szCs w:val="20"/>
          <w:color w:val="auto"/>
        </w:rPr>
      </w:pPr>
      <w:r>
        <w:rPr>
          <w:rFonts w:ascii="Arial" w:cs="Arial" w:eastAsia="Arial" w:hAnsi="Arial"/>
          <w:sz w:val="18"/>
          <w:szCs w:val="18"/>
          <w:color w:val="auto"/>
        </w:rPr>
        <w:t>Each member of the audit committee is financially literate and our board of directors has determined that Dr. Dubin qualifies as an “audit committee financial expert” as defined in applicable SEC rules and has accounting or related financial management expertise.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5" w:name="page96"/>
    <w:bookmarkEnd w:id="95"/>
    <w:p>
      <w:pPr>
        <w:ind w:left="460" w:right="1259"/>
        <w:spacing w:after="0" w:line="246" w:lineRule="auto"/>
        <w:rPr>
          <w:sz w:val="20"/>
          <w:szCs w:val="20"/>
          <w:color w:val="auto"/>
        </w:rPr>
      </w:pPr>
      <w:r>
        <w:rPr>
          <w:rFonts w:ascii="Arial" w:cs="Arial" w:eastAsia="Arial" w:hAnsi="Arial"/>
          <w:sz w:val="18"/>
          <w:szCs w:val="18"/>
          <w:color w:val="auto"/>
        </w:rPr>
        <w:t>We will adopt an audit committee charter, which will detail the principal functions of the audit committee, including:</w:t>
      </w:r>
    </w:p>
    <w:p>
      <w:pPr>
        <w:spacing w:after="0" w:line="21" w:lineRule="exact"/>
        <w:rPr>
          <w:sz w:val="20"/>
          <w:szCs w:val="20"/>
          <w:color w:val="auto"/>
        </w:rPr>
      </w:pPr>
    </w:p>
    <w:p>
      <w:pPr>
        <w:ind w:left="1100" w:right="479" w:hanging="322"/>
        <w:spacing w:after="0" w:line="237" w:lineRule="auto"/>
        <w:tabs>
          <w:tab w:leader="none" w:pos="1039" w:val="left"/>
        </w:tabs>
        <w:numPr>
          <w:ilvl w:val="0"/>
          <w:numId w:val="48"/>
        </w:numPr>
        <w:rPr>
          <w:rFonts w:ascii="Arial" w:cs="Arial" w:eastAsia="Arial" w:hAnsi="Arial"/>
          <w:sz w:val="18"/>
          <w:szCs w:val="18"/>
          <w:color w:val="auto"/>
        </w:rPr>
      </w:pPr>
      <w:r>
        <w:rPr>
          <w:rFonts w:ascii="Arial" w:cs="Arial" w:eastAsia="Arial" w:hAnsi="Arial"/>
          <w:sz w:val="18"/>
          <w:szCs w:val="18"/>
          <w:color w:val="auto"/>
        </w:rPr>
        <w:t>assisting board oversight of (1) the integrity of our financial statements, (2) our compliance with legal and regulatory requirements, (3) our independent registered public accounting firm’s qualifications and independence, and (4) the performance of our internal audit function and independent registered public accounting firm; the appointment, compensation, retention, replacement, and oversight of the work of the independent auditors and any other independent registered public accounting firm engaged by us;</w:t>
      </w:r>
    </w:p>
    <w:p>
      <w:pPr>
        <w:spacing w:after="0" w:line="29" w:lineRule="exact"/>
        <w:rPr>
          <w:rFonts w:ascii="Arial" w:cs="Arial" w:eastAsia="Arial" w:hAnsi="Arial"/>
          <w:sz w:val="18"/>
          <w:szCs w:val="18"/>
          <w:color w:val="auto"/>
        </w:rPr>
      </w:pPr>
    </w:p>
    <w:p>
      <w:pPr>
        <w:ind w:left="1100" w:right="539" w:hanging="322"/>
        <w:spacing w:after="0" w:line="238" w:lineRule="auto"/>
        <w:tabs>
          <w:tab w:leader="none" w:pos="1039"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pre-approving all audit and non-audit services to be provided by the independent auditors or any other registered public accounting firm engaged by us, and establishing pre-approval policies and procedures; reviewing and discussing with the independent registered public accounting firm all relationships the auditors have with us in order to evaluate their continued independence;</w:t>
      </w:r>
    </w:p>
    <w:p>
      <w:pPr>
        <w:spacing w:after="0" w:line="13" w:lineRule="exact"/>
        <w:rPr>
          <w:rFonts w:ascii="Arial" w:cs="Arial" w:eastAsia="Arial" w:hAnsi="Arial"/>
          <w:sz w:val="18"/>
          <w:szCs w:val="18"/>
          <w:color w:val="auto"/>
        </w:rPr>
      </w:pPr>
    </w:p>
    <w:p>
      <w:pPr>
        <w:ind w:left="1100" w:right="559" w:hanging="322"/>
        <w:spacing w:after="0" w:line="236" w:lineRule="auto"/>
        <w:tabs>
          <w:tab w:leader="none" w:pos="1039" w:val="left"/>
        </w:tabs>
        <w:numPr>
          <w:ilvl w:val="0"/>
          <w:numId w:val="48"/>
        </w:numPr>
        <w:rPr>
          <w:rFonts w:ascii="Arial" w:cs="Arial" w:eastAsia="Arial" w:hAnsi="Arial"/>
          <w:sz w:val="18"/>
          <w:szCs w:val="18"/>
          <w:color w:val="auto"/>
        </w:rPr>
      </w:pPr>
      <w:r>
        <w:rPr>
          <w:rFonts w:ascii="Arial" w:cs="Arial" w:eastAsia="Arial" w:hAnsi="Arial"/>
          <w:sz w:val="18"/>
          <w:szCs w:val="18"/>
          <w:color w:val="auto"/>
        </w:rPr>
        <w:t>setting clear policies for audit partner rotation in compliance with applicable laws and regulations; obtaining and reviewing a report, at least annually, from the independent registered public accounting firm describing (1) the independent registered public accounting firm’s internal quality-control procedures and (2) any material issues raised by the most recent internal quality-control review, or peer review, of the audit firm, or by any inquiry or investigation by governmental or professional authorities, within the preceding five years respecting one or more independent audits carried out by the firm and any steps taken to deal with such issues;</w:t>
      </w:r>
    </w:p>
    <w:p>
      <w:pPr>
        <w:spacing w:after="0" w:line="32" w:lineRule="exact"/>
        <w:rPr>
          <w:rFonts w:ascii="Arial" w:cs="Arial" w:eastAsia="Arial" w:hAnsi="Arial"/>
          <w:sz w:val="18"/>
          <w:szCs w:val="18"/>
          <w:color w:val="auto"/>
        </w:rPr>
      </w:pPr>
    </w:p>
    <w:p>
      <w:pPr>
        <w:ind w:left="1100" w:right="579" w:hanging="322"/>
        <w:spacing w:after="0" w:line="237" w:lineRule="auto"/>
        <w:tabs>
          <w:tab w:leader="none" w:pos="1039" w:val="left"/>
        </w:tabs>
        <w:numPr>
          <w:ilvl w:val="0"/>
          <w:numId w:val="48"/>
        </w:numPr>
        <w:rPr>
          <w:rFonts w:ascii="Arial" w:cs="Arial" w:eastAsia="Arial" w:hAnsi="Arial"/>
          <w:sz w:val="18"/>
          <w:szCs w:val="18"/>
          <w:color w:val="auto"/>
        </w:rPr>
      </w:pPr>
      <w:r>
        <w:rPr>
          <w:rFonts w:ascii="Arial" w:cs="Arial" w:eastAsia="Arial" w:hAnsi="Arial"/>
          <w:sz w:val="18"/>
          <w:szCs w:val="18"/>
          <w:color w:val="auto"/>
        </w:rPr>
        <w:t>meeting to review and discuss our annual audited financial statements and quarterly financial statements with management and the independent auditor, including reviewing our specific disclosures under “Management’s Discussion and Analysis of Financial Condition and Results of Operations”; reviewing and approving any related party transaction required to be disclosed pursuant to Item 404 of Regulation S-K promulgated by the SEC prior to us entering into such transaction; and</w:t>
      </w:r>
    </w:p>
    <w:p>
      <w:pPr>
        <w:spacing w:after="0" w:line="29" w:lineRule="exact"/>
        <w:rPr>
          <w:rFonts w:ascii="Arial" w:cs="Arial" w:eastAsia="Arial" w:hAnsi="Arial"/>
          <w:sz w:val="18"/>
          <w:szCs w:val="18"/>
          <w:color w:val="auto"/>
        </w:rPr>
      </w:pPr>
    </w:p>
    <w:p>
      <w:pPr>
        <w:ind w:left="1100" w:right="599" w:hanging="322"/>
        <w:spacing w:after="0" w:line="237" w:lineRule="auto"/>
        <w:tabs>
          <w:tab w:leader="none" w:pos="1039"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reviewing with management, the independent, and our legal advisors, as appropriate, any legal, regulatory or compliance matters, including any correspondence with regulators or government agencies and any employee complaints or published reports that raise material issues regarding our financial statements or accounting policies and any significant changes in accounting standards or rules promulgated by the Financial Accounting Standards Board, the SEC or other regulatory authorities.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53" w:lineRule="exact"/>
        <w:rPr>
          <w:sz w:val="20"/>
          <w:szCs w:val="20"/>
          <w:color w:val="auto"/>
        </w:rPr>
      </w:pPr>
    </w:p>
    <w:p>
      <w:pPr>
        <w:ind w:left="460" w:right="839"/>
        <w:spacing w:after="0" w:line="238" w:lineRule="auto"/>
        <w:rPr>
          <w:sz w:val="20"/>
          <w:szCs w:val="20"/>
          <w:color w:val="auto"/>
        </w:rPr>
      </w:pPr>
      <w:r>
        <w:rPr>
          <w:rFonts w:ascii="Arial" w:cs="Arial" w:eastAsia="Arial" w:hAnsi="Arial"/>
          <w:sz w:val="18"/>
          <w:szCs w:val="18"/>
          <w:color w:val="auto"/>
        </w:rPr>
        <w:t>Upon the effectiveness of the registration statement of which this prospectus forms a part, we will establish a compensation committee of the board of directors. Mr. Carey, Dr. Dubin and Dr. Pakianathan will serve as members of our compensation committee. Dr. Dubin will chair the compensation committee.</w:t>
      </w:r>
    </w:p>
    <w:p>
      <w:pPr>
        <w:spacing w:after="0" w:line="110" w:lineRule="exact"/>
        <w:rPr>
          <w:sz w:val="20"/>
          <w:szCs w:val="20"/>
          <w:color w:val="auto"/>
        </w:rPr>
      </w:pPr>
    </w:p>
    <w:p>
      <w:pPr>
        <w:ind w:left="460" w:right="1059"/>
        <w:spacing w:after="0" w:line="246" w:lineRule="auto"/>
        <w:rPr>
          <w:sz w:val="20"/>
          <w:szCs w:val="20"/>
          <w:color w:val="auto"/>
        </w:rPr>
      </w:pPr>
      <w:r>
        <w:rPr>
          <w:rFonts w:ascii="Arial" w:cs="Arial" w:eastAsia="Arial" w:hAnsi="Arial"/>
          <w:sz w:val="18"/>
          <w:szCs w:val="18"/>
          <w:color w:val="auto"/>
        </w:rPr>
        <w:t>We will adopt a compensation committee charter, which will detail the principal functions of the compensation committee, including:</w:t>
      </w:r>
    </w:p>
    <w:p>
      <w:pPr>
        <w:spacing w:after="0" w:line="21" w:lineRule="exact"/>
        <w:rPr>
          <w:sz w:val="20"/>
          <w:szCs w:val="20"/>
          <w:color w:val="auto"/>
        </w:rPr>
      </w:pPr>
    </w:p>
    <w:p>
      <w:pPr>
        <w:ind w:left="1100" w:right="479" w:hanging="322"/>
        <w:spacing w:after="0" w:line="238" w:lineRule="auto"/>
        <w:tabs>
          <w:tab w:leader="none" w:pos="1039"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reviewing and approving on an annual basis the corporate goals and objectives relevant to our Chief Executive Officer’s compensation (if any) evaluating our Chief Executive Officer’s performance in light of such goals and objectives and determining and approving the remuneration (if any) of our Chief Executive Officer based on such evaluation;</w:t>
      </w:r>
    </w:p>
    <w:p>
      <w:pPr>
        <w:spacing w:after="0" w:line="15" w:lineRule="exact"/>
        <w:rPr>
          <w:rFonts w:ascii="Arial" w:cs="Arial" w:eastAsia="Arial" w:hAnsi="Arial"/>
          <w:sz w:val="18"/>
          <w:szCs w:val="18"/>
          <w:color w:val="auto"/>
        </w:rPr>
      </w:pPr>
    </w:p>
    <w:p>
      <w:pPr>
        <w:ind w:left="1100" w:right="739" w:hanging="322"/>
        <w:spacing w:after="0"/>
        <w:tabs>
          <w:tab w:leader="none" w:pos="1039"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of directors with respect to the compensation, and any incentive compensation and equity based plans that are subject to board approval of all of our other officers;</w:t>
      </w:r>
    </w:p>
    <w:p>
      <w:pPr>
        <w:spacing w:after="0" w:line="27" w:lineRule="exact"/>
        <w:rPr>
          <w:rFonts w:ascii="Arial" w:cs="Arial" w:eastAsia="Arial" w:hAnsi="Arial"/>
          <w:sz w:val="18"/>
          <w:szCs w:val="18"/>
          <w:color w:val="auto"/>
        </w:rPr>
      </w:pPr>
    </w:p>
    <w:p>
      <w:pPr>
        <w:ind w:left="1040" w:hanging="262"/>
        <w:spacing w:after="0"/>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reviewing our executive compensation policies and plans;</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implementing and administering our incentive compensation equity-based remuneration plans;</w:t>
      </w:r>
    </w:p>
    <w:p>
      <w:pPr>
        <w:spacing w:after="0" w:line="34" w:lineRule="exact"/>
        <w:rPr>
          <w:rFonts w:ascii="Arial" w:cs="Arial" w:eastAsia="Arial" w:hAnsi="Arial"/>
          <w:sz w:val="17"/>
          <w:szCs w:val="17"/>
          <w:color w:val="auto"/>
        </w:rPr>
      </w:pPr>
    </w:p>
    <w:p>
      <w:pPr>
        <w:ind w:left="1100" w:right="799" w:hanging="322"/>
        <w:spacing w:after="0" w:line="246" w:lineRule="auto"/>
        <w:tabs>
          <w:tab w:leader="none" w:pos="1039" w:val="left"/>
        </w:tabs>
        <w:numPr>
          <w:ilvl w:val="0"/>
          <w:numId w:val="49"/>
        </w:numPr>
        <w:rPr>
          <w:rFonts w:ascii="Arial" w:cs="Arial" w:eastAsia="Arial" w:hAnsi="Arial"/>
          <w:sz w:val="18"/>
          <w:szCs w:val="18"/>
          <w:color w:val="auto"/>
        </w:rPr>
      </w:pPr>
      <w:r>
        <w:rPr>
          <w:rFonts w:ascii="Arial" w:cs="Arial" w:eastAsia="Arial" w:hAnsi="Arial"/>
          <w:sz w:val="18"/>
          <w:szCs w:val="18"/>
          <w:color w:val="auto"/>
        </w:rPr>
        <w:t>assisting management in complying with our proxy statement and annual report disclosure requirements;</w:t>
      </w:r>
    </w:p>
    <w:p>
      <w:pPr>
        <w:spacing w:after="0" w:line="21" w:lineRule="exact"/>
        <w:rPr>
          <w:rFonts w:ascii="Arial" w:cs="Arial" w:eastAsia="Arial" w:hAnsi="Arial"/>
          <w:sz w:val="18"/>
          <w:szCs w:val="18"/>
          <w:color w:val="auto"/>
        </w:rPr>
      </w:pPr>
    </w:p>
    <w:p>
      <w:pPr>
        <w:ind w:left="1100" w:right="559" w:hanging="322"/>
        <w:spacing w:after="0" w:line="246" w:lineRule="auto"/>
        <w:tabs>
          <w:tab w:leader="none" w:pos="1039" w:val="left"/>
        </w:tabs>
        <w:numPr>
          <w:ilvl w:val="0"/>
          <w:numId w:val="49"/>
        </w:numPr>
        <w:rPr>
          <w:rFonts w:ascii="Arial" w:cs="Arial" w:eastAsia="Arial" w:hAnsi="Arial"/>
          <w:sz w:val="18"/>
          <w:szCs w:val="18"/>
          <w:color w:val="auto"/>
        </w:rPr>
      </w:pPr>
      <w:r>
        <w:rPr>
          <w:rFonts w:ascii="Arial" w:cs="Arial" w:eastAsia="Arial" w:hAnsi="Arial"/>
          <w:sz w:val="18"/>
          <w:szCs w:val="18"/>
          <w:color w:val="auto"/>
        </w:rPr>
        <w:t>approving all special perquisites, special cash payments and other special compensation and benefit arrangements for our officers and employees;</w:t>
      </w:r>
    </w:p>
    <w:p>
      <w:pPr>
        <w:spacing w:after="0" w:line="21" w:lineRule="exact"/>
        <w:rPr>
          <w:rFonts w:ascii="Arial" w:cs="Arial" w:eastAsia="Arial" w:hAnsi="Arial"/>
          <w:sz w:val="18"/>
          <w:szCs w:val="18"/>
          <w:color w:val="auto"/>
        </w:rPr>
      </w:pPr>
    </w:p>
    <w:p>
      <w:pPr>
        <w:ind w:left="1100" w:right="639" w:hanging="322"/>
        <w:spacing w:after="0" w:line="246" w:lineRule="auto"/>
        <w:tabs>
          <w:tab w:leader="none" w:pos="1039"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producing a report on executive compensation to be included in our annual proxy statement; and</w:t>
      </w:r>
    </w:p>
    <w:p>
      <w:pPr>
        <w:spacing w:after="0" w:line="7" w:lineRule="exact"/>
        <w:rPr>
          <w:rFonts w:ascii="Arial" w:cs="Arial" w:eastAsia="Arial" w:hAnsi="Arial"/>
          <w:sz w:val="18"/>
          <w:szCs w:val="18"/>
          <w:color w:val="auto"/>
        </w:rPr>
      </w:pPr>
    </w:p>
    <w:p>
      <w:pPr>
        <w:ind w:left="1100" w:right="899" w:hanging="322"/>
        <w:spacing w:after="0" w:line="246" w:lineRule="auto"/>
        <w:tabs>
          <w:tab w:leader="none" w:pos="1039"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reviewing, evaluating and recommending changes, if appropriate, to the remuneration for directors.</w:t>
      </w:r>
    </w:p>
    <w:p>
      <w:pPr>
        <w:spacing w:after="0" w:line="129" w:lineRule="exact"/>
        <w:rPr>
          <w:sz w:val="20"/>
          <w:szCs w:val="20"/>
          <w:color w:val="auto"/>
        </w:rPr>
      </w:pPr>
    </w:p>
    <w:p>
      <w:pPr>
        <w:ind w:left="460" w:right="539"/>
        <w:spacing w:after="0" w:line="237" w:lineRule="auto"/>
        <w:rPr>
          <w:sz w:val="20"/>
          <w:szCs w:val="20"/>
          <w:color w:val="auto"/>
        </w:rPr>
      </w:pPr>
      <w:r>
        <w:rPr>
          <w:rFonts w:ascii="Arial" w:cs="Arial" w:eastAsia="Arial" w:hAnsi="Arial"/>
          <w:sz w:val="18"/>
          <w:szCs w:val="18"/>
          <w:color w:val="auto"/>
        </w:rPr>
        <w:t>Notwithstanding the foregoing, as indicated above, other than the payment to our sponsor of $10,000 per month, for up to 24 months, for office space, utilities and secretarial and administrative support and reimbursement of expenses, no compensation of any kind, including finders, consulting or other similar fees, will be paid to any of our existing stockholders, officers, directors or any of their respective affiliates, prior to, or for any services they render in order to effectuate the consummation of an initial business combination. Accordingly, it is likely that prior to the consummation of an initial business combination, the compensation committee will only be responsible for the</w:t>
      </w:r>
    </w:p>
    <w:p>
      <w:pPr>
        <w:sectPr>
          <w:pgSz w:w="11900" w:h="16838" w:orient="portrait"/>
          <w:cols w:equalWidth="0" w:num="1">
            <w:col w:w="9019"/>
          </w:cols>
          <w:pgMar w:left="1440" w:top="260" w:right="1440"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0" w:right="1440" w:bottom="1440" w:gutter="0" w:footer="0" w:header="0"/>
          <w:type w:val="continuous"/>
        </w:sectPr>
      </w:pPr>
    </w:p>
    <w:bookmarkStart w:id="96" w:name="page97"/>
    <w:bookmarkEnd w:id="96"/>
    <w:p>
      <w:pPr>
        <w:ind w:left="460" w:right="499"/>
        <w:spacing w:after="0" w:line="246" w:lineRule="auto"/>
        <w:rPr>
          <w:sz w:val="20"/>
          <w:szCs w:val="20"/>
          <w:color w:val="auto"/>
        </w:rPr>
      </w:pPr>
      <w:r>
        <w:rPr>
          <w:rFonts w:ascii="Arial" w:cs="Arial" w:eastAsia="Arial" w:hAnsi="Arial"/>
          <w:sz w:val="18"/>
          <w:szCs w:val="18"/>
          <w:color w:val="auto"/>
        </w:rPr>
        <w:t>review and recommendation of any compensation arrangements to be entered into in connection with such initial business combination.</w:t>
      </w:r>
    </w:p>
    <w:p>
      <w:pPr>
        <w:spacing w:after="0" w:line="116"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The charter will also provide that the compensation committee may, in its sole discretion, retain or obtain the advice of a compensation consultant, independent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66" w:lineRule="exact"/>
        <w:rPr>
          <w:sz w:val="20"/>
          <w:szCs w:val="20"/>
          <w:color w:val="auto"/>
        </w:rPr>
      </w:pPr>
    </w:p>
    <w:p>
      <w:pPr>
        <w:ind w:left="460" w:right="499"/>
        <w:spacing w:after="0" w:line="238" w:lineRule="auto"/>
        <w:rPr>
          <w:sz w:val="20"/>
          <w:szCs w:val="20"/>
          <w:color w:val="auto"/>
        </w:rPr>
      </w:pPr>
      <w:r>
        <w:rPr>
          <w:rFonts w:ascii="Arial" w:cs="Arial" w:eastAsia="Arial" w:hAnsi="Arial"/>
          <w:sz w:val="18"/>
          <w:szCs w:val="18"/>
          <w:color w:val="auto"/>
        </w:rPr>
        <w:t>Upon the effectiveness of the registration statement of which this prospectus forms a part, we will establish a nominating and corporate governance committee of the board of directors. The initial members of our nominating and corporate governance committee will be Mr. Carey, Dr. Dubin and Dr. Pakianathan. Dr. Pakianathan will serve as chair of the nominating and corporate governance committee.</w:t>
      </w:r>
    </w:p>
    <w:p>
      <w:pPr>
        <w:spacing w:after="0" w:line="135" w:lineRule="exact"/>
        <w:rPr>
          <w:sz w:val="20"/>
          <w:szCs w:val="20"/>
          <w:color w:val="auto"/>
        </w:rPr>
      </w:pPr>
    </w:p>
    <w:p>
      <w:pPr>
        <w:ind w:left="460" w:right="1019"/>
        <w:spacing w:after="0" w:line="265" w:lineRule="auto"/>
        <w:rPr>
          <w:sz w:val="20"/>
          <w:szCs w:val="20"/>
          <w:color w:val="auto"/>
        </w:rPr>
      </w:pPr>
      <w:r>
        <w:rPr>
          <w:rFonts w:ascii="Arial" w:cs="Arial" w:eastAsia="Arial" w:hAnsi="Arial"/>
          <w:sz w:val="17"/>
          <w:szCs w:val="17"/>
          <w:color w:val="auto"/>
        </w:rPr>
        <w:t>We will adopt a nominating and corporate governance committee charter, which will detail the purpose and responsibilities of the nominating and corporate governance committee, including:</w:t>
      </w:r>
    </w:p>
    <w:p>
      <w:pPr>
        <w:ind w:left="1100" w:right="519" w:hanging="322"/>
        <w:spacing w:after="0" w:line="238" w:lineRule="auto"/>
        <w:tabs>
          <w:tab w:leader="none" w:pos="1039" w:val="left"/>
        </w:tabs>
        <w:numPr>
          <w:ilvl w:val="0"/>
          <w:numId w:val="50"/>
        </w:numPr>
        <w:rPr>
          <w:rFonts w:ascii="Arial" w:cs="Arial" w:eastAsia="Arial" w:hAnsi="Arial"/>
          <w:sz w:val="18"/>
          <w:szCs w:val="18"/>
          <w:color w:val="auto"/>
        </w:rPr>
      </w:pPr>
      <w:r>
        <w:rPr>
          <w:rFonts w:ascii="Arial" w:cs="Arial" w:eastAsia="Arial" w:hAnsi="Arial"/>
          <w:sz w:val="18"/>
          <w:szCs w:val="18"/>
          <w:color w:val="auto"/>
        </w:rPr>
        <w:t>screening and reviewing individuals qualified to serve as directors, consistent with criteria approved by the board, and recommending to the board of directors candidates for nomination for election at the annual meeting of stockholders or to fill vacancies on the board of directors;</w:t>
      </w:r>
    </w:p>
    <w:p>
      <w:pPr>
        <w:spacing w:after="0" w:line="29" w:lineRule="exact"/>
        <w:rPr>
          <w:rFonts w:ascii="Arial" w:cs="Arial" w:eastAsia="Arial" w:hAnsi="Arial"/>
          <w:sz w:val="18"/>
          <w:szCs w:val="18"/>
          <w:color w:val="auto"/>
        </w:rPr>
      </w:pPr>
    </w:p>
    <w:p>
      <w:pPr>
        <w:ind w:left="1100" w:right="499" w:hanging="322"/>
        <w:spacing w:after="0" w:line="246" w:lineRule="auto"/>
        <w:tabs>
          <w:tab w:leader="none" w:pos="1039"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developing and recommending to the board of directors and overseeing implementation of our corporate governance guidelines;</w:t>
      </w:r>
    </w:p>
    <w:p>
      <w:pPr>
        <w:spacing w:after="0" w:line="21" w:lineRule="exact"/>
        <w:rPr>
          <w:rFonts w:ascii="Arial" w:cs="Arial" w:eastAsia="Arial" w:hAnsi="Arial"/>
          <w:sz w:val="18"/>
          <w:szCs w:val="18"/>
          <w:color w:val="auto"/>
        </w:rPr>
      </w:pPr>
    </w:p>
    <w:p>
      <w:pPr>
        <w:ind w:left="1100" w:right="799" w:hanging="322"/>
        <w:spacing w:after="0" w:line="265" w:lineRule="auto"/>
        <w:tabs>
          <w:tab w:leader="none" w:pos="1039" w:val="left"/>
        </w:tabs>
        <w:numPr>
          <w:ilvl w:val="0"/>
          <w:numId w:val="50"/>
        </w:numPr>
        <w:rPr>
          <w:rFonts w:ascii="Arial" w:cs="Arial" w:eastAsia="Arial" w:hAnsi="Arial"/>
          <w:sz w:val="17"/>
          <w:szCs w:val="17"/>
          <w:color w:val="auto"/>
        </w:rPr>
      </w:pPr>
      <w:r>
        <w:rPr>
          <w:rFonts w:ascii="Arial" w:cs="Arial" w:eastAsia="Arial" w:hAnsi="Arial"/>
          <w:sz w:val="17"/>
          <w:szCs w:val="17"/>
          <w:color w:val="auto"/>
        </w:rPr>
        <w:t>coordinating and overseeing the annual self-evaluation of the board of directors, its committees, individual directors and management in the governance of the company; and</w:t>
      </w:r>
    </w:p>
    <w:p>
      <w:pPr>
        <w:ind w:left="1100" w:right="1459" w:hanging="322"/>
        <w:spacing w:after="0" w:line="246" w:lineRule="auto"/>
        <w:tabs>
          <w:tab w:leader="none" w:pos="1039"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reviewing on a regular basis our overall corporate governance and recommending improvements as and when necessary.</w:t>
      </w:r>
    </w:p>
    <w:p>
      <w:pPr>
        <w:spacing w:after="0" w:line="129"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The charter will also provide that the nominating and corporate governance committee may, in its sole discretion, retain or obtain the advice of, and terminate, any search firm to be used to identify director candidates, and will be directly responsible for approving the search firm’s fees and other retention terms.</w:t>
      </w:r>
    </w:p>
    <w:p>
      <w:pPr>
        <w:spacing w:after="0" w:line="137"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We have not formally established any specific, minimum qualifications that must be met or skills that are necessary for directors to possess. In general, in identifying and evaluating nominees for director, the board of directors considers educational background, diversity of professional experience, knowledge of our business, integrity, professional reputation, independence, wisdom, and the ability to represent the best interests of our stockholders. Prior to our initial business combination, holders of our public shares will not have the right to recommend director candidates for nomination to our board of directors.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Compensation Committee Interlocks and Insider Participation</w:t>
      </w:r>
    </w:p>
    <w:p>
      <w:pPr>
        <w:spacing w:after="0" w:line="153" w:lineRule="exact"/>
        <w:rPr>
          <w:sz w:val="20"/>
          <w:szCs w:val="20"/>
          <w:color w:val="auto"/>
        </w:rPr>
      </w:pPr>
    </w:p>
    <w:p>
      <w:pPr>
        <w:ind w:left="460" w:right="599"/>
        <w:spacing w:after="0"/>
        <w:rPr>
          <w:sz w:val="20"/>
          <w:szCs w:val="20"/>
          <w:color w:val="auto"/>
        </w:rPr>
      </w:pPr>
      <w:r>
        <w:rPr>
          <w:rFonts w:ascii="Arial" w:cs="Arial" w:eastAsia="Arial" w:hAnsi="Arial"/>
          <w:sz w:val="18"/>
          <w:szCs w:val="18"/>
          <w:color w:val="auto"/>
        </w:rPr>
        <w:t>None of our executive officers currently serves, and in the past year has not served, as a member of the compensation committee of any entity that has one or more executive officers serving on our board of directors.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Code of Ethics</w:t>
      </w:r>
    </w:p>
    <w:p>
      <w:pPr>
        <w:spacing w:after="0" w:line="166" w:lineRule="exact"/>
        <w:rPr>
          <w:sz w:val="20"/>
          <w:szCs w:val="20"/>
          <w:color w:val="auto"/>
        </w:rPr>
      </w:pPr>
    </w:p>
    <w:p>
      <w:pPr>
        <w:ind w:left="460" w:right="519"/>
        <w:spacing w:after="0" w:line="250" w:lineRule="auto"/>
        <w:rPr>
          <w:sz w:val="20"/>
          <w:szCs w:val="20"/>
          <w:color w:val="auto"/>
        </w:rPr>
      </w:pPr>
      <w:r>
        <w:rPr>
          <w:rFonts w:ascii="Arial" w:cs="Arial" w:eastAsia="Arial" w:hAnsi="Arial"/>
          <w:sz w:val="17"/>
          <w:szCs w:val="17"/>
          <w:color w:val="auto"/>
        </w:rPr>
        <w:t xml:space="preserve">Prior to the consummation of this offering, we will adopt a Code of Business Conduct and Ethics applicable to our directors, officers and employees. We have filed a copy of our form of the Code of Business Conduct and Ethics and our audit committee and compensation committee charters as exhibits to the registration statement of which this prospectus is a part. You will be able to review this document by accessing our public filings at the SEC’s website at </w:t>
      </w:r>
      <w:r>
        <w:rPr>
          <w:rFonts w:ascii="Arial" w:cs="Arial" w:eastAsia="Arial" w:hAnsi="Arial"/>
          <w:sz w:val="17"/>
          <w:szCs w:val="17"/>
          <w:i w:val="1"/>
          <w:iCs w:val="1"/>
          <w:color w:val="auto"/>
        </w:rPr>
        <w:t>www.sec.gov</w:t>
      </w:r>
      <w:r>
        <w:rPr>
          <w:rFonts w:ascii="Arial" w:cs="Arial" w:eastAsia="Arial" w:hAnsi="Arial"/>
          <w:sz w:val="17"/>
          <w:szCs w:val="17"/>
          <w:color w:val="auto"/>
        </w:rPr>
        <w:t>. In addition, a copy of the Code of Business Conduct and Ethics and the charters of the committees will be provided without charge upon request from us. See the section of this prospectus entitled “Where You Can Find Additional Information.” If we make any amendments to our Code of Business Conduct and Ethics other than technical, administrative or other non-substantive amendments, or grant any waiver, including any implicit waiver, from a provision of the Code of Business Conduct and Ethics applicable to our principal executive officer, principal financial officer principal accounting officer or controller or persons performing similar functions requiring disclosure under applicable SEC or Nasdaq rules, we will disclose the nature of such amendment or waiver in a Current Report on Form 8-K.</w:t>
      </w:r>
    </w:p>
    <w:p>
      <w:pPr>
        <w:sectPr>
          <w:pgSz w:w="11900" w:h="16838" w:orient="portrait"/>
          <w:cols w:equalWidth="0" w:num="1">
            <w:col w:w="9019"/>
          </w:cols>
          <w:pgMar w:left="1440" w:top="287" w:right="1440" w:bottom="1440" w:gutter="0" w:footer="0" w:header="0"/>
        </w:sectPr>
      </w:pP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97" w:name="page98"/>
    <w:bookmarkEnd w:id="97"/>
    <w:p>
      <w:pPr>
        <w:ind w:left="460"/>
        <w:spacing w:after="0"/>
        <w:rPr>
          <w:sz w:val="20"/>
          <w:szCs w:val="20"/>
          <w:color w:val="auto"/>
        </w:rPr>
      </w:pPr>
      <w:r>
        <w:rPr>
          <w:rFonts w:ascii="Arial" w:cs="Arial" w:eastAsia="Arial" w:hAnsi="Arial"/>
          <w:sz w:val="18"/>
          <w:szCs w:val="18"/>
          <w:b w:val="1"/>
          <w:bCs w:val="1"/>
          <w:color w:val="auto"/>
        </w:rPr>
        <w:t>Conflicts of Interest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general, officers and directors of a corporation incorporated under the laws of the State of</w:t>
      </w:r>
    </w:p>
    <w:p>
      <w:pPr>
        <w:ind w:left="460"/>
        <w:spacing w:after="0"/>
        <w:rPr>
          <w:sz w:val="20"/>
          <w:szCs w:val="20"/>
          <w:color w:val="auto"/>
        </w:rPr>
      </w:pPr>
      <w:r>
        <w:rPr>
          <w:rFonts w:ascii="Arial" w:cs="Arial" w:eastAsia="Arial" w:hAnsi="Arial"/>
          <w:sz w:val="18"/>
          <w:szCs w:val="18"/>
          <w:color w:val="auto"/>
        </w:rPr>
        <w:t>Delaware are required to present business opportunities to a corporation if:</w:t>
      </w:r>
    </w:p>
    <w:p>
      <w:pPr>
        <w:spacing w:after="0" w:line="36" w:lineRule="exact"/>
        <w:rPr>
          <w:sz w:val="20"/>
          <w:szCs w:val="20"/>
          <w:color w:val="auto"/>
        </w:rPr>
      </w:pPr>
    </w:p>
    <w:p>
      <w:pPr>
        <w:ind w:left="1040" w:hanging="262"/>
        <w:spacing w:after="0"/>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corporation could financially undertake the opportunity;</w:t>
      </w:r>
    </w:p>
    <w:p>
      <w:pPr>
        <w:spacing w:after="0" w:line="22" w:lineRule="exact"/>
        <w:rPr>
          <w:rFonts w:ascii="Arial" w:cs="Arial" w:eastAsia="Arial" w:hAnsi="Arial"/>
          <w:sz w:val="18"/>
          <w:szCs w:val="18"/>
          <w:color w:val="auto"/>
        </w:rPr>
      </w:pPr>
    </w:p>
    <w:p>
      <w:pPr>
        <w:ind w:left="1040" w:hanging="262"/>
        <w:spacing w:after="0"/>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opportunity is within the corporation’s line of business; and</w:t>
      </w:r>
    </w:p>
    <w:p>
      <w:pPr>
        <w:spacing w:after="0" w:line="36" w:lineRule="exact"/>
        <w:rPr>
          <w:rFonts w:ascii="Arial" w:cs="Arial" w:eastAsia="Arial" w:hAnsi="Arial"/>
          <w:sz w:val="18"/>
          <w:szCs w:val="18"/>
          <w:color w:val="auto"/>
        </w:rPr>
      </w:pPr>
    </w:p>
    <w:p>
      <w:pPr>
        <w:ind w:left="1100" w:right="479" w:hanging="322"/>
        <w:spacing w:after="0" w:line="246" w:lineRule="auto"/>
        <w:tabs>
          <w:tab w:leader="none" w:pos="1039" w:val="left"/>
        </w:tabs>
        <w:numPr>
          <w:ilvl w:val="0"/>
          <w:numId w:val="51"/>
        </w:numPr>
        <w:rPr>
          <w:rFonts w:ascii="Arial" w:cs="Arial" w:eastAsia="Arial" w:hAnsi="Arial"/>
          <w:sz w:val="18"/>
          <w:szCs w:val="18"/>
          <w:color w:val="auto"/>
        </w:rPr>
      </w:pPr>
      <w:r>
        <w:rPr>
          <w:rFonts w:ascii="Arial" w:cs="Arial" w:eastAsia="Arial" w:hAnsi="Arial"/>
          <w:sz w:val="18"/>
          <w:szCs w:val="18"/>
          <w:color w:val="auto"/>
        </w:rPr>
        <w:t>it would not be fair to our company and its stockholders for the opportunity not to be brought to the attention of the corporation.</w:t>
      </w:r>
    </w:p>
    <w:p>
      <w:pPr>
        <w:spacing w:after="0" w:line="129" w:lineRule="exact"/>
        <w:rPr>
          <w:sz w:val="20"/>
          <w:szCs w:val="20"/>
          <w:color w:val="auto"/>
        </w:rPr>
      </w:pPr>
    </w:p>
    <w:p>
      <w:pPr>
        <w:ind w:left="460" w:right="459"/>
        <w:spacing w:after="0" w:line="235" w:lineRule="auto"/>
        <w:rPr>
          <w:sz w:val="20"/>
          <w:szCs w:val="20"/>
          <w:color w:val="auto"/>
        </w:rPr>
      </w:pPr>
      <w:r>
        <w:rPr>
          <w:rFonts w:ascii="Arial" w:cs="Arial" w:eastAsia="Arial" w:hAnsi="Arial"/>
          <w:sz w:val="18"/>
          <w:szCs w:val="18"/>
          <w:color w:val="auto"/>
        </w:rPr>
        <w:t>Each of our officers and directors presently has, and any of them in the future may have additional, fiduciary or contractual obligations to another entity pursuant to which such officer or director is or will be required to present a business combination opportunity to such entity. Accordingly, if any of our officers or directors becomes aware of a business combination opportunity which is suitable for an entity to which he or she has then-current fiduciary or contractual obligations, he or she will honor his or her fiduciary or contractual obligations to present such business combination opportunity to such entity. Our amended and restated certificate of incorporation will provide that we renounce our interest in any corporate opportunity offered to any director or officer unless such opportunity is expressly offered to such person solely in his or her capacity as a director or officer of the company and such opportunity is one we are legally and contractually permitted to undertake and would otherwise be reasonable for us to pursue, and to the extent the director or officer is permitted to refer that opportunity to us without violating another legal obligation. We do not believe, however, that the fiduciary duties or contractual obligations of our officers or directors will materially affect our ability to complete our initial business combination.</w:t>
      </w:r>
    </w:p>
    <w:p>
      <w:pPr>
        <w:spacing w:after="0" w:line="133" w:lineRule="exact"/>
        <w:rPr>
          <w:sz w:val="20"/>
          <w:szCs w:val="20"/>
          <w:color w:val="auto"/>
        </w:rPr>
      </w:pPr>
    </w:p>
    <w:p>
      <w:pPr>
        <w:jc w:val="both"/>
        <w:ind w:left="460" w:right="579"/>
        <w:spacing w:after="0"/>
        <w:rPr>
          <w:sz w:val="20"/>
          <w:szCs w:val="20"/>
          <w:color w:val="auto"/>
        </w:rPr>
      </w:pPr>
      <w:r>
        <w:rPr>
          <w:rFonts w:ascii="Arial" w:cs="Arial" w:eastAsia="Arial" w:hAnsi="Arial"/>
          <w:sz w:val="18"/>
          <w:szCs w:val="18"/>
          <w:color w:val="auto"/>
        </w:rPr>
        <w:t>Below is a table summarizing the entities to which our executive officers and directors currently have fiduciary duties or contractual obligations (excluding non-profit and educational organizations with no connection to the biotechnology sector):</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1700" w:type="dxa"/>
            <w:vAlign w:val="bottom"/>
            <w:gridSpan w:val="2"/>
          </w:tcPr>
          <w:p>
            <w:pPr>
              <w:spacing w:after="0"/>
              <w:rPr>
                <w:sz w:val="20"/>
                <w:szCs w:val="20"/>
                <w:color w:val="auto"/>
              </w:rPr>
            </w:pPr>
            <w:r>
              <w:rPr>
                <w:rFonts w:ascii="Arial" w:cs="Arial" w:eastAsia="Arial" w:hAnsi="Arial"/>
                <w:sz w:val="14"/>
                <w:szCs w:val="14"/>
                <w:b w:val="1"/>
                <w:bCs w:val="1"/>
                <w:color w:val="auto"/>
              </w:rPr>
              <w:t>Individual</w:t>
            </w:r>
          </w:p>
        </w:tc>
        <w:tc>
          <w:tcPr>
            <w:tcW w:w="1960" w:type="dxa"/>
            <w:vAlign w:val="bottom"/>
            <w:gridSpan w:val="2"/>
          </w:tcPr>
          <w:p>
            <w:pPr>
              <w:ind w:left="740"/>
              <w:spacing w:after="0"/>
              <w:rPr>
                <w:sz w:val="20"/>
                <w:szCs w:val="20"/>
                <w:color w:val="auto"/>
              </w:rPr>
            </w:pPr>
            <w:r>
              <w:rPr>
                <w:rFonts w:ascii="Arial" w:cs="Arial" w:eastAsia="Arial" w:hAnsi="Arial"/>
                <w:sz w:val="14"/>
                <w:szCs w:val="14"/>
                <w:b w:val="1"/>
                <w:bCs w:val="1"/>
                <w:color w:val="auto"/>
              </w:rPr>
              <w:t>Entity</w:t>
            </w:r>
          </w:p>
        </w:tc>
        <w:tc>
          <w:tcPr>
            <w:tcW w:w="1780" w:type="dxa"/>
            <w:vAlign w:val="bottom"/>
          </w:tcPr>
          <w:p>
            <w:pPr>
              <w:ind w:left="300"/>
              <w:spacing w:after="0"/>
              <w:rPr>
                <w:sz w:val="20"/>
                <w:szCs w:val="20"/>
                <w:color w:val="auto"/>
              </w:rPr>
            </w:pPr>
            <w:r>
              <w:rPr>
                <w:rFonts w:ascii="Arial" w:cs="Arial" w:eastAsia="Arial" w:hAnsi="Arial"/>
                <w:sz w:val="14"/>
                <w:szCs w:val="14"/>
                <w:b w:val="1"/>
                <w:bCs w:val="1"/>
                <w:color w:val="auto"/>
              </w:rPr>
              <w:t>Entity’s Business</w:t>
            </w:r>
          </w:p>
        </w:tc>
        <w:tc>
          <w:tcPr>
            <w:tcW w:w="100" w:type="dxa"/>
            <w:vAlign w:val="bottom"/>
          </w:tcPr>
          <w:p>
            <w:pPr>
              <w:spacing w:after="0"/>
              <w:rPr>
                <w:sz w:val="16"/>
                <w:szCs w:val="16"/>
                <w:color w:val="auto"/>
              </w:rPr>
            </w:pPr>
          </w:p>
        </w:tc>
        <w:tc>
          <w:tcPr>
            <w:tcW w:w="2560" w:type="dxa"/>
            <w:vAlign w:val="bottom"/>
          </w:tcPr>
          <w:p>
            <w:pPr>
              <w:ind w:left="940"/>
              <w:spacing w:after="0"/>
              <w:rPr>
                <w:sz w:val="20"/>
                <w:szCs w:val="20"/>
                <w:color w:val="auto"/>
              </w:rPr>
            </w:pPr>
            <w:r>
              <w:rPr>
                <w:rFonts w:ascii="Arial" w:cs="Arial" w:eastAsia="Arial" w:hAnsi="Arial"/>
                <w:sz w:val="14"/>
                <w:szCs w:val="14"/>
                <w:b w:val="1"/>
                <w:bCs w:val="1"/>
                <w:color w:val="auto"/>
              </w:rPr>
              <w:t>Affiliation</w:t>
            </w:r>
          </w:p>
        </w:tc>
      </w:tr>
      <w:tr>
        <w:trPr>
          <w:trHeight w:val="26"/>
        </w:trPr>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660" w:type="dxa"/>
            <w:vAlign w:val="bottom"/>
            <w:gridSpan w:val="2"/>
          </w:tcPr>
          <w:p>
            <w:pPr>
              <w:spacing w:after="0"/>
              <w:rPr>
                <w:sz w:val="2"/>
                <w:szCs w:val="2"/>
                <w:color w:val="auto"/>
              </w:rPr>
            </w:pPr>
          </w:p>
        </w:tc>
      </w:tr>
      <w:tr>
        <w:trPr>
          <w:trHeight w:val="195"/>
        </w:trPr>
        <w:tc>
          <w:tcPr>
            <w:tcW w:w="1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Jim Tananbaum</w:t>
            </w:r>
          </w:p>
        </w:tc>
        <w:tc>
          <w:tcPr>
            <w:tcW w:w="100" w:type="dxa"/>
            <w:vAlign w:val="bottom"/>
          </w:tcPr>
          <w:p>
            <w:pPr>
              <w:spacing w:after="0"/>
              <w:rPr>
                <w:sz w:val="16"/>
                <w:szCs w:val="16"/>
                <w:color w:val="auto"/>
              </w:rPr>
            </w:pPr>
          </w:p>
        </w:tc>
        <w:tc>
          <w:tcPr>
            <w:tcW w:w="18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Foresite Capital</w:t>
            </w:r>
          </w:p>
        </w:tc>
        <w:tc>
          <w:tcPr>
            <w:tcW w:w="80" w:type="dxa"/>
            <w:vAlign w:val="bottom"/>
          </w:tcPr>
          <w:p>
            <w:pPr>
              <w:spacing w:after="0"/>
              <w:rPr>
                <w:sz w:val="16"/>
                <w:szCs w:val="16"/>
                <w:color w:val="auto"/>
              </w:rPr>
            </w:pPr>
          </w:p>
        </w:tc>
        <w:tc>
          <w:tcPr>
            <w:tcW w:w="17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8"/>
              </w:rPr>
              <w:t>Venture capital/private</w:t>
            </w:r>
          </w:p>
        </w:tc>
        <w:tc>
          <w:tcPr>
            <w:tcW w:w="100" w:type="dxa"/>
            <w:vAlign w:val="bottom"/>
          </w:tcPr>
          <w:p>
            <w:pPr>
              <w:spacing w:after="0"/>
              <w:rPr>
                <w:sz w:val="16"/>
                <w:szCs w:val="16"/>
                <w:color w:val="auto"/>
              </w:rPr>
            </w:pPr>
          </w:p>
        </w:tc>
        <w:tc>
          <w:tcPr>
            <w:tcW w:w="2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Chief Executive Officer</w:t>
            </w:r>
          </w:p>
        </w:tc>
      </w:tr>
      <w:tr>
        <w:trPr>
          <w:trHeight w:val="217"/>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equity</w:t>
            </w:r>
          </w:p>
        </w:tc>
        <w:tc>
          <w:tcPr>
            <w:tcW w:w="10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29"/>
        </w:trPr>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Foresite Capital</w:t>
            </w:r>
          </w:p>
        </w:tc>
        <w:tc>
          <w:tcPr>
            <w:tcW w:w="1780" w:type="dxa"/>
            <w:vAlign w:val="bottom"/>
          </w:tcPr>
          <w:p>
            <w:pPr>
              <w:spacing w:after="0"/>
              <w:rPr>
                <w:sz w:val="20"/>
                <w:szCs w:val="20"/>
                <w:color w:val="auto"/>
              </w:rPr>
            </w:pPr>
            <w:r>
              <w:rPr>
                <w:rFonts w:ascii="Arial" w:cs="Arial" w:eastAsia="Arial" w:hAnsi="Arial"/>
                <w:sz w:val="18"/>
                <w:szCs w:val="18"/>
                <w:color w:val="auto"/>
                <w:w w:val="98"/>
              </w:rPr>
              <w:t>Venture capital/private</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Managing Member</w:t>
            </w:r>
          </w:p>
        </w:tc>
      </w:tr>
      <w:tr>
        <w:trPr>
          <w:trHeight w:val="217"/>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Management V, LLC</w:t>
            </w:r>
          </w:p>
        </w:tc>
        <w:tc>
          <w:tcPr>
            <w:tcW w:w="1780" w:type="dxa"/>
            <w:vAlign w:val="bottom"/>
          </w:tcPr>
          <w:p>
            <w:pPr>
              <w:spacing w:after="0"/>
              <w:rPr>
                <w:sz w:val="20"/>
                <w:szCs w:val="20"/>
                <w:color w:val="auto"/>
              </w:rPr>
            </w:pPr>
            <w:r>
              <w:rPr>
                <w:rFonts w:ascii="Arial" w:cs="Arial" w:eastAsia="Arial" w:hAnsi="Arial"/>
                <w:sz w:val="18"/>
                <w:szCs w:val="18"/>
                <w:color w:val="auto"/>
              </w:rPr>
              <w:t>equity</w:t>
            </w:r>
          </w:p>
        </w:tc>
        <w:tc>
          <w:tcPr>
            <w:tcW w:w="10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29"/>
        </w:trPr>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DNA Nexus, Inc.</w:t>
            </w:r>
          </w:p>
        </w:tc>
        <w:tc>
          <w:tcPr>
            <w:tcW w:w="1780" w:type="dxa"/>
            <w:vAlign w:val="bottom"/>
          </w:tcPr>
          <w:p>
            <w:pPr>
              <w:spacing w:after="0"/>
              <w:rPr>
                <w:sz w:val="20"/>
                <w:szCs w:val="20"/>
                <w:color w:val="auto"/>
              </w:rPr>
            </w:pPr>
            <w:r>
              <w:rPr>
                <w:rFonts w:ascii="Arial" w:cs="Arial" w:eastAsia="Arial" w:hAnsi="Arial"/>
                <w:sz w:val="18"/>
                <w:szCs w:val="18"/>
                <w:color w:val="auto"/>
              </w:rPr>
              <w:t>Data science cloud</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7"/>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platform</w:t>
            </w:r>
          </w:p>
        </w:tc>
        <w:tc>
          <w:tcPr>
            <w:tcW w:w="10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29"/>
        </w:trPr>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Eikon Therapeutics,</w:t>
            </w:r>
          </w:p>
        </w:tc>
        <w:tc>
          <w:tcPr>
            <w:tcW w:w="1780" w:type="dxa"/>
            <w:vAlign w:val="bottom"/>
          </w:tcPr>
          <w:p>
            <w:pPr>
              <w:spacing w:after="0"/>
              <w:rPr>
                <w:sz w:val="20"/>
                <w:szCs w:val="20"/>
                <w:color w:val="auto"/>
              </w:rPr>
            </w:pPr>
            <w:r>
              <w:rPr>
                <w:rFonts w:ascii="Arial" w:cs="Arial" w:eastAsia="Arial" w:hAnsi="Arial"/>
                <w:sz w:val="18"/>
                <w:szCs w:val="18"/>
                <w:color w:val="auto"/>
              </w:rPr>
              <w:t>Biopharmaceutical</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7"/>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Inc.</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29"/>
        </w:trPr>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Element Biosciences,</w:t>
            </w:r>
          </w:p>
        </w:tc>
        <w:tc>
          <w:tcPr>
            <w:tcW w:w="1780" w:type="dxa"/>
            <w:vAlign w:val="bottom"/>
          </w:tcPr>
          <w:p>
            <w:pPr>
              <w:spacing w:after="0"/>
              <w:rPr>
                <w:sz w:val="20"/>
                <w:szCs w:val="20"/>
                <w:color w:val="auto"/>
              </w:rPr>
            </w:pPr>
            <w:r>
              <w:rPr>
                <w:rFonts w:ascii="Arial" w:cs="Arial" w:eastAsia="Arial" w:hAnsi="Arial"/>
                <w:sz w:val="18"/>
                <w:szCs w:val="18"/>
                <w:color w:val="auto"/>
              </w:rPr>
              <w:t>Biotechnology</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7"/>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Inc.</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43"/>
        </w:trPr>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Evonetix, Ltd.</w:t>
            </w:r>
          </w:p>
        </w:tc>
        <w:tc>
          <w:tcPr>
            <w:tcW w:w="1780" w:type="dxa"/>
            <w:vAlign w:val="bottom"/>
          </w:tcPr>
          <w:p>
            <w:pPr>
              <w:spacing w:after="0"/>
              <w:rPr>
                <w:sz w:val="20"/>
                <w:szCs w:val="20"/>
                <w:color w:val="auto"/>
              </w:rPr>
            </w:pPr>
            <w:r>
              <w:rPr>
                <w:rFonts w:ascii="Arial" w:cs="Arial" w:eastAsia="Arial" w:hAnsi="Arial"/>
                <w:sz w:val="18"/>
                <w:szCs w:val="18"/>
                <w:color w:val="auto"/>
              </w:rPr>
              <w:t>Biotechnology</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83"/>
        </w:trPr>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F-Metabolic, Inc.</w:t>
            </w:r>
          </w:p>
        </w:tc>
        <w:tc>
          <w:tcPr>
            <w:tcW w:w="1780" w:type="dxa"/>
            <w:vAlign w:val="bottom"/>
          </w:tcPr>
          <w:p>
            <w:pPr>
              <w:spacing w:after="0"/>
              <w:rPr>
                <w:sz w:val="20"/>
                <w:szCs w:val="20"/>
                <w:color w:val="auto"/>
              </w:rPr>
            </w:pPr>
            <w:r>
              <w:rPr>
                <w:rFonts w:ascii="Arial" w:cs="Arial" w:eastAsia="Arial" w:hAnsi="Arial"/>
                <w:sz w:val="18"/>
                <w:szCs w:val="18"/>
                <w:color w:val="auto"/>
              </w:rPr>
              <w:t>Biotechnology</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84"/>
        </w:trPr>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Fabric Genomics, Inc.</w:t>
            </w:r>
          </w:p>
        </w:tc>
        <w:tc>
          <w:tcPr>
            <w:tcW w:w="1780" w:type="dxa"/>
            <w:vAlign w:val="bottom"/>
          </w:tcPr>
          <w:p>
            <w:pPr>
              <w:spacing w:after="0"/>
              <w:rPr>
                <w:sz w:val="20"/>
                <w:szCs w:val="20"/>
                <w:color w:val="auto"/>
              </w:rPr>
            </w:pPr>
            <w:r>
              <w:rPr>
                <w:rFonts w:ascii="Arial" w:cs="Arial" w:eastAsia="Arial" w:hAnsi="Arial"/>
                <w:sz w:val="18"/>
                <w:szCs w:val="18"/>
                <w:color w:val="auto"/>
              </w:rPr>
              <w:t>Biotechnology</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83"/>
        </w:trPr>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Genomics PLC</w:t>
            </w:r>
          </w:p>
        </w:tc>
        <w:tc>
          <w:tcPr>
            <w:tcW w:w="1780" w:type="dxa"/>
            <w:vAlign w:val="bottom"/>
          </w:tcPr>
          <w:p>
            <w:pPr>
              <w:spacing w:after="0"/>
              <w:rPr>
                <w:sz w:val="20"/>
                <w:szCs w:val="20"/>
                <w:color w:val="auto"/>
              </w:rPr>
            </w:pPr>
            <w:r>
              <w:rPr>
                <w:rFonts w:ascii="Arial" w:cs="Arial" w:eastAsia="Arial" w:hAnsi="Arial"/>
                <w:sz w:val="18"/>
                <w:szCs w:val="18"/>
                <w:color w:val="auto"/>
              </w:rPr>
              <w:t>Biotechnology</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69"/>
        </w:trPr>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Healthverity, Inc.</w:t>
            </w:r>
          </w:p>
        </w:tc>
        <w:tc>
          <w:tcPr>
            <w:tcW w:w="1780" w:type="dxa"/>
            <w:vAlign w:val="bottom"/>
          </w:tcPr>
          <w:p>
            <w:pPr>
              <w:spacing w:after="0"/>
              <w:rPr>
                <w:sz w:val="20"/>
                <w:szCs w:val="20"/>
                <w:color w:val="auto"/>
              </w:rPr>
            </w:pPr>
            <w:r>
              <w:rPr>
                <w:rFonts w:ascii="Arial" w:cs="Arial" w:eastAsia="Arial" w:hAnsi="Arial"/>
                <w:sz w:val="18"/>
                <w:szCs w:val="18"/>
                <w:color w:val="auto"/>
              </w:rPr>
              <w:t>Healthcare data</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7"/>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technology platform</w:t>
            </w:r>
          </w:p>
        </w:tc>
        <w:tc>
          <w:tcPr>
            <w:tcW w:w="10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43"/>
        </w:trPr>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Homodeus, Inc.</w:t>
            </w:r>
          </w:p>
        </w:tc>
        <w:tc>
          <w:tcPr>
            <w:tcW w:w="1780" w:type="dxa"/>
            <w:vAlign w:val="bottom"/>
          </w:tcPr>
          <w:p>
            <w:pPr>
              <w:spacing w:after="0"/>
              <w:rPr>
                <w:sz w:val="20"/>
                <w:szCs w:val="20"/>
                <w:color w:val="auto"/>
              </w:rPr>
            </w:pPr>
            <w:r>
              <w:rPr>
                <w:rFonts w:ascii="Arial" w:cs="Arial" w:eastAsia="Arial" w:hAnsi="Arial"/>
                <w:sz w:val="18"/>
                <w:szCs w:val="18"/>
                <w:color w:val="auto"/>
              </w:rPr>
              <w:t>Biotechnology</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69"/>
        </w:trPr>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Kinnate Biopharma,</w:t>
            </w:r>
          </w:p>
        </w:tc>
        <w:tc>
          <w:tcPr>
            <w:tcW w:w="1780" w:type="dxa"/>
            <w:vAlign w:val="bottom"/>
          </w:tcPr>
          <w:p>
            <w:pPr>
              <w:spacing w:after="0"/>
              <w:rPr>
                <w:sz w:val="20"/>
                <w:szCs w:val="20"/>
                <w:color w:val="auto"/>
              </w:rPr>
            </w:pPr>
            <w:r>
              <w:rPr>
                <w:rFonts w:ascii="Arial" w:cs="Arial" w:eastAsia="Arial" w:hAnsi="Arial"/>
                <w:sz w:val="18"/>
                <w:szCs w:val="18"/>
                <w:color w:val="auto"/>
              </w:rPr>
              <w:t>Biopharmaceutical</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7"/>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Inc.</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29"/>
        </w:trPr>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Mindstrong, Inc.</w:t>
            </w:r>
          </w:p>
        </w:tc>
        <w:tc>
          <w:tcPr>
            <w:tcW w:w="1780" w:type="dxa"/>
            <w:vAlign w:val="bottom"/>
          </w:tcPr>
          <w:p>
            <w:pPr>
              <w:spacing w:after="0"/>
              <w:rPr>
                <w:sz w:val="20"/>
                <w:szCs w:val="20"/>
                <w:color w:val="auto"/>
              </w:rPr>
            </w:pPr>
            <w:r>
              <w:rPr>
                <w:rFonts w:ascii="Arial" w:cs="Arial" w:eastAsia="Arial" w:hAnsi="Arial"/>
                <w:sz w:val="18"/>
                <w:szCs w:val="18"/>
                <w:color w:val="auto"/>
              </w:rPr>
              <w:t>Neuropsychiatric</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7"/>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healthcare software</w:t>
            </w:r>
          </w:p>
        </w:tc>
        <w:tc>
          <w:tcPr>
            <w:tcW w:w="10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29"/>
        </w:trPr>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Sestina, LLC</w:t>
            </w:r>
          </w:p>
        </w:tc>
        <w:tc>
          <w:tcPr>
            <w:tcW w:w="1780" w:type="dxa"/>
            <w:vAlign w:val="bottom"/>
          </w:tcPr>
          <w:p>
            <w:pPr>
              <w:spacing w:after="0"/>
              <w:rPr>
                <w:sz w:val="20"/>
                <w:szCs w:val="20"/>
                <w:color w:val="auto"/>
              </w:rPr>
            </w:pPr>
            <w:r>
              <w:rPr>
                <w:rFonts w:ascii="Arial" w:cs="Arial" w:eastAsia="Arial" w:hAnsi="Arial"/>
                <w:sz w:val="18"/>
                <w:szCs w:val="18"/>
                <w:color w:val="auto"/>
              </w:rPr>
              <w:t>Biotechnology</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7"/>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incubator</w:t>
            </w:r>
          </w:p>
        </w:tc>
        <w:tc>
          <w:tcPr>
            <w:tcW w:w="10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29"/>
        </w:trPr>
        <w:tc>
          <w:tcPr>
            <w:tcW w:w="1700" w:type="dxa"/>
            <w:vAlign w:val="bottom"/>
            <w:gridSpan w:val="2"/>
          </w:tcPr>
          <w:p>
            <w:pPr>
              <w:spacing w:after="0"/>
              <w:rPr>
                <w:sz w:val="20"/>
                <w:szCs w:val="20"/>
                <w:color w:val="auto"/>
              </w:rPr>
            </w:pPr>
            <w:r>
              <w:rPr>
                <w:rFonts w:ascii="Arial" w:cs="Arial" w:eastAsia="Arial" w:hAnsi="Arial"/>
                <w:sz w:val="18"/>
                <w:szCs w:val="18"/>
                <w:color w:val="auto"/>
              </w:rPr>
              <w:t>Dennis Ryan</w:t>
            </w:r>
          </w:p>
        </w:tc>
        <w:tc>
          <w:tcPr>
            <w:tcW w:w="1960" w:type="dxa"/>
            <w:vAlign w:val="bottom"/>
            <w:gridSpan w:val="2"/>
          </w:tcPr>
          <w:p>
            <w:pPr>
              <w:spacing w:after="0"/>
              <w:rPr>
                <w:sz w:val="20"/>
                <w:szCs w:val="20"/>
                <w:color w:val="auto"/>
              </w:rPr>
            </w:pPr>
            <w:r>
              <w:rPr>
                <w:rFonts w:ascii="Arial" w:cs="Arial" w:eastAsia="Arial" w:hAnsi="Arial"/>
                <w:sz w:val="18"/>
                <w:szCs w:val="18"/>
                <w:color w:val="auto"/>
              </w:rPr>
              <w:t>Foresite Capital</w:t>
            </w:r>
          </w:p>
        </w:tc>
        <w:tc>
          <w:tcPr>
            <w:tcW w:w="1780" w:type="dxa"/>
            <w:vAlign w:val="bottom"/>
          </w:tcPr>
          <w:p>
            <w:pPr>
              <w:spacing w:after="0"/>
              <w:rPr>
                <w:sz w:val="20"/>
                <w:szCs w:val="20"/>
                <w:color w:val="auto"/>
              </w:rPr>
            </w:pPr>
            <w:r>
              <w:rPr>
                <w:rFonts w:ascii="Arial" w:cs="Arial" w:eastAsia="Arial" w:hAnsi="Arial"/>
                <w:sz w:val="18"/>
                <w:szCs w:val="18"/>
                <w:color w:val="auto"/>
                <w:w w:val="98"/>
              </w:rPr>
              <w:t>Venture capital/private</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Chief Financial Officer and</w:t>
            </w:r>
          </w:p>
        </w:tc>
      </w:tr>
      <w:tr>
        <w:trPr>
          <w:trHeight w:val="217"/>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equity</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Managing Director</w:t>
            </w:r>
          </w:p>
        </w:tc>
      </w:tr>
      <w:tr>
        <w:trPr>
          <w:trHeight w:val="229"/>
        </w:trPr>
        <w:tc>
          <w:tcPr>
            <w:tcW w:w="1700" w:type="dxa"/>
            <w:vAlign w:val="bottom"/>
            <w:gridSpan w:val="2"/>
          </w:tcPr>
          <w:p>
            <w:pPr>
              <w:spacing w:after="0"/>
              <w:rPr>
                <w:sz w:val="20"/>
                <w:szCs w:val="20"/>
                <w:color w:val="auto"/>
              </w:rPr>
            </w:pPr>
            <w:r>
              <w:rPr>
                <w:rFonts w:ascii="Arial" w:cs="Arial" w:eastAsia="Arial" w:hAnsi="Arial"/>
                <w:sz w:val="18"/>
                <w:szCs w:val="18"/>
                <w:color w:val="auto"/>
              </w:rPr>
              <w:t>Michael Rome</w:t>
            </w:r>
          </w:p>
        </w:tc>
        <w:tc>
          <w:tcPr>
            <w:tcW w:w="1960" w:type="dxa"/>
            <w:vAlign w:val="bottom"/>
            <w:gridSpan w:val="2"/>
          </w:tcPr>
          <w:p>
            <w:pPr>
              <w:spacing w:after="0"/>
              <w:rPr>
                <w:sz w:val="20"/>
                <w:szCs w:val="20"/>
                <w:color w:val="auto"/>
              </w:rPr>
            </w:pPr>
            <w:r>
              <w:rPr>
                <w:rFonts w:ascii="Arial" w:cs="Arial" w:eastAsia="Arial" w:hAnsi="Arial"/>
                <w:sz w:val="18"/>
                <w:szCs w:val="18"/>
                <w:color w:val="auto"/>
              </w:rPr>
              <w:t>Foresite Capital</w:t>
            </w:r>
          </w:p>
        </w:tc>
        <w:tc>
          <w:tcPr>
            <w:tcW w:w="1780" w:type="dxa"/>
            <w:vAlign w:val="bottom"/>
          </w:tcPr>
          <w:p>
            <w:pPr>
              <w:spacing w:after="0"/>
              <w:rPr>
                <w:sz w:val="20"/>
                <w:szCs w:val="20"/>
                <w:color w:val="auto"/>
              </w:rPr>
            </w:pPr>
            <w:r>
              <w:rPr>
                <w:rFonts w:ascii="Arial" w:cs="Arial" w:eastAsia="Arial" w:hAnsi="Arial"/>
                <w:sz w:val="18"/>
                <w:szCs w:val="18"/>
                <w:color w:val="auto"/>
                <w:w w:val="98"/>
              </w:rPr>
              <w:t>Venture capital/private</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Managing Director</w:t>
            </w:r>
          </w:p>
        </w:tc>
      </w:tr>
      <w:tr>
        <w:trPr>
          <w:trHeight w:val="217"/>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equity</w:t>
            </w:r>
          </w:p>
        </w:tc>
        <w:tc>
          <w:tcPr>
            <w:tcW w:w="10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29"/>
        </w:trPr>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Kinnate Biopharma,</w:t>
            </w:r>
          </w:p>
        </w:tc>
        <w:tc>
          <w:tcPr>
            <w:tcW w:w="1780" w:type="dxa"/>
            <w:vAlign w:val="bottom"/>
          </w:tcPr>
          <w:p>
            <w:pPr>
              <w:spacing w:after="0"/>
              <w:rPr>
                <w:sz w:val="20"/>
                <w:szCs w:val="20"/>
                <w:color w:val="auto"/>
              </w:rPr>
            </w:pPr>
            <w:r>
              <w:rPr>
                <w:rFonts w:ascii="Arial" w:cs="Arial" w:eastAsia="Arial" w:hAnsi="Arial"/>
                <w:sz w:val="18"/>
                <w:szCs w:val="18"/>
                <w:color w:val="auto"/>
              </w:rPr>
              <w:t>Biopharmaceutical</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7"/>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Inc.</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43"/>
        </w:trPr>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Pharvaris BV</w:t>
            </w:r>
          </w:p>
        </w:tc>
        <w:tc>
          <w:tcPr>
            <w:tcW w:w="1780" w:type="dxa"/>
            <w:vAlign w:val="bottom"/>
          </w:tcPr>
          <w:p>
            <w:pPr>
              <w:spacing w:after="0"/>
              <w:rPr>
                <w:sz w:val="20"/>
                <w:szCs w:val="20"/>
                <w:color w:val="auto"/>
              </w:rPr>
            </w:pPr>
            <w:r>
              <w:rPr>
                <w:rFonts w:ascii="Arial" w:cs="Arial" w:eastAsia="Arial" w:hAnsi="Arial"/>
                <w:sz w:val="18"/>
                <w:szCs w:val="18"/>
                <w:color w:val="auto"/>
              </w:rPr>
              <w:t>Biopharmaceutical</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bl>
    <w:p>
      <w:pPr>
        <w:spacing w:after="0" w:line="200" w:lineRule="exact"/>
        <w:rPr>
          <w:sz w:val="20"/>
          <w:szCs w:val="20"/>
          <w:color w:val="auto"/>
        </w:rPr>
      </w:pPr>
    </w:p>
    <w:p>
      <w:pPr>
        <w:sectPr>
          <w:pgSz w:w="11900" w:h="16838" w:orient="portrait"/>
          <w:cols w:equalWidth="0" w:num="1">
            <w:col w:w="9019"/>
          </w:cols>
          <w:pgMar w:left="1440" w:top="292" w:right="1440" w:bottom="1440" w:gutter="0" w:footer="0" w:header="0"/>
        </w:sectPr>
      </w:pP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92" w:right="1440" w:bottom="1440" w:gutter="0" w:footer="0" w:header="0"/>
          <w:type w:val="continuous"/>
        </w:sectPr>
      </w:pPr>
    </w:p>
    <w:bookmarkStart w:id="98" w:name="page99"/>
    <w:bookmarkEnd w:id="98"/>
    <w:tbl>
      <w:tblPr>
        <w:tblLayout w:type="fixed"/>
        <w:tblInd w:w="460" w:type="dxa"/>
        <w:tblCellMar>
          <w:top w:w="0" w:type="dxa"/>
          <w:left w:w="0" w:type="dxa"/>
          <w:bottom w:w="0" w:type="dxa"/>
          <w:right w:w="0" w:type="dxa"/>
        </w:tblCellMar>
      </w:tblPr>
      <w:tr>
        <w:trPr>
          <w:trHeight w:val="190"/>
        </w:trPr>
        <w:tc>
          <w:tcPr>
            <w:tcW w:w="1700" w:type="dxa"/>
            <w:vAlign w:val="bottom"/>
            <w:gridSpan w:val="2"/>
          </w:tcPr>
          <w:p>
            <w:pPr>
              <w:spacing w:after="0"/>
              <w:rPr>
                <w:sz w:val="20"/>
                <w:szCs w:val="20"/>
                <w:color w:val="auto"/>
              </w:rPr>
            </w:pPr>
            <w:r>
              <w:rPr>
                <w:rFonts w:ascii="Arial" w:cs="Arial" w:eastAsia="Arial" w:hAnsi="Arial"/>
                <w:sz w:val="14"/>
                <w:szCs w:val="14"/>
                <w:b w:val="1"/>
                <w:bCs w:val="1"/>
                <w:color w:val="auto"/>
              </w:rPr>
              <w:t>Individual</w:t>
            </w:r>
          </w:p>
        </w:tc>
        <w:tc>
          <w:tcPr>
            <w:tcW w:w="1960" w:type="dxa"/>
            <w:vAlign w:val="bottom"/>
            <w:gridSpan w:val="2"/>
          </w:tcPr>
          <w:p>
            <w:pPr>
              <w:ind w:left="740"/>
              <w:spacing w:after="0"/>
              <w:rPr>
                <w:sz w:val="20"/>
                <w:szCs w:val="20"/>
                <w:color w:val="auto"/>
              </w:rPr>
            </w:pPr>
            <w:r>
              <w:rPr>
                <w:rFonts w:ascii="Arial" w:cs="Arial" w:eastAsia="Arial" w:hAnsi="Arial"/>
                <w:sz w:val="14"/>
                <w:szCs w:val="14"/>
                <w:b w:val="1"/>
                <w:bCs w:val="1"/>
                <w:color w:val="auto"/>
              </w:rPr>
              <w:t>Entity</w:t>
            </w:r>
          </w:p>
        </w:tc>
        <w:tc>
          <w:tcPr>
            <w:tcW w:w="1780" w:type="dxa"/>
            <w:vAlign w:val="bottom"/>
          </w:tcPr>
          <w:p>
            <w:pPr>
              <w:ind w:left="300"/>
              <w:spacing w:after="0"/>
              <w:rPr>
                <w:sz w:val="20"/>
                <w:szCs w:val="20"/>
                <w:color w:val="auto"/>
              </w:rPr>
            </w:pPr>
            <w:r>
              <w:rPr>
                <w:rFonts w:ascii="Arial" w:cs="Arial" w:eastAsia="Arial" w:hAnsi="Arial"/>
                <w:sz w:val="14"/>
                <w:szCs w:val="14"/>
                <w:b w:val="1"/>
                <w:bCs w:val="1"/>
                <w:color w:val="auto"/>
              </w:rPr>
              <w:t>Entity’s Business</w:t>
            </w:r>
          </w:p>
        </w:tc>
        <w:tc>
          <w:tcPr>
            <w:tcW w:w="100" w:type="dxa"/>
            <w:vAlign w:val="bottom"/>
          </w:tcPr>
          <w:p>
            <w:pPr>
              <w:spacing w:after="0"/>
              <w:rPr>
                <w:sz w:val="16"/>
                <w:szCs w:val="16"/>
                <w:color w:val="auto"/>
              </w:rPr>
            </w:pPr>
          </w:p>
        </w:tc>
        <w:tc>
          <w:tcPr>
            <w:tcW w:w="2560" w:type="dxa"/>
            <w:vAlign w:val="bottom"/>
          </w:tcPr>
          <w:p>
            <w:pPr>
              <w:ind w:left="940"/>
              <w:spacing w:after="0"/>
              <w:rPr>
                <w:sz w:val="20"/>
                <w:szCs w:val="20"/>
                <w:color w:val="auto"/>
              </w:rPr>
            </w:pPr>
            <w:r>
              <w:rPr>
                <w:rFonts w:ascii="Arial" w:cs="Arial" w:eastAsia="Arial" w:hAnsi="Arial"/>
                <w:sz w:val="14"/>
                <w:szCs w:val="14"/>
                <w:b w:val="1"/>
                <w:bCs w:val="1"/>
                <w:color w:val="auto"/>
              </w:rPr>
              <w:t>Affiliation</w:t>
            </w:r>
          </w:p>
        </w:tc>
      </w:tr>
      <w:tr>
        <w:trPr>
          <w:trHeight w:val="26"/>
        </w:trPr>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660" w:type="dxa"/>
            <w:vAlign w:val="bottom"/>
            <w:gridSpan w:val="2"/>
          </w:tcPr>
          <w:p>
            <w:pPr>
              <w:spacing w:after="0"/>
              <w:rPr>
                <w:sz w:val="2"/>
                <w:szCs w:val="2"/>
                <w:color w:val="auto"/>
              </w:rPr>
            </w:pPr>
          </w:p>
        </w:tc>
      </w:tr>
      <w:tr>
        <w:trPr>
          <w:trHeight w:val="195"/>
        </w:trPr>
        <w:tc>
          <w:tcPr>
            <w:tcW w:w="1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Vikram Bajaj</w:t>
            </w:r>
          </w:p>
        </w:tc>
        <w:tc>
          <w:tcPr>
            <w:tcW w:w="100" w:type="dxa"/>
            <w:vAlign w:val="bottom"/>
          </w:tcPr>
          <w:p>
            <w:pPr>
              <w:spacing w:after="0"/>
              <w:rPr>
                <w:sz w:val="16"/>
                <w:szCs w:val="16"/>
                <w:color w:val="auto"/>
              </w:rPr>
            </w:pPr>
          </w:p>
        </w:tc>
        <w:tc>
          <w:tcPr>
            <w:tcW w:w="18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Foresite Capital</w:t>
            </w:r>
          </w:p>
        </w:tc>
        <w:tc>
          <w:tcPr>
            <w:tcW w:w="80" w:type="dxa"/>
            <w:vAlign w:val="bottom"/>
          </w:tcPr>
          <w:p>
            <w:pPr>
              <w:spacing w:after="0"/>
              <w:rPr>
                <w:sz w:val="16"/>
                <w:szCs w:val="16"/>
                <w:color w:val="auto"/>
              </w:rPr>
            </w:pPr>
          </w:p>
        </w:tc>
        <w:tc>
          <w:tcPr>
            <w:tcW w:w="17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8"/>
              </w:rPr>
              <w:t>Venture capital/private</w:t>
            </w:r>
          </w:p>
        </w:tc>
        <w:tc>
          <w:tcPr>
            <w:tcW w:w="100" w:type="dxa"/>
            <w:vAlign w:val="bottom"/>
          </w:tcPr>
          <w:p>
            <w:pPr>
              <w:spacing w:after="0"/>
              <w:rPr>
                <w:sz w:val="16"/>
                <w:szCs w:val="16"/>
                <w:color w:val="auto"/>
              </w:rPr>
            </w:pPr>
          </w:p>
        </w:tc>
        <w:tc>
          <w:tcPr>
            <w:tcW w:w="2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Managing Director</w:t>
            </w:r>
          </w:p>
        </w:tc>
      </w:tr>
      <w:tr>
        <w:trPr>
          <w:trHeight w:val="217"/>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equity</w:t>
            </w:r>
          </w:p>
        </w:tc>
        <w:tc>
          <w:tcPr>
            <w:tcW w:w="10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29"/>
        </w:trPr>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Foresite Labs</w:t>
            </w:r>
          </w:p>
        </w:tc>
        <w:tc>
          <w:tcPr>
            <w:tcW w:w="1780" w:type="dxa"/>
            <w:vAlign w:val="bottom"/>
          </w:tcPr>
          <w:p>
            <w:pPr>
              <w:spacing w:after="0"/>
              <w:rPr>
                <w:sz w:val="20"/>
                <w:szCs w:val="20"/>
                <w:color w:val="auto"/>
              </w:rPr>
            </w:pPr>
            <w:r>
              <w:rPr>
                <w:rFonts w:ascii="Arial" w:cs="Arial" w:eastAsia="Arial" w:hAnsi="Arial"/>
                <w:sz w:val="18"/>
                <w:szCs w:val="18"/>
                <w:color w:val="auto"/>
              </w:rPr>
              <w:t>Healthcare and data</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Chief Executive Officer</w:t>
            </w:r>
          </w:p>
        </w:tc>
      </w:tr>
      <w:tr>
        <w:trPr>
          <w:trHeight w:val="217"/>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science incubator</w:t>
            </w:r>
          </w:p>
        </w:tc>
        <w:tc>
          <w:tcPr>
            <w:tcW w:w="10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29"/>
        </w:trPr>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Stanford University</w:t>
            </w:r>
          </w:p>
        </w:tc>
        <w:tc>
          <w:tcPr>
            <w:tcW w:w="1780" w:type="dxa"/>
            <w:vAlign w:val="bottom"/>
          </w:tcPr>
          <w:p>
            <w:pPr>
              <w:spacing w:after="0"/>
              <w:rPr>
                <w:sz w:val="20"/>
                <w:szCs w:val="20"/>
                <w:color w:val="auto"/>
              </w:rPr>
            </w:pPr>
            <w:r>
              <w:rPr>
                <w:rFonts w:ascii="Arial" w:cs="Arial" w:eastAsia="Arial" w:hAnsi="Arial"/>
                <w:sz w:val="18"/>
                <w:szCs w:val="18"/>
                <w:color w:val="auto"/>
              </w:rPr>
              <w:t>Medical school</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Associate Professor</w:t>
            </w:r>
          </w:p>
        </w:tc>
      </w:tr>
      <w:tr>
        <w:trPr>
          <w:trHeight w:val="217"/>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School of Medicine</w:t>
            </w:r>
          </w:p>
        </w:tc>
        <w:tc>
          <w:tcPr>
            <w:tcW w:w="1780" w:type="dxa"/>
            <w:vAlign w:val="bottom"/>
          </w:tcPr>
          <w:p>
            <w:pPr>
              <w:spacing w:after="0"/>
              <w:rPr>
                <w:sz w:val="18"/>
                <w:szCs w:val="18"/>
                <w:color w:val="auto"/>
              </w:rPr>
            </w:pP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(Consulting)</w:t>
            </w:r>
          </w:p>
        </w:tc>
      </w:tr>
      <w:tr>
        <w:trPr>
          <w:trHeight w:val="229"/>
        </w:trPr>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Lawrence Berkeley</w:t>
            </w:r>
          </w:p>
        </w:tc>
        <w:tc>
          <w:tcPr>
            <w:tcW w:w="1780" w:type="dxa"/>
            <w:vAlign w:val="bottom"/>
          </w:tcPr>
          <w:p>
            <w:pPr>
              <w:spacing w:after="0"/>
              <w:rPr>
                <w:sz w:val="20"/>
                <w:szCs w:val="20"/>
                <w:color w:val="auto"/>
              </w:rPr>
            </w:pPr>
            <w:r>
              <w:rPr>
                <w:rFonts w:ascii="Arial" w:cs="Arial" w:eastAsia="Arial" w:hAnsi="Arial"/>
                <w:sz w:val="18"/>
                <w:szCs w:val="18"/>
                <w:color w:val="auto"/>
              </w:rPr>
              <w:t>Scientific research</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Affiliate Scientist</w:t>
            </w:r>
          </w:p>
        </w:tc>
      </w:tr>
      <w:tr>
        <w:trPr>
          <w:trHeight w:val="217"/>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National Laboratory</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29"/>
        </w:trPr>
        <w:tc>
          <w:tcPr>
            <w:tcW w:w="1700" w:type="dxa"/>
            <w:vAlign w:val="bottom"/>
            <w:gridSpan w:val="2"/>
          </w:tcPr>
          <w:p>
            <w:pPr>
              <w:spacing w:after="0"/>
              <w:rPr>
                <w:sz w:val="20"/>
                <w:szCs w:val="20"/>
                <w:color w:val="auto"/>
              </w:rPr>
            </w:pPr>
            <w:r>
              <w:rPr>
                <w:rFonts w:ascii="Arial" w:cs="Arial" w:eastAsia="Arial" w:hAnsi="Arial"/>
                <w:sz w:val="18"/>
                <w:szCs w:val="18"/>
                <w:color w:val="auto"/>
              </w:rPr>
              <w:t>Robert Carey</w:t>
            </w:r>
          </w:p>
        </w:tc>
        <w:tc>
          <w:tcPr>
            <w:tcW w:w="1960" w:type="dxa"/>
            <w:vAlign w:val="bottom"/>
            <w:gridSpan w:val="2"/>
          </w:tcPr>
          <w:p>
            <w:pPr>
              <w:spacing w:after="0"/>
              <w:rPr>
                <w:sz w:val="20"/>
                <w:szCs w:val="20"/>
                <w:color w:val="auto"/>
              </w:rPr>
            </w:pPr>
            <w:r>
              <w:rPr>
                <w:rFonts w:ascii="Arial" w:cs="Arial" w:eastAsia="Arial" w:hAnsi="Arial"/>
                <w:sz w:val="18"/>
                <w:szCs w:val="18"/>
                <w:color w:val="auto"/>
              </w:rPr>
              <w:t>Sangamo</w:t>
            </w:r>
          </w:p>
        </w:tc>
        <w:tc>
          <w:tcPr>
            <w:tcW w:w="1780" w:type="dxa"/>
            <w:vAlign w:val="bottom"/>
          </w:tcPr>
          <w:p>
            <w:pPr>
              <w:spacing w:after="0"/>
              <w:rPr>
                <w:sz w:val="20"/>
                <w:szCs w:val="20"/>
                <w:color w:val="auto"/>
              </w:rPr>
            </w:pPr>
            <w:r>
              <w:rPr>
                <w:rFonts w:ascii="Arial" w:cs="Arial" w:eastAsia="Arial" w:hAnsi="Arial"/>
                <w:sz w:val="18"/>
                <w:szCs w:val="18"/>
                <w:color w:val="auto"/>
              </w:rPr>
              <w:t>Biotechnology</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7"/>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Therapeutics, Inc.</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43"/>
        </w:trPr>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Beyond Air, Inc.</w:t>
            </w:r>
          </w:p>
        </w:tc>
        <w:tc>
          <w:tcPr>
            <w:tcW w:w="1780" w:type="dxa"/>
            <w:vAlign w:val="bottom"/>
          </w:tcPr>
          <w:p>
            <w:pPr>
              <w:spacing w:after="0"/>
              <w:rPr>
                <w:sz w:val="20"/>
                <w:szCs w:val="20"/>
                <w:color w:val="auto"/>
              </w:rPr>
            </w:pPr>
            <w:r>
              <w:rPr>
                <w:rFonts w:ascii="Arial" w:cs="Arial" w:eastAsia="Arial" w:hAnsi="Arial"/>
                <w:sz w:val="18"/>
                <w:szCs w:val="18"/>
                <w:color w:val="auto"/>
              </w:rPr>
              <w:t>Biotechnology</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69"/>
        </w:trPr>
        <w:tc>
          <w:tcPr>
            <w:tcW w:w="1700" w:type="dxa"/>
            <w:vAlign w:val="bottom"/>
            <w:gridSpan w:val="2"/>
          </w:tcPr>
          <w:p>
            <w:pPr>
              <w:spacing w:after="0"/>
              <w:rPr>
                <w:sz w:val="20"/>
                <w:szCs w:val="20"/>
                <w:color w:val="auto"/>
              </w:rPr>
            </w:pPr>
            <w:r>
              <w:rPr>
                <w:rFonts w:ascii="Arial" w:cs="Arial" w:eastAsia="Arial" w:hAnsi="Arial"/>
                <w:sz w:val="18"/>
                <w:szCs w:val="18"/>
                <w:color w:val="auto"/>
              </w:rPr>
              <w:t>Daniel Dubin</w:t>
            </w:r>
          </w:p>
        </w:tc>
        <w:tc>
          <w:tcPr>
            <w:tcW w:w="1960" w:type="dxa"/>
            <w:vAlign w:val="bottom"/>
            <w:gridSpan w:val="2"/>
          </w:tcPr>
          <w:p>
            <w:pPr>
              <w:spacing w:after="0"/>
              <w:rPr>
                <w:sz w:val="20"/>
                <w:szCs w:val="20"/>
                <w:color w:val="auto"/>
              </w:rPr>
            </w:pPr>
            <w:r>
              <w:rPr>
                <w:rFonts w:ascii="Arial" w:cs="Arial" w:eastAsia="Arial" w:hAnsi="Arial"/>
                <w:sz w:val="18"/>
                <w:szCs w:val="18"/>
                <w:color w:val="auto"/>
              </w:rPr>
              <w:t>SVB Leerink</w:t>
            </w:r>
          </w:p>
        </w:tc>
        <w:tc>
          <w:tcPr>
            <w:tcW w:w="1780" w:type="dxa"/>
            <w:vAlign w:val="bottom"/>
          </w:tcPr>
          <w:p>
            <w:pPr>
              <w:spacing w:after="0"/>
              <w:rPr>
                <w:sz w:val="20"/>
                <w:szCs w:val="20"/>
                <w:color w:val="auto"/>
              </w:rPr>
            </w:pPr>
            <w:r>
              <w:rPr>
                <w:rFonts w:ascii="Arial" w:cs="Arial" w:eastAsia="Arial" w:hAnsi="Arial"/>
                <w:sz w:val="18"/>
                <w:szCs w:val="18"/>
                <w:color w:val="auto"/>
              </w:rPr>
              <w:t>Investment bank</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Vice Chairman and Head of</w:t>
            </w:r>
          </w:p>
        </w:tc>
      </w:tr>
      <w:tr>
        <w:trPr>
          <w:trHeight w:val="217"/>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Biopharma Investment Banking</w:t>
            </w:r>
          </w:p>
        </w:tc>
      </w:tr>
      <w:tr>
        <w:trPr>
          <w:trHeight w:val="243"/>
        </w:trPr>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Olivo Laboratories LLC</w:t>
            </w:r>
          </w:p>
        </w:tc>
        <w:tc>
          <w:tcPr>
            <w:tcW w:w="1780" w:type="dxa"/>
            <w:vAlign w:val="bottom"/>
          </w:tcPr>
          <w:p>
            <w:pPr>
              <w:spacing w:after="0"/>
              <w:rPr>
                <w:sz w:val="20"/>
                <w:szCs w:val="20"/>
                <w:color w:val="auto"/>
              </w:rPr>
            </w:pPr>
            <w:r>
              <w:rPr>
                <w:rFonts w:ascii="Arial" w:cs="Arial" w:eastAsia="Arial" w:hAnsi="Arial"/>
                <w:sz w:val="18"/>
                <w:szCs w:val="18"/>
                <w:color w:val="auto"/>
              </w:rPr>
              <w:t>Biotechnology</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83"/>
        </w:trPr>
        <w:tc>
          <w:tcPr>
            <w:tcW w:w="1700" w:type="dxa"/>
            <w:vAlign w:val="bottom"/>
            <w:gridSpan w:val="2"/>
          </w:tcPr>
          <w:p>
            <w:pPr>
              <w:spacing w:after="0"/>
              <w:rPr>
                <w:sz w:val="20"/>
                <w:szCs w:val="20"/>
                <w:color w:val="auto"/>
              </w:rPr>
            </w:pPr>
            <w:r>
              <w:rPr>
                <w:rFonts w:ascii="Arial" w:cs="Arial" w:eastAsia="Arial" w:hAnsi="Arial"/>
                <w:sz w:val="18"/>
                <w:szCs w:val="18"/>
                <w:color w:val="auto"/>
              </w:rPr>
              <w:t>Deepa Pakianathan</w:t>
            </w:r>
          </w:p>
        </w:tc>
        <w:tc>
          <w:tcPr>
            <w:tcW w:w="1960" w:type="dxa"/>
            <w:vAlign w:val="bottom"/>
            <w:gridSpan w:val="2"/>
          </w:tcPr>
          <w:p>
            <w:pPr>
              <w:spacing w:after="0"/>
              <w:rPr>
                <w:sz w:val="20"/>
                <w:szCs w:val="20"/>
                <w:color w:val="auto"/>
              </w:rPr>
            </w:pPr>
            <w:r>
              <w:rPr>
                <w:rFonts w:ascii="Arial" w:cs="Arial" w:eastAsia="Arial" w:hAnsi="Arial"/>
                <w:sz w:val="18"/>
                <w:szCs w:val="18"/>
                <w:color w:val="auto"/>
              </w:rPr>
              <w:t>Delphi Ventures</w:t>
            </w:r>
          </w:p>
        </w:tc>
        <w:tc>
          <w:tcPr>
            <w:tcW w:w="1780" w:type="dxa"/>
            <w:vAlign w:val="bottom"/>
          </w:tcPr>
          <w:p>
            <w:pPr>
              <w:spacing w:after="0"/>
              <w:rPr>
                <w:sz w:val="20"/>
                <w:szCs w:val="20"/>
                <w:color w:val="auto"/>
              </w:rPr>
            </w:pPr>
            <w:r>
              <w:rPr>
                <w:rFonts w:ascii="Arial" w:cs="Arial" w:eastAsia="Arial" w:hAnsi="Arial"/>
                <w:sz w:val="18"/>
                <w:szCs w:val="18"/>
                <w:color w:val="auto"/>
              </w:rPr>
              <w:t>Venture capital</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Managing Member</w:t>
            </w:r>
          </w:p>
        </w:tc>
      </w:tr>
      <w:tr>
        <w:trPr>
          <w:trHeight w:val="269"/>
        </w:trPr>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Redd Pharmaceuticals,</w:t>
            </w:r>
          </w:p>
        </w:tc>
        <w:tc>
          <w:tcPr>
            <w:tcW w:w="1780" w:type="dxa"/>
            <w:vAlign w:val="bottom"/>
          </w:tcPr>
          <w:p>
            <w:pPr>
              <w:spacing w:after="0"/>
              <w:rPr>
                <w:sz w:val="20"/>
                <w:szCs w:val="20"/>
                <w:color w:val="auto"/>
              </w:rPr>
            </w:pPr>
            <w:r>
              <w:rPr>
                <w:rFonts w:ascii="Arial" w:cs="Arial" w:eastAsia="Arial" w:hAnsi="Arial"/>
                <w:sz w:val="18"/>
                <w:szCs w:val="18"/>
                <w:color w:val="auto"/>
              </w:rPr>
              <w:t>Biotechnology</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Chief Executive Officer</w:t>
            </w:r>
          </w:p>
        </w:tc>
      </w:tr>
      <w:tr>
        <w:trPr>
          <w:trHeight w:val="217"/>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Inc.</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29"/>
        </w:trPr>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Calithera Biosciences,</w:t>
            </w:r>
          </w:p>
        </w:tc>
        <w:tc>
          <w:tcPr>
            <w:tcW w:w="1780" w:type="dxa"/>
            <w:vAlign w:val="bottom"/>
          </w:tcPr>
          <w:p>
            <w:pPr>
              <w:spacing w:after="0"/>
              <w:rPr>
                <w:sz w:val="20"/>
                <w:szCs w:val="20"/>
                <w:color w:val="auto"/>
              </w:rPr>
            </w:pPr>
            <w:r>
              <w:rPr>
                <w:rFonts w:ascii="Arial" w:cs="Arial" w:eastAsia="Arial" w:hAnsi="Arial"/>
                <w:sz w:val="18"/>
                <w:szCs w:val="18"/>
                <w:color w:val="auto"/>
              </w:rPr>
              <w:t>Biotechnology</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7"/>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Inc.</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29"/>
        </w:trPr>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Karyopharm</w:t>
            </w:r>
          </w:p>
        </w:tc>
        <w:tc>
          <w:tcPr>
            <w:tcW w:w="1780" w:type="dxa"/>
            <w:vAlign w:val="bottom"/>
          </w:tcPr>
          <w:p>
            <w:pPr>
              <w:spacing w:after="0"/>
              <w:rPr>
                <w:sz w:val="20"/>
                <w:szCs w:val="20"/>
                <w:color w:val="auto"/>
              </w:rPr>
            </w:pPr>
            <w:r>
              <w:rPr>
                <w:rFonts w:ascii="Arial" w:cs="Arial" w:eastAsia="Arial" w:hAnsi="Arial"/>
                <w:sz w:val="18"/>
                <w:szCs w:val="18"/>
                <w:color w:val="auto"/>
              </w:rPr>
              <w:t>Biotechnology</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7"/>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Therapeutics, Inc.</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29"/>
        </w:trPr>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Mereo Biopharma</w:t>
            </w:r>
          </w:p>
        </w:tc>
        <w:tc>
          <w:tcPr>
            <w:tcW w:w="1780" w:type="dxa"/>
            <w:vAlign w:val="bottom"/>
          </w:tcPr>
          <w:p>
            <w:pPr>
              <w:spacing w:after="0"/>
              <w:rPr>
                <w:sz w:val="20"/>
                <w:szCs w:val="20"/>
                <w:color w:val="auto"/>
              </w:rPr>
            </w:pPr>
            <w:r>
              <w:rPr>
                <w:rFonts w:ascii="Arial" w:cs="Arial" w:eastAsia="Arial" w:hAnsi="Arial"/>
                <w:sz w:val="18"/>
                <w:szCs w:val="18"/>
                <w:color w:val="auto"/>
              </w:rPr>
              <w:t>Biotechnology</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7"/>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Group plc</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29"/>
        </w:trPr>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Theravance</w:t>
            </w:r>
          </w:p>
        </w:tc>
        <w:tc>
          <w:tcPr>
            <w:tcW w:w="1780" w:type="dxa"/>
            <w:vAlign w:val="bottom"/>
          </w:tcPr>
          <w:p>
            <w:pPr>
              <w:spacing w:after="0"/>
              <w:rPr>
                <w:sz w:val="20"/>
                <w:szCs w:val="20"/>
                <w:color w:val="auto"/>
              </w:rPr>
            </w:pPr>
            <w:r>
              <w:rPr>
                <w:rFonts w:ascii="Arial" w:cs="Arial" w:eastAsia="Arial" w:hAnsi="Arial"/>
                <w:sz w:val="18"/>
                <w:szCs w:val="18"/>
                <w:color w:val="auto"/>
              </w:rPr>
              <w:t>Biotechnology</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7"/>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Biopharma, Inc.</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tcPr>
          <w:p>
            <w:pPr>
              <w:spacing w:after="0"/>
              <w:rPr>
                <w:sz w:val="18"/>
                <w:szCs w:val="18"/>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Potential investors should also be aware of the following other potential conflicts of interest:</w:t>
      </w:r>
    </w:p>
    <w:p>
      <w:pPr>
        <w:spacing w:after="0" w:line="23" w:lineRule="exact"/>
        <w:rPr>
          <w:sz w:val="20"/>
          <w:szCs w:val="20"/>
          <w:color w:val="auto"/>
        </w:rPr>
      </w:pPr>
    </w:p>
    <w:p>
      <w:pPr>
        <w:ind w:left="1100" w:right="559" w:hanging="322"/>
        <w:spacing w:after="0" w:line="237" w:lineRule="auto"/>
        <w:tabs>
          <w:tab w:leader="none" w:pos="1039"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executive officers and directors are not required to, and will not, commit their full time to our affairs, which may result in a conflict of interest in allocating their time between our operations and our search for a business combination and their other businesses. We do not intend to have any full-time employees prior to the completion of our initial business combination. Each of our executive officers is engaged in several other business endeavors for which he may be entitled to substantial compensation, and our executive officers are not obligated to contribute any specific number of hours per week to our affairs.</w:t>
      </w:r>
    </w:p>
    <w:p>
      <w:pPr>
        <w:spacing w:after="0" w:line="27" w:lineRule="exact"/>
        <w:rPr>
          <w:rFonts w:ascii="Arial" w:cs="Arial" w:eastAsia="Arial" w:hAnsi="Arial"/>
          <w:sz w:val="18"/>
          <w:szCs w:val="18"/>
          <w:color w:val="auto"/>
        </w:rPr>
      </w:pPr>
    </w:p>
    <w:p>
      <w:pPr>
        <w:ind w:left="1100" w:right="539" w:hanging="322"/>
        <w:spacing w:after="0" w:line="234" w:lineRule="auto"/>
        <w:tabs>
          <w:tab w:leader="none" w:pos="1039"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initial stockholders purchased founder shares prior to the date of this prospectus and will purchase private placement shares in a transaction that will close simultaneously with the closing of this offering. Our initial stockholders have entered into agreements with us, pursuant to which they have agreed to waive their redemption rights with respect to their founder shares, private placement shares and any public shares they hold in connection with the completion of our initial business combination. The other members of our management team have entered into agreements similar to the one entered into by our initial stockholders with respect to any public shares acquired by them in or after this offering. Additionally, our initial stockholders have agreed to waive their rights to liquidating distributions from the trust account with respect to their founder shares and private placement shares if we fail to complete our initial business combination within the prescribed time frame or during any Extension Period. Furthermore, our initial stockholders have agreed not to transfer, assign or sell any of their founder shares or private placement shares until the earlier to occur of:</w:t>
      </w:r>
    </w:p>
    <w:p>
      <w:pPr>
        <w:spacing w:after="0" w:line="8" w:lineRule="exact"/>
        <w:rPr>
          <w:rFonts w:ascii="Arial" w:cs="Arial" w:eastAsia="Arial" w:hAnsi="Arial"/>
          <w:sz w:val="18"/>
          <w:szCs w:val="18"/>
          <w:color w:val="auto"/>
        </w:rPr>
      </w:pPr>
    </w:p>
    <w:p>
      <w:pPr>
        <w:ind w:left="1100" w:right="579"/>
        <w:spacing w:after="0" w:line="236" w:lineRule="auto"/>
        <w:rPr>
          <w:rFonts w:ascii="Arial" w:cs="Arial" w:eastAsia="Arial" w:hAnsi="Arial"/>
          <w:sz w:val="18"/>
          <w:szCs w:val="18"/>
          <w:color w:val="auto"/>
        </w:rPr>
      </w:pPr>
      <w:r>
        <w:rPr>
          <w:rFonts w:ascii="Arial" w:cs="Arial" w:eastAsia="Arial" w:hAnsi="Arial"/>
          <w:sz w:val="18"/>
          <w:szCs w:val="18"/>
          <w:color w:val="auto"/>
        </w:rPr>
        <w:t>(i) one year after the completion of our initial business combination and (ii) the date following the completion of our initial business combination on which we complete a liquidation, merger, capital stock exchange or other similar transaction that results in all of our stockholders having the right to exchange their common stock for cash, securities or other property. Notwithstanding the foregoing, if the closing price of our Class A common stock equals or exceeds $12.00 per share (as adjusted for stock splits, stock capitalizations, reorganizations, recapitalizations and the like) for any 20 trading days within any 30-trading day period commencing at least 150 days after our initial business combination, the founder shares will be released from the lockup. Because each of our executive officers and director nominees will own common stock directly or indirectly, they may have a conflict of interest in determining whether a particular target business is an appropriate business with which to effectuate our initial business combination.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83" w:right="1440" w:bottom="1440" w:gutter="0" w:footer="0" w:header="0"/>
        </w:sectPr>
      </w:pPr>
    </w:p>
    <w:bookmarkStart w:id="99" w:name="page100"/>
    <w:bookmarkEnd w:id="99"/>
    <w:p>
      <w:pPr>
        <w:ind w:left="1100" w:right="519" w:hanging="322"/>
        <w:spacing w:after="0" w:line="238" w:lineRule="auto"/>
        <w:tabs>
          <w:tab w:leader="none" w:pos="1039"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124"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We are not prohibited from pursuing an initial business combination with a business combination target that is affiliated with our sponsor, officers or directors or completing the business combination through a joint venture or other form of shared ownership with our sponsor, officers or directors. In the event we seek to complete our initial business combination with an business combination target that is affiliated with our sponsor, executive officers or directors, we, or a committee of independent directors, would obtain an opinion from an independent investment banking which is a member of FINRA or a valuation or appraisal firm, that such initial business combination is fair to our company from a financial point of view. We are not required to obtain such an opinion in any other context. Furthermore, in no event will our sponsor or any of our existing officers or directors, or any of their respective affiliates, be paid by the company any finder’s fee, consulting fee or other compensation prior to, or for any services they render in order to effectuate, the completion of our initial business combination. Further, commencing on the date our securities are first listed on Nasdaq, we will also pay our sponsor $10,000 per month for office space, secretarial and administrative services provided to members of our management team.</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cannot assure you that any of the above mentioned conflicts will be resolved in our favor.</w:t>
      </w:r>
    </w:p>
    <w:p>
      <w:pPr>
        <w:spacing w:after="0" w:line="144" w:lineRule="exact"/>
        <w:rPr>
          <w:sz w:val="20"/>
          <w:szCs w:val="20"/>
          <w:color w:val="auto"/>
        </w:rPr>
      </w:pPr>
    </w:p>
    <w:p>
      <w:pPr>
        <w:ind w:left="460" w:right="599"/>
        <w:spacing w:after="0" w:line="238" w:lineRule="auto"/>
        <w:rPr>
          <w:sz w:val="20"/>
          <w:szCs w:val="20"/>
          <w:color w:val="auto"/>
        </w:rPr>
      </w:pPr>
      <w:r>
        <w:rPr>
          <w:rFonts w:ascii="Arial" w:cs="Arial" w:eastAsia="Arial" w:hAnsi="Arial"/>
          <w:sz w:val="18"/>
          <w:szCs w:val="18"/>
          <w:color w:val="auto"/>
        </w:rPr>
        <w:t>In the event that we submit our initial business combination to our public stockholders for a vote, our initial stockholders have agreed to vote their founder shares, and they and the other members of our management team have agreed to vote any founder shares they hold and any shares purchased during or after the offering in favor of our initial business combination.</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Limitation on Liability and Indemnification of Officers and Directors</w:t>
      </w:r>
    </w:p>
    <w:p>
      <w:pPr>
        <w:spacing w:after="0" w:line="153"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Our amended and restated certificate of incorporation will provide that our officers and directors will be indemnified by us to the fullest extent authorized by Delaware law, as it now exists or may in the future be amended. In addition, our amended and restated certificate of incorporation will provide that our directors will not be personally liable for monetary damages to us or our stockholders for breaches of their fiduciary duty as directors, unless they violated their duty of loyalty to us or our stockholders, acted in bad faith, knowingly or intentionally violated the law, authorized unlawful payments of dividends, unlawful stock purchases or unlawful redemptions, or derived an improper personal benefit from their actions as directors.</w:t>
      </w:r>
    </w:p>
    <w:p>
      <w:pPr>
        <w:spacing w:after="0" w:line="140" w:lineRule="exact"/>
        <w:rPr>
          <w:sz w:val="20"/>
          <w:szCs w:val="20"/>
          <w:color w:val="auto"/>
        </w:rPr>
      </w:pPr>
    </w:p>
    <w:p>
      <w:pPr>
        <w:ind w:left="460" w:right="459"/>
        <w:spacing w:after="0" w:line="236" w:lineRule="auto"/>
        <w:rPr>
          <w:sz w:val="20"/>
          <w:szCs w:val="20"/>
          <w:color w:val="auto"/>
        </w:rPr>
      </w:pPr>
      <w:r>
        <w:rPr>
          <w:rFonts w:ascii="Arial" w:cs="Arial" w:eastAsia="Arial" w:hAnsi="Arial"/>
          <w:sz w:val="18"/>
          <w:szCs w:val="18"/>
          <w:color w:val="auto"/>
        </w:rPr>
        <w:t>We will enter into agreements with our officers and directors to provide contractual indemnification in addition to the indemnification provided for in our amended and restated certificate of incorporation. Our bylaws also will permit us to secure insurance on behalf of any officer, director or employee for any liability arising out of his or her actions, regardless of whether Delaware law would permit such indemnification. We will purchase a policy of directors’ and officers’ liability insurance that insures our officers and directors against the cost of defense, settlement or payment of a judgment in some circumstances and insures us against our obligations to indemnify our officers and directors. Except with respect to any public shares they may acquire in this offering or thereafter (in the event we do not consummate an initial business combination), our officers and directors have agreed to waive (and any other persons who may become an officer or director prior to the initial business combination will also be required to waive) any right, title, interest or claim of any kind in or to any monies in the trust account, and not to seek recourse against the trust account for any reason whatsoever, including with respect to such indemnification.</w:t>
      </w:r>
    </w:p>
    <w:p>
      <w:pPr>
        <w:spacing w:after="0" w:line="135"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These provisions may discourage stockholders from bringing a lawsuit against our directors for breach of their fiduciary duty. These provisions also may have the effect of reducing the likelihood of derivative litigation against officers and directors, even though such an action, if successful, might otherwise benefit us and our stockholders. Furthermore, a stockholder’s investment may be adversely affected to the extent we pay the costs of settlement and damage awards against officers and directors pursuant to these indemnification provisions.</w:t>
      </w:r>
    </w:p>
    <w:p>
      <w:pPr>
        <w:spacing w:after="0" w:line="124" w:lineRule="exact"/>
        <w:rPr>
          <w:sz w:val="20"/>
          <w:szCs w:val="20"/>
          <w:color w:val="auto"/>
        </w:rPr>
      </w:pPr>
    </w:p>
    <w:p>
      <w:pPr>
        <w:jc w:val="both"/>
        <w:ind w:left="460" w:right="939"/>
        <w:spacing w:after="0" w:line="274" w:lineRule="auto"/>
        <w:rPr>
          <w:sz w:val="20"/>
          <w:szCs w:val="20"/>
          <w:color w:val="auto"/>
        </w:rPr>
      </w:pPr>
      <w:r>
        <w:rPr>
          <w:rFonts w:ascii="Arial" w:cs="Arial" w:eastAsia="Arial" w:hAnsi="Arial"/>
          <w:sz w:val="17"/>
          <w:szCs w:val="17"/>
          <w:color w:val="auto"/>
        </w:rPr>
        <w:t>We believe that these provisions, the directors’ and officers’ liability insurance and the indemnity agreements are necessary to attract and retain talented and experienced officers and directors.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179" w:right="1440"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126" w:lineRule="exact"/>
        <w:rPr>
          <w:sz w:val="20"/>
          <w:szCs w:val="20"/>
          <w:color w:val="auto"/>
        </w:rPr>
      </w:pPr>
    </w:p>
    <w:p>
      <w:pPr>
        <w:ind w:left="460" w:right="479"/>
        <w:spacing w:after="0"/>
        <w:rPr>
          <w:sz w:val="20"/>
          <w:szCs w:val="20"/>
          <w:color w:val="auto"/>
        </w:rPr>
      </w:pPr>
      <w:r>
        <w:rPr>
          <w:rFonts w:ascii="Arial" w:cs="Arial" w:eastAsia="Arial" w:hAnsi="Arial"/>
          <w:sz w:val="18"/>
          <w:szCs w:val="18"/>
          <w:color w:val="auto"/>
        </w:rPr>
        <w:t>The following table sets forth information regarding the beneficial ownership of our common stock as of the date of this prospectus, and as adjusted to reflect the sale of our Class A common stock offered by this prospectus, and assuming no purchase of Class A common stock in this offering, by:</w:t>
      </w:r>
    </w:p>
    <w:p>
      <w:pPr>
        <w:spacing w:after="0" w:line="27" w:lineRule="exact"/>
        <w:rPr>
          <w:sz w:val="20"/>
          <w:szCs w:val="20"/>
          <w:color w:val="auto"/>
        </w:rPr>
      </w:pPr>
    </w:p>
    <w:p>
      <w:pPr>
        <w:ind w:left="1100" w:right="1039" w:hanging="322"/>
        <w:spacing w:after="0" w:line="246" w:lineRule="auto"/>
        <w:tabs>
          <w:tab w:leader="none" w:pos="1039" w:val="left"/>
        </w:tabs>
        <w:numPr>
          <w:ilvl w:val="0"/>
          <w:numId w:val="54"/>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our issued and outstanding shares of common stock;</w:t>
      </w:r>
    </w:p>
    <w:p>
      <w:pPr>
        <w:spacing w:after="0" w:line="7" w:lineRule="exact"/>
        <w:rPr>
          <w:rFonts w:ascii="Arial" w:cs="Arial" w:eastAsia="Arial" w:hAnsi="Arial"/>
          <w:sz w:val="18"/>
          <w:szCs w:val="18"/>
          <w:color w:val="auto"/>
        </w:rPr>
      </w:pPr>
    </w:p>
    <w:p>
      <w:pPr>
        <w:ind w:left="1040" w:hanging="262"/>
        <w:spacing w:after="0"/>
        <w:tabs>
          <w:tab w:leader="none" w:pos="10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each of our executive officers, directors and director nominees; and</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all our executive officers and directors as a group.</w:t>
      </w:r>
    </w:p>
    <w:p>
      <w:pPr>
        <w:spacing w:after="0" w:line="104" w:lineRule="exact"/>
        <w:rPr>
          <w:sz w:val="20"/>
          <w:szCs w:val="20"/>
          <w:color w:val="auto"/>
        </w:rPr>
      </w:pPr>
    </w:p>
    <w:p>
      <w:pPr>
        <w:ind w:left="460" w:right="979"/>
        <w:spacing w:after="0" w:line="246" w:lineRule="auto"/>
        <w:rPr>
          <w:sz w:val="20"/>
          <w:szCs w:val="20"/>
          <w:color w:val="auto"/>
        </w:rPr>
      </w:pPr>
      <w:r>
        <w:rPr>
          <w:rFonts w:ascii="Arial" w:cs="Arial" w:eastAsia="Arial" w:hAnsi="Arial"/>
          <w:sz w:val="18"/>
          <w:szCs w:val="18"/>
          <w:color w:val="auto"/>
        </w:rPr>
        <w:t>Unless otherwise indicated, we believe that all persons named in the table have sole voting and investment power with respect to all of our common stock beneficially owned by them.</w:t>
      </w:r>
    </w:p>
    <w:p>
      <w:pPr>
        <w:spacing w:after="0" w:line="89" w:lineRule="exact"/>
        <w:rPr>
          <w:sz w:val="20"/>
          <w:szCs w:val="20"/>
          <w:color w:val="auto"/>
        </w:rPr>
      </w:pPr>
    </w:p>
    <w:p>
      <w:pPr>
        <w:ind w:left="460" w:right="579"/>
        <w:spacing w:after="0" w:line="235" w:lineRule="auto"/>
        <w:rPr>
          <w:sz w:val="20"/>
          <w:szCs w:val="20"/>
          <w:color w:val="auto"/>
        </w:rPr>
      </w:pPr>
      <w:r>
        <w:rPr>
          <w:rFonts w:ascii="Arial" w:cs="Arial" w:eastAsia="Arial" w:hAnsi="Arial"/>
          <w:sz w:val="18"/>
          <w:szCs w:val="18"/>
          <w:color w:val="auto"/>
        </w:rPr>
        <w:t>On June 30, 2020 our sponsor purchased an aggregate 2,875,000 founder shares for a total purchase price of $25,000, or approximately $0.009 per share. In July 2020, our sponsor transferred 30,000 founder shares to each of Mr. Carey, Dr. Dubin and Dr. Pakianathan. Prior to the initial investment in the company of $25,000 by the sponsor, the company had no assets, tangible or intangible. The purchase price of the founder shares was determined by dividing the amount of cash contributed to the company by the number of founder shares issued. The number of founder shares outstanding was determined based on the expectation that the total size of this offering would be a maximum of 11,500,000 shares if the underwriters’ over-allotment option is exercised in full, and therefore that such founder shares would represent 20% of the issued and outstanding shares of common stock (excluding the private placement shares) after this offering. Up to 375,000 of the founder shares will be forfeited by our sponsor depending on the extent to which the underwriters’ over-allotment is exercised. The post-offering percentages in the following table assume that the underwriters do not exercise their over-allotment option, that our sponsor has forfeited 375,000 founder shares, and that there are 12,900,000 shares of common stock issued and outstanding after this offering.</w:t>
      </w:r>
    </w:p>
    <w:p>
      <w:pPr>
        <w:spacing w:after="0" w:line="161"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4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Number of</w:t>
            </w:r>
          </w:p>
        </w:tc>
        <w:tc>
          <w:tcPr>
            <w:tcW w:w="2440" w:type="dxa"/>
            <w:vAlign w:val="bottom"/>
            <w:gridSpan w:val="3"/>
          </w:tcPr>
          <w:p>
            <w:pPr>
              <w:jc w:val="right"/>
              <w:ind w:right="212"/>
              <w:spacing w:after="0"/>
              <w:rPr>
                <w:sz w:val="20"/>
                <w:szCs w:val="20"/>
                <w:color w:val="auto"/>
              </w:rPr>
            </w:pPr>
            <w:r>
              <w:rPr>
                <w:rFonts w:ascii="Arial" w:cs="Arial" w:eastAsia="Arial" w:hAnsi="Arial"/>
                <w:sz w:val="14"/>
                <w:szCs w:val="14"/>
                <w:b w:val="1"/>
                <w:bCs w:val="1"/>
                <w:color w:val="auto"/>
              </w:rPr>
              <w:t>Approximate Percentage of</w:t>
            </w:r>
          </w:p>
        </w:tc>
        <w:tc>
          <w:tcPr>
            <w:tcW w:w="0" w:type="dxa"/>
            <w:vAlign w:val="bottom"/>
          </w:tcPr>
          <w:p>
            <w:pPr>
              <w:spacing w:after="0"/>
              <w:rPr>
                <w:sz w:val="1"/>
                <w:szCs w:val="1"/>
                <w:color w:val="auto"/>
              </w:rPr>
            </w:pPr>
          </w:p>
        </w:tc>
      </w:tr>
      <w:tr>
        <w:trPr>
          <w:trHeight w:val="162"/>
        </w:trPr>
        <w:tc>
          <w:tcPr>
            <w:tcW w:w="4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Shares</w:t>
            </w:r>
          </w:p>
        </w:tc>
        <w:tc>
          <w:tcPr>
            <w:tcW w:w="2440" w:type="dxa"/>
            <w:vAlign w:val="bottom"/>
            <w:gridSpan w:val="3"/>
          </w:tcPr>
          <w:p>
            <w:pPr>
              <w:jc w:val="right"/>
              <w:ind w:right="172"/>
              <w:spacing w:after="0"/>
              <w:rPr>
                <w:sz w:val="20"/>
                <w:szCs w:val="20"/>
                <w:color w:val="auto"/>
              </w:rPr>
            </w:pPr>
            <w:r>
              <w:rPr>
                <w:rFonts w:ascii="Arial" w:cs="Arial" w:eastAsia="Arial" w:hAnsi="Arial"/>
                <w:sz w:val="14"/>
                <w:szCs w:val="14"/>
                <w:b w:val="1"/>
                <w:bCs w:val="1"/>
                <w:color w:val="auto"/>
              </w:rPr>
              <w:t>Outstanding Common Stock</w:t>
            </w:r>
          </w:p>
        </w:tc>
        <w:tc>
          <w:tcPr>
            <w:tcW w:w="0" w:type="dxa"/>
            <w:vAlign w:val="bottom"/>
          </w:tcPr>
          <w:p>
            <w:pPr>
              <w:spacing w:after="0"/>
              <w:rPr>
                <w:sz w:val="1"/>
                <w:szCs w:val="1"/>
                <w:color w:val="auto"/>
              </w:rPr>
            </w:pPr>
          </w:p>
        </w:tc>
      </w:tr>
      <w:tr>
        <w:trPr>
          <w:trHeight w:val="67"/>
        </w:trPr>
        <w:tc>
          <w:tcPr>
            <w:tcW w:w="4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Beneficially</w:t>
            </w:r>
          </w:p>
        </w:tc>
        <w:tc>
          <w:tcPr>
            <w:tcW w:w="1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4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and Address of Beneficial Owner</w:t>
            </w:r>
            <w:r>
              <w:rPr>
                <w:rFonts w:ascii="Arial" w:cs="Arial" w:eastAsia="Arial" w:hAnsi="Arial"/>
                <w:sz w:val="16"/>
                <w:szCs w:val="16"/>
                <w:b w:val="1"/>
                <w:bCs w:val="1"/>
                <w:color w:val="auto"/>
                <w:vertAlign w:val="superscript"/>
              </w:rPr>
              <w:t>(1)</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25"/>
                <w:szCs w:val="25"/>
                <w:b w:val="1"/>
                <w:bCs w:val="1"/>
                <w:color w:val="auto"/>
                <w:w w:val="93"/>
                <w:vertAlign w:val="subscript"/>
              </w:rPr>
              <w:t>Owned</w:t>
            </w:r>
            <w:r>
              <w:rPr>
                <w:rFonts w:ascii="Arial" w:cs="Arial" w:eastAsia="Arial" w:hAnsi="Arial"/>
                <w:sz w:val="8"/>
                <w:szCs w:val="8"/>
                <w:b w:val="1"/>
                <w:bCs w:val="1"/>
                <w:color w:val="auto"/>
                <w:w w:val="93"/>
              </w:rPr>
              <w:t>(2)(4)</w:t>
            </w: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Before Offering</w:t>
            </w:r>
          </w:p>
        </w:tc>
        <w:tc>
          <w:tcPr>
            <w:tcW w:w="8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After Offering</w:t>
            </w:r>
          </w:p>
        </w:tc>
        <w:tc>
          <w:tcPr>
            <w:tcW w:w="0" w:type="dxa"/>
            <w:vAlign w:val="bottom"/>
          </w:tcPr>
          <w:p>
            <w:pPr>
              <w:spacing w:after="0"/>
              <w:rPr>
                <w:sz w:val="1"/>
                <w:szCs w:val="1"/>
                <w:color w:val="auto"/>
              </w:rPr>
            </w:pPr>
          </w:p>
        </w:tc>
      </w:tr>
      <w:tr>
        <w:trPr>
          <w:trHeight w:val="263"/>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FS Development Holdings, LLC (our sponsor)</w:t>
            </w:r>
            <w:r>
              <w:rPr>
                <w:rFonts w:ascii="Arial" w:cs="Arial" w:eastAsia="Arial" w:hAnsi="Arial"/>
                <w:sz w:val="20"/>
                <w:szCs w:val="20"/>
                <w:color w:val="auto"/>
                <w:vertAlign w:val="superscript"/>
              </w:rPr>
              <w:t>(3)</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2,810,000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8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84"/>
        </w:trPr>
        <w:tc>
          <w:tcPr>
            <w:tcW w:w="4460" w:type="dxa"/>
            <w:vAlign w:val="bottom"/>
            <w:gridSpan w:val="2"/>
          </w:tcPr>
          <w:p>
            <w:pPr>
              <w:spacing w:after="0"/>
              <w:rPr>
                <w:sz w:val="20"/>
                <w:szCs w:val="20"/>
                <w:color w:val="auto"/>
              </w:rPr>
            </w:pPr>
            <w:r>
              <w:rPr>
                <w:rFonts w:ascii="Arial" w:cs="Arial" w:eastAsia="Arial" w:hAnsi="Arial"/>
                <w:sz w:val="18"/>
                <w:szCs w:val="18"/>
                <w:color w:val="auto"/>
              </w:rPr>
              <w:t>Jim Tananbaum</w:t>
            </w:r>
            <w:r>
              <w:rPr>
                <w:rFonts w:ascii="Arial" w:cs="Arial" w:eastAsia="Arial" w:hAnsi="Arial"/>
                <w:sz w:val="20"/>
                <w:szCs w:val="20"/>
                <w:color w:val="auto"/>
                <w:vertAlign w:val="superscript"/>
              </w:rPr>
              <w:t>(3)</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2,810,000</w:t>
            </w:r>
          </w:p>
        </w:tc>
        <w:tc>
          <w:tcPr>
            <w:tcW w:w="1120" w:type="dxa"/>
            <w:vAlign w:val="bottom"/>
          </w:tcPr>
          <w:p>
            <w:pPr>
              <w:jc w:val="right"/>
              <w:spacing w:after="0"/>
              <w:rPr>
                <w:sz w:val="20"/>
                <w:szCs w:val="20"/>
                <w:color w:val="auto"/>
              </w:rPr>
            </w:pPr>
            <w:r>
              <w:rPr>
                <w:rFonts w:ascii="Arial" w:cs="Arial" w:eastAsia="Arial" w:hAnsi="Arial"/>
                <w:sz w:val="18"/>
                <w:szCs w:val="18"/>
                <w:color w:val="auto"/>
              </w:rPr>
              <w:t>96.9%</w:t>
            </w:r>
          </w:p>
        </w:tc>
        <w:tc>
          <w:tcPr>
            <w:tcW w:w="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63"/>
        </w:trPr>
        <w:tc>
          <w:tcPr>
            <w:tcW w:w="4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Michael Rome</w:t>
            </w: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460" w:type="dxa"/>
            <w:vAlign w:val="bottom"/>
            <w:gridSpan w:val="2"/>
          </w:tcPr>
          <w:p>
            <w:pPr>
              <w:spacing w:after="0"/>
              <w:rPr>
                <w:sz w:val="20"/>
                <w:szCs w:val="20"/>
                <w:color w:val="auto"/>
              </w:rPr>
            </w:pPr>
            <w:r>
              <w:rPr>
                <w:rFonts w:ascii="Arial" w:cs="Arial" w:eastAsia="Arial" w:hAnsi="Arial"/>
                <w:sz w:val="18"/>
                <w:szCs w:val="18"/>
                <w:color w:val="auto"/>
              </w:rPr>
              <w:t>Dennis Ryan</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Vikram Bajaj</w:t>
            </w: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460" w:type="dxa"/>
            <w:vAlign w:val="bottom"/>
            <w:gridSpan w:val="2"/>
          </w:tcPr>
          <w:p>
            <w:pPr>
              <w:spacing w:after="0"/>
              <w:rPr>
                <w:sz w:val="20"/>
                <w:szCs w:val="20"/>
                <w:color w:val="auto"/>
              </w:rPr>
            </w:pPr>
            <w:r>
              <w:rPr>
                <w:rFonts w:ascii="Arial" w:cs="Arial" w:eastAsia="Arial" w:hAnsi="Arial"/>
                <w:sz w:val="18"/>
                <w:szCs w:val="18"/>
                <w:color w:val="auto"/>
              </w:rPr>
              <w:t>Robert Carey</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30,000</w:t>
            </w: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2"/>
                <w:szCs w:val="22"/>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4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Daniel Dubin</w:t>
            </w: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460" w:type="dxa"/>
            <w:vAlign w:val="bottom"/>
            <w:gridSpan w:val="2"/>
          </w:tcPr>
          <w:p>
            <w:pPr>
              <w:spacing w:after="0"/>
              <w:rPr>
                <w:sz w:val="20"/>
                <w:szCs w:val="20"/>
                <w:color w:val="auto"/>
              </w:rPr>
            </w:pPr>
            <w:r>
              <w:rPr>
                <w:rFonts w:ascii="Arial" w:cs="Arial" w:eastAsia="Arial" w:hAnsi="Arial"/>
                <w:sz w:val="18"/>
                <w:szCs w:val="18"/>
                <w:color w:val="auto"/>
              </w:rPr>
              <w:t>Deepa Pakianathan</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30,000</w:t>
            </w: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2"/>
                <w:szCs w:val="22"/>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44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All executive officers, directors and director nominees</w:t>
            </w: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as a group (7 individuals)</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2,900,000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7"/>
        </w:trPr>
        <w:tc>
          <w:tcPr>
            <w:tcW w:w="4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92" w:lineRule="exact"/>
        <w:rPr>
          <w:sz w:val="20"/>
          <w:szCs w:val="20"/>
          <w:color w:val="auto"/>
        </w:rPr>
      </w:pPr>
    </w:p>
    <w:p>
      <w:pPr>
        <w:ind w:left="880" w:right="639" w:hanging="426"/>
        <w:spacing w:after="0" w:line="216" w:lineRule="auto"/>
        <w:tabs>
          <w:tab w:leader="none" w:pos="847" w:val="left"/>
        </w:tabs>
        <w:numPr>
          <w:ilvl w:val="0"/>
          <w:numId w:val="55"/>
        </w:numPr>
        <w:rPr>
          <w:rFonts w:ascii="Arial" w:cs="Arial" w:eastAsia="Arial" w:hAnsi="Arial"/>
          <w:sz w:val="13"/>
          <w:szCs w:val="13"/>
          <w:color w:val="auto"/>
        </w:rPr>
      </w:pPr>
      <w:r>
        <w:rPr>
          <w:rFonts w:ascii="Arial" w:cs="Arial" w:eastAsia="Arial" w:hAnsi="Arial"/>
          <w:sz w:val="13"/>
          <w:szCs w:val="13"/>
          <w:color w:val="auto"/>
        </w:rPr>
        <w:t>Unless otherwise noted, the business address of each of the following is 600 Montgomery Street, Suite 4500, San Francisco, California 94111.</w:t>
      </w:r>
    </w:p>
    <w:p>
      <w:pPr>
        <w:ind w:left="880" w:right="639" w:hanging="426"/>
        <w:spacing w:after="0" w:line="216" w:lineRule="auto"/>
        <w:tabs>
          <w:tab w:leader="none" w:pos="847" w:val="left"/>
        </w:tabs>
        <w:numPr>
          <w:ilvl w:val="0"/>
          <w:numId w:val="55"/>
        </w:numPr>
        <w:rPr>
          <w:rFonts w:ascii="Arial" w:cs="Arial" w:eastAsia="Arial" w:hAnsi="Arial"/>
          <w:sz w:val="13"/>
          <w:szCs w:val="13"/>
          <w:color w:val="auto"/>
        </w:rPr>
      </w:pPr>
      <w:r>
        <w:rPr>
          <w:rFonts w:ascii="Arial" w:cs="Arial" w:eastAsia="Arial" w:hAnsi="Arial"/>
          <w:sz w:val="13"/>
          <w:szCs w:val="13"/>
          <w:color w:val="auto"/>
        </w:rPr>
        <w:t>Interests shown consist of founder shares, classified as Class B common stock, and 400,000 private placement shares to be sold in the private placement that will close simultaneously with the closing of this offering. Such shares will automatically convert into Class A common stock concurrently with or immediately following the consummation of our initial business combination on a one-for-one basis, subject to adjustment, as described in the section entitled “Description of Shares.”</w:t>
      </w:r>
    </w:p>
    <w:p>
      <w:pPr>
        <w:spacing w:after="0" w:line="1" w:lineRule="exact"/>
        <w:rPr>
          <w:rFonts w:ascii="Arial" w:cs="Arial" w:eastAsia="Arial" w:hAnsi="Arial"/>
          <w:sz w:val="13"/>
          <w:szCs w:val="13"/>
          <w:color w:val="auto"/>
        </w:rPr>
      </w:pPr>
    </w:p>
    <w:p>
      <w:pPr>
        <w:ind w:left="880" w:right="499" w:hanging="426"/>
        <w:spacing w:after="0" w:line="234" w:lineRule="auto"/>
        <w:tabs>
          <w:tab w:leader="none" w:pos="847" w:val="left"/>
        </w:tabs>
        <w:numPr>
          <w:ilvl w:val="0"/>
          <w:numId w:val="55"/>
        </w:numPr>
        <w:rPr>
          <w:rFonts w:ascii="Arial" w:cs="Arial" w:eastAsia="Arial" w:hAnsi="Arial"/>
          <w:sz w:val="12"/>
          <w:szCs w:val="12"/>
          <w:color w:val="auto"/>
        </w:rPr>
      </w:pPr>
      <w:r>
        <w:rPr>
          <w:rFonts w:ascii="Arial" w:cs="Arial" w:eastAsia="Arial" w:hAnsi="Arial"/>
          <w:sz w:val="12"/>
          <w:szCs w:val="12"/>
          <w:color w:val="auto"/>
        </w:rPr>
        <w:t>FS Development Holdings, LLC is the record holder of the shares reported herein. Foresite Capital Management V, LLC (“FCM V”), as the general partner of Foresite Capital Fund V, L.P., the sole member of FS Development Holdings, LLC, has voting and investment discretion with respect to the common stock held of record by FS Development Holdings, LLC. Dr. Tananbaum, in his capacity as managing member of FCM V, may be deemed to have sole voting and investment discretion over these shares. Each of FCM V, its members and Dr. Tananbaum disclaim beneficial ownership of these shares except to the extent of any pecuniary interest therein.</w:t>
      </w:r>
    </w:p>
    <w:p>
      <w:pPr>
        <w:spacing w:after="0" w:line="2" w:lineRule="exact"/>
        <w:rPr>
          <w:rFonts w:ascii="Arial" w:cs="Arial" w:eastAsia="Arial" w:hAnsi="Arial"/>
          <w:sz w:val="12"/>
          <w:szCs w:val="12"/>
          <w:color w:val="auto"/>
        </w:rPr>
      </w:pPr>
    </w:p>
    <w:p>
      <w:pPr>
        <w:ind w:left="880" w:right="819" w:hanging="426"/>
        <w:spacing w:after="0" w:line="230" w:lineRule="auto"/>
        <w:tabs>
          <w:tab w:leader="none" w:pos="847" w:val="left"/>
        </w:tabs>
        <w:numPr>
          <w:ilvl w:val="0"/>
          <w:numId w:val="55"/>
        </w:numPr>
        <w:rPr>
          <w:rFonts w:ascii="Arial" w:cs="Arial" w:eastAsia="Arial" w:hAnsi="Arial"/>
          <w:sz w:val="13"/>
          <w:szCs w:val="13"/>
          <w:color w:val="auto"/>
        </w:rPr>
      </w:pPr>
      <w:r>
        <w:rPr>
          <w:rFonts w:ascii="Arial" w:cs="Arial" w:eastAsia="Arial" w:hAnsi="Arial"/>
          <w:sz w:val="13"/>
          <w:szCs w:val="13"/>
          <w:color w:val="auto"/>
        </w:rPr>
        <w:t>Excludes up to 375,000 founder shares that will be forfeited by our sponsor depending on the extent to which the underwriters’ over-allotment option is exercised.</w:t>
      </w:r>
    </w:p>
    <w:p>
      <w:pPr>
        <w:spacing w:after="0" w:line="97" w:lineRule="exact"/>
        <w:rPr>
          <w:sz w:val="20"/>
          <w:szCs w:val="20"/>
          <w:color w:val="auto"/>
        </w:rPr>
      </w:pPr>
    </w:p>
    <w:p>
      <w:pPr>
        <w:ind w:left="460" w:right="519"/>
        <w:spacing w:after="0" w:line="237" w:lineRule="auto"/>
        <w:rPr>
          <w:sz w:val="20"/>
          <w:szCs w:val="20"/>
          <w:color w:val="auto"/>
        </w:rPr>
      </w:pPr>
      <w:r>
        <w:rPr>
          <w:rFonts w:ascii="Arial" w:cs="Arial" w:eastAsia="Arial" w:hAnsi="Arial"/>
          <w:sz w:val="18"/>
          <w:szCs w:val="18"/>
          <w:color w:val="auto"/>
        </w:rPr>
        <w:t>Immediately after this offering, our initial stockholders will beneficially own 20.0% of the then issued and outstanding common stock (assuming they do not purchase any Class A common stock in this offering). Because of this ownership block, our initial stockholders may be able to effectively influence the outcome of all other matters requiring approval by our stockholders, including amendments to our amended and restated certificate of incorporation and approval of significant corporate transactions including our initial business combination.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01" w:name="page102"/>
    <w:bookmarkEnd w:id="101"/>
    <w:p>
      <w:pPr>
        <w:ind w:left="460" w:right="499"/>
        <w:spacing w:after="0" w:line="236" w:lineRule="auto"/>
        <w:rPr>
          <w:sz w:val="20"/>
          <w:szCs w:val="20"/>
          <w:color w:val="auto"/>
        </w:rPr>
      </w:pPr>
      <w:r>
        <w:rPr>
          <w:rFonts w:ascii="Arial" w:cs="Arial" w:eastAsia="Arial" w:hAnsi="Arial"/>
          <w:sz w:val="18"/>
          <w:szCs w:val="18"/>
          <w:color w:val="auto"/>
        </w:rPr>
        <w:t>Our sponsor has committed, pursuant to a written agreement, to purchase an aggregate of 400 private placement shares (or 430,000 private placement shares if the underwriters’ over-allotment option is exercised in full), at a price of $10.00 per private placement share, or $4,000,000 in the aggregate (or $4,300,000 if the underwriters’ over-allotment option is exercised in full), in a private placement that will occur simultaneously with the closing of this offering. A portion of the purchase price of the private placement shares will be added to the proceeds from this offering to be held in the trust account such that at the time of closing of this offering $100 million (or $115 million if the underwriters exercise their over-allotment option in full) will be held in the trust account. Our sponsor has entered into an agreement with us, pursuant to which it has agreed to waive its redemption rights with respect to the private placement shares. Otherwise, the private placement shares have terms and provisions that are identical to those of the shares being sold in this offering.</w:t>
      </w:r>
    </w:p>
    <w:p>
      <w:pPr>
        <w:spacing w:after="0" w:line="124" w:lineRule="exact"/>
        <w:rPr>
          <w:sz w:val="20"/>
          <w:szCs w:val="20"/>
          <w:color w:val="auto"/>
        </w:rPr>
      </w:pPr>
    </w:p>
    <w:p>
      <w:pPr>
        <w:ind w:left="460" w:right="1119"/>
        <w:spacing w:after="0" w:line="246" w:lineRule="auto"/>
        <w:rPr>
          <w:sz w:val="20"/>
          <w:szCs w:val="20"/>
          <w:color w:val="auto"/>
        </w:rPr>
      </w:pPr>
      <w:r>
        <w:rPr>
          <w:rFonts w:ascii="Arial" w:cs="Arial" w:eastAsia="Arial" w:hAnsi="Arial"/>
          <w:sz w:val="18"/>
          <w:szCs w:val="18"/>
          <w:color w:val="auto"/>
        </w:rPr>
        <w:t>FS Development Holdings, LLC, our sponsor and our executive officers are deemed to be our “promoters” as such term is defined under the federal securities laws.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Transfers of Founder Shares and Private Placement Shares</w:t>
      </w:r>
    </w:p>
    <w:p>
      <w:pPr>
        <w:spacing w:after="0" w:line="166" w:lineRule="exact"/>
        <w:rPr>
          <w:sz w:val="20"/>
          <w:szCs w:val="20"/>
          <w:color w:val="auto"/>
        </w:rPr>
      </w:pPr>
    </w:p>
    <w:p>
      <w:pPr>
        <w:ind w:left="460" w:right="479"/>
        <w:spacing w:after="0" w:line="248" w:lineRule="auto"/>
        <w:rPr>
          <w:sz w:val="20"/>
          <w:szCs w:val="20"/>
          <w:color w:val="auto"/>
        </w:rPr>
      </w:pPr>
      <w:r>
        <w:rPr>
          <w:rFonts w:ascii="Arial" w:cs="Arial" w:eastAsia="Arial" w:hAnsi="Arial"/>
          <w:sz w:val="17"/>
          <w:szCs w:val="17"/>
          <w:color w:val="auto"/>
        </w:rPr>
        <w:t>The founder shares and private placement shares each subject to transfer restrictions pursuant to lock-up provisions in the agreements entered into by our initial stockholders and management team. Those lock-up provisions provide that such securities are not transferable or salable until the earlier of</w:t>
      </w:r>
    </w:p>
    <w:p>
      <w:pPr>
        <w:spacing w:after="0" w:line="2" w:lineRule="exact"/>
        <w:rPr>
          <w:sz w:val="20"/>
          <w:szCs w:val="20"/>
          <w:color w:val="auto"/>
        </w:rPr>
      </w:pPr>
    </w:p>
    <w:p>
      <w:pPr>
        <w:ind w:left="460" w:right="499" w:hanging="6"/>
        <w:spacing w:after="0" w:line="236" w:lineRule="auto"/>
        <w:tabs>
          <w:tab w:leader="none" w:pos="75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one year after the completion of our initial business combination or earlier if, subsequent to our initial business combination, the closing price of the Class A common stock equals or exceeds $12.00 per share (as adjusted for stock splits, stock capitalizations, reorganizations, recapitalizations and the like) for any 20 trading days within any 30-trading day period commencing at least 150 days after our initial business combination and (B) the date following the completion of our initial business combination on which we complete a liquidation, merger, capital stock exchange or other similar transaction that results in all of our stockholders having the right to exchange their Class A common stock for cash, securities or other property.</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Registration Rights</w:t>
      </w:r>
    </w:p>
    <w:p>
      <w:pPr>
        <w:spacing w:after="0" w:line="166" w:lineRule="exact"/>
        <w:rPr>
          <w:sz w:val="20"/>
          <w:szCs w:val="20"/>
          <w:color w:val="auto"/>
        </w:rPr>
      </w:pPr>
    </w:p>
    <w:p>
      <w:pPr>
        <w:ind w:left="460" w:right="519"/>
        <w:spacing w:after="0" w:line="235" w:lineRule="auto"/>
        <w:rPr>
          <w:sz w:val="20"/>
          <w:szCs w:val="20"/>
          <w:color w:val="auto"/>
        </w:rPr>
      </w:pPr>
      <w:r>
        <w:rPr>
          <w:rFonts w:ascii="Arial" w:cs="Arial" w:eastAsia="Arial" w:hAnsi="Arial"/>
          <w:sz w:val="18"/>
          <w:szCs w:val="18"/>
          <w:color w:val="auto"/>
        </w:rPr>
        <w:t>The holders of the (i) founder shares, which were issued in a private placement prior to the closing of this offering, (ii) private placement shares, which will be issued in a private placement simultaneously with the closing of this offering and (iii) private placement shares that may be issued upon conversion of working capital loans will have registration rights to require us to register a sale of any of our securities held by them pursuant to a registration rights agreement to be signed prior to or on the effective date of this offering. Pursuant to the registration rights agreement and assuming the underwriters exercise their over-allotment option in full and $1.5 million of working capital loans are converted into private placement shares, we will be obligated to register up to 3,455,000 shares of Class A common stock. The number of shares of Class A common stock includes (i) 2,875,000 shares of Class A common stock to be issued upon conversion of the founder shares, (ii) 430,000 private placement shares and (iii) 150,000 shares of Class A common stock issued upon conversion of working capital loans. The holders of these securities are entitled to make up to three demands, excluding short form demands, that we register such securities. In addition, the holders have certain “piggy-back” registration rights with respect to registration statements filed subsequent to our completion of our initial business combination. We will bear the expenses incurred in connection with the filing of any such registration statements.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02" w:name="page103"/>
    <w:bookmarkEnd w:id="102"/>
    <w:p>
      <w:pPr>
        <w:jc w:val="center"/>
        <w:ind w:right="1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66"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On June 30, 2020 our sponsor purchased an aggregate 2,875,000 founder shares for a total purchase price of $25,000, or approximately $0.009 per share. In July 2020, our sponsor transferred 30,000 founder shares to each of Mr. Carey, Dr. Dubin and Dr. Pakianathan. The number of founder shares outstanding was determined based on the expectation that the total size of this offering would be a maximum of 11,500,000 Class A shares if the underwriters’ over-allotment option is exercised in full, and therefore that such founder shares would represent 20% of the issued and outstanding shares of common stock (excluding the private placement shares) after this offering. Up to 375,000 of the founder shares will be forfeited by our sponsor depending on the extent to which the underwriters’ over-allotment is exercised. If we increase or decrease the size of the offering, we will effect a stock dividend or share contribution back to capital or other appropriate mechanism, as applicable, with respect to our Class B common stock immediately prior to the consummation of this offering in such amount as to maintain the number of founder shares at 20.0% of our issued and outstanding common stock upon the consummation of this offering.</w:t>
      </w:r>
    </w:p>
    <w:p>
      <w:pPr>
        <w:spacing w:after="0" w:line="122" w:lineRule="exact"/>
        <w:rPr>
          <w:sz w:val="20"/>
          <w:szCs w:val="20"/>
          <w:color w:val="auto"/>
        </w:rPr>
      </w:pPr>
    </w:p>
    <w:p>
      <w:pPr>
        <w:ind w:left="460" w:right="659"/>
        <w:spacing w:after="0" w:line="237" w:lineRule="auto"/>
        <w:rPr>
          <w:sz w:val="20"/>
          <w:szCs w:val="20"/>
          <w:color w:val="auto"/>
        </w:rPr>
      </w:pPr>
      <w:r>
        <w:rPr>
          <w:rFonts w:ascii="Arial" w:cs="Arial" w:eastAsia="Arial" w:hAnsi="Arial"/>
          <w:sz w:val="18"/>
          <w:szCs w:val="18"/>
          <w:color w:val="auto"/>
        </w:rPr>
        <w:t>Our sponsor has committed, pursuant to a written agreement, to purchase an aggregate of 400,000 private placement shares (or 430,000 private placement shares if the underwriters’ over-allotment option is exercised in full), at a price of $10.00 per share, or $4,000,000 in the aggregate (or $4,300,000 if the underwriters’ over-allotment option is exercised in full), in a private placement that will close simultaneously with the closing of this offering. The private placement shares may not, subject to certain limited exceptions, be transferred, assigned or sold until 30 days after the completion of our initial business combination.</w:t>
      </w:r>
    </w:p>
    <w:p>
      <w:pPr>
        <w:spacing w:after="0" w:line="135" w:lineRule="exact"/>
        <w:rPr>
          <w:sz w:val="20"/>
          <w:szCs w:val="20"/>
          <w:color w:val="auto"/>
        </w:rPr>
      </w:pPr>
    </w:p>
    <w:p>
      <w:pPr>
        <w:ind w:left="460" w:right="639"/>
        <w:spacing w:after="0" w:line="238" w:lineRule="auto"/>
        <w:rPr>
          <w:sz w:val="20"/>
          <w:szCs w:val="20"/>
          <w:color w:val="auto"/>
        </w:rPr>
      </w:pPr>
      <w:r>
        <w:rPr>
          <w:rFonts w:ascii="Arial" w:cs="Arial" w:eastAsia="Arial" w:hAnsi="Arial"/>
          <w:sz w:val="18"/>
          <w:szCs w:val="18"/>
          <w:color w:val="auto"/>
        </w:rPr>
        <w:t>We currently utilize office space at 600 Montgomery Street, Suite 4500, San Francisco, California 94111 from our sponsor. Subsequent to the closing of this offering, we will pay our sponsor $10,000 per month for office space, secretarial and administrative services provided to members of our management team. Upon completion of our initial business combination or our liquidation, we will cease paying these monthly fees.</w:t>
      </w:r>
    </w:p>
    <w:p>
      <w:pPr>
        <w:spacing w:after="0" w:line="135"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No compensation of any kind, including finder’s and consulting fees, will be paid by the company to our sponsor, executive officers and directors, or any of their respective affiliates, for services rendered prior to or in connection with the completion of an initial business combination. However, these individuals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officers, directors or our or their affiliates.</w:t>
      </w:r>
    </w:p>
    <w:p>
      <w:pPr>
        <w:spacing w:after="0" w:line="122" w:lineRule="exact"/>
        <w:rPr>
          <w:sz w:val="20"/>
          <w:szCs w:val="20"/>
          <w:color w:val="auto"/>
        </w:rPr>
      </w:pPr>
    </w:p>
    <w:p>
      <w:pPr>
        <w:ind w:left="460" w:right="659"/>
        <w:spacing w:after="0"/>
        <w:rPr>
          <w:sz w:val="20"/>
          <w:szCs w:val="20"/>
          <w:color w:val="auto"/>
        </w:rPr>
      </w:pPr>
      <w:r>
        <w:rPr>
          <w:rFonts w:ascii="Arial" w:cs="Arial" w:eastAsia="Arial" w:hAnsi="Arial"/>
          <w:sz w:val="18"/>
          <w:szCs w:val="18"/>
          <w:color w:val="auto"/>
        </w:rPr>
        <w:t>Prior to the closing of this offering, our sponsor may loan us funds to be used for a portion of the expenses of this offering. These loans would be non-interest bearing, unsecured and are due at the earlier of December 31, 2020 or the closing of this offering.</w:t>
      </w:r>
    </w:p>
    <w:p>
      <w:pPr>
        <w:spacing w:after="0" w:line="135"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In addition, in order to finance transaction costs in connection with an intended initial business combination, our sponsor or an affiliate of our sponsor or certain of our officers and directors may, but are not obligated to, loan us funds as may be required on a non-interest basis. If we complete an initial business combination, we would repay such loaned amounts. In the event that the initial business combination does not close, we may use a portion of the working capital held outside the trust account to repay such loaned amounts but no proceeds from our trust account would be used for such repayment. Up to $1,500,000 of such loans may be convertible into private placement shares of the post business combination entity at a price of $10.0 per shares at the option of the lender. Except as set forth above, the terms of such loans, if any, have not been determined and no written agreements exist with respect to such loans. Prior to the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135" w:lineRule="exact"/>
        <w:rPr>
          <w:sz w:val="20"/>
          <w:szCs w:val="20"/>
          <w:color w:val="auto"/>
        </w:rPr>
      </w:pPr>
    </w:p>
    <w:p>
      <w:pPr>
        <w:ind w:left="460" w:right="499"/>
        <w:spacing w:after="0"/>
        <w:rPr>
          <w:sz w:val="20"/>
          <w:szCs w:val="20"/>
          <w:color w:val="auto"/>
        </w:rPr>
      </w:pPr>
      <w:r>
        <w:rPr>
          <w:rFonts w:ascii="Arial" w:cs="Arial" w:eastAsia="Arial" w:hAnsi="Arial"/>
          <w:sz w:val="18"/>
          <w:szCs w:val="18"/>
          <w:color w:val="auto"/>
        </w:rPr>
        <w:t>Any of the foregoing payments to our sponsor, repayments of loans from our sponsor or repayments of working capital loans prior to our initial business combination will be made using funds held outside the trust account.</w:t>
      </w:r>
    </w:p>
    <w:p>
      <w:pPr>
        <w:spacing w:after="0" w:line="122" w:lineRule="exact"/>
        <w:rPr>
          <w:sz w:val="20"/>
          <w:szCs w:val="20"/>
          <w:color w:val="auto"/>
        </w:rPr>
      </w:pPr>
    </w:p>
    <w:p>
      <w:pPr>
        <w:ind w:left="460" w:right="499"/>
        <w:spacing w:after="0" w:line="238" w:lineRule="auto"/>
        <w:rPr>
          <w:sz w:val="20"/>
          <w:szCs w:val="20"/>
          <w:color w:val="auto"/>
        </w:rPr>
      </w:pPr>
      <w:r>
        <w:rPr>
          <w:rFonts w:ascii="Arial" w:cs="Arial" w:eastAsia="Arial" w:hAnsi="Arial"/>
          <w:sz w:val="18"/>
          <w:szCs w:val="18"/>
          <w:color w:val="auto"/>
        </w:rPr>
        <w:t>After our initial business combination, members of our management team who remain with us may be paid consulting, management or other fees from the combined company with any and all amounts being fully disclosed to our stockholders, to the extent then known, in the proxy solicitation or tender offer materials, as applicable, furnished to our stockholders. It is unlikely the amount of such compensation will be known at the time of</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03" w:name="page104"/>
    <w:bookmarkEnd w:id="103"/>
    <w:p>
      <w:pPr>
        <w:ind w:left="460" w:right="579"/>
        <w:spacing w:after="0"/>
        <w:rPr>
          <w:sz w:val="20"/>
          <w:szCs w:val="20"/>
          <w:color w:val="auto"/>
        </w:rPr>
      </w:pPr>
      <w:r>
        <w:rPr>
          <w:rFonts w:ascii="Arial" w:cs="Arial" w:eastAsia="Arial" w:hAnsi="Arial"/>
          <w:sz w:val="18"/>
          <w:szCs w:val="18"/>
          <w:color w:val="auto"/>
        </w:rPr>
        <w:t>distribution of such tender offer materials or at the time of a stockholder meeting held to consider our initial business combination, as applicable, as it will be up to the directors of the post-combination business to determine executive and director compensation.</w:t>
      </w:r>
    </w:p>
    <w:p>
      <w:pPr>
        <w:spacing w:after="0" w:line="122"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Our sponsor has indicated an interest to purchase an aggregate of $25,000,000 of shares of our Class A common stock in a private placement that would occur concurrently with the consummation of our initial business combination. The funds from such private placement would be used as part of the consideration to the sellers in our initial business combination, and any excess funds from such private placement would be used for working capital in the post-transaction company. However, because indications of interest are not binding agreements or commitments to purchase, our sponsor may determine not to purchase any such shares, or to purchase fewer shares than it has indicated an interest in purchasing. Furthermore, we are not under any obligation to sell any such shares. Such investment would be made on terms and conditions determined at the time of the business combination.</w:t>
      </w:r>
    </w:p>
    <w:p>
      <w:pPr>
        <w:spacing w:after="0" w:line="138" w:lineRule="exact"/>
        <w:rPr>
          <w:sz w:val="20"/>
          <w:szCs w:val="20"/>
          <w:color w:val="auto"/>
        </w:rPr>
      </w:pPr>
    </w:p>
    <w:p>
      <w:pPr>
        <w:ind w:left="460" w:right="659"/>
        <w:spacing w:after="0"/>
        <w:rPr>
          <w:sz w:val="20"/>
          <w:szCs w:val="20"/>
          <w:color w:val="auto"/>
        </w:rPr>
      </w:pPr>
      <w:r>
        <w:rPr>
          <w:rFonts w:ascii="Arial" w:cs="Arial" w:eastAsia="Arial" w:hAnsi="Arial"/>
          <w:sz w:val="18"/>
          <w:szCs w:val="18"/>
          <w:color w:val="auto"/>
        </w:rPr>
        <w:t>We have entered into a registration rights agreement with respect to the founder shares and private placement shares, which is described under the heading “Principal Stockholders — Registration Rights.”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Policy for Approval of Related Party Transactions</w:t>
      </w:r>
    </w:p>
    <w:p>
      <w:pPr>
        <w:spacing w:after="0" w:line="166" w:lineRule="exact"/>
        <w:rPr>
          <w:sz w:val="20"/>
          <w:szCs w:val="20"/>
          <w:color w:val="auto"/>
        </w:rPr>
      </w:pPr>
    </w:p>
    <w:p>
      <w:pPr>
        <w:ind w:left="460" w:right="499"/>
        <w:spacing w:after="0" w:line="234" w:lineRule="auto"/>
        <w:rPr>
          <w:sz w:val="20"/>
          <w:szCs w:val="20"/>
          <w:color w:val="auto"/>
        </w:rPr>
      </w:pPr>
      <w:r>
        <w:rPr>
          <w:rFonts w:ascii="Arial" w:cs="Arial" w:eastAsia="Arial" w:hAnsi="Arial"/>
          <w:sz w:val="18"/>
          <w:szCs w:val="18"/>
          <w:color w:val="auto"/>
        </w:rPr>
        <w:t>The audit committee of our board of directors will adopt a policy setting forth the policies and procedures for its review and approval or ratification of “related party transactions.” A “related party transaction” is any consummated or proposed transaction or series of transactions: (i) in which the company was or is to be a participant; (ii) the amount of which exceeds (or is reasonably expected to exceed) the lesser of $120,000 or 1% of the average of the company’s total assets at year end for the prior two completed fiscal years in the aggregate over the duration of the transaction (without regard to profit or loss); and (iii) in which a “related party” had, has or will have a direct or indirect material interest. “Related parties” under this policy will include: (i) our directors, nominees for director or executive officers; (ii) any record or beneficial owner of more than 5% of any class of our voting securities; (iii) any immediate family member of any of the foregoing if the foregoing person is a natural person; and (iv) any other person who maybe a “related person” pursuant to Item 404 of Regulation S-K under the Exchange Act. Pursuant to the policy, the audit committee will consider</w:t>
      </w:r>
    </w:p>
    <w:p>
      <w:pPr>
        <w:spacing w:after="0" w:line="8" w:lineRule="exact"/>
        <w:rPr>
          <w:sz w:val="20"/>
          <w:szCs w:val="20"/>
          <w:color w:val="auto"/>
        </w:rPr>
      </w:pPr>
    </w:p>
    <w:p>
      <w:pPr>
        <w:ind w:left="460" w:right="519" w:hanging="6"/>
        <w:spacing w:after="0" w:line="251" w:lineRule="auto"/>
        <w:tabs>
          <w:tab w:leader="none" w:pos="67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relevant facts and circumstances of each related party transaction, including if the transaction is on terms comparable to those that could be obtained in arm’s-length dealings with an unrelated third party, (ii) the extent of the related party’s interest in the transaction, (iii) whether the transaction contravenes our code of ethics or other policies, (iv) whether the audit committee believes the relationship underlying the transaction to be in the best interests of the company and its stockholders and (v) the effect that the transaction may have on a director’s status as an independent member of the board and on his or her eligibility to serve on the board’s committees. Management will present to the audit committee each proposed related party transaction, including all relevant facts and circumstances relating thereto. Under the policy, we may consummate related party transactions only if our audit committee approves or ratifies the transaction in accordance with the guidelines set forth in the policy. The policy will not permit any director or executive officer to participate in the discussion of, or decision concerning, a related person transaction in which he or she is the related party.</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04" w:name="page105"/>
    <w:bookmarkEnd w:id="104"/>
    <w:p>
      <w:pPr>
        <w:jc w:val="center"/>
        <w:ind w:right="19"/>
        <w:spacing w:after="0"/>
        <w:rPr>
          <w:sz w:val="20"/>
          <w:szCs w:val="20"/>
          <w:color w:val="auto"/>
        </w:rPr>
      </w:pPr>
      <w:r>
        <w:rPr>
          <w:rFonts w:ascii="Arial" w:cs="Arial" w:eastAsia="Arial" w:hAnsi="Arial"/>
          <w:sz w:val="18"/>
          <w:szCs w:val="18"/>
          <w:b w:val="1"/>
          <w:bCs w:val="1"/>
          <w:color w:val="auto"/>
        </w:rPr>
        <w:t>DESCRIPTION OF SHARES</w:t>
      </w:r>
    </w:p>
    <w:p>
      <w:pPr>
        <w:spacing w:after="0" w:line="166" w:lineRule="exact"/>
        <w:rPr>
          <w:sz w:val="20"/>
          <w:szCs w:val="20"/>
          <w:color w:val="auto"/>
        </w:rPr>
      </w:pPr>
    </w:p>
    <w:p>
      <w:pPr>
        <w:ind w:left="460" w:right="559"/>
        <w:spacing w:after="0" w:line="236" w:lineRule="auto"/>
        <w:rPr>
          <w:sz w:val="20"/>
          <w:szCs w:val="20"/>
          <w:color w:val="auto"/>
        </w:rPr>
      </w:pPr>
      <w:r>
        <w:rPr>
          <w:rFonts w:ascii="Arial" w:cs="Arial" w:eastAsia="Arial" w:hAnsi="Arial"/>
          <w:sz w:val="18"/>
          <w:szCs w:val="18"/>
          <w:color w:val="auto"/>
        </w:rPr>
        <w:t>We are a Delaware corporation and our affairs are governed by our amended and restated certificate of incorporation and the DGCL. Pursuant to our amended and restated certificate of incorporation which will be adopted prior to the consummation of this offering, we will be authorized to issue 111,000,000 shares of common stock, $0.0001 par value each, including 100,000,000 shares of Class A common stock and 10,000,000 shares of Class B common stock, as well as 1,000,000 shares of preferred stock, $0.0001 par value each. The following description summarizes certain terms of our capital stock as set out more particularly in our amended and restated certificate of incorporation. Because it is only a summary, it may not contain all the information that is important to you.</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Common Stock</w:t>
      </w:r>
    </w:p>
    <w:p>
      <w:pPr>
        <w:spacing w:after="0" w:line="153"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Prior to the date of this prospectus, there were 2,875,000 shares of Class B common stock outstanding, all of which were held of record by our initial stockholders, so that our initial stockholders will own 20% of our issued and outstanding shares of common stock after this offering (excluding the private placement shares and assuming our initial stockholders do not purchase any shares of Class A common stock in this offering). Up to 375,000 of the founder shares will be forfeited by our sponsor depending on the extent to which the underwriters’ over-allotment is exercised. Upon the closing of this offering, 12,900,000 of our shares of common stock will be outstanding (assuming no exercise of the underwriters’ over-allotment option and the corresponding forfeiture of 375,000 founder shares by our sponsor) including:</w:t>
      </w:r>
    </w:p>
    <w:p>
      <w:pPr>
        <w:spacing w:after="0" w:line="31" w:lineRule="exact"/>
        <w:rPr>
          <w:sz w:val="20"/>
          <w:szCs w:val="20"/>
          <w:color w:val="auto"/>
        </w:rPr>
      </w:pPr>
    </w:p>
    <w:p>
      <w:pPr>
        <w:ind w:left="1040" w:hanging="262"/>
        <w:spacing w:after="0"/>
        <w:tabs>
          <w:tab w:leader="none" w:pos="10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10,000,000 shares of Class A common stock issued as part of this offering;</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400,000 shares of Class A common stock issued as private placement shares; and</w:t>
      </w:r>
    </w:p>
    <w:p>
      <w:pPr>
        <w:spacing w:after="0" w:line="22" w:lineRule="exact"/>
        <w:rPr>
          <w:rFonts w:ascii="Arial" w:cs="Arial" w:eastAsia="Arial" w:hAnsi="Arial"/>
          <w:sz w:val="18"/>
          <w:szCs w:val="18"/>
          <w:color w:val="auto"/>
        </w:rPr>
      </w:pPr>
    </w:p>
    <w:p>
      <w:pPr>
        <w:ind w:left="1040" w:hanging="262"/>
        <w:spacing w:after="0"/>
        <w:tabs>
          <w:tab w:leader="none" w:pos="10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2,500,000 shares of Class B common stock held by our initial stockholders.</w:t>
      </w:r>
    </w:p>
    <w:p>
      <w:pPr>
        <w:spacing w:after="0" w:line="144" w:lineRule="exact"/>
        <w:rPr>
          <w:sz w:val="20"/>
          <w:szCs w:val="20"/>
          <w:color w:val="auto"/>
        </w:rPr>
      </w:pPr>
    </w:p>
    <w:p>
      <w:pPr>
        <w:ind w:left="460" w:right="739"/>
        <w:spacing w:after="0" w:line="238" w:lineRule="auto"/>
        <w:rPr>
          <w:sz w:val="20"/>
          <w:szCs w:val="20"/>
          <w:color w:val="auto"/>
        </w:rPr>
      </w:pPr>
      <w:r>
        <w:rPr>
          <w:rFonts w:ascii="Arial" w:cs="Arial" w:eastAsia="Arial" w:hAnsi="Arial"/>
          <w:sz w:val="18"/>
          <w:szCs w:val="18"/>
          <w:color w:val="auto"/>
        </w:rPr>
        <w:t>If we increase or decrease the size of this offering, we will effect a stock dividend or share contribution back to capital or other appropriate mechanism, as applicable, with respect to our Class B common stock immediately prior to the consummation of the offering in such amount as to maintain the ownership of our initial stockholders at 20.0% of our issued and outstanding common stock upon the consummation of this offering.</w:t>
      </w:r>
    </w:p>
    <w:p>
      <w:pPr>
        <w:spacing w:after="0" w:line="135"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Stockholders of record are entitled to one vote for each share held on all matters to be voted on by stockholders. Holders of Class A common stock and holders of Class B common stock will vote together as a single class on all matters submitted to a vote of our stockholders except as required by law. Unless specified in our amended and restated certificate of incorporation, or as required by applicable provisions of the DGCL or applicable stock exchange rules, the affirmative vote of a majority of our shares of common stock that are voted is required to approve any such matter voted on by our stockholders. Our board of directors is divided into three classes, each of which will generally serve for a term of three years with only one class of directors being elected in each year. There is no cumulative voting with respect to the election of directors, with the result that the holders of more than 50% of the shares voted for the election of directors can elect all of the directors. Our stockholders are entitled to receive ratable dividends when, as and if declared by the board of directors out of funds legally available therefor.</w:t>
      </w:r>
    </w:p>
    <w:p>
      <w:pPr>
        <w:spacing w:after="0" w:line="123" w:lineRule="exact"/>
        <w:rPr>
          <w:sz w:val="20"/>
          <w:szCs w:val="20"/>
          <w:color w:val="auto"/>
        </w:rPr>
      </w:pPr>
    </w:p>
    <w:p>
      <w:pPr>
        <w:ind w:left="460" w:right="559"/>
        <w:spacing w:after="0" w:line="236" w:lineRule="auto"/>
        <w:rPr>
          <w:sz w:val="20"/>
          <w:szCs w:val="20"/>
          <w:color w:val="auto"/>
        </w:rPr>
      </w:pPr>
      <w:r>
        <w:rPr>
          <w:rFonts w:ascii="Arial" w:cs="Arial" w:eastAsia="Arial" w:hAnsi="Arial"/>
          <w:sz w:val="18"/>
          <w:szCs w:val="18"/>
          <w:color w:val="auto"/>
        </w:rPr>
        <w:t>Because our amended and restated certificate of incorporation authorizes the issuance of up to 100,000,000 shares of Class A common stock, if we were to enter into a business combination, we may (depending on the terms of such a business combination) be required to increase the number of shares of Class A common stock which we are authorized to issue at the same time as our stockholders vote on the business combination to the extent we seek stockholder approval in connection with our initial business combination. Our board of directors is divided into three classes with only one class of directors being elected in each year and each class (except for those directors appointed prior to our first annual meeting of stockholders) serving a three-year term.</w:t>
      </w:r>
    </w:p>
    <w:p>
      <w:pPr>
        <w:spacing w:after="0" w:line="140"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In accordance with Nasdaq corporate governance requirements, we are not required to hold an annual meeting until no later than one year after our first fiscal year end following our listing on Nasdaq. Under Section 211(b) of the DGCL, we are, however, required to hold an annual meeting of stockholders for the purposes of electing directors in accordance with our bylaws, unless such election is made by written consent in lieu of such a meeting. We may not hold an annual meeting of stockholders to elect new directors prior to the consummation of our initial business combination, and thus we may not be in compliance with Section 211(b) of the DGCL, which requires an annual meeting. Therefore, if our stockholders want us to hold an annual meeting prior to the consummation of our initial business combination, they may attempt to force us to hold one by submitting an application to the Delaware Court of Chancery in accordance with Section 211(c) of the DGCL.</w:t>
      </w:r>
    </w:p>
    <w:p>
      <w:pPr>
        <w:sectPr>
          <w:pgSz w:w="11900" w:h="16838" w:orient="portrait"/>
          <w:cols w:equalWidth="0" w:num="1">
            <w:col w:w="9019"/>
          </w:cols>
          <w:pgMar w:left="1440" w:top="333"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105" w:name="page106"/>
    <w:bookmarkEnd w:id="105"/>
    <w:p>
      <w:pPr>
        <w:ind w:left="460" w:right="499"/>
        <w:spacing w:after="0" w:line="235" w:lineRule="auto"/>
        <w:rPr>
          <w:sz w:val="20"/>
          <w:szCs w:val="20"/>
          <w:color w:val="auto"/>
        </w:rPr>
      </w:pPr>
      <w:r>
        <w:rPr>
          <w:rFonts w:ascii="Arial" w:cs="Arial" w:eastAsia="Arial" w:hAnsi="Arial"/>
          <w:sz w:val="18"/>
          <w:szCs w:val="18"/>
          <w:color w:val="auto"/>
        </w:rPr>
        <w:t>We will provide our public stockholders with the opportunity to redeem all or a portion of their public shares upon the completion of our initial business combination at a per-share price, payable in cash, equal to the aggregate amount then on deposit in the trust account calculated as of two business days prior to the consummation of our initial business combination, including interest earned on the funds held in the trust account and not previously released to us to pay our taxes, divided by the number of then outstanding public shares, subject to the limitations described herein. The amount in the trust account is initially anticipated to be $10.00 per public share. The per share amount we will distribute to investors who properly redeem their shares will not be reduced by the deferred underwriting commissions we will pay to the underwriters. Our initial stockholders, sponsor, officers and directors have entered into a letter agreement with us, pursuant to which they have agreed to waive their redemption rights with respect to any founder shares and public shares they hold in connection with the completion of our initial business combination. Unlike many special purpose acquisition companies that hold stockholder votes and conduct proxy solicitations in conjunction with their initial business combinations and provide for related redemptions of public shares for cash upon completion of such initial business combinations even when a vote is not required by law, if a stockholder vote is not required by law and we do not decide to hold a stockholder vote for business or other legal reasons, we will, pursuant to our amended and restated certificate of incorporation, conduct the redemptions pursuant to the tender offer rules of the SEC, and file tender offer documents with the SEC prior to completing our initial business combination. Our amended and restated certificate of incorporation requires these tender offer documents to contain substantially the same financial and other information about our initial business combination and the redemption rights as is required under the SEC’s proxy rules. If, however, a stockholder approval of the transaction is required by law, or we decide to obtain stockholder approval for business or other legal reasons, we will, like many special purpose acquisition companies, offer to redeem shares in conjunction with a proxy solicitation pursuant to the proxy rules and not pursuant to the tender offer rules. If we seek stockholder approval, we will complete our initial business combination only if a majority of the shares of common stock voted are voted in favor of our initial business combination. However, the participation of our sponsor, officers, directors, advisors or their respective affiliates in privately-negotiated transactions (as described in this prospectus), if any, could result in the approval of our initial business combination even if a majority of our public stockholders vote, or indicate their intention to vote, against such initial business combination. For purposes of seeking approval of the majority of our issued and outstanding shares of common stock, non-votes will have no effect on the approval of our initial business combination once a quorum is obtained.</w:t>
      </w:r>
    </w:p>
    <w:p>
      <w:pPr>
        <w:spacing w:after="0" w:line="116"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If we seek stockholder approval of our initial business combination and we do not conduct redemptions in connection with our initial business combination pursuant to the tender offer rules, our amended and restated certificate of incorporation provides that a public stockholder, together with any affiliate of such stockholder or any other person with whom such stockholder is acting in concert or as a “group” (as defined under Section 13 of the Exchange Act), will be restricted from redeeming its shares with respect to Excess Shares, without our prior consent. However, we would not be restricting our stockholders’ ability to vote all of their shares (including Excess Shares) for or against our initial business combination. Our stockholders’ inability to redeem the Excess Shares will reduce their influence over our ability to complete our initial business combination, and such stockholders could suffer a material loss in their investment if they sell such Excess Shares on the open market. Additionally, such stockholders will not receive redemption distributions with respect to the Excess Shares if we complete our initial business combination. And, as a result, such stockholders will continue to hold that number of shares exceeding 20% and, in order to dispose such shares would be required to sell their shares in open market transactions, potentially at a loss.</w:t>
      </w:r>
    </w:p>
    <w:p>
      <w:pPr>
        <w:spacing w:after="0" w:line="119" w:lineRule="exact"/>
        <w:rPr>
          <w:sz w:val="20"/>
          <w:szCs w:val="20"/>
          <w:color w:val="auto"/>
        </w:rPr>
      </w:pPr>
    </w:p>
    <w:p>
      <w:pPr>
        <w:ind w:left="460" w:right="559"/>
        <w:spacing w:after="0" w:line="236" w:lineRule="auto"/>
        <w:rPr>
          <w:sz w:val="20"/>
          <w:szCs w:val="20"/>
          <w:color w:val="auto"/>
        </w:rPr>
      </w:pPr>
      <w:r>
        <w:rPr>
          <w:rFonts w:ascii="Arial" w:cs="Arial" w:eastAsia="Arial" w:hAnsi="Arial"/>
          <w:sz w:val="18"/>
          <w:szCs w:val="18"/>
          <w:color w:val="auto"/>
        </w:rPr>
        <w:t>If we seek stockholder approval in connection with our initial business combination, our initial stockholders, sponsor, officers and directors have agreed to vote any founder shares they hold and any public shares purchased during or after this offering in favor of our initial business combination. As a result, in addition to our initial stockholders’ founder shares and private placement shares, we would need 3,550,001, or 35.5%, of the 10,000,000 public shares sold in this offering to be voted in favor of an initial business combination in order to have our initial business combination approved (assuming all issued and outstanding shares of common stock are voted, the private placement shares to be issued to our sponsor are voted in favor of the transaction and the over-allotment option is not exercised). Additionally, each public stockholder may elect to redeem their public shares irrespective of whether they vote for or against the proposed transaction.</w:t>
      </w:r>
    </w:p>
    <w:p>
      <w:pPr>
        <w:spacing w:after="0" w:line="125" w:lineRule="exact"/>
        <w:rPr>
          <w:sz w:val="20"/>
          <w:szCs w:val="20"/>
          <w:color w:val="auto"/>
        </w:rPr>
      </w:pPr>
    </w:p>
    <w:p>
      <w:pPr>
        <w:ind w:left="460" w:right="599"/>
        <w:spacing w:after="0" w:line="238" w:lineRule="auto"/>
        <w:rPr>
          <w:sz w:val="20"/>
          <w:szCs w:val="20"/>
          <w:color w:val="auto"/>
        </w:rPr>
      </w:pPr>
      <w:r>
        <w:rPr>
          <w:rFonts w:ascii="Arial" w:cs="Arial" w:eastAsia="Arial" w:hAnsi="Arial"/>
          <w:sz w:val="18"/>
          <w:szCs w:val="18"/>
          <w:color w:val="auto"/>
        </w:rPr>
        <w:t>Pursuant to our amended and restated certificate of incorporation, if we are unable to complete our initial business combination within 24 months from the closing of this offering, we will (i) cease all operations except for the purpose of winding up, (ii) as promptly as reasonably possible but no more than ten business days thereafter, redeem the public shares, at a per-share price, payable in cash, equal to the aggregate amount then on deposit in the trust</w:t>
      </w:r>
    </w:p>
    <w:p>
      <w:pPr>
        <w:sectPr>
          <w:pgSz w:w="11900" w:h="16838" w:orient="portrait"/>
          <w:cols w:equalWidth="0" w:num="1">
            <w:col w:w="9019"/>
          </w:cols>
          <w:pgMar w:left="1440" w:top="287" w:right="1440"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106" w:name="page107"/>
    <w:bookmarkEnd w:id="106"/>
    <w:p>
      <w:pPr>
        <w:ind w:left="460" w:right="499"/>
        <w:spacing w:after="0" w:line="235" w:lineRule="auto"/>
        <w:rPr>
          <w:sz w:val="20"/>
          <w:szCs w:val="20"/>
          <w:color w:val="auto"/>
        </w:rPr>
      </w:pPr>
      <w:r>
        <w:rPr>
          <w:rFonts w:ascii="Arial" w:cs="Arial" w:eastAsia="Arial" w:hAnsi="Arial"/>
          <w:sz w:val="18"/>
          <w:szCs w:val="18"/>
          <w:color w:val="auto"/>
        </w:rPr>
        <w:t>account, including interest earned on the funds held in the trust account and not previously released to us to pay our taxes (less up to $ 100,000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our remaining stockholders and our board of directors, liquidate and dissolve, subject in each case to our obligations under Delaware law to provide for claims of creditors and the requirements of other applicable law. Our initial stockholders have entered into agreements with us, pursuant to which they have agreed to waive their rights to liquidating distributions from the trust account with respect to their founder shares if we fail to complete our initial business combination within 24 months from the closing of this offering or during any Extension Period. However, if our initial stockholders or management team acquire public shares in or after this offering, they will be entitled to liquidating distributions from the trust account with respect to such public shares if we fail to complete our initial business combination within the prescribed time period.</w:t>
      </w:r>
    </w:p>
    <w:p>
      <w:pPr>
        <w:spacing w:after="0" w:line="146"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In the event of a liquidation, dissolution or winding up of the company after a business combination, our stockholders are entitled to share ratably in all assets remaining available for distribution to them after payment of liabilities and after provision is made for each class of shares, if any, having preference over the common stock. Our stockholders have no preemptive or other subscription rights. There are no sinking fund provisions applicable to the common stock, except that we will provide our public stockholders with the opportunity to redeem their public shares for cash at a per share price equal to the aggregate amount then on deposit in the trust account, including interest earned on the funds held in the trust account and not previously released to us to pay our taxes, divided by the number of then outstanding public shares, upon the completion of our initial business combination, subject to the limitations described herein.</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Founder Shares and Private Placement Shares</w:t>
      </w:r>
    </w:p>
    <w:p>
      <w:pPr>
        <w:spacing w:after="0" w:line="139" w:lineRule="exact"/>
        <w:rPr>
          <w:sz w:val="20"/>
          <w:szCs w:val="20"/>
          <w:color w:val="auto"/>
        </w:rPr>
      </w:pPr>
    </w:p>
    <w:p>
      <w:pPr>
        <w:ind w:left="460" w:right="719"/>
        <w:spacing w:after="0" w:line="248" w:lineRule="auto"/>
        <w:rPr>
          <w:sz w:val="20"/>
          <w:szCs w:val="20"/>
          <w:color w:val="auto"/>
        </w:rPr>
      </w:pPr>
      <w:r>
        <w:rPr>
          <w:rFonts w:ascii="Arial" w:cs="Arial" w:eastAsia="Arial" w:hAnsi="Arial"/>
          <w:sz w:val="17"/>
          <w:szCs w:val="17"/>
          <w:color w:val="auto"/>
        </w:rPr>
        <w:t>The founder shares are designated as Class B common stock and, except as described below, are identical to the shares of Class A common stock being sold in this offering, and holders of founder shares and private placement have the same stockholder rights as public stockholders, except that</w:t>
      </w:r>
    </w:p>
    <w:p>
      <w:pPr>
        <w:spacing w:after="0" w:line="2" w:lineRule="exact"/>
        <w:rPr>
          <w:sz w:val="20"/>
          <w:szCs w:val="20"/>
          <w:color w:val="auto"/>
        </w:rPr>
      </w:pPr>
    </w:p>
    <w:p>
      <w:pPr>
        <w:ind w:left="460" w:right="479" w:hanging="6"/>
        <w:spacing w:after="0" w:line="249" w:lineRule="auto"/>
        <w:tabs>
          <w:tab w:leader="none" w:pos="67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founder shares and private placement shares are subject to certain transfer restrictions, as described in more detail below, (ii) our initial stockholders, sponsor, officers and directors have entered into a letter agreement with us, pursuant to which they have agreed (A) to waive their redemption rights with respect to any founder shares, private placement shares and public shares they hold in connection with the completion of our initial business combination, (B) to waive their redemption rights with respect to any founder shares, private placement shares and public shares they hold in connection with a stockholder vote to approve an amendment to our amended and restated certificate of incorporation to modify the substance or timing of our obligation to redeem 100% of our public shares if we have not consummated an initial business combination within 24 months from the closing of this offering or with respect to any other material provisions relating to stockholders’ rights or pre-initial business combination activity and (C) to waive their rights to liquidating distributions from the trust account with respect to any founder shares and private placement shares they hold if we fail to complete our initial business combination within 24 months from the closing of this offering or during any Extension Period, although they will be entitled to liquidating distributions from the trust account with respect to any public shares and private placement shares they hold if we fail to complete our initial business combination within such time period, and</w:t>
      </w:r>
    </w:p>
    <w:p>
      <w:pPr>
        <w:spacing w:after="0" w:line="197" w:lineRule="exact"/>
        <w:rPr>
          <w:rFonts w:ascii="Arial" w:cs="Arial" w:eastAsia="Arial" w:hAnsi="Arial"/>
          <w:sz w:val="17"/>
          <w:szCs w:val="17"/>
          <w:color w:val="auto"/>
        </w:rPr>
      </w:pPr>
    </w:p>
    <w:p>
      <w:pPr>
        <w:ind w:left="460" w:right="479" w:hanging="6"/>
        <w:spacing w:after="0" w:line="237" w:lineRule="auto"/>
        <w:tabs>
          <w:tab w:leader="none" w:pos="75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founder shares are automatically convertible into Class A common stock concurrently with or immediately following the consummation of our initial business combination on a one-for-one basis, subject to adjustment as described herein and in our amended and restated certificate of incorporation. If we submit our initial business combination to our public stockholders for a vote, our initial stockholders have agreed to vote their founder shares, private placement shares and any public shares purchased during or after this offering in favor of our initial business combination.</w:t>
      </w:r>
    </w:p>
    <w:p>
      <w:pPr>
        <w:spacing w:after="0" w:line="124"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The founder shares and private placement shares will automatically convert into shares of Class A common stock concurrently with or immediately following the consummation of our initial business combination on a one-for-one basis, subject to adjustment for stock splits, stock dividends, reorganizations, recapitalizations and the like, and subject to further adjustment as provided herein. In the case that additional shares of Class A common stock or equity-linked securities are issued or deemed issued in connection with our initial business combination, the number of shares of Class A common stock issuable upon conversion of all founder shares will equal, in the aggregate, on an as-converted basis, 20% of the total number of shares of Class A common stock issued and outstanding (excluding the private placement shares) after such conversion (after giving effect to any redemptions of shares of Class A common stock by public stockholders), including the total number of shares of Class A common stock issued, or</w:t>
      </w:r>
    </w:p>
    <w:p>
      <w:pPr>
        <w:sectPr>
          <w:pgSz w:w="11900" w:h="16838" w:orient="portrait"/>
          <w:cols w:equalWidth="0" w:num="1">
            <w:col w:w="9019"/>
          </w:cols>
          <w:pgMar w:left="1440" w:top="260" w:right="1440"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0" w:right="1440" w:bottom="1440" w:gutter="0" w:footer="0" w:header="0"/>
          <w:type w:val="continuous"/>
        </w:sectPr>
      </w:pPr>
    </w:p>
    <w:bookmarkStart w:id="107" w:name="page108"/>
    <w:bookmarkEnd w:id="107"/>
    <w:p>
      <w:pPr>
        <w:ind w:left="460" w:right="479"/>
        <w:spacing w:after="0" w:line="236" w:lineRule="auto"/>
        <w:rPr>
          <w:sz w:val="20"/>
          <w:szCs w:val="20"/>
          <w:color w:val="auto"/>
        </w:rPr>
      </w:pPr>
      <w:r>
        <w:rPr>
          <w:rFonts w:ascii="Arial" w:cs="Arial" w:eastAsia="Arial" w:hAnsi="Arial"/>
          <w:sz w:val="18"/>
          <w:szCs w:val="18"/>
          <w:color w:val="auto"/>
        </w:rPr>
        <w:t>deemed issued or issuable upon conversion or exercise of any equity-linked securities or rights issued or deemed issued, by the Company in connection with or in relation to the consummation of the initial business combination, excluding any shares of Class A common stock or equity-linked securities or rights exercisable for or convertible into shares of Class A common stock issued, or to be issued, to any seller in the initial business combination and any private placement shares issued to our sponsor, officers or directors upon conversion of working capital loans, provided that such conversion of founder shares will never occur on a less than one-for-one basis. The term “equity-linked securities” refers to any debt or equity securities that are convertible, exercisable or exchangeable for our shares of Class A common stock issued in a financing transaction in connection with our initial business combination, including, but not limited to, a private placement of equity or debt.</w:t>
      </w:r>
    </w:p>
    <w:p>
      <w:pPr>
        <w:spacing w:after="0" w:line="124" w:lineRule="exact"/>
        <w:rPr>
          <w:sz w:val="20"/>
          <w:szCs w:val="20"/>
          <w:color w:val="auto"/>
        </w:rPr>
      </w:pPr>
    </w:p>
    <w:p>
      <w:pPr>
        <w:ind w:left="460" w:right="519"/>
        <w:spacing w:after="0" w:line="251" w:lineRule="auto"/>
        <w:rPr>
          <w:sz w:val="20"/>
          <w:szCs w:val="20"/>
          <w:color w:val="auto"/>
        </w:rPr>
      </w:pPr>
      <w:r>
        <w:rPr>
          <w:rFonts w:ascii="Arial" w:cs="Arial" w:eastAsia="Arial" w:hAnsi="Arial"/>
          <w:sz w:val="17"/>
          <w:szCs w:val="17"/>
          <w:color w:val="auto"/>
        </w:rPr>
        <w:t>With certain limited exceptions, the founder shares and private placement shares are not transferable, assignable or salable (except to our officers and directors and other persons or entities affiliated with our sponsor, each of whom will be subject to the same transfer restrictions) until the earlier of (A) one year after the completion of our initial business combination or earlier if, subsequent to our initial business combination, the closing price of the Class A common stock equals or exceeds $12.00 per share (as adjusted for stock splits, stock capitalizations, reorganizations, recapitalizations and the like) for any 20 trading days within any 30-trading day period commencing at least 150 days after our initial business combination, and (B) the date following the completion of our initial business combination on which we complete a liquidation, merger, capital stock exchange or other similar transaction that results in all of our stockholders having the right to exchange their Class A common stock for cash, securities or other property. Up to 375,000 founder shares will be forfeited by our sponsor depending on the exercise of the over-allotment option.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Preferred Stock</w:t>
      </w:r>
    </w:p>
    <w:p>
      <w:pPr>
        <w:spacing w:after="0" w:line="139"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Our amended and restated certificate of incorporation authorizes 1,000,000 shares of preferred stock and provides that shares of preferred stock may be issued from time to time in one or more series. Our board of directors will be authorized to fix the voting rights, if any, designations, powers, preferences, the relative, participating, optional or other special rights and any qualifications, limitations and restrictions thereof, applicable to the shares of each series. Our board of directors will be able to, without stockholder approval, issue shares of preferred stock with voting and other rights that could adversely affect the voting power and other rights of the holders of the common stock and could have anti-takeover effects. The ability of our board of directors to issue shares of preferred stock without stockholder approval could have the effect of delaying, deferring or preventing a change of control of us or the removal of existing management. We have no preferred shares outstanding at the date hereof. Although we do not currently intend to issue any shares of preferred stock, we cannot assure you that we will not do so in the future. No shares of preferred stock are being issued or registered in this offering.</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Dividends</w:t>
      </w:r>
    </w:p>
    <w:p>
      <w:pPr>
        <w:spacing w:after="0" w:line="166"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We have not paid any cash dividends on our common stock to date and do not intend to pay cash dividends prior to the completion of a business combination. The payment of cash dividends in the future will be dependent upon our revenues and earnings, if any, capital requirements and general financial condition subsequent to completion of a business combination. The payment of any cash dividends subsequent to a business combination will be within the discretion of our board of directors at such time. If we increase or decrease the size of this offering, then we will effect a stock dividend or share contribution back to capital or other appropriate mechanism, as applicable, with respect to our founder shares immediately prior to the consummation of the offering in such amount as to maintain the number of founder shares at 20.0% of our issued and outstanding common stock upon the consummation of this offering. Further, if we incur any indebtedness, our ability to declare dividends may be limited by restrictive covenants we may agree to in connection therewith.</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Transfer Agent</w:t>
      </w:r>
    </w:p>
    <w:p>
      <w:pPr>
        <w:spacing w:after="0" w:line="139" w:lineRule="exact"/>
        <w:rPr>
          <w:sz w:val="20"/>
          <w:szCs w:val="20"/>
          <w:color w:val="auto"/>
        </w:rPr>
      </w:pPr>
    </w:p>
    <w:p>
      <w:pPr>
        <w:ind w:left="460" w:right="519"/>
        <w:spacing w:after="0" w:line="237" w:lineRule="auto"/>
        <w:rPr>
          <w:sz w:val="20"/>
          <w:szCs w:val="20"/>
          <w:color w:val="auto"/>
        </w:rPr>
      </w:pPr>
      <w:r>
        <w:rPr>
          <w:rFonts w:ascii="Arial" w:cs="Arial" w:eastAsia="Arial" w:hAnsi="Arial"/>
          <w:sz w:val="18"/>
          <w:szCs w:val="18"/>
          <w:color w:val="auto"/>
        </w:rPr>
        <w:t>The transfer agent for our common stock is Continental Stock Transfer &amp; Trust Company. We have agreed to indemnify Continental Stock Transfer &amp; Trust Company in its role as transfer agent, its agents and each of its stockholders, directors, officers and employees against all claims and losses that may arise out of acts performed or omitted for its activities in that capacity, except for any liability due to any gross negligence or intentional misconduct of the indemnified person or entity. Continental Stock Transfer &amp; Trust Company has agreed that it has no right of set-off or any right, title, interest or claim of any kind to, or to any monies in, the trust account, and has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0" w:right="1440" w:bottom="1440" w:gutter="0" w:footer="0" w:header="0"/>
        </w:sectPr>
      </w:pPr>
    </w:p>
    <w:bookmarkStart w:id="108" w:name="page109"/>
    <w:bookmarkEnd w:id="108"/>
    <w:p>
      <w:pPr>
        <w:ind w:left="460" w:right="699"/>
        <w:spacing w:after="0" w:line="238" w:lineRule="auto"/>
        <w:rPr>
          <w:sz w:val="20"/>
          <w:szCs w:val="20"/>
          <w:color w:val="auto"/>
        </w:rPr>
      </w:pPr>
      <w:r>
        <w:rPr>
          <w:rFonts w:ascii="Arial" w:cs="Arial" w:eastAsia="Arial" w:hAnsi="Arial"/>
          <w:sz w:val="18"/>
          <w:szCs w:val="18"/>
          <w:color w:val="auto"/>
        </w:rPr>
        <w:t>irrevocably waived any right, title, interest or claim of any kind to, or to any monies in, the trust account that it may have now or in the future. Accordingly, any indemnification provided will only be able to be satisfied, or a claim will only be able to be pursued, solely against us and our assets outside the trust account and not against the any monies in the trust account or interest earned thereon.</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139" w:lineRule="exact"/>
        <w:rPr>
          <w:sz w:val="20"/>
          <w:szCs w:val="20"/>
          <w:color w:val="auto"/>
        </w:rPr>
      </w:pPr>
    </w:p>
    <w:p>
      <w:pPr>
        <w:ind w:left="460" w:right="859"/>
        <w:spacing w:after="0" w:line="248" w:lineRule="auto"/>
        <w:rPr>
          <w:sz w:val="20"/>
          <w:szCs w:val="20"/>
          <w:color w:val="auto"/>
        </w:rPr>
      </w:pPr>
      <w:r>
        <w:rPr>
          <w:rFonts w:ascii="Arial" w:cs="Arial" w:eastAsia="Arial" w:hAnsi="Arial"/>
          <w:sz w:val="17"/>
          <w:szCs w:val="17"/>
          <w:color w:val="auto"/>
        </w:rPr>
        <w:t>Our amended and restated certificate of incorporation will contain certain requirements and restrictions relating to this offering that will apply to us until the completion of our initial business combination. These provisions cannot be amended without the approval of the holders of at least</w:t>
      </w:r>
    </w:p>
    <w:p>
      <w:pPr>
        <w:spacing w:after="0" w:line="2"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65% of all then issued and outstanding shares of common stock. Our initial stockholders, who will collectively beneficially own 20% of our common stock upon the closing of this offering (excluding the private placement shares and assuming they do not purchase any shares in this offering), may participate in any vote to amend our amended and restated certificate of incorporation and will have the discretion to vote in any manner they choose. Specifically, our amended and restated certificate of incorporation provides, among other things, that:</w:t>
      </w:r>
    </w:p>
    <w:p>
      <w:pPr>
        <w:spacing w:after="0" w:line="29" w:lineRule="exact"/>
        <w:rPr>
          <w:sz w:val="20"/>
          <w:szCs w:val="20"/>
          <w:color w:val="auto"/>
        </w:rPr>
      </w:pPr>
    </w:p>
    <w:p>
      <w:pPr>
        <w:ind w:left="1100" w:right="699" w:hanging="322"/>
        <w:spacing w:after="0" w:line="248" w:lineRule="auto"/>
        <w:tabs>
          <w:tab w:leader="none" w:pos="1039" w:val="left"/>
        </w:tabs>
        <w:numPr>
          <w:ilvl w:val="0"/>
          <w:numId w:val="61"/>
        </w:numPr>
        <w:rPr>
          <w:rFonts w:ascii="Arial" w:cs="Arial" w:eastAsia="Arial" w:hAnsi="Arial"/>
          <w:sz w:val="17"/>
          <w:szCs w:val="17"/>
          <w:color w:val="auto"/>
        </w:rPr>
      </w:pPr>
      <w:r>
        <w:rPr>
          <w:rFonts w:ascii="Arial" w:cs="Arial" w:eastAsia="Arial" w:hAnsi="Arial"/>
          <w:sz w:val="17"/>
          <w:szCs w:val="17"/>
          <w:color w:val="auto"/>
        </w:rPr>
        <w:t>If we are unable to complete our initial business combination within 24 months from the closing of this offering, we will (i) cease all operations except for the purpose of winding up,</w:t>
      </w:r>
    </w:p>
    <w:p>
      <w:pPr>
        <w:spacing w:after="0" w:line="1" w:lineRule="exact"/>
        <w:rPr>
          <w:rFonts w:ascii="Arial" w:cs="Arial" w:eastAsia="Arial" w:hAnsi="Arial"/>
          <w:sz w:val="17"/>
          <w:szCs w:val="17"/>
          <w:color w:val="auto"/>
        </w:rPr>
      </w:pPr>
    </w:p>
    <w:p>
      <w:pPr>
        <w:ind w:left="1100" w:right="479" w:firstLine="2"/>
        <w:spacing w:after="0" w:line="236" w:lineRule="auto"/>
        <w:tabs>
          <w:tab w:leader="none" w:pos="135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as promptly as reasonably possible but no more than ten business days thereafter, redeem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our remaining stockholders and our board of directors, liquidate and dissolve, subject in each case to our obligations under Delaware law to provide for claims of creditors and in all cases subject to the requirements of other applicable law;</w:t>
      </w:r>
    </w:p>
    <w:p>
      <w:pPr>
        <w:spacing w:after="0" w:line="15" w:lineRule="exact"/>
        <w:rPr>
          <w:rFonts w:ascii="Arial" w:cs="Arial" w:eastAsia="Arial" w:hAnsi="Arial"/>
          <w:sz w:val="18"/>
          <w:szCs w:val="18"/>
          <w:color w:val="auto"/>
        </w:rPr>
      </w:pPr>
    </w:p>
    <w:p>
      <w:pPr>
        <w:ind w:left="1100" w:right="499" w:hanging="322"/>
        <w:spacing w:after="0" w:line="248" w:lineRule="auto"/>
        <w:tabs>
          <w:tab w:leader="none" w:pos="1039" w:val="left"/>
        </w:tabs>
        <w:numPr>
          <w:ilvl w:val="0"/>
          <w:numId w:val="61"/>
        </w:numPr>
        <w:rPr>
          <w:rFonts w:ascii="Arial" w:cs="Arial" w:eastAsia="Arial" w:hAnsi="Arial"/>
          <w:sz w:val="17"/>
          <w:szCs w:val="17"/>
          <w:color w:val="auto"/>
        </w:rPr>
      </w:pPr>
      <w:r>
        <w:rPr>
          <w:rFonts w:ascii="Arial" w:cs="Arial" w:eastAsia="Arial" w:hAnsi="Arial"/>
          <w:sz w:val="17"/>
          <w:szCs w:val="17"/>
          <w:color w:val="auto"/>
        </w:rPr>
        <w:t>Prior to our initial business combination, we may not issue additional securities that would entitle the holders thereof to (i) receive funds from the trust account or (ii) vote as a class with our public shares (a) on our initial business combination or (b) to approve an amendment to our amended and restated certificate of incorporation to (x) extend the time we have to consummate a business combination beyond 24 months from the closing of this offering or</w:t>
      </w:r>
    </w:p>
    <w:p>
      <w:pPr>
        <w:spacing w:after="0" w:line="2" w:lineRule="exact"/>
        <w:rPr>
          <w:rFonts w:ascii="Arial" w:cs="Arial" w:eastAsia="Arial" w:hAnsi="Arial"/>
          <w:sz w:val="17"/>
          <w:szCs w:val="17"/>
          <w:color w:val="auto"/>
        </w:rPr>
      </w:pPr>
    </w:p>
    <w:p>
      <w:pPr>
        <w:ind w:left="1360" w:hanging="258"/>
        <w:spacing w:after="0"/>
        <w:tabs>
          <w:tab w:leader="none" w:pos="13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amend the foregoing provisions;</w:t>
      </w:r>
    </w:p>
    <w:p>
      <w:pPr>
        <w:spacing w:after="0" w:line="36" w:lineRule="exact"/>
        <w:rPr>
          <w:rFonts w:ascii="Arial" w:cs="Arial" w:eastAsia="Arial" w:hAnsi="Arial"/>
          <w:sz w:val="18"/>
          <w:szCs w:val="18"/>
          <w:color w:val="auto"/>
        </w:rPr>
      </w:pPr>
    </w:p>
    <w:p>
      <w:pPr>
        <w:ind w:left="1100" w:right="599" w:hanging="322"/>
        <w:spacing w:after="0" w:line="237" w:lineRule="auto"/>
        <w:tabs>
          <w:tab w:leader="none" w:pos="1039" w:val="left"/>
        </w:tabs>
        <w:numPr>
          <w:ilvl w:val="0"/>
          <w:numId w:val="62"/>
        </w:numPr>
        <w:rPr>
          <w:rFonts w:ascii="Arial" w:cs="Arial" w:eastAsia="Arial" w:hAnsi="Arial"/>
          <w:sz w:val="18"/>
          <w:szCs w:val="18"/>
          <w:color w:val="auto"/>
        </w:rPr>
      </w:pPr>
      <w:r>
        <w:rPr>
          <w:rFonts w:ascii="Arial" w:cs="Arial" w:eastAsia="Arial" w:hAnsi="Arial"/>
          <w:sz w:val="18"/>
          <w:szCs w:val="18"/>
          <w:color w:val="auto"/>
        </w:rPr>
        <w:t>Although we do not intend to enter into a business combination with a target business that is affiliated with our sponsor, our directors or our executive officers, we are not prohibited from doing so. In the event we enter into such a transaction, we, or a committee of independent directors, will obtain an opinion from an independent investment banking firm which is a member of FINRA or a valuation or appraisal firm that such a business combination is fair to our company from a financial point of view;</w:t>
      </w:r>
    </w:p>
    <w:p>
      <w:pPr>
        <w:spacing w:after="0" w:line="29" w:lineRule="exact"/>
        <w:rPr>
          <w:rFonts w:ascii="Arial" w:cs="Arial" w:eastAsia="Arial" w:hAnsi="Arial"/>
          <w:sz w:val="18"/>
          <w:szCs w:val="18"/>
          <w:color w:val="auto"/>
        </w:rPr>
      </w:pPr>
    </w:p>
    <w:p>
      <w:pPr>
        <w:ind w:left="1100" w:right="499" w:hanging="322"/>
        <w:spacing w:after="0" w:line="236" w:lineRule="auto"/>
        <w:tabs>
          <w:tab w:leader="none" w:pos="1039"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a stockholder vote on our initial business combination is not required by law and we do not decide to hold a stockholder vote for business or other legal reasons, we will offer to redeem our public shares pursuant to Rule 13e-4 and Regulation 14E of the Exchange Act, and will file tender offer documents with the SEC prior to completing our initial business combination which contain substantially the same financial and other information about our initial business combination and the redemption rights as is required under Regulation 14A of the Exchange Act. Whether or not we maintain our registration under the Exchange Act or our listing on Nasdaq, we will provide our public stockholders with the opportunity to redeem their public shares by one of the two methods listed above;</w:t>
      </w:r>
    </w:p>
    <w:p>
      <w:pPr>
        <w:spacing w:after="0" w:line="17" w:lineRule="exact"/>
        <w:rPr>
          <w:rFonts w:ascii="Arial" w:cs="Arial" w:eastAsia="Arial" w:hAnsi="Arial"/>
          <w:sz w:val="18"/>
          <w:szCs w:val="18"/>
          <w:color w:val="auto"/>
        </w:rPr>
      </w:pPr>
    </w:p>
    <w:p>
      <w:pPr>
        <w:ind w:left="1100" w:right="499" w:hanging="322"/>
        <w:spacing w:after="0" w:line="237" w:lineRule="auto"/>
        <w:tabs>
          <w:tab w:leader="none" w:pos="1039" w:val="left"/>
        </w:tabs>
        <w:numPr>
          <w:ilvl w:val="0"/>
          <w:numId w:val="62"/>
        </w:numPr>
        <w:rPr>
          <w:rFonts w:ascii="Arial" w:cs="Arial" w:eastAsia="Arial" w:hAnsi="Arial"/>
          <w:sz w:val="18"/>
          <w:szCs w:val="18"/>
          <w:color w:val="auto"/>
        </w:rPr>
      </w:pPr>
      <w:r>
        <w:rPr>
          <w:rFonts w:ascii="Arial" w:cs="Arial" w:eastAsia="Arial" w:hAnsi="Arial"/>
          <w:sz w:val="18"/>
          <w:szCs w:val="18"/>
          <w:color w:val="auto"/>
        </w:rPr>
        <w:t>So long as we obtain and maintain a listing for our securities on Nasdaq, Nasdaq rules require that we must complete one or more business combinations having an aggregate fair market value of at least 80% of the value of the assets held in the trust account (excluding the deferred underwriting commissions and taxes payable on the interest earned on the trust account) at the time of our signing a definitive agreement in connection with our initial business combination;</w:t>
      </w:r>
    </w:p>
    <w:p>
      <w:pPr>
        <w:spacing w:after="0" w:line="29" w:lineRule="exact"/>
        <w:rPr>
          <w:rFonts w:ascii="Arial" w:cs="Arial" w:eastAsia="Arial" w:hAnsi="Arial"/>
          <w:sz w:val="18"/>
          <w:szCs w:val="18"/>
          <w:color w:val="auto"/>
        </w:rPr>
      </w:pPr>
    </w:p>
    <w:p>
      <w:pPr>
        <w:ind w:left="1100" w:right="739" w:hanging="322"/>
        <w:spacing w:after="0" w:line="236" w:lineRule="auto"/>
        <w:tabs>
          <w:tab w:leader="none" w:pos="1039"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our stockholders approve an amendment to our amended and restated certificate of incorporation to modify the substance or timing of our obligation to redeem 100% of our public shares if we do not complete our initial business combination within 24 months from the closing of this offering, or with respect to any other material provisions relating to stockholders’ rights or pre-initial business combination activity, we will provide our public stockholders with the opportunity to redeem all or a portion of their Class A common stock upon such approval at a per-share price, payable in cash, equal to the aggregate amount then on deposit in the trust account, including interest earned on the funds held in the trust account and not</w:t>
      </w:r>
    </w:p>
    <w:p>
      <w:pPr>
        <w:sectPr>
          <w:pgSz w:w="11900" w:h="16838" w:orient="portrait"/>
          <w:cols w:equalWidth="0" w:num="1">
            <w:col w:w="9019"/>
          </w:cols>
          <w:pgMar w:left="1440" w:top="260" w:right="1440" w:bottom="1440" w:gutter="0" w:footer="0" w:header="0"/>
        </w:sectPr>
      </w:pP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0" w:right="1440" w:bottom="1440" w:gutter="0" w:footer="0" w:header="0"/>
          <w:type w:val="continuous"/>
        </w:sectPr>
      </w:pPr>
    </w:p>
    <w:bookmarkStart w:id="109" w:name="page110"/>
    <w:bookmarkEnd w:id="109"/>
    <w:p>
      <w:pPr>
        <w:ind w:left="1100" w:right="619"/>
        <w:spacing w:after="0" w:line="246" w:lineRule="auto"/>
        <w:rPr>
          <w:sz w:val="20"/>
          <w:szCs w:val="20"/>
          <w:color w:val="auto"/>
        </w:rPr>
      </w:pPr>
      <w:r>
        <w:rPr>
          <w:rFonts w:ascii="Arial" w:cs="Arial" w:eastAsia="Arial" w:hAnsi="Arial"/>
          <w:sz w:val="18"/>
          <w:szCs w:val="18"/>
          <w:color w:val="auto"/>
        </w:rPr>
        <w:t>previously released to us to pay our taxes, divided by the number of then outstanding public shares, subject to the limitations described herein; and</w:t>
      </w:r>
    </w:p>
    <w:p>
      <w:pPr>
        <w:spacing w:after="0" w:line="8" w:lineRule="exact"/>
        <w:rPr>
          <w:sz w:val="20"/>
          <w:szCs w:val="20"/>
          <w:color w:val="auto"/>
        </w:rPr>
      </w:pPr>
    </w:p>
    <w:p>
      <w:pPr>
        <w:ind w:left="1100" w:right="559" w:hanging="322"/>
        <w:spacing w:after="0" w:line="246" w:lineRule="auto"/>
        <w:tabs>
          <w:tab w:leader="none" w:pos="1039"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will not effectuate our initial business combination with another blank check company or a similar company with nominal operations.</w:t>
      </w:r>
    </w:p>
    <w:p>
      <w:pPr>
        <w:spacing w:after="0" w:line="129" w:lineRule="exact"/>
        <w:rPr>
          <w:sz w:val="20"/>
          <w:szCs w:val="20"/>
          <w:color w:val="auto"/>
        </w:rPr>
      </w:pPr>
    </w:p>
    <w:p>
      <w:pPr>
        <w:ind w:left="460" w:right="979"/>
        <w:spacing w:after="0"/>
        <w:rPr>
          <w:sz w:val="20"/>
          <w:szCs w:val="20"/>
          <w:color w:val="auto"/>
        </w:rPr>
      </w:pPr>
      <w:r>
        <w:rPr>
          <w:rFonts w:ascii="Arial" w:cs="Arial" w:eastAsia="Arial" w:hAnsi="Arial"/>
          <w:sz w:val="18"/>
          <w:szCs w:val="18"/>
          <w:color w:val="auto"/>
        </w:rPr>
        <w:t>In addition, our amended and restated certificate of incorporation provides that under no circumstances will we redeem our public shares in an amount that would cause our net tangible assets to be less than $5,000,001.</w:t>
      </w:r>
    </w:p>
    <w:p>
      <w:pPr>
        <w:spacing w:after="0" w:line="181" w:lineRule="exact"/>
        <w:rPr>
          <w:sz w:val="20"/>
          <w:szCs w:val="20"/>
          <w:color w:val="auto"/>
        </w:rPr>
      </w:pPr>
    </w:p>
    <w:p>
      <w:pPr>
        <w:ind w:left="460" w:right="599"/>
        <w:spacing w:after="0" w:line="271" w:lineRule="auto"/>
        <w:rPr>
          <w:sz w:val="20"/>
          <w:szCs w:val="20"/>
          <w:color w:val="auto"/>
        </w:rPr>
      </w:pPr>
      <w:r>
        <w:rPr>
          <w:rFonts w:ascii="Arial" w:cs="Arial" w:eastAsia="Arial" w:hAnsi="Arial"/>
          <w:sz w:val="18"/>
          <w:szCs w:val="18"/>
          <w:b w:val="1"/>
          <w:bCs w:val="1"/>
          <w:color w:val="auto"/>
        </w:rPr>
        <w:t>Certain Anti-Takeover Provisions of Delaware Law and our Amended and Restated Certificate of Incorporation and Bylaws</w:t>
      </w:r>
    </w:p>
    <w:p>
      <w:pPr>
        <w:spacing w:after="0" w:line="108" w:lineRule="exact"/>
        <w:rPr>
          <w:sz w:val="20"/>
          <w:szCs w:val="20"/>
          <w:color w:val="auto"/>
        </w:rPr>
      </w:pPr>
    </w:p>
    <w:p>
      <w:pPr>
        <w:ind w:left="460" w:right="579"/>
        <w:spacing w:after="0"/>
        <w:rPr>
          <w:sz w:val="20"/>
          <w:szCs w:val="20"/>
          <w:color w:val="auto"/>
        </w:rPr>
      </w:pPr>
      <w:r>
        <w:rPr>
          <w:rFonts w:ascii="Arial" w:cs="Arial" w:eastAsia="Arial" w:hAnsi="Arial"/>
          <w:sz w:val="18"/>
          <w:szCs w:val="18"/>
          <w:color w:val="auto"/>
        </w:rPr>
        <w:t>We will be subject to the provisions of Section 203 of the DGCL regulating corporate takeovers upon completion of this offering. This statute prevents certain Delaware corporations, under certain circumstances, from engaging in a “business combination” with:</w:t>
      </w:r>
    </w:p>
    <w:p>
      <w:pPr>
        <w:spacing w:after="0" w:line="14" w:lineRule="exact"/>
        <w:rPr>
          <w:sz w:val="20"/>
          <w:szCs w:val="20"/>
          <w:color w:val="auto"/>
        </w:rPr>
      </w:pPr>
    </w:p>
    <w:p>
      <w:pPr>
        <w:ind w:left="1100" w:right="539" w:hanging="322"/>
        <w:spacing w:after="0" w:line="246" w:lineRule="auto"/>
        <w:tabs>
          <w:tab w:leader="none" w:pos="1039"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stockholder who owns 15% or more of our outstanding voting stock (otherwise known as an “interested stockholder”);</w:t>
      </w:r>
    </w:p>
    <w:p>
      <w:pPr>
        <w:spacing w:after="0" w:line="21" w:lineRule="exact"/>
        <w:rPr>
          <w:rFonts w:ascii="Arial" w:cs="Arial" w:eastAsia="Arial" w:hAnsi="Arial"/>
          <w:sz w:val="18"/>
          <w:szCs w:val="18"/>
          <w:color w:val="auto"/>
        </w:rPr>
      </w:pPr>
    </w:p>
    <w:p>
      <w:pPr>
        <w:ind w:left="1040" w:hanging="262"/>
        <w:spacing w:after="0"/>
        <w:tabs>
          <w:tab w:leader="none" w:pos="10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 affiliate of an interested stockholder; or</w:t>
      </w:r>
    </w:p>
    <w:p>
      <w:pPr>
        <w:spacing w:after="0" w:line="36" w:lineRule="exact"/>
        <w:rPr>
          <w:rFonts w:ascii="Arial" w:cs="Arial" w:eastAsia="Arial" w:hAnsi="Arial"/>
          <w:sz w:val="18"/>
          <w:szCs w:val="18"/>
          <w:color w:val="auto"/>
        </w:rPr>
      </w:pPr>
    </w:p>
    <w:p>
      <w:pPr>
        <w:ind w:left="1100" w:right="1359" w:hanging="322"/>
        <w:spacing w:after="0" w:line="246" w:lineRule="auto"/>
        <w:tabs>
          <w:tab w:leader="none" w:pos="1039"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 associate of an interested stockholder, for three years following the date that the stockholder became an interested stockholder.</w:t>
      </w:r>
    </w:p>
    <w:p>
      <w:pPr>
        <w:spacing w:after="0" w:line="116" w:lineRule="exact"/>
        <w:rPr>
          <w:sz w:val="20"/>
          <w:szCs w:val="20"/>
          <w:color w:val="auto"/>
        </w:rPr>
      </w:pPr>
    </w:p>
    <w:p>
      <w:pPr>
        <w:ind w:left="460" w:right="779"/>
        <w:spacing w:after="0" w:line="246" w:lineRule="auto"/>
        <w:rPr>
          <w:sz w:val="20"/>
          <w:szCs w:val="20"/>
          <w:color w:val="auto"/>
        </w:rPr>
      </w:pPr>
      <w:r>
        <w:rPr>
          <w:rFonts w:ascii="Arial" w:cs="Arial" w:eastAsia="Arial" w:hAnsi="Arial"/>
          <w:sz w:val="18"/>
          <w:szCs w:val="18"/>
          <w:color w:val="auto"/>
        </w:rPr>
        <w:t>A “business combination” includes a merger or sale of more than 10% of our assets. However, the above provisions of Section 203 do not apply if:</w:t>
      </w:r>
    </w:p>
    <w:p>
      <w:pPr>
        <w:spacing w:after="0" w:line="21" w:lineRule="exact"/>
        <w:rPr>
          <w:sz w:val="20"/>
          <w:szCs w:val="20"/>
          <w:color w:val="auto"/>
        </w:rPr>
      </w:pPr>
    </w:p>
    <w:p>
      <w:pPr>
        <w:ind w:left="1100" w:right="979" w:hanging="322"/>
        <w:spacing w:after="0" w:line="246" w:lineRule="auto"/>
        <w:tabs>
          <w:tab w:leader="none" w:pos="1039" w:val="left"/>
        </w:tabs>
        <w:numPr>
          <w:ilvl w:val="0"/>
          <w:numId w:val="65"/>
        </w:numPr>
        <w:rPr>
          <w:rFonts w:ascii="Arial" w:cs="Arial" w:eastAsia="Arial" w:hAnsi="Arial"/>
          <w:sz w:val="18"/>
          <w:szCs w:val="18"/>
          <w:color w:val="auto"/>
        </w:rPr>
      </w:pPr>
      <w:r>
        <w:rPr>
          <w:rFonts w:ascii="Arial" w:cs="Arial" w:eastAsia="Arial" w:hAnsi="Arial"/>
          <w:sz w:val="18"/>
          <w:szCs w:val="18"/>
          <w:color w:val="auto"/>
        </w:rPr>
        <w:t>our board of directors approves the transaction that made the stockholder an “interested stockholder,” prior to the date of the transaction;</w:t>
      </w:r>
    </w:p>
    <w:p>
      <w:pPr>
        <w:spacing w:after="0" w:line="21" w:lineRule="exact"/>
        <w:rPr>
          <w:rFonts w:ascii="Arial" w:cs="Arial" w:eastAsia="Arial" w:hAnsi="Arial"/>
          <w:sz w:val="18"/>
          <w:szCs w:val="18"/>
          <w:color w:val="auto"/>
        </w:rPr>
      </w:pPr>
    </w:p>
    <w:p>
      <w:pPr>
        <w:ind w:left="1100" w:right="539" w:hanging="322"/>
        <w:spacing w:after="0"/>
        <w:tabs>
          <w:tab w:leader="none" w:pos="1039" w:val="left"/>
        </w:tabs>
        <w:numPr>
          <w:ilvl w:val="0"/>
          <w:numId w:val="65"/>
        </w:numPr>
        <w:rPr>
          <w:rFonts w:ascii="Arial" w:cs="Arial" w:eastAsia="Arial" w:hAnsi="Arial"/>
          <w:sz w:val="18"/>
          <w:szCs w:val="18"/>
          <w:color w:val="auto"/>
        </w:rPr>
      </w:pPr>
      <w:r>
        <w:rPr>
          <w:rFonts w:ascii="Arial" w:cs="Arial" w:eastAsia="Arial" w:hAnsi="Arial"/>
          <w:sz w:val="18"/>
          <w:szCs w:val="18"/>
          <w:color w:val="auto"/>
        </w:rPr>
        <w:t>after the completion of the transaction that resulted in the stockholder becoming an interested stockholder, that stockholder owned at least 85% of our voting stock outstanding at the time the transaction commenced, other than statutorily excluded shares of common stock; or</w:t>
      </w:r>
    </w:p>
    <w:p>
      <w:pPr>
        <w:spacing w:after="0" w:line="13" w:lineRule="exact"/>
        <w:rPr>
          <w:rFonts w:ascii="Arial" w:cs="Arial" w:eastAsia="Arial" w:hAnsi="Arial"/>
          <w:sz w:val="18"/>
          <w:szCs w:val="18"/>
          <w:color w:val="auto"/>
        </w:rPr>
      </w:pPr>
    </w:p>
    <w:p>
      <w:pPr>
        <w:ind w:left="1100" w:right="599" w:hanging="322"/>
        <w:spacing w:after="0" w:line="238" w:lineRule="auto"/>
        <w:tabs>
          <w:tab w:leader="none" w:pos="1039" w:val="left"/>
        </w:tabs>
        <w:numPr>
          <w:ilvl w:val="0"/>
          <w:numId w:val="65"/>
        </w:numPr>
        <w:rPr>
          <w:rFonts w:ascii="Arial" w:cs="Arial" w:eastAsia="Arial" w:hAnsi="Arial"/>
          <w:sz w:val="18"/>
          <w:szCs w:val="18"/>
          <w:color w:val="auto"/>
        </w:rPr>
      </w:pPr>
      <w:r>
        <w:rPr>
          <w:rFonts w:ascii="Arial" w:cs="Arial" w:eastAsia="Arial" w:hAnsi="Arial"/>
          <w:sz w:val="18"/>
          <w:szCs w:val="18"/>
          <w:color w:val="auto"/>
        </w:rPr>
        <w:t>on or subsequent to the date of the transaction, the initial business combination is approved by our board of directors and authorized at a meeting of our stockholders, and not by written consent, by an affirmative vote of at least two-thirds of the outstanding voting stock not owned by the interested stockholder.</w:t>
      </w:r>
    </w:p>
    <w:p>
      <w:pPr>
        <w:spacing w:after="0" w:line="137" w:lineRule="exact"/>
        <w:rPr>
          <w:sz w:val="20"/>
          <w:szCs w:val="20"/>
          <w:color w:val="auto"/>
        </w:rPr>
      </w:pPr>
    </w:p>
    <w:p>
      <w:pPr>
        <w:ind w:left="460" w:right="479"/>
        <w:spacing w:after="0"/>
        <w:rPr>
          <w:sz w:val="20"/>
          <w:szCs w:val="20"/>
          <w:color w:val="auto"/>
        </w:rPr>
      </w:pPr>
      <w:r>
        <w:rPr>
          <w:rFonts w:ascii="Arial" w:cs="Arial" w:eastAsia="Arial" w:hAnsi="Arial"/>
          <w:sz w:val="18"/>
          <w:szCs w:val="18"/>
          <w:color w:val="auto"/>
        </w:rPr>
        <w:t>Our amended and restated certificate of incorporation will provide that our board of directors will be classified into three classes of directors. As a result, in most circumstances, a person can gain control of our board only by successfully engaging in a proxy contest at two or more annual meetings.</w:t>
      </w:r>
    </w:p>
    <w:p>
      <w:pPr>
        <w:spacing w:after="0" w:line="135"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Exclusive forum for certain lawsuits</w:t>
      </w:r>
    </w:p>
    <w:p>
      <w:pPr>
        <w:spacing w:after="0" w:line="153" w:lineRule="exact"/>
        <w:rPr>
          <w:sz w:val="20"/>
          <w:szCs w:val="20"/>
          <w:color w:val="auto"/>
        </w:rPr>
      </w:pPr>
    </w:p>
    <w:p>
      <w:pPr>
        <w:ind w:left="460" w:right="559"/>
        <w:spacing w:after="0" w:line="248" w:lineRule="auto"/>
        <w:rPr>
          <w:sz w:val="20"/>
          <w:szCs w:val="20"/>
          <w:color w:val="auto"/>
        </w:rPr>
      </w:pPr>
      <w:r>
        <w:rPr>
          <w:rFonts w:ascii="Arial" w:cs="Arial" w:eastAsia="Arial" w:hAnsi="Arial"/>
          <w:sz w:val="17"/>
          <w:szCs w:val="17"/>
          <w:color w:val="auto"/>
        </w:rPr>
        <w:t>Our amended and restated certificate of incorporation will require, unless we consent in writing to the selection of an alternative forum, that (i) any derivative action or proceeding brought on our behalf,</w:t>
      </w:r>
    </w:p>
    <w:p>
      <w:pPr>
        <w:spacing w:after="0" w:line="1" w:lineRule="exact"/>
        <w:rPr>
          <w:sz w:val="20"/>
          <w:szCs w:val="20"/>
          <w:color w:val="auto"/>
        </w:rPr>
      </w:pPr>
    </w:p>
    <w:p>
      <w:pPr>
        <w:ind w:left="460" w:right="479" w:hanging="6"/>
        <w:spacing w:after="0" w:line="235" w:lineRule="auto"/>
        <w:tabs>
          <w:tab w:leader="none" w:pos="71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owed by any director, officer or other employee to us or our stockholders, (iii) any action asserting a claim against us, our directors, officers or employees arising pursuant to any provision of the DGCL or our amended and restated certificate of incorporation or bylaws, or (iv) any action asserting a claim against us, our directors, officers or employees governed by the internal affairs doctrine may be brought only in the Court of Chancery in the State of Delaware, except any claim (A) as to which the Court of Chancery of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for which the Court of Chancery does not have subject matter jurisdiction, as to which the Court of Chancery and the federal district court for the District of Delaware shall have concurrent jurisdiction. If an action is brought outside of Delaware, the stockholder bringing the suit will be deemed to have consented to service of process on such stockholder’s counsel. Although we believe this provision benefits us by providing increased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179" w:right="1440" w:bottom="1440" w:gutter="0" w:footer="0" w:header="0"/>
        </w:sectPr>
      </w:pPr>
    </w:p>
    <w:bookmarkStart w:id="110" w:name="page111"/>
    <w:bookmarkEnd w:id="110"/>
    <w:p>
      <w:pPr>
        <w:ind w:left="460" w:right="519"/>
        <w:spacing w:after="0" w:line="238" w:lineRule="auto"/>
        <w:rPr>
          <w:sz w:val="20"/>
          <w:szCs w:val="20"/>
          <w:color w:val="auto"/>
        </w:rPr>
      </w:pPr>
      <w:r>
        <w:rPr>
          <w:rFonts w:ascii="Arial" w:cs="Arial" w:eastAsia="Arial" w:hAnsi="Arial"/>
          <w:sz w:val="18"/>
          <w:szCs w:val="18"/>
          <w:color w:val="auto"/>
        </w:rPr>
        <w:t>consistency in the application of Delaware law in the types of lawsuits to which it applies, a court may determine that this provision is unenforceable, and to the extent it is enforceable, the provision may have the effect of discouraging lawsuits against our directors and officers, although our stockholders will not be deemed to have waived our compliance with federal securities laws and the rules and regulations thereunder.</w:t>
      </w:r>
    </w:p>
    <w:p>
      <w:pPr>
        <w:spacing w:after="0" w:line="121"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Notwithstanding the foregoing, our amended and restated certificate of incorporation will provide that the exclusive forum provision will not apply to suits brought to enforce a duty or liability created by the Exchange Act or any other claim for which the federal courts have exclusive jurisdiction. Section 27 of the Exchange Act creates exclusive federal jurisdiction over all suits brought to enforce any duty or liability created by the Exchange Act or the rules and regulations thereunder. Additionally, unless we consent in writing to the selection of an alternative forum, the federal courts shall be the exclusive forum for the resolution of any complaint asserting a cause of action arising under the Securities Act against us or any of our directors, officers, other employees or agents. Any person or entity purchasing or otherwise acquiring any interest in our securities shall be deemed to have notice of and consented to these provisions.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Special meeting of stockholders</w:t>
      </w:r>
    </w:p>
    <w:p>
      <w:pPr>
        <w:spacing w:after="0" w:line="166" w:lineRule="exact"/>
        <w:rPr>
          <w:sz w:val="20"/>
          <w:szCs w:val="20"/>
          <w:color w:val="auto"/>
        </w:rPr>
      </w:pPr>
    </w:p>
    <w:p>
      <w:pPr>
        <w:ind w:left="460" w:right="519"/>
        <w:spacing w:after="0" w:line="246" w:lineRule="auto"/>
        <w:rPr>
          <w:sz w:val="20"/>
          <w:szCs w:val="20"/>
          <w:color w:val="auto"/>
        </w:rPr>
      </w:pPr>
      <w:r>
        <w:rPr>
          <w:rFonts w:ascii="Arial" w:cs="Arial" w:eastAsia="Arial" w:hAnsi="Arial"/>
          <w:sz w:val="18"/>
          <w:szCs w:val="18"/>
          <w:color w:val="auto"/>
        </w:rPr>
        <w:t>Our bylaws provide that special meetings of our stockholders may be called only by a majority vote of our board of directors, by our Chief Executive Officer or by our Chairman.</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Advance notice requirements for stockholder proposals and director nominations</w:t>
      </w:r>
    </w:p>
    <w:p>
      <w:pPr>
        <w:spacing w:after="0" w:line="166" w:lineRule="exact"/>
        <w:rPr>
          <w:sz w:val="20"/>
          <w:szCs w:val="20"/>
          <w:color w:val="auto"/>
        </w:rPr>
      </w:pPr>
    </w:p>
    <w:p>
      <w:pPr>
        <w:ind w:left="460" w:right="499"/>
        <w:spacing w:after="0" w:line="233" w:lineRule="auto"/>
        <w:rPr>
          <w:sz w:val="20"/>
          <w:szCs w:val="20"/>
          <w:color w:val="auto"/>
        </w:rPr>
      </w:pPr>
      <w:r>
        <w:rPr>
          <w:rFonts w:ascii="Arial" w:cs="Arial" w:eastAsia="Arial" w:hAnsi="Arial"/>
          <w:sz w:val="18"/>
          <w:szCs w:val="18"/>
          <w:color w:val="auto"/>
        </w:rPr>
        <w:t>Our bylaws provide that stockholders seeking to bring business before our annual meeting of stockholders, or to nominate candidates for election as directors at our annual meeting of stockholders, must provide timely notice of their intent in writing. To be timely, a stockholder’s notice will need to be received by the company secretary at our principal executive offices not later than the close of business on the 90</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day nor earlier than the opening of business on the 120</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day prior to the anniversary date of the immediately preceding annual meeting of stockholders. Pursuant to Rule 14a-8 of the Exchange Act, proposals seeking inclusion in our annual proxy statement must comply with the notice periods contained therein. Our bylaws also specify certain requirements as to the form and content of a stockholders’ meeting. These provisions may preclude our stockholders from bringing matters before our annual meeting of stockholders or from making nominations for directors at our annual meeting of stockholders.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Action by written consent</w:t>
      </w:r>
    </w:p>
    <w:p>
      <w:pPr>
        <w:spacing w:after="0" w:line="153" w:lineRule="exact"/>
        <w:rPr>
          <w:sz w:val="20"/>
          <w:szCs w:val="20"/>
          <w:color w:val="auto"/>
        </w:rPr>
      </w:pPr>
    </w:p>
    <w:p>
      <w:pPr>
        <w:ind w:left="460" w:right="599"/>
        <w:spacing w:after="0" w:line="238" w:lineRule="auto"/>
        <w:rPr>
          <w:sz w:val="20"/>
          <w:szCs w:val="20"/>
          <w:color w:val="auto"/>
        </w:rPr>
      </w:pPr>
      <w:r>
        <w:rPr>
          <w:rFonts w:ascii="Arial" w:cs="Arial" w:eastAsia="Arial" w:hAnsi="Arial"/>
          <w:sz w:val="18"/>
          <w:szCs w:val="18"/>
          <w:color w:val="auto"/>
        </w:rPr>
        <w:t>Subsequent to the consummation of the offering, any action required or permitted to be taken by our common stockholders must be effected by a duly called annual or special meeting of such stockholders and may not be effected by written consent of the stockholders other than with respect to our Class B common stock.</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166"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Our board of directors will initially be divided into three classes, Class I, Class II and Class III, with members of each class serving staggered three-year terms. Our amended and restated certificate of incorporation will provide that the authorized number of directors may be changed only by resolution of the board of directors. Subject to the terms of any preferred stock, any or all of the directors may be removed from office at any time, but only for cause and only by the affirmative vote of holders of a majority of the voting power of all then issued and outstanding shares of our capital stock entitled to vote generally in the election of directors, voting together as a single class. Any vacancy on our board of directors, including a vacancy resulting from an enlargement of our board of directors, may be filled only by vote of a majority of our directors then in office.</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Class B Common Stock Consent Right</w:t>
      </w:r>
    </w:p>
    <w:p>
      <w:pPr>
        <w:spacing w:after="0" w:line="166"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For so long as any shares of Class B common stock remain outstanding, we may not, without the prior vote or written consent of the holders of a majority of the shares of Class B common stock then outstanding, voting separately as a single class, amend, alter or repeal any provision of our certificate of incorporation, whether by merger, consolidation or otherwise, if such amendment, alteration or repeal would alter or change the powers, preferences or relative, participating, optional or other or special rights of the Class B common stock. Any action required or permitted to be taken at any meeting of the holders of Class B common stock may be taken without a meeting, without prior notice and without a vote, if a consent or consents in writing, setting forth the action so taken, shall be signed by the</w:t>
      </w:r>
    </w:p>
    <w:p>
      <w:pPr>
        <w:sectPr>
          <w:pgSz w:w="11900" w:h="16838" w:orient="portrait"/>
          <w:cols w:equalWidth="0" w:num="1">
            <w:col w:w="9019"/>
          </w:cols>
          <w:pgMar w:left="1440" w:top="287" w:right="1440" w:bottom="1440" w:gutter="0" w:footer="0" w:header="0"/>
        </w:sectPr>
      </w:pP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111" w:name="page112"/>
    <w:bookmarkEnd w:id="111"/>
    <w:p>
      <w:pPr>
        <w:jc w:val="both"/>
        <w:ind w:left="460" w:right="539"/>
        <w:spacing w:after="0"/>
        <w:rPr>
          <w:sz w:val="20"/>
          <w:szCs w:val="20"/>
          <w:color w:val="auto"/>
        </w:rPr>
      </w:pPr>
      <w:r>
        <w:rPr>
          <w:rFonts w:ascii="Arial" w:cs="Arial" w:eastAsia="Arial" w:hAnsi="Arial"/>
          <w:sz w:val="18"/>
          <w:szCs w:val="18"/>
          <w:color w:val="auto"/>
        </w:rPr>
        <w:t>holders of the outstanding Class B common stock having not less than the minimum number of votes that would be necessary to authorize or take such action at a meeting at which all shares of Class B common stock were present and voted.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Securities Eligible for Future Sale</w:t>
      </w:r>
    </w:p>
    <w:p>
      <w:pPr>
        <w:spacing w:after="0" w:line="153"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Immediately after this offering we will have 12,900,000 (or 14,805,000 if the underwriters’ over-allotment option is exercised in full) shares of common stock outstanding. Of these shares, the shares of Class A common stock sold in this offering (10,000,000 Class A common stock if the underwriters’ over-allotment option is not exercised and 11,500,000 shares if the underwriters’ over-allotment option is exercised in full) will be freely tradable without restriction or further registration under the Securities Act, except for any Class A common stock purchased by one of our affiliates within the meaning of Rule 144 under the Securities Act. All of the outstanding founder shares (2,500,000 founder shares if the underwriters’ over-allotment option is not exercised and 2,875,000 founder shares if the underwriters’ over-allotment option is exercised in full) and all of the outstanding private placement shares (400,000 shares if the underwriters’ over-allotment option is not exercised and 430,000 shares if the underwriters’ over-allotment option is exercised in full) will be restricted securities under Rule 144, in that they were issued in private transactions not involving a public offering.</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Rule 144</w:t>
      </w:r>
    </w:p>
    <w:p>
      <w:pPr>
        <w:spacing w:after="0" w:line="166" w:lineRule="exact"/>
        <w:rPr>
          <w:sz w:val="20"/>
          <w:szCs w:val="20"/>
          <w:color w:val="auto"/>
        </w:rPr>
      </w:pPr>
    </w:p>
    <w:p>
      <w:pPr>
        <w:ind w:left="460" w:right="539"/>
        <w:spacing w:after="0" w:line="237" w:lineRule="auto"/>
        <w:rPr>
          <w:sz w:val="20"/>
          <w:szCs w:val="20"/>
          <w:color w:val="auto"/>
        </w:rPr>
      </w:pPr>
      <w:r>
        <w:rPr>
          <w:rFonts w:ascii="Arial" w:cs="Arial" w:eastAsia="Arial" w:hAnsi="Arial"/>
          <w:sz w:val="18"/>
          <w:szCs w:val="18"/>
          <w:color w:val="auto"/>
        </w:rPr>
        <w:t>Pursuant to Rule 144, a person who has beneficially owned restricted shares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137" w:lineRule="exact"/>
        <w:rPr>
          <w:sz w:val="20"/>
          <w:szCs w:val="20"/>
          <w:color w:val="auto"/>
        </w:rPr>
      </w:pPr>
    </w:p>
    <w:p>
      <w:pPr>
        <w:ind w:left="460" w:right="619"/>
        <w:spacing w:after="0" w:line="238" w:lineRule="auto"/>
        <w:rPr>
          <w:sz w:val="20"/>
          <w:szCs w:val="20"/>
          <w:color w:val="auto"/>
        </w:rPr>
      </w:pPr>
      <w:r>
        <w:rPr>
          <w:rFonts w:ascii="Arial" w:cs="Arial" w:eastAsia="Arial" w:hAnsi="Arial"/>
          <w:sz w:val="18"/>
          <w:szCs w:val="18"/>
          <w:color w:val="auto"/>
        </w:rPr>
        <w:t>Persons who have beneficially owned restricted shares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16" w:lineRule="exact"/>
        <w:rPr>
          <w:sz w:val="20"/>
          <w:szCs w:val="20"/>
          <w:color w:val="auto"/>
        </w:rPr>
      </w:pPr>
    </w:p>
    <w:p>
      <w:pPr>
        <w:jc w:val="both"/>
        <w:ind w:left="1100" w:right="479" w:hanging="322"/>
        <w:spacing w:after="0"/>
        <w:tabs>
          <w:tab w:leader="none" w:pos="1039" w:val="left"/>
        </w:tabs>
        <w:numPr>
          <w:ilvl w:val="0"/>
          <w:numId w:val="67"/>
        </w:numPr>
        <w:rPr>
          <w:rFonts w:ascii="Arial" w:cs="Arial" w:eastAsia="Arial" w:hAnsi="Arial"/>
          <w:sz w:val="18"/>
          <w:szCs w:val="18"/>
          <w:color w:val="auto"/>
        </w:rPr>
      </w:pPr>
      <w:r>
        <w:rPr>
          <w:rFonts w:ascii="Arial" w:cs="Arial" w:eastAsia="Arial" w:hAnsi="Arial"/>
          <w:sz w:val="18"/>
          <w:szCs w:val="18"/>
          <w:color w:val="auto"/>
        </w:rPr>
        <w:t>1% of the total number of shares of common stock then outstanding, which will equal 129,000 shares immediately after this offering (or 148,050 if the underwriters exercise in full their over-allotment option); or</w:t>
      </w:r>
    </w:p>
    <w:p>
      <w:pPr>
        <w:spacing w:after="0" w:line="27" w:lineRule="exact"/>
        <w:rPr>
          <w:rFonts w:ascii="Arial" w:cs="Arial" w:eastAsia="Arial" w:hAnsi="Arial"/>
          <w:sz w:val="18"/>
          <w:szCs w:val="18"/>
          <w:color w:val="auto"/>
        </w:rPr>
      </w:pPr>
    </w:p>
    <w:p>
      <w:pPr>
        <w:ind w:left="1100" w:right="899" w:hanging="322"/>
        <w:spacing w:after="0" w:line="274" w:lineRule="auto"/>
        <w:tabs>
          <w:tab w:leader="none" w:pos="1039"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average weekly reported trading volume of the Class A common stock during the four calendar weeks preceding the filing of a notice on Form 144 with respect to the sale.</w:t>
      </w:r>
    </w:p>
    <w:p>
      <w:pPr>
        <w:spacing w:after="0" w:line="107" w:lineRule="exact"/>
        <w:rPr>
          <w:sz w:val="20"/>
          <w:szCs w:val="20"/>
          <w:color w:val="auto"/>
        </w:rPr>
      </w:pPr>
    </w:p>
    <w:p>
      <w:pPr>
        <w:ind w:left="460" w:right="1099"/>
        <w:spacing w:after="0" w:line="246" w:lineRule="auto"/>
        <w:rPr>
          <w:sz w:val="20"/>
          <w:szCs w:val="20"/>
          <w:color w:val="auto"/>
        </w:rPr>
      </w:pPr>
      <w:r>
        <w:rPr>
          <w:rFonts w:ascii="Arial" w:cs="Arial" w:eastAsia="Arial" w:hAnsi="Arial"/>
          <w:sz w:val="18"/>
          <w:szCs w:val="18"/>
          <w:color w:val="auto"/>
        </w:rPr>
        <w:t>Sales by our affiliates under Rule 144 are also limited by manner of sale provisions and notice requirements and to the availability of current public information about us.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Restrictions on the Use of Rule 144 by Shell Companies or Former Shell Companies</w:t>
      </w:r>
    </w:p>
    <w:p>
      <w:pPr>
        <w:spacing w:after="0" w:line="153" w:lineRule="exact"/>
        <w:rPr>
          <w:sz w:val="20"/>
          <w:szCs w:val="20"/>
          <w:color w:val="auto"/>
        </w:rPr>
      </w:pPr>
    </w:p>
    <w:p>
      <w:pPr>
        <w:ind w:left="460" w:right="819"/>
        <w:spacing w:after="0" w:line="238" w:lineRule="auto"/>
        <w:rPr>
          <w:sz w:val="20"/>
          <w:szCs w:val="20"/>
          <w:color w:val="auto"/>
        </w:rPr>
      </w:pPr>
      <w:r>
        <w:rPr>
          <w:rFonts w:ascii="Arial" w:cs="Arial" w:eastAsia="Arial" w:hAnsi="Arial"/>
          <w:sz w:val="18"/>
          <w:szCs w:val="18"/>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29" w:lineRule="exact"/>
        <w:rPr>
          <w:sz w:val="20"/>
          <w:szCs w:val="20"/>
          <w:color w:val="auto"/>
        </w:rPr>
      </w:pPr>
    </w:p>
    <w:p>
      <w:pPr>
        <w:ind w:left="1100" w:right="1119" w:hanging="322"/>
        <w:spacing w:after="0" w:line="246" w:lineRule="auto"/>
        <w:tabs>
          <w:tab w:leader="none" w:pos="1039"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issuer of the securities that was formerly a shell company has ceased to be a shell company;</w:t>
      </w:r>
    </w:p>
    <w:p>
      <w:pPr>
        <w:spacing w:after="0" w:line="21" w:lineRule="exact"/>
        <w:rPr>
          <w:rFonts w:ascii="Arial" w:cs="Arial" w:eastAsia="Arial" w:hAnsi="Arial"/>
          <w:sz w:val="18"/>
          <w:szCs w:val="18"/>
          <w:color w:val="auto"/>
        </w:rPr>
      </w:pPr>
    </w:p>
    <w:p>
      <w:pPr>
        <w:ind w:left="1100" w:right="739" w:hanging="322"/>
        <w:spacing w:after="0" w:line="246" w:lineRule="auto"/>
        <w:tabs>
          <w:tab w:leader="none" w:pos="1039"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7" w:lineRule="exact"/>
        <w:rPr>
          <w:rFonts w:ascii="Arial" w:cs="Arial" w:eastAsia="Arial" w:hAnsi="Arial"/>
          <w:sz w:val="18"/>
          <w:szCs w:val="18"/>
          <w:color w:val="auto"/>
        </w:rPr>
      </w:pPr>
    </w:p>
    <w:p>
      <w:pPr>
        <w:ind w:left="1100" w:right="539" w:hanging="322"/>
        <w:spacing w:after="0"/>
        <w:tabs>
          <w:tab w:leader="none" w:pos="1039"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27" w:lineRule="exact"/>
        <w:rPr>
          <w:rFonts w:ascii="Arial" w:cs="Arial" w:eastAsia="Arial" w:hAnsi="Arial"/>
          <w:sz w:val="18"/>
          <w:szCs w:val="18"/>
          <w:color w:val="auto"/>
        </w:rPr>
      </w:pPr>
    </w:p>
    <w:p>
      <w:pPr>
        <w:jc w:val="both"/>
        <w:ind w:left="1100" w:right="1219" w:hanging="322"/>
        <w:spacing w:after="0" w:line="274" w:lineRule="auto"/>
        <w:tabs>
          <w:tab w:leader="none" w:pos="1039" w:val="left"/>
        </w:tabs>
        <w:numPr>
          <w:ilvl w:val="0"/>
          <w:numId w:val="68"/>
        </w:numPr>
        <w:rPr>
          <w:rFonts w:ascii="Arial" w:cs="Arial" w:eastAsia="Arial" w:hAnsi="Arial"/>
          <w:sz w:val="17"/>
          <w:szCs w:val="17"/>
          <w:color w:val="auto"/>
        </w:rPr>
      </w:pPr>
      <w:r>
        <w:rPr>
          <w:rFonts w:ascii="Arial" w:cs="Arial" w:eastAsia="Arial" w:hAnsi="Arial"/>
          <w:sz w:val="17"/>
          <w:szCs w:val="17"/>
          <w:color w:val="auto"/>
        </w:rPr>
        <w:t>at least one year has elapsed from the time that the issuer filed current Form 10 type information with the SEC reflecting its status as an entity that is not a shell company.</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12" w:name="page113"/>
    <w:bookmarkEnd w:id="112"/>
    <w:p>
      <w:pPr>
        <w:ind w:left="460" w:right="479"/>
        <w:spacing w:after="0"/>
        <w:rPr>
          <w:sz w:val="20"/>
          <w:szCs w:val="20"/>
          <w:color w:val="auto"/>
        </w:rPr>
      </w:pPr>
      <w:r>
        <w:rPr>
          <w:rFonts w:ascii="Arial" w:cs="Arial" w:eastAsia="Arial" w:hAnsi="Arial"/>
          <w:sz w:val="18"/>
          <w:szCs w:val="18"/>
          <w:color w:val="auto"/>
        </w:rPr>
        <w:t>As a result, our initial stockholders will be able to sell their founder shares and private placement shares, as applicable, pursuant to Rule 144 without registration one year after we have completed our initial business combination.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Registration Rights</w:t>
      </w:r>
    </w:p>
    <w:p>
      <w:pPr>
        <w:spacing w:after="0" w:line="153" w:lineRule="exact"/>
        <w:rPr>
          <w:sz w:val="20"/>
          <w:szCs w:val="20"/>
          <w:color w:val="auto"/>
        </w:rPr>
      </w:pPr>
    </w:p>
    <w:p>
      <w:pPr>
        <w:ind w:left="460" w:right="519"/>
        <w:spacing w:after="0" w:line="235" w:lineRule="auto"/>
        <w:rPr>
          <w:sz w:val="20"/>
          <w:szCs w:val="20"/>
          <w:color w:val="auto"/>
        </w:rPr>
      </w:pPr>
      <w:r>
        <w:rPr>
          <w:rFonts w:ascii="Arial" w:cs="Arial" w:eastAsia="Arial" w:hAnsi="Arial"/>
          <w:sz w:val="18"/>
          <w:szCs w:val="18"/>
          <w:color w:val="auto"/>
        </w:rPr>
        <w:t>The holders of the (i) founder shares, which were issued in a private placement prior to the closing of this offering, (ii) private placement shares, which will be issued in a private placement simultaneously with the closing of this offering and (iii) private placement shares that may be issued upon conversion of working capital loans will have registration rights to require us to register a sale of any of our securities held by them pursuant to a registration rights agreement to be signed prior to or on the effective date of this offering. Pursuant to the registration rights agreement and assuming the underwriters exercise their over-allotment option in full and $1.5 million of working capital loans are converted into private placement shares, we will be obligated to register up to 3,455,000 shares of Class A common stock. The number of shares of Class A common stock includes (i) 2,875,000 shares of Class A common stock to be issued upon conversion of the founder shares, (ii) 430,000 private placement shares and (iii) 150,000 shares of Class A common stock issued upon conversion of working capital loans. The holders of these securities are entitled to make up to three demands, excluding short form demands, that we register such securities. In addition, the holders have certain “piggy-back” registration rights with respect to registration statements filed subsequent to our completion of our initial business combination. We will bear the expenses incurred in connection with the filing of any such registration statements.</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Listing of Securities</w:t>
      </w:r>
    </w:p>
    <w:p>
      <w:pPr>
        <w:spacing w:after="0" w:line="166" w:lineRule="exact"/>
        <w:rPr>
          <w:sz w:val="20"/>
          <w:szCs w:val="20"/>
          <w:color w:val="auto"/>
        </w:rPr>
      </w:pPr>
    </w:p>
    <w:p>
      <w:pPr>
        <w:ind w:left="460" w:right="779"/>
        <w:spacing w:after="0" w:line="246" w:lineRule="auto"/>
        <w:rPr>
          <w:sz w:val="20"/>
          <w:szCs w:val="20"/>
          <w:color w:val="auto"/>
        </w:rPr>
      </w:pPr>
      <w:r>
        <w:rPr>
          <w:rFonts w:ascii="Arial" w:cs="Arial" w:eastAsia="Arial" w:hAnsi="Arial"/>
          <w:sz w:val="18"/>
          <w:szCs w:val="18"/>
          <w:color w:val="auto"/>
        </w:rPr>
        <w:t>We have applied to have our shares of Class A common stock listed on Nasdaq under the symbol “FSDC” commencing on or promptly after the date of this prospectus.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13" w:name="page114"/>
    <w:bookmarkEnd w:id="113"/>
    <w:p>
      <w:pPr>
        <w:jc w:val="center"/>
        <w:ind w:right="19"/>
        <w:spacing w:after="0"/>
        <w:rPr>
          <w:sz w:val="20"/>
          <w:szCs w:val="20"/>
          <w:color w:val="auto"/>
        </w:rPr>
      </w:pPr>
      <w:r>
        <w:rPr>
          <w:rFonts w:ascii="Arial" w:cs="Arial" w:eastAsia="Arial" w:hAnsi="Arial"/>
          <w:sz w:val="18"/>
          <w:szCs w:val="18"/>
          <w:b w:val="1"/>
          <w:bCs w:val="1"/>
          <w:color w:val="auto"/>
        </w:rPr>
        <w:t>U.S. FEDERAL INCOME TAX CONSIDERATIONS</w:t>
      </w:r>
    </w:p>
    <w:p>
      <w:pPr>
        <w:spacing w:after="0" w:line="166" w:lineRule="exact"/>
        <w:rPr>
          <w:sz w:val="20"/>
          <w:szCs w:val="20"/>
          <w:color w:val="auto"/>
        </w:rPr>
      </w:pPr>
    </w:p>
    <w:p>
      <w:pPr>
        <w:ind w:left="460" w:right="679"/>
        <w:spacing w:after="0"/>
        <w:rPr>
          <w:sz w:val="20"/>
          <w:szCs w:val="20"/>
          <w:color w:val="auto"/>
        </w:rPr>
      </w:pPr>
      <w:r>
        <w:rPr>
          <w:rFonts w:ascii="Arial" w:cs="Arial" w:eastAsia="Arial" w:hAnsi="Arial"/>
          <w:sz w:val="18"/>
          <w:szCs w:val="18"/>
          <w:color w:val="auto"/>
        </w:rPr>
        <w:t>The following is a discussion of certain material U.S. federal income tax consequences of the acquisition, ownership and disposition of our shares of Class A common stock, which we refer to as our securities.</w:t>
      </w:r>
    </w:p>
    <w:p>
      <w:pPr>
        <w:spacing w:after="0" w:line="122" w:lineRule="exact"/>
        <w:rPr>
          <w:sz w:val="20"/>
          <w:szCs w:val="20"/>
          <w:color w:val="auto"/>
        </w:rPr>
      </w:pPr>
    </w:p>
    <w:p>
      <w:pPr>
        <w:jc w:val="both"/>
        <w:ind w:left="460" w:right="519"/>
        <w:spacing w:after="0" w:line="248" w:lineRule="auto"/>
        <w:rPr>
          <w:sz w:val="20"/>
          <w:szCs w:val="20"/>
          <w:color w:val="auto"/>
        </w:rPr>
      </w:pPr>
      <w:r>
        <w:rPr>
          <w:rFonts w:ascii="Arial" w:cs="Arial" w:eastAsia="Arial" w:hAnsi="Arial"/>
          <w:sz w:val="17"/>
          <w:szCs w:val="17"/>
          <w:color w:val="auto"/>
        </w:rPr>
        <w:t>This discussion is limited to certain U.S. federal income tax considerations to beneficial owners of our securities who are initial purchasers of shares of Class A common stock pursuant to this offering and hold the Class A common stock as a capital asset within the meaning of Section 1221 of the U.S.</w:t>
      </w:r>
    </w:p>
    <w:p>
      <w:pPr>
        <w:spacing w:after="0" w:line="2" w:lineRule="exact"/>
        <w:rPr>
          <w:sz w:val="20"/>
          <w:szCs w:val="20"/>
          <w:color w:val="auto"/>
        </w:rPr>
      </w:pPr>
    </w:p>
    <w:p>
      <w:pPr>
        <w:ind w:left="460" w:right="839"/>
        <w:spacing w:after="0" w:line="238" w:lineRule="auto"/>
        <w:rPr>
          <w:sz w:val="20"/>
          <w:szCs w:val="20"/>
          <w:color w:val="auto"/>
        </w:rPr>
      </w:pPr>
      <w:r>
        <w:rPr>
          <w:rFonts w:ascii="Arial" w:cs="Arial" w:eastAsia="Arial" w:hAnsi="Arial"/>
          <w:sz w:val="18"/>
          <w:szCs w:val="18"/>
          <w:color w:val="auto"/>
        </w:rPr>
        <w:t>Internal Revenue Code of 1986, as amended (the “Code”). This discussion assumes that any distributions made (or deemed made) by us on our Class A common stock and any consideration received (or deemed received) by a holder in consideration for the sale or other disposition of our securities will be in U.S. dollars.</w:t>
      </w:r>
    </w:p>
    <w:p>
      <w:pPr>
        <w:spacing w:after="0" w:line="137" w:lineRule="exact"/>
        <w:rPr>
          <w:sz w:val="20"/>
          <w:szCs w:val="20"/>
          <w:color w:val="auto"/>
        </w:rPr>
      </w:pPr>
    </w:p>
    <w:p>
      <w:pPr>
        <w:ind w:left="460" w:right="579"/>
        <w:spacing w:after="0" w:line="237" w:lineRule="auto"/>
        <w:rPr>
          <w:sz w:val="20"/>
          <w:szCs w:val="20"/>
          <w:color w:val="auto"/>
        </w:rPr>
      </w:pPr>
      <w:r>
        <w:rPr>
          <w:rFonts w:ascii="Arial" w:cs="Arial" w:eastAsia="Arial" w:hAnsi="Arial"/>
          <w:sz w:val="18"/>
          <w:szCs w:val="18"/>
          <w:color w:val="auto"/>
        </w:rPr>
        <w:t>This summary is based upon U.S. federal income tax law as of the date of this prospectus, which is subject to change or differing interpretations, possibly with retroactive effect. This discussion is a summary only and does not describe all of the tax consequences that may be relevant to you in light of your particular circumstances, including but not limited to the alternative minimum tax, the Medicare tax on certain net investment income and the different consequences that may apply if you are subject to special rules that apply to certain types of investors, including but not limited to:</w:t>
      </w:r>
    </w:p>
    <w:p>
      <w:pPr>
        <w:spacing w:after="0" w:line="29" w:lineRule="exact"/>
        <w:rPr>
          <w:sz w:val="20"/>
          <w:szCs w:val="20"/>
          <w:color w:val="auto"/>
        </w:rPr>
      </w:pPr>
    </w:p>
    <w:p>
      <w:pPr>
        <w:ind w:left="1040" w:hanging="262"/>
        <w:spacing w:after="0"/>
        <w:tabs>
          <w:tab w:leader="none" w:pos="10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financial institutions or financial services entities;</w:t>
      </w:r>
    </w:p>
    <w:p>
      <w:pPr>
        <w:spacing w:after="0" w:line="22" w:lineRule="exact"/>
        <w:rPr>
          <w:rFonts w:ascii="Arial" w:cs="Arial" w:eastAsia="Arial" w:hAnsi="Arial"/>
          <w:sz w:val="18"/>
          <w:szCs w:val="18"/>
          <w:color w:val="auto"/>
        </w:rPr>
      </w:pPr>
    </w:p>
    <w:p>
      <w:pPr>
        <w:ind w:left="1040" w:hanging="262"/>
        <w:spacing w:after="0"/>
        <w:tabs>
          <w:tab w:leader="none" w:pos="10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governments or agencies or instrumentalities thereof;</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22" w:lineRule="exact"/>
        <w:rPr>
          <w:rFonts w:ascii="Arial" w:cs="Arial" w:eastAsia="Arial" w:hAnsi="Arial"/>
          <w:sz w:val="18"/>
          <w:szCs w:val="18"/>
          <w:color w:val="auto"/>
        </w:rPr>
      </w:pPr>
    </w:p>
    <w:p>
      <w:pPr>
        <w:ind w:left="1040" w:hanging="262"/>
        <w:spacing w:after="0"/>
        <w:tabs>
          <w:tab w:leader="none" w:pos="10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expatriates or former long-term residents of the U.S.;</w:t>
      </w:r>
    </w:p>
    <w:p>
      <w:pPr>
        <w:spacing w:after="0" w:line="36" w:lineRule="exact"/>
        <w:rPr>
          <w:rFonts w:ascii="Arial" w:cs="Arial" w:eastAsia="Arial" w:hAnsi="Arial"/>
          <w:sz w:val="18"/>
          <w:szCs w:val="18"/>
          <w:color w:val="auto"/>
        </w:rPr>
      </w:pPr>
    </w:p>
    <w:p>
      <w:pPr>
        <w:ind w:left="1100" w:right="999" w:hanging="322"/>
        <w:spacing w:after="0" w:line="246" w:lineRule="auto"/>
        <w:tabs>
          <w:tab w:leader="none" w:pos="1039" w:val="left"/>
        </w:tabs>
        <w:numPr>
          <w:ilvl w:val="0"/>
          <w:numId w:val="69"/>
        </w:numPr>
        <w:rPr>
          <w:rFonts w:ascii="Arial" w:cs="Arial" w:eastAsia="Arial" w:hAnsi="Arial"/>
          <w:sz w:val="18"/>
          <w:szCs w:val="18"/>
          <w:color w:val="auto"/>
        </w:rPr>
      </w:pPr>
      <w:r>
        <w:rPr>
          <w:rFonts w:ascii="Arial" w:cs="Arial" w:eastAsia="Arial" w:hAnsi="Arial"/>
          <w:sz w:val="18"/>
          <w:szCs w:val="18"/>
          <w:color w:val="auto"/>
        </w:rPr>
        <w:t>persons that actually or constructively own five percent or more (by vote or value) of our shares;</w:t>
      </w:r>
    </w:p>
    <w:p>
      <w:pPr>
        <w:spacing w:after="0" w:line="7" w:lineRule="exact"/>
        <w:rPr>
          <w:rFonts w:ascii="Arial" w:cs="Arial" w:eastAsia="Arial" w:hAnsi="Arial"/>
          <w:sz w:val="18"/>
          <w:szCs w:val="18"/>
          <w:color w:val="auto"/>
        </w:rPr>
      </w:pPr>
    </w:p>
    <w:p>
      <w:pPr>
        <w:ind w:left="1100" w:right="799" w:hanging="322"/>
        <w:spacing w:after="0" w:line="246" w:lineRule="auto"/>
        <w:tabs>
          <w:tab w:leader="none" w:pos="1039" w:val="left"/>
        </w:tabs>
        <w:numPr>
          <w:ilvl w:val="0"/>
          <w:numId w:val="69"/>
        </w:numPr>
        <w:rPr>
          <w:rFonts w:ascii="Arial" w:cs="Arial" w:eastAsia="Arial" w:hAnsi="Arial"/>
          <w:sz w:val="18"/>
          <w:szCs w:val="18"/>
          <w:color w:val="auto"/>
        </w:rPr>
      </w:pPr>
      <w:r>
        <w:rPr>
          <w:rFonts w:ascii="Arial" w:cs="Arial" w:eastAsia="Arial" w:hAnsi="Arial"/>
          <w:sz w:val="18"/>
          <w:szCs w:val="18"/>
          <w:color w:val="auto"/>
        </w:rPr>
        <w:t>persons that acquired our securities pursuant to an exercise of employee share options, in connection with employee share incentive plans or otherwise as compensation;</w:t>
      </w:r>
    </w:p>
    <w:p>
      <w:pPr>
        <w:spacing w:after="0" w:line="21" w:lineRule="exact"/>
        <w:rPr>
          <w:rFonts w:ascii="Arial" w:cs="Arial" w:eastAsia="Arial" w:hAnsi="Arial"/>
          <w:sz w:val="18"/>
          <w:szCs w:val="18"/>
          <w:color w:val="auto"/>
        </w:rPr>
      </w:pPr>
    </w:p>
    <w:p>
      <w:pPr>
        <w:ind w:left="1040" w:hanging="262"/>
        <w:spacing w:after="0"/>
        <w:tabs>
          <w:tab w:leader="none" w:pos="10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36" w:lineRule="exact"/>
        <w:rPr>
          <w:rFonts w:ascii="Arial" w:cs="Arial" w:eastAsia="Arial" w:hAnsi="Arial"/>
          <w:sz w:val="18"/>
          <w:szCs w:val="18"/>
          <w:color w:val="auto"/>
        </w:rPr>
      </w:pPr>
    </w:p>
    <w:p>
      <w:pPr>
        <w:ind w:left="1100" w:right="1039" w:hanging="322"/>
        <w:spacing w:after="0" w:line="246" w:lineRule="auto"/>
        <w:tabs>
          <w:tab w:leader="none" w:pos="1039" w:val="left"/>
        </w:tabs>
        <w:numPr>
          <w:ilvl w:val="0"/>
          <w:numId w:val="69"/>
        </w:numPr>
        <w:rPr>
          <w:rFonts w:ascii="Arial" w:cs="Arial" w:eastAsia="Arial" w:hAnsi="Arial"/>
          <w:sz w:val="18"/>
          <w:szCs w:val="18"/>
          <w:color w:val="auto"/>
        </w:rPr>
      </w:pPr>
      <w:r>
        <w:rPr>
          <w:rFonts w:ascii="Arial" w:cs="Arial" w:eastAsia="Arial" w:hAnsi="Arial"/>
          <w:sz w:val="18"/>
          <w:szCs w:val="18"/>
          <w:color w:val="auto"/>
        </w:rPr>
        <w:t>dealers or traders subject to a mark-to-market method of accounting with respect to the securities;</w:t>
      </w:r>
    </w:p>
    <w:p>
      <w:pPr>
        <w:spacing w:after="0" w:line="7" w:lineRule="exact"/>
        <w:rPr>
          <w:rFonts w:ascii="Arial" w:cs="Arial" w:eastAsia="Arial" w:hAnsi="Arial"/>
          <w:sz w:val="18"/>
          <w:szCs w:val="18"/>
          <w:color w:val="auto"/>
        </w:rPr>
      </w:pPr>
    </w:p>
    <w:p>
      <w:pPr>
        <w:ind w:left="1100" w:right="619" w:hanging="322"/>
        <w:spacing w:after="0" w:line="246" w:lineRule="auto"/>
        <w:tabs>
          <w:tab w:leader="none" w:pos="1039" w:val="left"/>
        </w:tabs>
        <w:numPr>
          <w:ilvl w:val="0"/>
          <w:numId w:val="69"/>
        </w:numPr>
        <w:rPr>
          <w:rFonts w:ascii="Arial" w:cs="Arial" w:eastAsia="Arial" w:hAnsi="Arial"/>
          <w:sz w:val="18"/>
          <w:szCs w:val="18"/>
          <w:color w:val="auto"/>
        </w:rPr>
      </w:pPr>
      <w:r>
        <w:rPr>
          <w:rFonts w:ascii="Arial" w:cs="Arial" w:eastAsia="Arial" w:hAnsi="Arial"/>
          <w:sz w:val="18"/>
          <w:szCs w:val="18"/>
          <w:color w:val="auto"/>
        </w:rPr>
        <w:t>persons holding the securities as part of a “straddle,” constructive sale, hedge, conversion or other integrated transaction or similar transaction;</w:t>
      </w:r>
    </w:p>
    <w:p>
      <w:pPr>
        <w:spacing w:after="0" w:line="21" w:lineRule="exact"/>
        <w:rPr>
          <w:rFonts w:ascii="Arial" w:cs="Arial" w:eastAsia="Arial" w:hAnsi="Arial"/>
          <w:sz w:val="18"/>
          <w:szCs w:val="18"/>
          <w:color w:val="auto"/>
        </w:rPr>
      </w:pPr>
    </w:p>
    <w:p>
      <w:pPr>
        <w:ind w:left="1040" w:hanging="262"/>
        <w:spacing w:after="0"/>
        <w:tabs>
          <w:tab w:leader="none" w:pos="10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U.S. holders (as defined below) whose functional currency is not the U.S. dollar;</w:t>
      </w:r>
    </w:p>
    <w:p>
      <w:pPr>
        <w:spacing w:after="0" w:line="36" w:lineRule="exact"/>
        <w:rPr>
          <w:rFonts w:ascii="Arial" w:cs="Arial" w:eastAsia="Arial" w:hAnsi="Arial"/>
          <w:sz w:val="18"/>
          <w:szCs w:val="18"/>
          <w:color w:val="auto"/>
        </w:rPr>
      </w:pPr>
    </w:p>
    <w:p>
      <w:pPr>
        <w:jc w:val="both"/>
        <w:ind w:left="1100" w:right="879" w:hanging="322"/>
        <w:spacing w:after="0" w:line="246" w:lineRule="auto"/>
        <w:tabs>
          <w:tab w:leader="none" w:pos="1039" w:val="left"/>
        </w:tabs>
        <w:numPr>
          <w:ilvl w:val="0"/>
          <w:numId w:val="69"/>
        </w:numPr>
        <w:rPr>
          <w:rFonts w:ascii="Arial" w:cs="Arial" w:eastAsia="Arial" w:hAnsi="Arial"/>
          <w:sz w:val="18"/>
          <w:szCs w:val="18"/>
          <w:color w:val="auto"/>
        </w:rPr>
      </w:pPr>
      <w:r>
        <w:rPr>
          <w:rFonts w:ascii="Arial" w:cs="Arial" w:eastAsia="Arial" w:hAnsi="Arial"/>
          <w:sz w:val="18"/>
          <w:szCs w:val="18"/>
          <w:color w:val="auto"/>
        </w:rPr>
        <w:t>partnerships (or entities or arrangements classified as partnerships or other pass-through entities for U.S. federal income tax purposes) and any beneficial owners of such entities;</w:t>
      </w:r>
    </w:p>
    <w:p>
      <w:pPr>
        <w:spacing w:after="0" w:line="7" w:lineRule="exact"/>
        <w:rPr>
          <w:rFonts w:ascii="Arial" w:cs="Arial" w:eastAsia="Arial" w:hAnsi="Arial"/>
          <w:sz w:val="18"/>
          <w:szCs w:val="18"/>
          <w:color w:val="auto"/>
        </w:rPr>
      </w:pPr>
    </w:p>
    <w:p>
      <w:pPr>
        <w:ind w:left="1040" w:hanging="262"/>
        <w:spacing w:after="0"/>
        <w:tabs>
          <w:tab w:leader="none" w:pos="10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controlled foreign corporations; and.</w:t>
      </w:r>
    </w:p>
    <w:p>
      <w:pPr>
        <w:spacing w:after="0" w:line="22" w:lineRule="exact"/>
        <w:rPr>
          <w:rFonts w:ascii="Arial" w:cs="Arial" w:eastAsia="Arial" w:hAnsi="Arial"/>
          <w:sz w:val="18"/>
          <w:szCs w:val="18"/>
          <w:color w:val="auto"/>
        </w:rPr>
      </w:pPr>
    </w:p>
    <w:p>
      <w:pPr>
        <w:ind w:left="1040" w:hanging="262"/>
        <w:spacing w:after="0"/>
        <w:tabs>
          <w:tab w:leader="none" w:pos="10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passive foreign investment companies.</w:t>
      </w:r>
    </w:p>
    <w:p>
      <w:pPr>
        <w:spacing w:after="0" w:line="144" w:lineRule="exact"/>
        <w:rPr>
          <w:sz w:val="20"/>
          <w:szCs w:val="20"/>
          <w:color w:val="auto"/>
        </w:rPr>
      </w:pPr>
    </w:p>
    <w:p>
      <w:pPr>
        <w:ind w:left="460" w:right="519"/>
        <w:spacing w:after="0" w:line="253" w:lineRule="auto"/>
        <w:rPr>
          <w:sz w:val="20"/>
          <w:szCs w:val="20"/>
          <w:color w:val="auto"/>
        </w:rPr>
      </w:pPr>
      <w:r>
        <w:rPr>
          <w:rFonts w:ascii="Arial" w:cs="Arial" w:eastAsia="Arial" w:hAnsi="Arial"/>
          <w:sz w:val="17"/>
          <w:szCs w:val="17"/>
          <w:color w:val="auto"/>
        </w:rPr>
        <w:t>If a partnership (including an entity or arrangement treated as a partnership or other pass-through entity for U.S. federal income tax purposes) holds our securities, the tax treatment of a partner, member or other beneficial owner in such partnership will generally depend upon the status of the partner, member or other beneficial owner, the activities of the partnership and certain determinations made at the partner, member or other beneficial owner level. If you are a partner, member or other beneficial owner of a partnership holding our securities, you are urged to consult your tax advisor regarding the tax consequences of the acquisition, ownership and disposition of our securities.</w:t>
      </w:r>
    </w:p>
    <w:p>
      <w:pPr>
        <w:spacing w:after="0" w:line="124" w:lineRule="exact"/>
        <w:rPr>
          <w:sz w:val="20"/>
          <w:szCs w:val="20"/>
          <w:color w:val="auto"/>
        </w:rPr>
      </w:pPr>
    </w:p>
    <w:p>
      <w:pPr>
        <w:ind w:left="460" w:right="499"/>
        <w:spacing w:after="0" w:line="237" w:lineRule="auto"/>
        <w:rPr>
          <w:sz w:val="20"/>
          <w:szCs w:val="20"/>
          <w:color w:val="auto"/>
        </w:rPr>
      </w:pPr>
      <w:r>
        <w:rPr>
          <w:rFonts w:ascii="Arial" w:cs="Arial" w:eastAsia="Arial" w:hAnsi="Arial"/>
          <w:sz w:val="18"/>
          <w:szCs w:val="18"/>
          <w:color w:val="auto"/>
        </w:rPr>
        <w:t>This discussion is based on the Code, and administrative pronouncements, judicial decisions and final, temporary and proposed Treasury regulations as of the date hereof, which are subject to change, possibly on a retroactive basis, and changes to any of which subsequent to the date of this prospectus may affect the tax consequences described herein. This discussion does not address any aspect of state, local or non-U.S. taxation, or any U.S. federal taxes other than income taxes (such as gift and estate taxes).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14" w:name="page115"/>
    <w:bookmarkEnd w:id="114"/>
    <w:p>
      <w:pPr>
        <w:ind w:left="460" w:right="579"/>
        <w:spacing w:after="0" w:line="237" w:lineRule="auto"/>
        <w:rPr>
          <w:sz w:val="20"/>
          <w:szCs w:val="20"/>
          <w:color w:val="auto"/>
        </w:rPr>
      </w:pPr>
      <w:r>
        <w:rPr>
          <w:rFonts w:ascii="Arial" w:cs="Arial" w:eastAsia="Arial" w:hAnsi="Arial"/>
          <w:sz w:val="18"/>
          <w:szCs w:val="18"/>
          <w:color w:val="auto"/>
        </w:rPr>
        <w:t>We have not sought, and do not expect to seek, a ruling from the U.S. Internal Revenue Service (the “IRS”)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 You are urged to consult your tax advisor with respect to the application of U.S. federal tax laws to your particular situation, as well as any tax consequences arising under the laws of any state, local or foreign jurisdiction.</w:t>
      </w:r>
    </w:p>
    <w:p>
      <w:pPr>
        <w:spacing w:after="0" w:line="122"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THIS DISCUSSION IS ONLY A SUMMARY OF CERTAIN U.S. FEDERAL INCOME TAX CONSIDERATIONS ASSOCIATED WITH THE ACQUISITION, OWNERSHIP AND DISPOSITION OF OUR SECURITIES. EACH PROSPECTIVE INVESTOR IN OUR SECURITIES IS URGED TO CONSULT ITS OWN TAX ADVISOR WITH RESPECT TO THE PARTICULAR TAX CONSEQUENCES TO SUCH INVESTOR OF THE ACQUISITION, OWNERSHIP AND DISPOSITION OF OUR SECURITIES, INCLUDING THE APPLICABILITY AND EFFECT OF ANY U.S. FEDERAL NON-INCOME, STATE, LOCAL, AND NON-U.S. TAX LAWS.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Personal Holding Company Status</w:t>
      </w:r>
    </w:p>
    <w:p>
      <w:pPr>
        <w:spacing w:after="0" w:line="166"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We could be subject to a second level of U.S. federal income tax on a portion of our income if we are determined to be a personal holding company, or PHC, for U.S. federal income tax purposes. A U.S. corporation generally will be classified as a PHC for U.S. federal income tax purposes in a given taxable year if (i) at any time during the last half of such taxable year, five or fewer individuals (without regard to their citizenship or residency and including as individuals for this purpose certain entities such as certain tax-exempt organizations, pension funds and charitable trusts) own or are deemed to own (pursuant to certain constructive ownership rules) more than 50% of the stock of the corporation by value and (ii) at least 60% of the corporation’s adjusted ordinary gross income, as determined for U.S. federal income tax purposes, for such taxable year consists of PHC income (which includes, among other things, dividends, interest, certain royalties, annuities and, under certain circumstances, rents).</w:t>
      </w:r>
    </w:p>
    <w:p>
      <w:pPr>
        <w:spacing w:after="0" w:line="137"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At least 60% of our adjusted ordinary gross income may consist of PHC income, depending on the date and size of our initial business combination. In addition, depending on the concentration of our stock in the hands of individuals, including the members of our sponsor and certain tax-exempt organizations, pension funds and charitable trusts, more than 50% of our stock may be owned or deemed owned (pursuant to the constructive ownership rules) by such persons during the last half of a taxable year. Thus, no assurance can be given that we will not be a PHC following this offering or in the future. If we are or were to become a PHC in a given taxable year, we would be subject to an additional PHC tax, currently imposed at a rate of 20%, on our undistributed PHC income, which generally includes our taxable income, subject to certain adjustments.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U.S. Holders</w:t>
      </w:r>
    </w:p>
    <w:p>
      <w:pPr>
        <w:spacing w:after="0" w:line="153" w:lineRule="exact"/>
        <w:rPr>
          <w:sz w:val="20"/>
          <w:szCs w:val="20"/>
          <w:color w:val="auto"/>
        </w:rPr>
      </w:pPr>
    </w:p>
    <w:p>
      <w:pPr>
        <w:ind w:left="460" w:right="499"/>
        <w:spacing w:after="0" w:line="246" w:lineRule="auto"/>
        <w:rPr>
          <w:sz w:val="20"/>
          <w:szCs w:val="20"/>
          <w:color w:val="auto"/>
        </w:rPr>
      </w:pPr>
      <w:r>
        <w:rPr>
          <w:rFonts w:ascii="Arial" w:cs="Arial" w:eastAsia="Arial" w:hAnsi="Arial"/>
          <w:sz w:val="18"/>
          <w:szCs w:val="18"/>
          <w:color w:val="auto"/>
        </w:rPr>
        <w:t>This section applies to you if you are a “U.S. holder.” A U.S. holder is a beneficial owner of our shares of Class A common stock who or that is, for U.S. federal income tax purposes:</w:t>
      </w:r>
    </w:p>
    <w:p>
      <w:pPr>
        <w:spacing w:after="0" w:line="21" w:lineRule="exact"/>
        <w:rPr>
          <w:sz w:val="20"/>
          <w:szCs w:val="20"/>
          <w:color w:val="auto"/>
        </w:rPr>
      </w:pPr>
    </w:p>
    <w:p>
      <w:pPr>
        <w:ind w:left="1040" w:hanging="262"/>
        <w:spacing w:after="0"/>
        <w:tabs>
          <w:tab w:leader="none" w:pos="10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36" w:lineRule="exact"/>
        <w:rPr>
          <w:rFonts w:ascii="Arial" w:cs="Arial" w:eastAsia="Arial" w:hAnsi="Arial"/>
          <w:sz w:val="18"/>
          <w:szCs w:val="18"/>
          <w:color w:val="auto"/>
        </w:rPr>
      </w:pPr>
    </w:p>
    <w:p>
      <w:pPr>
        <w:ind w:left="1100" w:right="719" w:hanging="322"/>
        <w:spacing w:after="0" w:line="246" w:lineRule="auto"/>
        <w:tabs>
          <w:tab w:leader="none" w:pos="1039"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organized in or under the laws of the United States, any state thereof or the District of Columbia;</w:t>
      </w:r>
    </w:p>
    <w:p>
      <w:pPr>
        <w:spacing w:after="0" w:line="7" w:lineRule="exact"/>
        <w:rPr>
          <w:rFonts w:ascii="Arial" w:cs="Arial" w:eastAsia="Arial" w:hAnsi="Arial"/>
          <w:sz w:val="18"/>
          <w:szCs w:val="18"/>
          <w:color w:val="auto"/>
        </w:rPr>
      </w:pPr>
    </w:p>
    <w:p>
      <w:pPr>
        <w:ind w:left="1100" w:right="1119" w:hanging="322"/>
        <w:spacing w:after="0" w:line="246" w:lineRule="auto"/>
        <w:tabs>
          <w:tab w:leader="none" w:pos="1039"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U.S. federal income tax purposes regardless of its source; or</w:t>
      </w:r>
    </w:p>
    <w:p>
      <w:pPr>
        <w:spacing w:after="0" w:line="21" w:lineRule="exact"/>
        <w:rPr>
          <w:rFonts w:ascii="Arial" w:cs="Arial" w:eastAsia="Arial" w:hAnsi="Arial"/>
          <w:sz w:val="18"/>
          <w:szCs w:val="18"/>
          <w:color w:val="auto"/>
        </w:rPr>
      </w:pPr>
    </w:p>
    <w:p>
      <w:pPr>
        <w:jc w:val="both"/>
        <w:ind w:left="1100" w:right="739" w:hanging="322"/>
        <w:spacing w:after="0" w:line="238" w:lineRule="auto"/>
        <w:tabs>
          <w:tab w:leader="none" w:pos="1039"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trust, if (i) a court within the United States is able to exercise primary supervision over the administration of the trust and one or more United States persons (as defined in the Code) have authority to control all substantial decisions of the trust or (ii) it has a valid election in effect under Treasury Regulations to be treated as a U.S. person.</w:t>
      </w:r>
    </w:p>
    <w:p>
      <w:pPr>
        <w:spacing w:after="0" w:line="119" w:lineRule="exact"/>
        <w:rPr>
          <w:sz w:val="20"/>
          <w:szCs w:val="20"/>
          <w:color w:val="auto"/>
        </w:rPr>
      </w:pPr>
    </w:p>
    <w:p>
      <w:pPr>
        <w:ind w:left="460" w:right="519"/>
        <w:spacing w:after="0" w:line="256" w:lineRule="auto"/>
        <w:rPr>
          <w:sz w:val="20"/>
          <w:szCs w:val="20"/>
          <w:color w:val="auto"/>
        </w:rPr>
      </w:pPr>
      <w:r>
        <w:rPr>
          <w:rFonts w:ascii="Arial" w:cs="Arial" w:eastAsia="Arial" w:hAnsi="Arial"/>
          <w:sz w:val="17"/>
          <w:szCs w:val="17"/>
          <w:i w:val="1"/>
          <w:iCs w:val="1"/>
          <w:color w:val="auto"/>
        </w:rPr>
        <w:t xml:space="preserve">Taxation of Distributions. </w:t>
      </w:r>
      <w:r>
        <w:rPr>
          <w:rFonts w:ascii="Arial" w:cs="Arial" w:eastAsia="Arial" w:hAnsi="Arial"/>
          <w:sz w:val="17"/>
          <w:szCs w:val="17"/>
          <w:color w:val="auto"/>
        </w:rPr>
        <w:t>If we pay distributions in cash or other property (other than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distributions of our stock or rights to acquire our stock) to U.S. holders of shares of our Class A common stock, such distributions generally will constitute dividends for U.S. federal income tax purposes to the extent paid from our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our Class A common stock. Any remaining excess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15" w:name="page116"/>
    <w:bookmarkEnd w:id="115"/>
    <w:p>
      <w:pPr>
        <w:ind w:left="460" w:right="619"/>
        <w:spacing w:after="0"/>
        <w:rPr>
          <w:sz w:val="20"/>
          <w:szCs w:val="20"/>
          <w:color w:val="auto"/>
        </w:rPr>
      </w:pPr>
      <w:r>
        <w:rPr>
          <w:rFonts w:ascii="Arial" w:cs="Arial" w:eastAsia="Arial" w:hAnsi="Arial"/>
          <w:sz w:val="18"/>
          <w:szCs w:val="18"/>
          <w:color w:val="auto"/>
        </w:rPr>
        <w:t>will be treated as gain realized on the sale or other disposition of the Class A common stock and will be treated as described under “U.S. Holders — Gain or Loss on Sale, Taxable Exchange or Other Taxable Disposition of Class A Common Stock” below.</w:t>
      </w:r>
    </w:p>
    <w:p>
      <w:pPr>
        <w:spacing w:after="0" w:line="122" w:lineRule="exact"/>
        <w:rPr>
          <w:sz w:val="20"/>
          <w:szCs w:val="20"/>
          <w:color w:val="auto"/>
        </w:rPr>
      </w:pPr>
    </w:p>
    <w:p>
      <w:pPr>
        <w:ind w:left="460" w:right="559"/>
        <w:spacing w:after="0" w:line="236" w:lineRule="auto"/>
        <w:rPr>
          <w:sz w:val="20"/>
          <w:szCs w:val="20"/>
          <w:color w:val="auto"/>
        </w:rPr>
      </w:pPr>
      <w:r>
        <w:rPr>
          <w:rFonts w:ascii="Arial" w:cs="Arial" w:eastAsia="Arial" w:hAnsi="Arial"/>
          <w:sz w:val="18"/>
          <w:szCs w:val="18"/>
          <w:color w:val="auto"/>
        </w:rPr>
        <w:t>Dividends we pay to a U.S. holder that is a taxable corporation generally will qualify for the dividends received deduction if the requisite holding period is satisfied. With certain exceptions (including, but not limited to, dividends treated as investment income for purposes of investment interest deduction limitations), and provided certain holding period requirements are met, dividends we pay to a non-corporate U.S. holder may constitute “qualified dividend income” that will be subject to tax at the maximum tax rate accorded to long-term capital gains. It is unclear whether the redemption rights with respect to the Class A common stock described in this prospectus may prevent a U.S. holder from satisfying the applicable holding period requirements with respect to the dividends received deduction or the preferential tax rate on qualified dividend income, as the case may be. If the holding period requirements are not satisfied, then a corporation may not be able to qualify for the dividends received deduction and would have taxable income equal to the entire dividend amount, and non-corporate U.S. holders may be subject to tax on such dividend at regular ordinary income tax rates instead of the preferential rate that applies to qualified dividend income.</w:t>
      </w:r>
    </w:p>
    <w:p>
      <w:pPr>
        <w:spacing w:after="0" w:line="117"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i w:val="1"/>
          <w:iCs w:val="1"/>
          <w:color w:val="auto"/>
        </w:rPr>
        <w:t xml:space="preserve">Gain or Loss on Sale, Taxable Exchange or Other Taxable Disposition of Class A Common Stock. </w:t>
      </w:r>
      <w:r>
        <w:rPr>
          <w:rFonts w:ascii="Arial" w:cs="Arial" w:eastAsia="Arial" w:hAnsi="Arial"/>
          <w:sz w:val="18"/>
          <w:szCs w:val="18"/>
          <w:color w:val="auto"/>
        </w:rPr>
        <w:t>Upon a sale or other taxable disposition of our Class A common stock (which, in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would include a redemption of Class A common stock that is treated as a sale of such securities as described below, including as a result of a dissolution and liquidation in the event we do not consummate an initial business combination within the required time period), a U.S. holder generally will recognize capital gain or loss in an amount equal to the difference between the amount realized and the U.S. holder’s adjusted tax basis in the Class A common stock. Any such capital gain or loss generally will be long-term capital gain or loss if the U.S. holder’s holding period for the Class A common stock so disposed of exceeds one year. It is unclear, however, whether the redemption rights with respect to the Class A common stock described in this prospectus may suspend the running of the applicable holding period for this purpose. If the running of the holding period for the Class A common stock is suspended, then non-corporate U.S. holders may not be able to satisfy the one-year holding period requirement for long-term capital gain treatment, in which case any gain on a sale or taxable disposition of the shares would be subject to short-term capital gain treatment and would be taxed at regular ordinary income tax rates. Long-term capital gains recognized by non-corporate U.S. holders may be eligible to be taxed at reduced rates. The deductibility of capital losses is subject to limitations.</w:t>
      </w:r>
    </w:p>
    <w:p>
      <w:pPr>
        <w:spacing w:after="0" w:line="134" w:lineRule="exact"/>
        <w:rPr>
          <w:sz w:val="20"/>
          <w:szCs w:val="20"/>
          <w:color w:val="auto"/>
        </w:rPr>
      </w:pPr>
    </w:p>
    <w:p>
      <w:pPr>
        <w:ind w:left="460" w:right="599"/>
        <w:spacing w:after="0" w:line="238" w:lineRule="auto"/>
        <w:rPr>
          <w:sz w:val="20"/>
          <w:szCs w:val="20"/>
          <w:color w:val="auto"/>
        </w:rPr>
      </w:pPr>
      <w:r>
        <w:rPr>
          <w:rFonts w:ascii="Arial" w:cs="Arial" w:eastAsia="Arial" w:hAnsi="Arial"/>
          <w:sz w:val="18"/>
          <w:szCs w:val="18"/>
          <w:color w:val="auto"/>
        </w:rPr>
        <w:t>Generally, the amount of gain or loss recognized by a U.S. holder is an amount equal to the difference between (i) the sum of the amount of cash and the fair market value of any property received in such disposition and (ii) the U.S. holder’s adjusted tax basis in its Class A common stock so disposed of. A U.S. holder’s adjusted tax basis in its Class A common stock generally will equal the U.S. holder’s acquisition cost less any prior distributions treated as a return of capital.</w:t>
      </w:r>
    </w:p>
    <w:p>
      <w:pPr>
        <w:spacing w:after="0" w:line="103"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i w:val="1"/>
          <w:iCs w:val="1"/>
          <w:color w:val="auto"/>
        </w:rPr>
        <w:t xml:space="preserve">Redemption of Class A Common Stock. </w:t>
      </w:r>
      <w:r>
        <w:rPr>
          <w:rFonts w:ascii="Arial" w:cs="Arial" w:eastAsia="Arial" w:hAnsi="Arial"/>
          <w:sz w:val="18"/>
          <w:szCs w:val="18"/>
          <w:color w:val="auto"/>
        </w:rPr>
        <w:t>In the event that a U.S. holder’s Class A common stock is</w:t>
      </w:r>
      <w:r>
        <w:rPr>
          <w:rFonts w:ascii="Arial" w:cs="Arial" w:eastAsia="Arial" w:hAnsi="Arial"/>
          <w:sz w:val="18"/>
          <w:szCs w:val="18"/>
          <w:i w:val="1"/>
          <w:iCs w:val="1"/>
          <w:color w:val="auto"/>
        </w:rPr>
        <w:t xml:space="preserve"> </w:t>
      </w:r>
      <w:r>
        <w:rPr>
          <w:rFonts w:ascii="Arial" w:cs="Arial" w:eastAsia="Arial" w:hAnsi="Arial"/>
          <w:sz w:val="18"/>
          <w:szCs w:val="18"/>
          <w:color w:val="auto"/>
        </w:rPr>
        <w:t>redeemed pursuant to the redemption provisions described in this prospectus under the section of this prospectus entitled “Description of Shares — Common Stock” or if we purchase a U.S. holder’s Class A common stock in an open market transaction (such open market purchase of Class A common stock by us is referred to as a “redemption” for the remainder of this discussion), the treatment of the transaction for U.S. federal income tax purposes will depend on whether the redemption qualifies as a sale of Class A common stock under Section 302 of the Code. If the redemption qualifies as a sale of Class A common stock, the U.S. holder will be treated as described under “U.S. Holders — Gain or Loss on Sale, Taxable Exchange or Other Taxable Disposition of Class A Common Stock” above. If the redemption does not qualify as a sale of Class A common stock, the U.S. holder will be treated as receiving a corporate distribution with the tax consequences described above under “U.S. Holders — Taxation of Distributions.” Whether a redemption qualifies for sale treatment will depend largely on the total number of shares of our stock treated as held by the U.S. holder (including any stock constructively owned by the U.S. holder) relative to all of our shares outstanding both before and after the redemption. The redemption of Class A common stock generally will be treated as a sale of the Class A common stock (rather than as a corporate distribution) if the redemption (i) is “substantially disproportionate” with respect to the U.S. holder,</w:t>
      </w:r>
    </w:p>
    <w:p>
      <w:pPr>
        <w:ind w:left="460" w:right="619" w:hanging="6"/>
        <w:spacing w:after="0" w:line="274" w:lineRule="auto"/>
        <w:tabs>
          <w:tab w:leader="none" w:pos="710" w:val="left"/>
        </w:tabs>
        <w:numPr>
          <w:ilvl w:val="0"/>
          <w:numId w:val="71"/>
        </w:numPr>
        <w:rPr>
          <w:rFonts w:ascii="Arial" w:cs="Arial" w:eastAsia="Arial" w:hAnsi="Arial"/>
          <w:sz w:val="17"/>
          <w:szCs w:val="17"/>
          <w:color w:val="auto"/>
        </w:rPr>
      </w:pPr>
      <w:r>
        <w:rPr>
          <w:rFonts w:ascii="Arial" w:cs="Arial" w:eastAsia="Arial" w:hAnsi="Arial"/>
          <w:sz w:val="17"/>
          <w:szCs w:val="17"/>
          <w:color w:val="auto"/>
        </w:rPr>
        <w:t>results in a “complete termination” of the U.S. holder’s interest in us or (iii) is “not essentially equivalent to a dividend” with respect to the U.S. holder. These tests are explained more fully below.</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16" w:name="page117"/>
    <w:bookmarkEnd w:id="116"/>
    <w:p>
      <w:pPr>
        <w:ind w:left="460" w:right="519"/>
        <w:spacing w:after="0" w:line="235" w:lineRule="auto"/>
        <w:rPr>
          <w:sz w:val="20"/>
          <w:szCs w:val="20"/>
          <w:color w:val="auto"/>
        </w:rPr>
      </w:pPr>
      <w:r>
        <w:rPr>
          <w:rFonts w:ascii="Arial" w:cs="Arial" w:eastAsia="Arial" w:hAnsi="Arial"/>
          <w:sz w:val="18"/>
          <w:szCs w:val="18"/>
          <w:color w:val="auto"/>
        </w:rPr>
        <w:t>In determining whether any of the foregoing tests are satisfied, a U.S. holder takes into account not only stock actually owned by the U.S. holder, but also shares of our stock that are constructively owned by it. A U.S. holder may constructively own, in addition to stock owned directly, stock owned by certain related individuals and entities in which the U.S. holder has an interest or that have an interest in such U.S. holder, as well as any stock the U.S. holder has a right to acquire by exercise of an option. In order to meet the substantially disproportionate test, the percentage of our outstanding voting stock actually and constructively owned by the U.S. holder immediately following the redemption of Class A common stock must, among other requirements, be less than 80% of the percentage of our outstanding voting stock actually and constructively owned by the U.S. holder immediately before the redemption. There will be a complete termination of a U.S. holder’s interest if either (i) all of the shares of our stock actually and constructively owned by the U.S. holder are redeemed or (ii) all of the shares of our stock actually owned by the U.S. holder are redeemed and the U.S. holder is eligible to waive, and effectively waives in accordance with specific rules, the attribution of stock owned by certain family members and the U.S. holder does not constructively own any other shares of our stock. The redemption of the Class A common stock will not be essentially equivalent to a dividend if a U.S. holder’s redemption results in a “meaningful reduction” of the U.S. holder’s proportionate interest in us. Whether the redemption will result in a meaningful reduction in a U.S. holder’s proportionate interest in us will depend on the particular facts and circumstances. However, the IRS has indicated in a published ruling that even a small reduction in the proportionate interest of a small minority stockholder in a publicly held corporation who exercises no control over corporate affairs may constitute such a “meaningful reduction.” A U.S. holder should consult with its own tax advisors as to the tax consequences of a redemption.</w:t>
      </w:r>
    </w:p>
    <w:p>
      <w:pPr>
        <w:spacing w:after="0" w:line="131" w:lineRule="exact"/>
        <w:rPr>
          <w:sz w:val="20"/>
          <w:szCs w:val="20"/>
          <w:color w:val="auto"/>
        </w:rPr>
      </w:pPr>
    </w:p>
    <w:p>
      <w:pPr>
        <w:ind w:left="460" w:right="579"/>
        <w:spacing w:after="0" w:line="237" w:lineRule="auto"/>
        <w:rPr>
          <w:sz w:val="20"/>
          <w:szCs w:val="20"/>
          <w:color w:val="auto"/>
        </w:rPr>
      </w:pPr>
      <w:r>
        <w:rPr>
          <w:rFonts w:ascii="Arial" w:cs="Arial" w:eastAsia="Arial" w:hAnsi="Arial"/>
          <w:sz w:val="18"/>
          <w:szCs w:val="18"/>
          <w:color w:val="auto"/>
        </w:rPr>
        <w:t>If none of the foregoing tests is satisfied, then the redemption of any Class A common stock will be treated as a corporate distribution and the tax effects will be as described under “U.S. Holders — Taxation of Distributions,” above. After the application of those rules, any remaining tax basis of the U.S. holder in the redeemed Class A common stock will be added to the U.S. holder’s adjusted tax basis in its remaining stock, or, if it has none, possibly to the U.S. holder’s adjusted tax basis in other stock constructively owned by it.</w:t>
      </w:r>
    </w:p>
    <w:p>
      <w:pPr>
        <w:spacing w:after="0" w:line="119" w:lineRule="exact"/>
        <w:rPr>
          <w:sz w:val="20"/>
          <w:szCs w:val="20"/>
          <w:color w:val="auto"/>
        </w:rPr>
      </w:pPr>
    </w:p>
    <w:p>
      <w:pPr>
        <w:ind w:left="460" w:right="559"/>
        <w:spacing w:after="0" w:line="241" w:lineRule="auto"/>
        <w:rPr>
          <w:sz w:val="20"/>
          <w:szCs w:val="20"/>
          <w:color w:val="auto"/>
        </w:rPr>
      </w:pPr>
      <w:r>
        <w:rPr>
          <w:rFonts w:ascii="Arial" w:cs="Arial" w:eastAsia="Arial" w:hAnsi="Arial"/>
          <w:sz w:val="18"/>
          <w:szCs w:val="18"/>
          <w:i w:val="1"/>
          <w:iCs w:val="1"/>
          <w:color w:val="auto"/>
        </w:rPr>
        <w:t xml:space="preserve">Information Reporting and Backup Withholding. </w:t>
      </w:r>
      <w:r>
        <w:rPr>
          <w:rFonts w:ascii="Arial" w:cs="Arial" w:eastAsia="Arial" w:hAnsi="Arial"/>
          <w:sz w:val="18"/>
          <w:szCs w:val="18"/>
          <w:color w:val="auto"/>
        </w:rPr>
        <w:t>In general, information reporting requirements may</w:t>
      </w:r>
      <w:r>
        <w:rPr>
          <w:rFonts w:ascii="Arial" w:cs="Arial" w:eastAsia="Arial" w:hAnsi="Arial"/>
          <w:sz w:val="18"/>
          <w:szCs w:val="18"/>
          <w:i w:val="1"/>
          <w:iCs w:val="1"/>
          <w:color w:val="auto"/>
        </w:rPr>
        <w:t xml:space="preserve"> </w:t>
      </w:r>
      <w:r>
        <w:rPr>
          <w:rFonts w:ascii="Arial" w:cs="Arial" w:eastAsia="Arial" w:hAnsi="Arial"/>
          <w:sz w:val="18"/>
          <w:szCs w:val="18"/>
          <w:color w:val="auto"/>
        </w:rPr>
        <w:t>apply to dividends paid to a U.S. holder and to the proceeds of the sale or other disposition of our shares of Class A common stock, unless the U.S. holder is an exempt recipient. Backup withholding may apply to such payments if the U.S. holder fails to provide a taxpayer identification number, a certification of exempt status or has been notified by the IRS that it is subject to backup withholding (and such notification has not been withdrawn).</w:t>
      </w:r>
    </w:p>
    <w:p>
      <w:pPr>
        <w:spacing w:after="0" w:line="134" w:lineRule="exact"/>
        <w:rPr>
          <w:sz w:val="20"/>
          <w:szCs w:val="20"/>
          <w:color w:val="auto"/>
        </w:rPr>
      </w:pPr>
    </w:p>
    <w:p>
      <w:pPr>
        <w:ind w:left="460" w:right="479"/>
        <w:spacing w:after="0"/>
        <w:rPr>
          <w:sz w:val="20"/>
          <w:szCs w:val="20"/>
          <w:color w:val="auto"/>
        </w:rPr>
      </w:pPr>
      <w:r>
        <w:rPr>
          <w:rFonts w:ascii="Arial" w:cs="Arial" w:eastAsia="Arial" w:hAnsi="Arial"/>
          <w:sz w:val="18"/>
          <w:szCs w:val="18"/>
          <w:color w:val="auto"/>
        </w:rPr>
        <w:t>Backup withholding is not an additional tax. Any amounts withheld under the backup withholding rules will be allowed as a credit against a U.S. holder’s U.S. federal income tax liability and may entitle such holder to a refund, provided the required information is timely furnished to the IRS.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Non-U.S. Holders</w:t>
      </w:r>
    </w:p>
    <w:p>
      <w:pPr>
        <w:spacing w:after="0" w:line="153" w:lineRule="exact"/>
        <w:rPr>
          <w:sz w:val="20"/>
          <w:szCs w:val="20"/>
          <w:color w:val="auto"/>
        </w:rPr>
      </w:pPr>
    </w:p>
    <w:p>
      <w:pPr>
        <w:ind w:left="460" w:right="539"/>
        <w:spacing w:after="0"/>
        <w:rPr>
          <w:sz w:val="20"/>
          <w:szCs w:val="20"/>
          <w:color w:val="auto"/>
        </w:rPr>
      </w:pPr>
      <w:r>
        <w:rPr>
          <w:rFonts w:ascii="Arial" w:cs="Arial" w:eastAsia="Arial" w:hAnsi="Arial"/>
          <w:sz w:val="18"/>
          <w:szCs w:val="18"/>
          <w:color w:val="auto"/>
        </w:rPr>
        <w:t>This section applies to you if you are a “Non-U.S. holder.” As used herein, the term “Non-U.S. holder” means a beneficial owner of our Class A common stock who or that is for U.S. federal income tax purposes:</w:t>
      </w:r>
    </w:p>
    <w:p>
      <w:pPr>
        <w:spacing w:after="0" w:line="27" w:lineRule="exact"/>
        <w:rPr>
          <w:sz w:val="20"/>
          <w:szCs w:val="20"/>
          <w:color w:val="auto"/>
        </w:rPr>
      </w:pPr>
    </w:p>
    <w:p>
      <w:pPr>
        <w:ind w:left="1100" w:right="839" w:hanging="322"/>
        <w:spacing w:after="0" w:line="246" w:lineRule="auto"/>
        <w:tabs>
          <w:tab w:leader="none" w:pos="1039"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non-resident alien individual (other than certain former citizens and residents of the U.S. subject to U.S. tax as expatriates);</w:t>
      </w:r>
    </w:p>
    <w:p>
      <w:pPr>
        <w:spacing w:after="0" w:line="21" w:lineRule="exact"/>
        <w:rPr>
          <w:rFonts w:ascii="Arial" w:cs="Arial" w:eastAsia="Arial" w:hAnsi="Arial"/>
          <w:sz w:val="18"/>
          <w:szCs w:val="18"/>
          <w:color w:val="auto"/>
        </w:rPr>
      </w:pPr>
    </w:p>
    <w:p>
      <w:pPr>
        <w:ind w:left="1040" w:hanging="262"/>
        <w:spacing w:after="0"/>
        <w:tabs>
          <w:tab w:leader="none" w:pos="10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22" w:lineRule="exact"/>
        <w:rPr>
          <w:rFonts w:ascii="Arial" w:cs="Arial" w:eastAsia="Arial" w:hAnsi="Arial"/>
          <w:sz w:val="18"/>
          <w:szCs w:val="18"/>
          <w:color w:val="auto"/>
        </w:rPr>
      </w:pPr>
    </w:p>
    <w:p>
      <w:pPr>
        <w:ind w:left="1040" w:hanging="262"/>
        <w:spacing w:after="0"/>
        <w:tabs>
          <w:tab w:leader="none" w:pos="10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 estate or trust that is not a U.S. holder;</w:t>
      </w:r>
    </w:p>
    <w:p>
      <w:pPr>
        <w:spacing w:after="0" w:line="144" w:lineRule="exact"/>
        <w:rPr>
          <w:sz w:val="20"/>
          <w:szCs w:val="20"/>
          <w:color w:val="auto"/>
        </w:rPr>
      </w:pPr>
    </w:p>
    <w:p>
      <w:pPr>
        <w:ind w:left="460" w:right="799"/>
        <w:spacing w:after="0" w:line="238" w:lineRule="auto"/>
        <w:rPr>
          <w:sz w:val="20"/>
          <w:szCs w:val="20"/>
          <w:color w:val="auto"/>
        </w:rPr>
      </w:pPr>
      <w:r>
        <w:rPr>
          <w:rFonts w:ascii="Arial" w:cs="Arial" w:eastAsia="Arial" w:hAnsi="Arial"/>
          <w:sz w:val="18"/>
          <w:szCs w:val="18"/>
          <w:color w:val="auto"/>
        </w:rPr>
        <w:t>but generally does not include an individual who is present in the U.S. for 183 days or more in the taxable year of the disposition of Class A common stock. If you are such an individual, you should consult your tax advisor regarding the U.S. federal income tax consequences of the acquisition, ownership or sale or other disposition of our securities.</w:t>
      </w:r>
    </w:p>
    <w:p>
      <w:pPr>
        <w:spacing w:after="0" w:line="119" w:lineRule="exact"/>
        <w:rPr>
          <w:sz w:val="20"/>
          <w:szCs w:val="20"/>
          <w:color w:val="auto"/>
        </w:rPr>
      </w:pPr>
    </w:p>
    <w:p>
      <w:pPr>
        <w:ind w:left="460" w:right="619"/>
        <w:spacing w:after="0" w:line="238" w:lineRule="auto"/>
        <w:rPr>
          <w:sz w:val="20"/>
          <w:szCs w:val="20"/>
          <w:color w:val="auto"/>
        </w:rPr>
      </w:pPr>
      <w:r>
        <w:rPr>
          <w:rFonts w:ascii="Arial" w:cs="Arial" w:eastAsia="Arial" w:hAnsi="Arial"/>
          <w:sz w:val="18"/>
          <w:szCs w:val="18"/>
          <w:i w:val="1"/>
          <w:iCs w:val="1"/>
          <w:color w:val="auto"/>
        </w:rPr>
        <w:t xml:space="preserve">Taxation of Distributions. </w:t>
      </w:r>
      <w:r>
        <w:rPr>
          <w:rFonts w:ascii="Arial" w:cs="Arial" w:eastAsia="Arial" w:hAnsi="Arial"/>
          <w:sz w:val="18"/>
          <w:szCs w:val="18"/>
          <w:color w:val="auto"/>
        </w:rPr>
        <w:t>In general, any distributions we make to a Non-U.S. holder of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our Class A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Any distribution not constituting a dividend will be treated first as reducing (but not below zero) the Non-U.S.</w:t>
      </w:r>
    </w:p>
    <w:p>
      <w:pPr>
        <w:sectPr>
          <w:pgSz w:w="11900" w:h="16838" w:orient="portrait"/>
          <w:cols w:equalWidth="0" w:num="1">
            <w:col w:w="9019"/>
          </w:cols>
          <w:pgMar w:left="1440" w:top="287" w:right="1440" w:bottom="1440" w:gutter="0" w:footer="0" w:header="0"/>
        </w:sectPr>
      </w:pP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117" w:name="page118"/>
    <w:bookmarkEnd w:id="117"/>
    <w:p>
      <w:pPr>
        <w:ind w:left="460" w:right="519"/>
        <w:spacing w:after="0" w:line="248" w:lineRule="auto"/>
        <w:rPr>
          <w:sz w:val="20"/>
          <w:szCs w:val="20"/>
          <w:color w:val="auto"/>
        </w:rPr>
      </w:pPr>
      <w:r>
        <w:rPr>
          <w:rFonts w:ascii="Arial" w:cs="Arial" w:eastAsia="Arial" w:hAnsi="Arial"/>
          <w:sz w:val="17"/>
          <w:szCs w:val="17"/>
          <w:color w:val="auto"/>
        </w:rPr>
        <w:t>holder’s adjusted tax basis in its shares of our Class A common stock and, to the extent such distribution exceeds the Non-U.S. holder’s adjusted tax basis, as gain realized from the sale or other disposition of the Class A common stock, which will be treated as described under “Non-U.S. Holders</w:t>
      </w:r>
    </w:p>
    <w:p>
      <w:pPr>
        <w:spacing w:after="0" w:line="2"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 Gain on Sale, Taxable Exchange or Other Taxable Disposition of Class A Common Stock” below. In addition, if we determine that we are likely to be classified as a “United States real property holding corporation” (see “Non-U.S. Holders — Gain on Sale, Taxable Exchange or Other Taxable Disposition of Class A Common Stock” below), we will withhold 15% of any distribution that exceeds our current and accumulated earnings and profits.</w:t>
      </w:r>
    </w:p>
    <w:p>
      <w:pPr>
        <w:spacing w:after="0" w:line="121" w:lineRule="exact"/>
        <w:rPr>
          <w:sz w:val="20"/>
          <w:szCs w:val="20"/>
          <w:color w:val="auto"/>
        </w:rPr>
      </w:pPr>
    </w:p>
    <w:p>
      <w:pPr>
        <w:ind w:left="460" w:right="499"/>
        <w:spacing w:after="0" w:line="237" w:lineRule="auto"/>
        <w:rPr>
          <w:sz w:val="20"/>
          <w:szCs w:val="20"/>
          <w:color w:val="auto"/>
        </w:rPr>
      </w:pPr>
      <w:r>
        <w:rPr>
          <w:rFonts w:ascii="Arial" w:cs="Arial" w:eastAsia="Arial" w:hAnsi="Arial"/>
          <w:sz w:val="18"/>
          <w:szCs w:val="18"/>
          <w:color w:val="auto"/>
        </w:rPr>
        <w:t>The withholding tax generally does not apply to dividends paid to a Non-U.S. holder who provides a Form W-8ECI, certifying that the dividends are effectively connected with the Non-U.S. holder’s conduct of a trade or business within the United States. Instead, the effectively connected dividends will be subject to regular U.S. income tax as if the Non-U.S. holder were a U.S. resident, subject to an applicable income tax treaty providing otherwise. A corporate Non-U.S. holder receiving effectively connected dividends may also be subject to an additional “branch profits tax” imposed at a rate of 30% (or a lower treaty rate).</w:t>
      </w:r>
    </w:p>
    <w:p>
      <w:pPr>
        <w:spacing w:after="0" w:line="117" w:lineRule="exact"/>
        <w:rPr>
          <w:sz w:val="20"/>
          <w:szCs w:val="20"/>
          <w:color w:val="auto"/>
        </w:rPr>
      </w:pPr>
    </w:p>
    <w:p>
      <w:pPr>
        <w:ind w:left="460" w:right="639"/>
        <w:spacing w:after="0" w:line="242" w:lineRule="auto"/>
        <w:rPr>
          <w:sz w:val="20"/>
          <w:szCs w:val="20"/>
          <w:color w:val="auto"/>
        </w:rPr>
      </w:pPr>
      <w:r>
        <w:rPr>
          <w:rFonts w:ascii="Arial" w:cs="Arial" w:eastAsia="Arial" w:hAnsi="Arial"/>
          <w:sz w:val="18"/>
          <w:szCs w:val="18"/>
          <w:i w:val="1"/>
          <w:iCs w:val="1"/>
          <w:color w:val="auto"/>
        </w:rPr>
        <w:t xml:space="preserve">Gain on Sale, Taxable Exchange or Other Taxable Disposition of Class A Common Stock. </w:t>
      </w:r>
      <w:r>
        <w:rPr>
          <w:rFonts w:ascii="Arial" w:cs="Arial" w:eastAsia="Arial" w:hAnsi="Arial"/>
          <w:sz w:val="18"/>
          <w:szCs w:val="18"/>
          <w:color w:val="auto"/>
        </w:rPr>
        <w:t>A Non-U.S. holder generally will not be subject to U.S. federal income or withholding tax in respect of gain recognized on a sale, taxable exchange or other taxable disposition of our Class A common stock, which would include a dissolution and liquidation in the event we do not complete an initial business combination within 24 months from the closing of this offering, unless:</w:t>
      </w:r>
    </w:p>
    <w:p>
      <w:pPr>
        <w:spacing w:after="0" w:line="27" w:lineRule="exact"/>
        <w:rPr>
          <w:sz w:val="20"/>
          <w:szCs w:val="20"/>
          <w:color w:val="auto"/>
        </w:rPr>
      </w:pPr>
    </w:p>
    <w:p>
      <w:pPr>
        <w:ind w:left="1100" w:right="559" w:hanging="322"/>
        <w:spacing w:after="0" w:line="259" w:lineRule="auto"/>
        <w:tabs>
          <w:tab w:leader="none" w:pos="1039"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gain is effectively connected with the conduct by the Non-U.S. holder of a trade or business within the United States (and, under certain income tax treaties, is attributable to a United States permanent establishment or fixed base maintained by the Non-U.S. holder); or</w:t>
      </w:r>
    </w:p>
    <w:p>
      <w:pPr>
        <w:spacing w:after="0" w:line="1" w:lineRule="exact"/>
        <w:rPr>
          <w:rFonts w:ascii="Arial" w:cs="Arial" w:eastAsia="Arial" w:hAnsi="Arial"/>
          <w:sz w:val="17"/>
          <w:szCs w:val="17"/>
          <w:color w:val="auto"/>
        </w:rPr>
      </w:pPr>
    </w:p>
    <w:p>
      <w:pPr>
        <w:ind w:left="1100" w:right="499" w:hanging="322"/>
        <w:spacing w:after="0" w:line="236" w:lineRule="auto"/>
        <w:tabs>
          <w:tab w:leader="none" w:pos="1039" w:val="left"/>
        </w:tabs>
        <w:numPr>
          <w:ilvl w:val="0"/>
          <w:numId w:val="74"/>
        </w:numPr>
        <w:rPr>
          <w:rFonts w:ascii="Arial" w:cs="Arial" w:eastAsia="Arial" w:hAnsi="Arial"/>
          <w:sz w:val="18"/>
          <w:szCs w:val="18"/>
          <w:color w:val="auto"/>
        </w:rPr>
      </w:pPr>
      <w:r>
        <w:rPr>
          <w:rFonts w:ascii="Arial" w:cs="Arial" w:eastAsia="Arial" w:hAnsi="Arial"/>
          <w:sz w:val="18"/>
          <w:szCs w:val="18"/>
          <w:color w:val="auto"/>
        </w:rPr>
        <w:t>we are or have been a “United States real property holding corporation” for U.S. federal income tax purposes at any time during the shorter of the five-year period ending on the date of disposition or the period that the Non-U.S. holder held our Class A common stock, and, in the case where shares of our Class A common stock are regularly traded on an established securities market, the Non-U.S. holder has owned, directly or constructively, more than 5% of our Class A common stock at any time within the shorter of the five-year period preceding the disposition or such Non-U.S. holder’s holding period for the shares of our Class A common stock. There can be no assurance that our Class A common stock will be treated as regularly traded on an established securities market for this purpose.</w:t>
      </w:r>
    </w:p>
    <w:p>
      <w:pPr>
        <w:spacing w:after="0" w:line="139" w:lineRule="exact"/>
        <w:rPr>
          <w:sz w:val="20"/>
          <w:szCs w:val="20"/>
          <w:color w:val="auto"/>
        </w:rPr>
      </w:pPr>
    </w:p>
    <w:p>
      <w:pPr>
        <w:ind w:left="460" w:right="539"/>
        <w:spacing w:after="0" w:line="238" w:lineRule="auto"/>
        <w:rPr>
          <w:sz w:val="20"/>
          <w:szCs w:val="20"/>
          <w:color w:val="auto"/>
        </w:rPr>
      </w:pPr>
      <w:r>
        <w:rPr>
          <w:rFonts w:ascii="Arial" w:cs="Arial" w:eastAsia="Arial" w:hAnsi="Arial"/>
          <w:sz w:val="18"/>
          <w:szCs w:val="18"/>
          <w:color w:val="auto"/>
        </w:rPr>
        <w:t>Unless an applicable treaty provides otherwise, gain described in the first bullet point above will be subject to tax at generally applicable U.S. federal income tax rates as if the Non-U.S. holder were a U.S. resident. Any gains described in the first bullet point above of a Non-U.S. holder that is a foreign corporation may also be subject to an additional “branch profits tax” imposed at a 30% rate (or lower treaty rate).</w:t>
      </w:r>
    </w:p>
    <w:p>
      <w:pPr>
        <w:spacing w:after="0" w:line="135"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If the second bullet point above applies to a Non-U.S. holder, gain recognized by such holder on the sale, exchange or other disposition of our Class A common stock will be subject to tax at generally applicable U.S. federal income tax rates. In addition, a buyer of our Class A common stock from such holder may be required to withhold U.S. federal income tax at a rate of 15% of the amount realized upon such disposition. We cannot determine whether we will be a “United States real property holding corporation” in the future until we complete an initial business combination. We will be classified as a United States real property holding corporation if the fair market value of our “United States real property interests” equals or exceeds 50% of the sum of the fair market value of our worldwide real property interests plus our other assets used or held for use in a trade or business, as determined for U.S. federal income tax purposes.</w:t>
      </w:r>
    </w:p>
    <w:p>
      <w:pPr>
        <w:spacing w:after="0" w:line="107" w:lineRule="exact"/>
        <w:rPr>
          <w:sz w:val="20"/>
          <w:szCs w:val="20"/>
          <w:color w:val="auto"/>
        </w:rPr>
      </w:pPr>
    </w:p>
    <w:p>
      <w:pPr>
        <w:ind w:left="460" w:right="559"/>
        <w:spacing w:after="0" w:line="251" w:lineRule="auto"/>
        <w:rPr>
          <w:sz w:val="20"/>
          <w:szCs w:val="20"/>
          <w:color w:val="auto"/>
        </w:rPr>
      </w:pPr>
      <w:r>
        <w:rPr>
          <w:rFonts w:ascii="Arial" w:cs="Arial" w:eastAsia="Arial" w:hAnsi="Arial"/>
          <w:sz w:val="17"/>
          <w:szCs w:val="17"/>
          <w:i w:val="1"/>
          <w:iCs w:val="1"/>
          <w:color w:val="auto"/>
        </w:rPr>
        <w:t xml:space="preserve">Redemption of Class A Common Stock. </w:t>
      </w:r>
      <w:r>
        <w:rPr>
          <w:rFonts w:ascii="Arial" w:cs="Arial" w:eastAsia="Arial" w:hAnsi="Arial"/>
          <w:sz w:val="17"/>
          <w:szCs w:val="17"/>
          <w:color w:val="auto"/>
        </w:rPr>
        <w:t>The characterization for U.S. federal income tax purposes</w:t>
      </w:r>
      <w:r>
        <w:rPr>
          <w:rFonts w:ascii="Arial" w:cs="Arial" w:eastAsia="Arial" w:hAnsi="Arial"/>
          <w:sz w:val="17"/>
          <w:szCs w:val="17"/>
          <w:i w:val="1"/>
          <w:iCs w:val="1"/>
          <w:color w:val="auto"/>
        </w:rPr>
        <w:t xml:space="preserve"> </w:t>
      </w:r>
      <w:r>
        <w:rPr>
          <w:rFonts w:ascii="Arial" w:cs="Arial" w:eastAsia="Arial" w:hAnsi="Arial"/>
          <w:sz w:val="17"/>
          <w:szCs w:val="17"/>
          <w:color w:val="auto"/>
        </w:rPr>
        <w:t>of the redemption of a Non-U.S. holder’s Class A common stock pursuant to the redemption provisions described in the section of this prospectus entitled “Description of Shares — Common Stock” generally will correspond to the U.S. federal income tax characterization of such a redemption of a U.S. holder’s Class A common stock, as described under “U.S. Holders — Redemption of Class A Common Stock” above, and the consequences of the redemption to the Non-U.S. holder will be as described above under “Non-U.S. Holders — Taxation of Distributions” and “Non-U.S. Holders</w:t>
      </w:r>
    </w:p>
    <w:p>
      <w:pPr>
        <w:spacing w:after="0" w:line="4" w:lineRule="exact"/>
        <w:rPr>
          <w:sz w:val="20"/>
          <w:szCs w:val="20"/>
          <w:color w:val="auto"/>
        </w:rPr>
      </w:pPr>
    </w:p>
    <w:p>
      <w:pPr>
        <w:ind w:left="460" w:right="719"/>
        <w:spacing w:after="0" w:line="255" w:lineRule="auto"/>
        <w:rPr>
          <w:sz w:val="20"/>
          <w:szCs w:val="20"/>
          <w:color w:val="auto"/>
        </w:rPr>
      </w:pPr>
      <w:r>
        <w:rPr>
          <w:rFonts w:ascii="Arial" w:cs="Arial" w:eastAsia="Arial" w:hAnsi="Arial"/>
          <w:sz w:val="17"/>
          <w:szCs w:val="17"/>
          <w:color w:val="auto"/>
        </w:rPr>
        <w:t>— Gain on Sale, Taxable Exchange or Other Taxable Disposition of Class A Common Stock,” as applicable. Because it may not be certain at the time a Non-U.S. holder is redeemed whether such Non-U.S. holder’s redemption will be treated as a sale of shares or a distribution constituting a dividend, and because such determination will depend in part on a Non-U.S. holder’s particular circumstances, we or the applicable withholding agent may not be able to determine whether (or to</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18" w:name="page119"/>
    <w:bookmarkEnd w:id="118"/>
    <w:p>
      <w:pPr>
        <w:ind w:left="460" w:right="499"/>
        <w:spacing w:after="0" w:line="236" w:lineRule="auto"/>
        <w:rPr>
          <w:sz w:val="20"/>
          <w:szCs w:val="20"/>
          <w:color w:val="auto"/>
        </w:rPr>
      </w:pPr>
      <w:r>
        <w:rPr>
          <w:rFonts w:ascii="Arial" w:cs="Arial" w:eastAsia="Arial" w:hAnsi="Arial"/>
          <w:sz w:val="18"/>
          <w:szCs w:val="18"/>
          <w:color w:val="auto"/>
        </w:rPr>
        <w:t>what extent) a Non-U.S. holder is treated as receiving a dividend for U.S. federal income tax purposes. Therefore, we or the applicable withholding agent may withhold tax at a rate of 30% on the gross amount of any consideration paid to a Non-U.S. holder in redemption of such Non-U.S. holder’s Class A common stock unless special procedures are available to Non-U.S. holders to certify that they are entitled to exemptions from, or reductions in, such withholding tax. However, there can be no assurance that such special certification procedures will be available. A Non-U.S. holder generally may obtain a refund of any such excess amounts withheld by timely filing an appropriate claim for refund with the IRS. Non-U.S. holders should consult their own tax advisors regarding the application of the foregoing rules in light of their particular facts and circumstances.</w:t>
      </w:r>
    </w:p>
    <w:p>
      <w:pPr>
        <w:spacing w:after="0" w:line="108" w:lineRule="exact"/>
        <w:rPr>
          <w:sz w:val="20"/>
          <w:szCs w:val="20"/>
          <w:color w:val="auto"/>
        </w:rPr>
      </w:pPr>
    </w:p>
    <w:p>
      <w:pPr>
        <w:ind w:left="460" w:right="459"/>
        <w:spacing w:after="0" w:line="238" w:lineRule="auto"/>
        <w:rPr>
          <w:sz w:val="20"/>
          <w:szCs w:val="20"/>
          <w:color w:val="auto"/>
        </w:rPr>
      </w:pPr>
      <w:r>
        <w:rPr>
          <w:rFonts w:ascii="Arial" w:cs="Arial" w:eastAsia="Arial" w:hAnsi="Arial"/>
          <w:sz w:val="18"/>
          <w:szCs w:val="18"/>
          <w:i w:val="1"/>
          <w:iCs w:val="1"/>
          <w:color w:val="auto"/>
        </w:rPr>
        <w:t xml:space="preserve">Information Reporting and Backup Withholding. </w:t>
      </w:r>
      <w:r>
        <w:rPr>
          <w:rFonts w:ascii="Arial" w:cs="Arial" w:eastAsia="Arial" w:hAnsi="Arial"/>
          <w:sz w:val="18"/>
          <w:szCs w:val="18"/>
          <w:color w:val="auto"/>
        </w:rPr>
        <w:t>Information returns will be filed with the IRS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payments of dividends and the proceeds from a sale or other disposition of our shares of Class A common stock. A Non-U.S. holder may have to comply with certification procedures to establish that it is not a United States person in order to avoid information reporting and backup withholding requirements. The certification procedures required to claim a reduced rate of withholding under a treaty generally will satisfy the certification requirements necessary to avoid the backup withholding as well. Backup withholding is not an additional tax. The amount of any backup withholding from a payment to a Non-U.S. holder will be allowed as a credit against such holder’s U.S. federal income tax liability and may entitle such holder to a refund, provided that the required information is timely furnished to the IRS.</w:t>
      </w:r>
    </w:p>
    <w:p>
      <w:pPr>
        <w:spacing w:after="0" w:line="121" w:lineRule="exact"/>
        <w:rPr>
          <w:sz w:val="20"/>
          <w:szCs w:val="20"/>
          <w:color w:val="auto"/>
        </w:rPr>
      </w:pPr>
    </w:p>
    <w:p>
      <w:pPr>
        <w:ind w:left="460" w:right="499"/>
        <w:spacing w:after="0" w:line="251" w:lineRule="auto"/>
        <w:rPr>
          <w:sz w:val="20"/>
          <w:szCs w:val="20"/>
          <w:color w:val="auto"/>
        </w:rPr>
      </w:pPr>
      <w:r>
        <w:rPr>
          <w:rFonts w:ascii="Arial" w:cs="Arial" w:eastAsia="Arial" w:hAnsi="Arial"/>
          <w:sz w:val="17"/>
          <w:szCs w:val="17"/>
          <w:i w:val="1"/>
          <w:iCs w:val="1"/>
          <w:color w:val="auto"/>
        </w:rPr>
        <w:t xml:space="preserve">FATCA Withholding Taxes. </w:t>
      </w:r>
      <w:r>
        <w:rPr>
          <w:rFonts w:ascii="Arial" w:cs="Arial" w:eastAsia="Arial" w:hAnsi="Arial"/>
          <w:sz w:val="17"/>
          <w:szCs w:val="17"/>
          <w:color w:val="auto"/>
        </w:rPr>
        <w:t>Provisions commonly referred to as “FATCA” impose withholding of 30%</w:t>
      </w:r>
      <w:r>
        <w:rPr>
          <w:rFonts w:ascii="Arial" w:cs="Arial" w:eastAsia="Arial" w:hAnsi="Arial"/>
          <w:sz w:val="17"/>
          <w:szCs w:val="17"/>
          <w:i w:val="1"/>
          <w:iCs w:val="1"/>
          <w:color w:val="auto"/>
        </w:rPr>
        <w:t xml:space="preserve"> </w:t>
      </w:r>
      <w:r>
        <w:rPr>
          <w:rFonts w:ascii="Arial" w:cs="Arial" w:eastAsia="Arial" w:hAnsi="Arial"/>
          <w:sz w:val="17"/>
          <w:szCs w:val="17"/>
          <w:color w:val="auto"/>
        </w:rPr>
        <w:t>on payments of dividends on our Class A common stock to “foreign financial institutions” (which is broadly defined for this purpose and in general includes investment vehicles) and certain other non-U.S. entities unless various U.S. information reporting and due diligence requirements (generally relating to ownership by United States persons of interests in or accounts with those entities) have been satisfied by, or an exemption applies to, the payee (typically certified as to by the delivery of a properly completed IRS Form W-8BEN-E). Foreign financial institutions located in jurisdictions that have an intergovernmental agreement with the United States governing FATCA may be subject to different rules. Under certain circumstances, a Non-U.S. holder might be eligible for refunds or credits of such withholding taxes, and a Non-U.S. holder might be required to file a U.S. federal income tax return to claim such refunds or credits. Thirty percent withholding under FATCA was scheduled to apply to payments of gross proceeds from the sale or other disposition of property that produces U.S.-source interest or dividends beginning on January 1, 2019, but on December 13, 2018, the IRS released proposed regulations that, if finalized in their proposed form, would eliminate the obligation to withhold on gross proceeds. Such proposed regulations also delayed withholding on certain other payments received from other foreign financial institutions that are allocable, as provided for under final Treasury Regulations, to payments of U.S.-source dividends, and other fixed or determinable annual or periodic income. Although these proposed Treasury Regulations are not final, taxpayers generally may rely on them until final Treasury Regulations are issued. Prospective investors should consult their tax advisors regarding the effects of FATCA on their investment in our securities.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t>UNDERWRITING</w:t>
      </w:r>
    </w:p>
    <w:p>
      <w:pPr>
        <w:spacing w:after="0" w:line="162" w:lineRule="exact"/>
        <w:rPr>
          <w:sz w:val="20"/>
          <w:szCs w:val="20"/>
          <w:color w:val="auto"/>
        </w:rPr>
      </w:pPr>
    </w:p>
    <w:p>
      <w:pPr>
        <w:ind w:left="460"/>
        <w:spacing w:after="0"/>
        <w:tabs>
          <w:tab w:leader="none" w:pos="7580" w:val="left"/>
        </w:tabs>
        <w:rPr>
          <w:sz w:val="20"/>
          <w:szCs w:val="20"/>
          <w:color w:val="auto"/>
        </w:rPr>
      </w:pPr>
      <w:r>
        <w:rPr>
          <w:rFonts w:ascii="Arial" w:cs="Arial" w:eastAsia="Arial" w:hAnsi="Arial"/>
          <w:sz w:val="18"/>
          <w:szCs w:val="18"/>
          <w:color w:val="auto"/>
        </w:rPr>
        <w:t>Subject to the terms and conditions set forth in the underwriting agreement, dated</w:t>
      </w:r>
      <w:r>
        <w:rPr>
          <w:sz w:val="20"/>
          <w:szCs w:val="20"/>
          <w:color w:val="auto"/>
        </w:rPr>
        <w:tab/>
      </w:r>
      <w:r>
        <w:rPr>
          <w:rFonts w:ascii="Arial" w:cs="Arial" w:eastAsia="Arial" w:hAnsi="Arial"/>
          <w:sz w:val="17"/>
          <w:szCs w:val="17"/>
          <w:color w:val="auto"/>
        </w:rPr>
        <w:t>, between</w:t>
      </w:r>
    </w:p>
    <w:p>
      <w:pPr>
        <w:ind w:left="460" w:right="519"/>
        <w:spacing w:after="0" w:line="238" w:lineRule="auto"/>
        <w:rPr>
          <w:sz w:val="20"/>
          <w:szCs w:val="20"/>
          <w:color w:val="auto"/>
        </w:rPr>
      </w:pPr>
      <w:r>
        <w:rPr>
          <w:rFonts w:ascii="Arial" w:cs="Arial" w:eastAsia="Arial" w:hAnsi="Arial"/>
          <w:sz w:val="18"/>
          <w:szCs w:val="18"/>
          <w:color w:val="auto"/>
        </w:rPr>
        <w:t>us and Jefferies LLC, as the representatives of the underwriters named below and the book running manager of this offering, we have agreed to sell to the underwriters, and each of the underwriters has agreed, severally and not jointly, to purchase from us, the respective number of shares of Class A common stock shown opposite its name below:</w:t>
      </w:r>
    </w:p>
    <w:p>
      <w:pPr>
        <w:spacing w:after="0" w:line="152"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6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r>
      <w:tr>
        <w:trPr>
          <w:trHeight w:val="162"/>
        </w:trPr>
        <w:tc>
          <w:tcPr>
            <w:tcW w:w="6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Shares of Class</w:t>
            </w:r>
          </w:p>
        </w:tc>
      </w:tr>
      <w:tr>
        <w:trPr>
          <w:trHeight w:val="162"/>
        </w:trPr>
        <w:tc>
          <w:tcPr>
            <w:tcW w:w="6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A</w:t>
            </w:r>
          </w:p>
        </w:tc>
      </w:tr>
      <w:tr>
        <w:trPr>
          <w:trHeight w:val="190"/>
        </w:trPr>
        <w:tc>
          <w:tcPr>
            <w:tcW w:w="6900" w:type="dxa"/>
            <w:vAlign w:val="bottom"/>
            <w:gridSpan w:val="2"/>
          </w:tcPr>
          <w:p>
            <w:pPr>
              <w:spacing w:after="0"/>
              <w:rPr>
                <w:sz w:val="20"/>
                <w:szCs w:val="20"/>
                <w:color w:val="auto"/>
              </w:rPr>
            </w:pPr>
            <w:r>
              <w:rPr>
                <w:rFonts w:ascii="Arial" w:cs="Arial" w:eastAsia="Arial" w:hAnsi="Arial"/>
                <w:sz w:val="14"/>
                <w:szCs w:val="14"/>
                <w:b w:val="1"/>
                <w:bCs w:val="1"/>
                <w:color w:val="auto"/>
              </w:rPr>
              <w:t>Underwriters</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Common Stock</w:t>
            </w:r>
          </w:p>
        </w:tc>
      </w:tr>
      <w:tr>
        <w:trPr>
          <w:trHeight w:val="26"/>
        </w:trPr>
        <w:tc>
          <w:tcPr>
            <w:tcW w:w="6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3"/>
        </w:trPr>
        <w:tc>
          <w:tcPr>
            <w:tcW w:w="6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Jefferies LLC</w:t>
            </w:r>
          </w:p>
        </w:tc>
        <w:tc>
          <w:tcPr>
            <w:tcW w:w="1200" w:type="dxa"/>
            <w:vAlign w:val="bottom"/>
            <w:tcBorders>
              <w:bottom w:val="single" w:sz="8" w:color="CCEEFF"/>
            </w:tcBorders>
            <w:shd w:val="clear" w:color="auto" w:fill="CCEEFF"/>
          </w:tcPr>
          <w:p>
            <w:pPr>
              <w:spacing w:after="0"/>
              <w:rPr>
                <w:sz w:val="22"/>
                <w:szCs w:val="22"/>
                <w:color w:val="auto"/>
              </w:rPr>
            </w:pPr>
          </w:p>
        </w:tc>
      </w:tr>
      <w:tr>
        <w:trPr>
          <w:trHeight w:val="250"/>
        </w:trPr>
        <w:tc>
          <w:tcPr>
            <w:tcW w:w="69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10,000,000</w:t>
            </w:r>
          </w:p>
        </w:tc>
      </w:tr>
      <w:tr>
        <w:trPr>
          <w:trHeight w:val="20"/>
        </w:trPr>
        <w:tc>
          <w:tcPr>
            <w:tcW w:w="6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The underwriting agreement provides that the obligations of the several underwriters are subject to certain conditions precedent such as the receipt by the underwriters of officers’ certificates and legal opinions and approval of certain legal matters by their counsel. The underwriting agreement provides that the underwriters will purchase all of the shares if any of them are purchased. If an underwriter defaults, the underwriting agreement provides that the purchase commitments of the nondefaulting underwriters may be increased or the underwriting agreement may be terminated. We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spacing w:after="0" w:line="126" w:lineRule="exact"/>
        <w:rPr>
          <w:sz w:val="20"/>
          <w:szCs w:val="20"/>
          <w:color w:val="auto"/>
        </w:rPr>
      </w:pPr>
    </w:p>
    <w:p>
      <w:pPr>
        <w:ind w:left="460" w:right="499"/>
        <w:spacing w:after="0" w:line="237" w:lineRule="auto"/>
        <w:rPr>
          <w:sz w:val="20"/>
          <w:szCs w:val="20"/>
          <w:color w:val="auto"/>
        </w:rPr>
      </w:pPr>
      <w:r>
        <w:rPr>
          <w:rFonts w:ascii="Arial" w:cs="Arial" w:eastAsia="Arial" w:hAnsi="Arial"/>
          <w:sz w:val="18"/>
          <w:szCs w:val="18"/>
          <w:color w:val="auto"/>
        </w:rPr>
        <w:t>The underwriters have advised us that, following the completion of this offering, they currently intend to make a market in the shares as permitted by applicable laws and regulations. However, the underwriters are not obligated to do so, and the underwriters may discontinue any market-making activities at any time without notice in their sole discretion. Accordingly, no assurance can be given as to the liquidity of the trading market for the shares, that you will be able to sell any of the shares held by you at a particular time or that the prices that you receive when you sell will be favorable.</w:t>
      </w:r>
    </w:p>
    <w:p>
      <w:pPr>
        <w:spacing w:after="0" w:line="137" w:lineRule="exact"/>
        <w:rPr>
          <w:sz w:val="20"/>
          <w:szCs w:val="20"/>
          <w:color w:val="auto"/>
        </w:rPr>
      </w:pPr>
    </w:p>
    <w:p>
      <w:pPr>
        <w:ind w:left="460" w:right="459"/>
        <w:spacing w:after="0" w:line="238" w:lineRule="auto"/>
        <w:rPr>
          <w:sz w:val="20"/>
          <w:szCs w:val="20"/>
          <w:color w:val="auto"/>
        </w:rPr>
      </w:pPr>
      <w:r>
        <w:rPr>
          <w:rFonts w:ascii="Arial" w:cs="Arial" w:eastAsia="Arial" w:hAnsi="Arial"/>
          <w:sz w:val="18"/>
          <w:szCs w:val="18"/>
          <w:color w:val="auto"/>
        </w:rPr>
        <w:t>The underwriters are offering the shares subject to their acceptance of the shares from us and subject to prior sale. The underwriters reserve the right to withdraw, cancel or modify offers to the public and to reject orders in whole or in part. In addition, the underwriters have advised us that they do not intend to confirm sales to any account over which they exercise discretionary authority.</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Commission and Expenses</w:t>
      </w:r>
    </w:p>
    <w:p>
      <w:pPr>
        <w:spacing w:after="0" w:line="166" w:lineRule="exact"/>
        <w:rPr>
          <w:sz w:val="20"/>
          <w:szCs w:val="20"/>
          <w:color w:val="auto"/>
        </w:rPr>
      </w:pPr>
    </w:p>
    <w:p>
      <w:pPr>
        <w:ind w:left="460" w:right="619"/>
        <w:spacing w:after="0" w:line="248" w:lineRule="auto"/>
        <w:rPr>
          <w:sz w:val="20"/>
          <w:szCs w:val="20"/>
          <w:color w:val="auto"/>
        </w:rPr>
      </w:pPr>
      <w:r>
        <w:rPr>
          <w:rFonts w:ascii="Arial" w:cs="Arial" w:eastAsia="Arial" w:hAnsi="Arial"/>
          <w:sz w:val="17"/>
          <w:szCs w:val="17"/>
          <w:color w:val="auto"/>
        </w:rPr>
        <w:t>The underwriters have advised us that they propose to offer the shares to the public at the initial public offering price set forth on the cover page of this prospectus and to certain dealers, which may</w:t>
      </w:r>
    </w:p>
    <w:p>
      <w:pPr>
        <w:spacing w:after="0" w:line="1" w:lineRule="exact"/>
        <w:rPr>
          <w:sz w:val="20"/>
          <w:szCs w:val="20"/>
          <w:color w:val="auto"/>
        </w:rPr>
      </w:pPr>
    </w:p>
    <w:p>
      <w:pPr>
        <w:ind w:left="460" w:right="979"/>
        <w:spacing w:after="0" w:line="234" w:lineRule="auto"/>
        <w:rPr>
          <w:sz w:val="20"/>
          <w:szCs w:val="20"/>
          <w:color w:val="auto"/>
        </w:rPr>
      </w:pPr>
      <w:r>
        <w:rPr>
          <w:rFonts w:ascii="Arial" w:cs="Arial" w:eastAsia="Arial" w:hAnsi="Arial"/>
          <w:sz w:val="18"/>
          <w:szCs w:val="18"/>
          <w:color w:val="auto"/>
        </w:rPr>
        <w:t>include the underwriters, at that price less a concession not in excess of $ per share. The underwriters may allow, and certain dealers may reallow, a discount from the concession not in</w:t>
      </w:r>
    </w:p>
    <w:p>
      <w:pPr>
        <w:spacing w:after="0" w:line="1" w:lineRule="exact"/>
        <w:rPr>
          <w:sz w:val="20"/>
          <w:szCs w:val="20"/>
          <w:color w:val="auto"/>
        </w:rPr>
      </w:pPr>
    </w:p>
    <w:p>
      <w:pPr>
        <w:ind w:left="460" w:right="519"/>
        <w:spacing w:after="0" w:line="238" w:lineRule="auto"/>
        <w:rPr>
          <w:sz w:val="20"/>
          <w:szCs w:val="20"/>
          <w:color w:val="auto"/>
        </w:rPr>
      </w:pPr>
      <w:r>
        <w:rPr>
          <w:rFonts w:ascii="Arial" w:cs="Arial" w:eastAsia="Arial" w:hAnsi="Arial"/>
          <w:sz w:val="18"/>
          <w:szCs w:val="18"/>
          <w:color w:val="auto"/>
        </w:rPr>
        <w:t>excess of $ per share to certain brokers and dealers. After the offering, the initial public offering price, concession and reallowance to dealers may be reduced by the representative. No such reduction will change the amount of proceeds to be received by us as set forth on the cover page of this prospectus.</w:t>
      </w:r>
    </w:p>
    <w:p>
      <w:pPr>
        <w:spacing w:after="0" w:line="124" w:lineRule="exact"/>
        <w:rPr>
          <w:sz w:val="20"/>
          <w:szCs w:val="20"/>
          <w:color w:val="auto"/>
        </w:rPr>
      </w:pPr>
    </w:p>
    <w:p>
      <w:pPr>
        <w:ind w:left="460" w:right="619"/>
        <w:spacing w:after="0" w:line="238" w:lineRule="auto"/>
        <w:rPr>
          <w:sz w:val="20"/>
          <w:szCs w:val="20"/>
          <w:color w:val="auto"/>
        </w:rPr>
      </w:pPr>
      <w:r>
        <w:rPr>
          <w:rFonts w:ascii="Arial" w:cs="Arial" w:eastAsia="Arial" w:hAnsi="Arial"/>
          <w:sz w:val="18"/>
          <w:szCs w:val="18"/>
          <w:color w:val="auto"/>
        </w:rPr>
        <w:t>The following table shows the public offering price, the underwriting discounts and commissions that we are to pay the underwriters and the proceeds, before expenses, to us in connection with this offering. Such amounts are shown assuming both no exercise and full exercise of the underwriters’ option to purchase additional shares.</w:t>
      </w:r>
    </w:p>
    <w:p>
      <w:pPr>
        <w:spacing w:after="0" w:line="166" w:lineRule="exact"/>
        <w:rPr>
          <w:sz w:val="20"/>
          <w:szCs w:val="20"/>
          <w:color w:val="auto"/>
        </w:rPr>
      </w:pPr>
    </w:p>
    <w:p>
      <w:pPr>
        <w:jc w:val="center"/>
        <w:ind w:left="5500"/>
        <w:spacing w:after="0"/>
        <w:rPr>
          <w:sz w:val="20"/>
          <w:szCs w:val="20"/>
          <w:color w:val="auto"/>
        </w:rPr>
      </w:pPr>
      <w:r>
        <w:rPr>
          <w:rFonts w:ascii="Arial" w:cs="Arial" w:eastAsia="Arial" w:hAnsi="Arial"/>
          <w:sz w:val="14"/>
          <w:szCs w:val="14"/>
          <w:b w:val="1"/>
          <w:bCs w:val="1"/>
          <w:color w:val="auto"/>
        </w:rPr>
        <w:t>PAID BY FS DEVELOPMENT</w:t>
      </w:r>
    </w:p>
    <w:p>
      <w:pPr>
        <w:spacing w:after="0" w:line="19" w:lineRule="exact"/>
        <w:rPr>
          <w:sz w:val="20"/>
          <w:szCs w:val="20"/>
          <w:color w:val="auto"/>
        </w:rPr>
      </w:pPr>
    </w:p>
    <w:p>
      <w:pPr>
        <w:jc w:val="center"/>
        <w:ind w:left="5500"/>
        <w:spacing w:after="0"/>
        <w:rPr>
          <w:sz w:val="20"/>
          <w:szCs w:val="20"/>
          <w:color w:val="auto"/>
        </w:rPr>
      </w:pPr>
      <w:r>
        <w:rPr>
          <w:rFonts w:ascii="Arial" w:cs="Arial" w:eastAsia="Arial" w:hAnsi="Arial"/>
          <w:sz w:val="14"/>
          <w:szCs w:val="14"/>
          <w:b w:val="1"/>
          <w:bCs w:val="1"/>
          <w:color w:val="auto"/>
        </w:rPr>
        <w:t>ACQUISITION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23495</wp:posOffset>
            </wp:positionV>
            <wp:extent cx="163703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98"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32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No Exercise</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116"/>
              <w:spacing w:after="0"/>
              <w:rPr>
                <w:sz w:val="20"/>
                <w:szCs w:val="20"/>
                <w:color w:val="auto"/>
              </w:rPr>
            </w:pPr>
            <w:r>
              <w:rPr>
                <w:rFonts w:ascii="Arial" w:cs="Arial" w:eastAsia="Arial" w:hAnsi="Arial"/>
                <w:sz w:val="14"/>
                <w:szCs w:val="14"/>
                <w:b w:val="1"/>
                <w:bCs w:val="1"/>
                <w:color w:val="auto"/>
              </w:rPr>
              <w:t>Full Exercise</w:t>
            </w:r>
          </w:p>
        </w:tc>
      </w:tr>
      <w:tr>
        <w:trPr>
          <w:trHeight w:val="25"/>
        </w:trPr>
        <w:tc>
          <w:tcPr>
            <w:tcW w:w="322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Per Share</w:t>
            </w:r>
            <w:r>
              <w:rPr>
                <w:rFonts w:ascii="Arial" w:cs="Arial" w:eastAsia="Arial" w:hAnsi="Arial"/>
                <w:sz w:val="20"/>
                <w:szCs w:val="20"/>
                <w:color w:val="auto"/>
                <w:vertAlign w:val="superscript"/>
              </w:rPr>
              <w:t>(1)</w:t>
            </w:r>
          </w:p>
        </w:tc>
        <w:tc>
          <w:tcPr>
            <w:tcW w:w="2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0.55</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r>
      <w:tr>
        <w:trPr>
          <w:trHeight w:val="307"/>
        </w:trPr>
        <w:tc>
          <w:tcPr>
            <w:tcW w:w="3220" w:type="dxa"/>
            <w:vAlign w:val="bottom"/>
          </w:tcPr>
          <w:p>
            <w:pPr>
              <w:spacing w:after="0"/>
              <w:rPr>
                <w:sz w:val="20"/>
                <w:szCs w:val="20"/>
                <w:color w:val="auto"/>
              </w:rPr>
            </w:pPr>
            <w:r>
              <w:rPr>
                <w:rFonts w:ascii="Arial" w:cs="Arial" w:eastAsia="Arial" w:hAnsi="Arial"/>
                <w:sz w:val="18"/>
                <w:szCs w:val="18"/>
                <w:color w:val="auto"/>
              </w:rPr>
              <w:t>Total</w:t>
            </w:r>
            <w:r>
              <w:rPr>
                <w:rFonts w:ascii="Arial" w:cs="Arial" w:eastAsia="Arial" w:hAnsi="Arial"/>
                <w:sz w:val="20"/>
                <w:szCs w:val="20"/>
                <w:color w:val="auto"/>
                <w:vertAlign w:val="superscript"/>
              </w:rPr>
              <w:t>(1)</w:t>
            </w:r>
          </w:p>
        </w:tc>
        <w:tc>
          <w:tcPr>
            <w:tcW w:w="2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5,500,000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6,325,000</w:t>
            </w:r>
          </w:p>
        </w:tc>
      </w:tr>
    </w:tbl>
    <w:p>
      <w:pPr>
        <w:spacing w:after="0" w:line="3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78" w:lineRule="exact"/>
        <w:rPr>
          <w:sz w:val="20"/>
          <w:szCs w:val="20"/>
          <w:color w:val="auto"/>
        </w:rPr>
      </w:pPr>
    </w:p>
    <w:p>
      <w:pPr>
        <w:ind w:left="880" w:right="519" w:hanging="426"/>
        <w:spacing w:after="0" w:line="222" w:lineRule="auto"/>
        <w:tabs>
          <w:tab w:leader="none" w:pos="847" w:val="left"/>
        </w:tabs>
        <w:numPr>
          <w:ilvl w:val="0"/>
          <w:numId w:val="76"/>
        </w:numPr>
        <w:rPr>
          <w:rFonts w:ascii="Arial" w:cs="Arial" w:eastAsia="Arial" w:hAnsi="Arial"/>
          <w:sz w:val="13"/>
          <w:szCs w:val="13"/>
          <w:color w:val="auto"/>
        </w:rPr>
      </w:pPr>
      <w:r>
        <w:rPr>
          <w:rFonts w:ascii="Arial" w:cs="Arial" w:eastAsia="Arial" w:hAnsi="Arial"/>
          <w:sz w:val="13"/>
          <w:szCs w:val="13"/>
          <w:color w:val="auto"/>
        </w:rPr>
        <w:t>$0.20 per share, or $2,000,000 in the aggregate (or $2,300,000 if the underwriters’ over-allotment option is exercised in full), is payable upon the closing of this offering. Includes $0.35 per share, or $3,500,000 in the aggregate (or $4,025,000 in the aggregate if the over-allotment option is exercised in full) payable to the underwriters for deferred underwriting commissions will be placed in a trust account located in the United States as described herein. The deferred commissions will be released to the underwriters only on and concurrently with completion of an initial business combination.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20" w:name="page121"/>
    <w:bookmarkEnd w:id="120"/>
    <w:p>
      <w:pPr>
        <w:ind w:left="460" w:right="499"/>
        <w:spacing w:after="0" w:line="237" w:lineRule="auto"/>
        <w:rPr>
          <w:sz w:val="20"/>
          <w:szCs w:val="20"/>
          <w:color w:val="auto"/>
        </w:rPr>
      </w:pPr>
      <w:r>
        <w:rPr>
          <w:rFonts w:ascii="Arial" w:cs="Arial" w:eastAsia="Arial" w:hAnsi="Arial"/>
          <w:sz w:val="18"/>
          <w:szCs w:val="18"/>
          <w:color w:val="auto"/>
        </w:rPr>
        <w:t>If we do not complete our initial business combination within the time period required by our amended and restated certificate of incorporation, the underwriters have agreed that (i) they will forfeit any rights or claims to their deferred underwriting discounts and commissions, including any accrued interest thereon, then in the trust account and (ii) the deferred underwriters’ discounts and commissions will be distributed on a pro rata basis, together with any accrued interest thereon (which interest will be net of taxes payable) to the public shareholders.</w:t>
      </w:r>
    </w:p>
    <w:p>
      <w:pPr>
        <w:spacing w:after="0" w:line="124" w:lineRule="exact"/>
        <w:rPr>
          <w:sz w:val="20"/>
          <w:szCs w:val="20"/>
          <w:color w:val="auto"/>
        </w:rPr>
      </w:pPr>
    </w:p>
    <w:p>
      <w:pPr>
        <w:ind w:left="460" w:right="599"/>
        <w:spacing w:after="0" w:line="261" w:lineRule="auto"/>
        <w:rPr>
          <w:sz w:val="20"/>
          <w:szCs w:val="20"/>
          <w:color w:val="auto"/>
        </w:rPr>
      </w:pPr>
      <w:r>
        <w:rPr>
          <w:rFonts w:ascii="Arial" w:cs="Arial" w:eastAsia="Arial" w:hAnsi="Arial"/>
          <w:sz w:val="17"/>
          <w:szCs w:val="17"/>
          <w:color w:val="auto"/>
        </w:rPr>
        <w:t>We estimate expenses payable by us in connection with this offering, other than the underwriting discounts and commissions referred to above, will be approximately $1,000,000. We have agreed to pay for FINRA-related fees and expenses of the underwriters’ legal counsel, not to exceed $25,000.</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Determination of Offering Price</w:t>
      </w:r>
    </w:p>
    <w:p>
      <w:pPr>
        <w:spacing w:after="0" w:line="166" w:lineRule="exact"/>
        <w:rPr>
          <w:sz w:val="20"/>
          <w:szCs w:val="20"/>
          <w:color w:val="auto"/>
        </w:rPr>
      </w:pPr>
    </w:p>
    <w:p>
      <w:pPr>
        <w:ind w:left="460" w:right="539"/>
        <w:spacing w:after="0" w:line="237" w:lineRule="auto"/>
        <w:rPr>
          <w:sz w:val="20"/>
          <w:szCs w:val="20"/>
          <w:color w:val="auto"/>
        </w:rPr>
      </w:pPr>
      <w:r>
        <w:rPr>
          <w:rFonts w:ascii="Arial" w:cs="Arial" w:eastAsia="Arial" w:hAnsi="Arial"/>
          <w:sz w:val="18"/>
          <w:szCs w:val="18"/>
          <w:color w:val="auto"/>
        </w:rPr>
        <w:t>Prior to this offering, there has not been a public market for our securities. Consequently, the initial public offering price for our shares was determined by negotiations between us and the representative. Among the factors considered in these negotiations were the history and prospects of companies whose principal business is the acquisition of other companies, prior offerings of those companies, our management team, our capital structure, and currently prevailing general conditions in equity securities markets, including current market valuations of publicly traded companies considered comparable to our company.</w:t>
      </w:r>
    </w:p>
    <w:p>
      <w:pPr>
        <w:spacing w:after="0" w:line="135" w:lineRule="exact"/>
        <w:rPr>
          <w:sz w:val="20"/>
          <w:szCs w:val="20"/>
          <w:color w:val="auto"/>
        </w:rPr>
      </w:pPr>
    </w:p>
    <w:p>
      <w:pPr>
        <w:jc w:val="both"/>
        <w:ind w:left="460" w:right="739"/>
        <w:spacing w:after="0"/>
        <w:rPr>
          <w:sz w:val="20"/>
          <w:szCs w:val="20"/>
          <w:color w:val="auto"/>
        </w:rPr>
      </w:pPr>
      <w:r>
        <w:rPr>
          <w:rFonts w:ascii="Arial" w:cs="Arial" w:eastAsia="Arial" w:hAnsi="Arial"/>
          <w:sz w:val="18"/>
          <w:szCs w:val="18"/>
          <w:color w:val="auto"/>
        </w:rPr>
        <w:t>We offer no assurances that the initial public offering price will correspond to the price at which the shares will trade in the public market subsequent to the offering or that an active trading market for the shares will develop and continue after the offering.</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Listing</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applied to have our shares listed on Nasdaq under the symbol “FSDC.”</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Option to Purchase Additional Shares</w:t>
      </w:r>
    </w:p>
    <w:p>
      <w:pPr>
        <w:spacing w:after="0" w:line="166" w:lineRule="exact"/>
        <w:rPr>
          <w:sz w:val="20"/>
          <w:szCs w:val="20"/>
          <w:color w:val="auto"/>
        </w:rPr>
      </w:pPr>
    </w:p>
    <w:p>
      <w:pPr>
        <w:ind w:left="460" w:right="679"/>
        <w:spacing w:after="0" w:line="236" w:lineRule="auto"/>
        <w:rPr>
          <w:sz w:val="20"/>
          <w:szCs w:val="20"/>
          <w:color w:val="auto"/>
        </w:rPr>
      </w:pPr>
      <w:r>
        <w:rPr>
          <w:rFonts w:ascii="Arial" w:cs="Arial" w:eastAsia="Arial" w:hAnsi="Arial"/>
          <w:sz w:val="18"/>
          <w:szCs w:val="18"/>
          <w:color w:val="auto"/>
        </w:rPr>
        <w:t>We have granted to the underwriters an option, exercisable for 45 days from the date of this prospectus, to purchase, from time to time, in whole or in part, up to an aggregate of 1,500,000 shares from us at the public offering price set forth on the cover page of this prospectus, less underwriting discounts and commissions. If the underwriters exercise this option, each underwriter will be obligated, subject to specified conditions, to purchase a number of additional shares proportionate to that underwriter’s initial purchase commitment as indicated in the table above. This option may be exercised only if the underwriters sell more shares than the total number set forth on the cover page of this prospectus.</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Letter Agreements</w:t>
      </w:r>
    </w:p>
    <w:p>
      <w:pPr>
        <w:spacing w:after="0" w:line="166" w:lineRule="exact"/>
        <w:rPr>
          <w:sz w:val="20"/>
          <w:szCs w:val="20"/>
          <w:color w:val="auto"/>
        </w:rPr>
      </w:pPr>
    </w:p>
    <w:p>
      <w:pPr>
        <w:ind w:left="460" w:right="639"/>
        <w:spacing w:after="0" w:line="234" w:lineRule="auto"/>
        <w:rPr>
          <w:sz w:val="20"/>
          <w:szCs w:val="20"/>
          <w:color w:val="auto"/>
        </w:rPr>
      </w:pPr>
      <w:r>
        <w:rPr>
          <w:rFonts w:ascii="Arial" w:cs="Arial" w:eastAsia="Arial" w:hAnsi="Arial"/>
          <w:sz w:val="18"/>
          <w:szCs w:val="18"/>
          <w:color w:val="auto"/>
        </w:rPr>
        <w:t>We, our sponsor and our officers and directors have agreed that, for a period of 180 days from the date of this prospectus, we and they will not, without the prior written consent of Jefferies LLC, offer, sell, contract to sell, pledge or otherwise dispose of, directly or indirectly, any shares of Class A common stock or any other securities convertible into, or exercisable, or exchangeable for, Class A common stock; provided, however, that we may (1) issue and sell the private placement shares,</w:t>
      </w:r>
    </w:p>
    <w:p>
      <w:pPr>
        <w:ind w:left="720" w:hanging="266"/>
        <w:spacing w:after="0" w:line="238" w:lineRule="auto"/>
        <w:tabs>
          <w:tab w:leader="none" w:pos="7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issue and sell the additional shares to cover our underwriters’ over-allotment option (if any), (3)</w:t>
      </w:r>
    </w:p>
    <w:p>
      <w:pPr>
        <w:ind w:left="460" w:right="479"/>
        <w:spacing w:after="0" w:line="238" w:lineRule="auto"/>
        <w:rPr>
          <w:rFonts w:ascii="Arial" w:cs="Arial" w:eastAsia="Arial" w:hAnsi="Arial"/>
          <w:sz w:val="18"/>
          <w:szCs w:val="18"/>
          <w:color w:val="auto"/>
        </w:rPr>
      </w:pPr>
      <w:r>
        <w:rPr>
          <w:rFonts w:ascii="Arial" w:cs="Arial" w:eastAsia="Arial" w:hAnsi="Arial"/>
          <w:sz w:val="18"/>
          <w:szCs w:val="18"/>
          <w:color w:val="auto"/>
        </w:rPr>
        <w:t>register with the SEC pursuant to an agreement to be entered into concurrently with the issuance and sale of the securities in this offering, the resale of the founder shares and the private placement shares, and (4) issue securities in connection with an initial business combination. Jefferies LLC, in its sole discretion, may release any of the securities subject to these lock-up agreements at any time without notice.</w:t>
      </w:r>
    </w:p>
    <w:p>
      <w:pPr>
        <w:spacing w:after="0" w:line="121"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Our initial shareholders have agreed not to transfer, assign or sell any of their founder shares or private placement shares until the earlier to occur of: (A) one year after the completion of our initial business combination and (B) subsequent to our initial business combination, (x) if the closing price of our Class A common stock equals or exceeds $12.00 per share (as adjusted for stock splits, stock capitalizations, reorganizations, recapitalizations and the like) for any 20 trading days within any 30-trading day period commencing at least 150 days after our initial business combination, or (y) the date on which we complete a liquidation, merger, capital stock exchange, or other similar transaction that results in all of our public shareholders having the right to exchange their common stock for cash, securities or other property (except as described herein under “Principal Shareholders — Transfers of Founder</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21" w:name="page122"/>
    <w:bookmarkEnd w:id="121"/>
    <w:p>
      <w:pPr>
        <w:ind w:left="460" w:right="819"/>
        <w:spacing w:after="0" w:line="238" w:lineRule="auto"/>
        <w:rPr>
          <w:sz w:val="20"/>
          <w:szCs w:val="20"/>
          <w:color w:val="auto"/>
        </w:rPr>
      </w:pPr>
      <w:r>
        <w:rPr>
          <w:rFonts w:ascii="Arial" w:cs="Arial" w:eastAsia="Arial" w:hAnsi="Arial"/>
          <w:sz w:val="18"/>
          <w:szCs w:val="18"/>
          <w:color w:val="auto"/>
        </w:rPr>
        <w:t>Shares and Private Placement Shares”). Any permitted transferees will be subject to the same restrictions and other agreements of our sponsor and our management team with respect to any founder shares and shares of Class A common stock issued upon conversion thereof. We refer to such transfer restrictions throughout this prospectus as the lock-up.</w:t>
      </w:r>
    </w:p>
    <w:p>
      <w:pPr>
        <w:spacing w:after="0" w:line="124" w:lineRule="exact"/>
        <w:rPr>
          <w:sz w:val="20"/>
          <w:szCs w:val="20"/>
          <w:color w:val="auto"/>
        </w:rPr>
      </w:pPr>
    </w:p>
    <w:p>
      <w:pPr>
        <w:ind w:left="460" w:right="559"/>
        <w:spacing w:after="0" w:line="238" w:lineRule="auto"/>
        <w:rPr>
          <w:sz w:val="20"/>
          <w:szCs w:val="20"/>
          <w:color w:val="auto"/>
        </w:rPr>
      </w:pPr>
      <w:r>
        <w:rPr>
          <w:rFonts w:ascii="Arial" w:cs="Arial" w:eastAsia="Arial" w:hAnsi="Arial"/>
          <w:sz w:val="18"/>
          <w:szCs w:val="18"/>
          <w:color w:val="auto"/>
        </w:rPr>
        <w:t>The private placement shares will not be transferable, assignable or salable until 30 days after the completion of our initial business combination (except with respect to permitted transferees as described herein under the section of this prospectus entitled “Principal Shareholders — Transfers of Founder Shares and Private Placement Shares”).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Stabilization</w:t>
      </w:r>
    </w:p>
    <w:p>
      <w:pPr>
        <w:spacing w:after="0" w:line="166" w:lineRule="exact"/>
        <w:rPr>
          <w:sz w:val="20"/>
          <w:szCs w:val="20"/>
          <w:color w:val="auto"/>
        </w:rPr>
      </w:pPr>
    </w:p>
    <w:p>
      <w:pPr>
        <w:ind w:left="460" w:right="599"/>
        <w:spacing w:after="0" w:line="237" w:lineRule="auto"/>
        <w:rPr>
          <w:sz w:val="20"/>
          <w:szCs w:val="20"/>
          <w:color w:val="auto"/>
        </w:rPr>
      </w:pPr>
      <w:r>
        <w:rPr>
          <w:rFonts w:ascii="Arial" w:cs="Arial" w:eastAsia="Arial" w:hAnsi="Arial"/>
          <w:sz w:val="18"/>
          <w:szCs w:val="18"/>
          <w:color w:val="auto"/>
        </w:rPr>
        <w:t>The underwriters have advised us that they, pursuant to Regulation M under the Exchange Act, and certain persons participating in the offering may engage in short sale transactions, stabilizing transactions, syndicate covering transactions or the imposition of penalty bids in connection with this offering. These activities may have the effect of stabilizing or maintaining the market price of the shares at a level above that which might otherwise prevail in the open market. Establishing short sales positions may involve either “covered” short sales or “naked” short sales.</w:t>
      </w:r>
    </w:p>
    <w:p>
      <w:pPr>
        <w:spacing w:after="0" w:line="137"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“Covered” short sales are sales made in an amount not greater than the underwriters’ option to purchase additional shares in this offering.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to purchase additional shares.</w:t>
      </w:r>
    </w:p>
    <w:p>
      <w:pPr>
        <w:spacing w:after="0" w:line="122" w:lineRule="exact"/>
        <w:rPr>
          <w:sz w:val="20"/>
          <w:szCs w:val="20"/>
          <w:color w:val="auto"/>
        </w:rPr>
      </w:pPr>
    </w:p>
    <w:p>
      <w:pPr>
        <w:ind w:left="460" w:right="539"/>
        <w:spacing w:after="0" w:line="238" w:lineRule="auto"/>
        <w:rPr>
          <w:sz w:val="20"/>
          <w:szCs w:val="20"/>
          <w:color w:val="auto"/>
        </w:rPr>
      </w:pPr>
      <w:r>
        <w:rPr>
          <w:rFonts w:ascii="Arial" w:cs="Arial" w:eastAsia="Arial" w:hAnsi="Arial"/>
          <w:sz w:val="18"/>
          <w:szCs w:val="18"/>
          <w:color w:val="auto"/>
        </w:rPr>
        <w:t>“Naked” short sales are sales in excess of the option to purchase additional shares. The underwriters must close out any naked short position by purchasing shares in the open market. A naked short position is more likely to be created if the underwriters are concerned that there may be downward pressure on the price of our shares in the open market after pricing that could adversely affect investors who purchase in this offering.</w:t>
      </w:r>
    </w:p>
    <w:p>
      <w:pPr>
        <w:spacing w:after="0" w:line="135" w:lineRule="exact"/>
        <w:rPr>
          <w:sz w:val="20"/>
          <w:szCs w:val="20"/>
          <w:color w:val="auto"/>
        </w:rPr>
      </w:pPr>
    </w:p>
    <w:p>
      <w:pPr>
        <w:ind w:left="460" w:right="539"/>
        <w:spacing w:after="0" w:line="236" w:lineRule="auto"/>
        <w:rPr>
          <w:sz w:val="20"/>
          <w:szCs w:val="20"/>
          <w:color w:val="auto"/>
        </w:rPr>
      </w:pPr>
      <w:r>
        <w:rPr>
          <w:rFonts w:ascii="Arial" w:cs="Arial" w:eastAsia="Arial" w:hAnsi="Arial"/>
          <w:sz w:val="18"/>
          <w:szCs w:val="18"/>
          <w:color w:val="auto"/>
        </w:rPr>
        <w:t>A stabilizing bid is a bid for the purchase of shares on behalf of the underwriters for the purpose of fixing or maintaining the price of the shares. A syndicate covering transaction is the bid for or the purchase of shares on behalf of the underwriters to reduce a short position incurred by the underwriters in connection with the offering. Similar to other purchase transactions, the underwriter’s purchases to cover the syndicate short sales may have the effect of raising or maintaining the market price of our shares or preventing or retarding a decline in the market price of our shares. As a result, the price of our shares may be higher than the price that might otherwise exist in the open market. A penalty bid is an arrangement permitting the underwriters to reclaim the selling concession otherwise accruing to a syndicate member in connection with the offering if the shares originally sold by such syndicate member are purchased in a syndicate covering transaction and therefore have not been effectively placed by such syndicate member.</w:t>
      </w:r>
    </w:p>
    <w:p>
      <w:pPr>
        <w:spacing w:after="0" w:line="137" w:lineRule="exact"/>
        <w:rPr>
          <w:sz w:val="20"/>
          <w:szCs w:val="20"/>
          <w:color w:val="auto"/>
        </w:rPr>
      </w:pPr>
    </w:p>
    <w:p>
      <w:pPr>
        <w:ind w:left="460" w:right="679"/>
        <w:spacing w:after="0" w:line="238" w:lineRule="auto"/>
        <w:rPr>
          <w:sz w:val="20"/>
          <w:szCs w:val="20"/>
          <w:color w:val="auto"/>
        </w:rPr>
      </w:pPr>
      <w:r>
        <w:rPr>
          <w:rFonts w:ascii="Arial" w:cs="Arial" w:eastAsia="Arial" w:hAnsi="Arial"/>
          <w:sz w:val="18"/>
          <w:szCs w:val="18"/>
          <w:color w:val="auto"/>
        </w:rPr>
        <w:t>Neither we nor any of the underwriters make any representation or prediction as to the direction or magnitude of any effect that the transactions described above may have on the price of our shares. The underwriters are not obligated to engage in these activities and, if commenced, any of the activities may be discontinued at any time.</w:t>
      </w:r>
    </w:p>
    <w:p>
      <w:pPr>
        <w:spacing w:after="0" w:line="124" w:lineRule="exact"/>
        <w:rPr>
          <w:sz w:val="20"/>
          <w:szCs w:val="20"/>
          <w:color w:val="auto"/>
        </w:rPr>
      </w:pPr>
    </w:p>
    <w:p>
      <w:pPr>
        <w:ind w:left="460" w:right="499"/>
        <w:spacing w:after="0" w:line="237" w:lineRule="auto"/>
        <w:rPr>
          <w:sz w:val="20"/>
          <w:szCs w:val="20"/>
          <w:color w:val="auto"/>
        </w:rPr>
      </w:pPr>
      <w:r>
        <w:rPr>
          <w:rFonts w:ascii="Arial" w:cs="Arial" w:eastAsia="Arial" w:hAnsi="Arial"/>
          <w:sz w:val="18"/>
          <w:szCs w:val="18"/>
          <w:color w:val="auto"/>
        </w:rPr>
        <w:t>The underwriters may also engage in passive market making transactions in our shares on Nasdaq in accordance with Rule 103 of Regulation M during a period before the commencement of offers or sales of our shares in this offering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Electronic Distribution</w:t>
      </w:r>
    </w:p>
    <w:p>
      <w:pPr>
        <w:spacing w:after="0" w:line="166" w:lineRule="exact"/>
        <w:rPr>
          <w:sz w:val="20"/>
          <w:szCs w:val="20"/>
          <w:color w:val="auto"/>
        </w:rPr>
      </w:pPr>
    </w:p>
    <w:p>
      <w:pPr>
        <w:ind w:left="460" w:right="559"/>
        <w:spacing w:after="0" w:line="237" w:lineRule="auto"/>
        <w:rPr>
          <w:sz w:val="20"/>
          <w:szCs w:val="20"/>
          <w:color w:val="auto"/>
        </w:rPr>
      </w:pPr>
      <w:r>
        <w:rPr>
          <w:rFonts w:ascii="Arial" w:cs="Arial" w:eastAsia="Arial" w:hAnsi="Arial"/>
          <w:sz w:val="18"/>
          <w:szCs w:val="18"/>
          <w:color w:val="auto"/>
        </w:rPr>
        <w:t>A prospectus in electronic format may be made available by e-mail or on the websites or through online services maintained by one or more of the underwriters or their affiliates. In those cases, prospective investors may view offering terms online and may be allowed to place orders online. The underwriters may agree with us to allocate a specific number of shares for sale to online brokerage account holders. Any such allocation for online distributions will be made by the underwriters on the same basis as other allocations. Other than the prospectus in electronic</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22" w:name="page123"/>
    <w:bookmarkEnd w:id="122"/>
    <w:p>
      <w:pPr>
        <w:ind w:left="460" w:right="659"/>
        <w:spacing w:after="0"/>
        <w:rPr>
          <w:sz w:val="20"/>
          <w:szCs w:val="20"/>
          <w:color w:val="auto"/>
        </w:rPr>
      </w:pPr>
      <w:r>
        <w:rPr>
          <w:rFonts w:ascii="Arial" w:cs="Arial" w:eastAsia="Arial" w:hAnsi="Arial"/>
          <w:sz w:val="18"/>
          <w:szCs w:val="18"/>
          <w:color w:val="auto"/>
        </w:rPr>
        <w:t>format, the information on the underwriters’ websites and any information contained in any other website maintained by any of the underwriters is not part of this prospectus, has not been approved and/or endorsed by us or the underwriters and should not be relied upon by investors.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 Activities and Relationships</w:t>
      </w:r>
    </w:p>
    <w:p>
      <w:pPr>
        <w:spacing w:after="0" w:line="153"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We have granted Jefferies LLC a right of first refusal to provide certain advisory services and participate in certain future financings for a period of not more than three years from the date of commencement of sales of this offering. Such right of first refusal is deemed to be underwriting compensation in connection with this offering. Otherwise, we are not under any contractual obligation to engage any of the underwriters to provide any services for us after this offering, and have no present intent to do so. However, any of the underwriters may introduce us to potential target businesses or assist us in raising additional capital in the future. If any of the underwriters provide services to us after this offering, we may pay such underwriter fair and reasonable fees that would be determined at that time in an arm’s length negotiation; provided that no agreement will be entered into with any of the underwriters and no fees for such services will be paid to any of the underwriters prior to the date that is 90 days from the date of this prospectus, unless FINRA determines that such payment would not be deemed underwriters’ compensation in connection with this offering and we may pay the underwriters of this offering or any entity with which they are affiliated a finder’s fee or other compensation for services rendered to us in connection with the completion of a business combination.</w:t>
      </w:r>
    </w:p>
    <w:p>
      <w:pPr>
        <w:spacing w:after="0" w:line="146" w:lineRule="exact"/>
        <w:rPr>
          <w:sz w:val="20"/>
          <w:szCs w:val="20"/>
          <w:color w:val="auto"/>
        </w:rPr>
      </w:pPr>
    </w:p>
    <w:p>
      <w:pPr>
        <w:ind w:left="460" w:right="459"/>
        <w:spacing w:after="0" w:line="253" w:lineRule="auto"/>
        <w:rPr>
          <w:sz w:val="20"/>
          <w:szCs w:val="20"/>
          <w:color w:val="auto"/>
        </w:rPr>
      </w:pPr>
      <w:r>
        <w:rPr>
          <w:rFonts w:ascii="Arial" w:cs="Arial" w:eastAsia="Arial" w:hAnsi="Arial"/>
          <w:sz w:val="17"/>
          <w:szCs w:val="17"/>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affiliates have, from time to time, performed, and may in the future perform, various commercial and investment banking and financial advisory services for us and our affiliates, for which they received or will receive customary fees and expenses.</w:t>
      </w:r>
    </w:p>
    <w:p>
      <w:pPr>
        <w:spacing w:after="0" w:line="127"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issued by us and our affiliates. The underwriters and certain of their respective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Selling Restrictions</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Canada</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Resale Restrictions</w:t>
      </w:r>
    </w:p>
    <w:p>
      <w:pPr>
        <w:spacing w:after="0" w:line="144"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The distribution of the securities in Canada is being made only in the provinces of Ontario, Quebec, Alberta and British Columbia on a private placement basis exempt from the requirement that we prepare and file a prospectus with the securities regulatory authorities in each province where trades of these securities are made. Any resale of the securities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securities.</w:t>
      </w:r>
    </w:p>
    <w:p>
      <w:pPr>
        <w:spacing w:after="0" w:line="2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Representations of Canadian Purchasers</w:t>
      </w:r>
    </w:p>
    <w:p>
      <w:pPr>
        <w:spacing w:after="0" w:line="131" w:lineRule="exact"/>
        <w:rPr>
          <w:sz w:val="20"/>
          <w:szCs w:val="20"/>
          <w:color w:val="auto"/>
        </w:rPr>
      </w:pPr>
    </w:p>
    <w:p>
      <w:pPr>
        <w:ind w:left="460" w:right="519"/>
        <w:spacing w:after="0" w:line="273" w:lineRule="auto"/>
        <w:rPr>
          <w:sz w:val="20"/>
          <w:szCs w:val="20"/>
          <w:color w:val="auto"/>
        </w:rPr>
      </w:pPr>
      <w:r>
        <w:rPr>
          <w:rFonts w:ascii="Arial" w:cs="Arial" w:eastAsia="Arial" w:hAnsi="Arial"/>
          <w:sz w:val="17"/>
          <w:szCs w:val="17"/>
          <w:color w:val="auto"/>
        </w:rPr>
        <w:t>By purchasing the securities in Canada and accepting delivery of a purchase confirmation, a purchaser is representing to us and the dealer from whom the purchase confirmation is received that:</w:t>
      </w:r>
    </w:p>
    <w:p>
      <w:pPr>
        <w:spacing w:after="0" w:line="1" w:lineRule="exact"/>
        <w:rPr>
          <w:sz w:val="20"/>
          <w:szCs w:val="20"/>
          <w:color w:val="auto"/>
        </w:rPr>
      </w:pPr>
    </w:p>
    <w:p>
      <w:pPr>
        <w:jc w:val="both"/>
        <w:ind w:left="1100" w:right="479" w:hanging="322"/>
        <w:spacing w:after="0"/>
        <w:tabs>
          <w:tab w:leader="none" w:pos="1096"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the purchaser is entitled under applicable provincial securities laws to purchase the securities without the benefit of a prospectus qualified under those securities laws as it is an “accredited investor” as defined under National Instrument 45-106 — </w:t>
      </w:r>
      <w:r>
        <w:rPr>
          <w:rFonts w:ascii="Arial" w:cs="Arial" w:eastAsia="Arial" w:hAnsi="Arial"/>
          <w:sz w:val="18"/>
          <w:szCs w:val="18"/>
          <w:i w:val="1"/>
          <w:iCs w:val="1"/>
          <w:color w:val="auto"/>
        </w:rPr>
        <w:t>Prospectus Exemptions</w:t>
      </w:r>
      <w:r>
        <w:rPr>
          <w:rFonts w:ascii="Arial" w:cs="Arial" w:eastAsia="Arial" w:hAnsi="Arial"/>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23" w:name="page124"/>
    <w:bookmarkEnd w:id="123"/>
    <w:p>
      <w:pPr>
        <w:ind w:left="1100" w:right="579" w:hanging="322"/>
        <w:spacing w:after="0" w:line="260" w:lineRule="auto"/>
        <w:tabs>
          <w:tab w:leader="none" w:pos="1096"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the purchaser is a “permitted client” as defined in National Instrument 31-103 — </w:t>
      </w:r>
      <w:r>
        <w:rPr>
          <w:rFonts w:ascii="Arial" w:cs="Arial" w:eastAsia="Arial" w:hAnsi="Arial"/>
          <w:sz w:val="18"/>
          <w:szCs w:val="18"/>
          <w:i w:val="1"/>
          <w:iCs w:val="1"/>
          <w:color w:val="auto"/>
        </w:rPr>
        <w:t>Registration</w:t>
      </w:r>
      <w:r>
        <w:rPr>
          <w:rFonts w:ascii="Arial" w:cs="Arial" w:eastAsia="Arial" w:hAnsi="Arial"/>
          <w:sz w:val="18"/>
          <w:szCs w:val="18"/>
          <w:color w:val="auto"/>
        </w:rPr>
        <w:t xml:space="preserve"> </w:t>
      </w:r>
      <w:r>
        <w:rPr>
          <w:rFonts w:ascii="Arial" w:cs="Arial" w:eastAsia="Arial" w:hAnsi="Arial"/>
          <w:sz w:val="18"/>
          <w:szCs w:val="18"/>
          <w:i w:val="1"/>
          <w:iCs w:val="1"/>
          <w:color w:val="auto"/>
        </w:rPr>
        <w:t>Requirements, Exemptions and Ongoing Registrant Obligations</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1080" w:hanging="30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where required by law, the purchaser is purchasing as principal and not as agent; and</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purchaser has reviewed the text above under Resale Restrictions.</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Conflicts of Interest</w:t>
      </w:r>
    </w:p>
    <w:p>
      <w:pPr>
        <w:spacing w:after="0" w:line="144" w:lineRule="exact"/>
        <w:rPr>
          <w:sz w:val="20"/>
          <w:szCs w:val="20"/>
          <w:color w:val="auto"/>
        </w:rPr>
      </w:pPr>
    </w:p>
    <w:p>
      <w:pPr>
        <w:ind w:left="460" w:right="519"/>
        <w:spacing w:after="0"/>
        <w:rPr>
          <w:sz w:val="20"/>
          <w:szCs w:val="20"/>
          <w:color w:val="auto"/>
        </w:rPr>
      </w:pPr>
      <w:r>
        <w:rPr>
          <w:rFonts w:ascii="Arial" w:cs="Arial" w:eastAsia="Arial" w:hAnsi="Arial"/>
          <w:sz w:val="18"/>
          <w:szCs w:val="18"/>
          <w:color w:val="auto"/>
        </w:rPr>
        <w:t xml:space="preserve">Canadian purchasers are hereby notified that the underwriters are relying on the exemption set out in section 3A.3 or 3A.4, if applicable, of National Instrument 33-105 —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from having to provide certain conflict of interest disclosure in this document.</w:t>
      </w:r>
    </w:p>
    <w:p>
      <w:pPr>
        <w:spacing w:after="0" w:line="2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Statutory Rights of Action</w:t>
      </w:r>
    </w:p>
    <w:p>
      <w:pPr>
        <w:spacing w:after="0" w:line="131" w:lineRule="exact"/>
        <w:rPr>
          <w:sz w:val="20"/>
          <w:szCs w:val="20"/>
          <w:color w:val="auto"/>
        </w:rPr>
      </w:pPr>
    </w:p>
    <w:p>
      <w:pPr>
        <w:ind w:left="460" w:right="519"/>
        <w:spacing w:after="0" w:line="237"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the prospectus (including any amendment thereto) such as this document contains a misrepresentation, provided that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w:t>
      </w:r>
    </w:p>
    <w:p>
      <w:pPr>
        <w:spacing w:after="0" w:line="2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Enforcement of Legal Rights</w:t>
      </w:r>
    </w:p>
    <w:p>
      <w:pPr>
        <w:spacing w:after="0" w:line="144" w:lineRule="exact"/>
        <w:rPr>
          <w:sz w:val="20"/>
          <w:szCs w:val="20"/>
          <w:color w:val="auto"/>
        </w:rPr>
      </w:pPr>
    </w:p>
    <w:p>
      <w:pPr>
        <w:ind w:left="460" w:right="599"/>
        <w:spacing w:after="0" w:line="237" w:lineRule="auto"/>
        <w:rPr>
          <w:sz w:val="20"/>
          <w:szCs w:val="20"/>
          <w:color w:val="auto"/>
        </w:rPr>
      </w:pPr>
      <w:r>
        <w:rPr>
          <w:rFonts w:ascii="Arial" w:cs="Arial" w:eastAsia="Arial" w:hAnsi="Arial"/>
          <w:sz w:val="18"/>
          <w:szCs w:val="18"/>
          <w:color w:val="auto"/>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Taxation and Eligibility for Investment</w:t>
      </w:r>
    </w:p>
    <w:p>
      <w:pPr>
        <w:spacing w:after="0" w:line="144" w:lineRule="exact"/>
        <w:rPr>
          <w:sz w:val="20"/>
          <w:szCs w:val="20"/>
          <w:color w:val="auto"/>
        </w:rPr>
      </w:pPr>
    </w:p>
    <w:p>
      <w:pPr>
        <w:ind w:left="460" w:right="559"/>
        <w:spacing w:after="0" w:line="261" w:lineRule="auto"/>
        <w:rPr>
          <w:sz w:val="20"/>
          <w:szCs w:val="20"/>
          <w:color w:val="auto"/>
        </w:rPr>
      </w:pPr>
      <w:r>
        <w:rPr>
          <w:rFonts w:ascii="Arial" w:cs="Arial" w:eastAsia="Arial" w:hAnsi="Arial"/>
          <w:sz w:val="17"/>
          <w:szCs w:val="17"/>
          <w:color w:val="auto"/>
        </w:rPr>
        <w:t>Canadian purchasers of the securities should consult their own legal and tax advisors with respect to the tax consequences of an investment in the securities in their particular circumstances and about the eligibility of the securities for investment by the purchaser under relevant Canadian legislation.</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Australia</w:t>
      </w:r>
    </w:p>
    <w:p>
      <w:pPr>
        <w:spacing w:after="0" w:line="153" w:lineRule="exact"/>
        <w:rPr>
          <w:sz w:val="20"/>
          <w:szCs w:val="20"/>
          <w:color w:val="auto"/>
        </w:rPr>
      </w:pPr>
    </w:p>
    <w:p>
      <w:pPr>
        <w:ind w:left="460" w:right="699"/>
        <w:spacing w:after="0" w:line="238" w:lineRule="auto"/>
        <w:rPr>
          <w:sz w:val="20"/>
          <w:szCs w:val="20"/>
          <w:color w:val="auto"/>
        </w:rPr>
      </w:pPr>
      <w:r>
        <w:rPr>
          <w:rFonts w:ascii="Arial" w:cs="Arial" w:eastAsia="Arial" w:hAnsi="Arial"/>
          <w:sz w:val="18"/>
          <w:szCs w:val="18"/>
          <w:color w:val="auto"/>
        </w:rPr>
        <w:t>This prospectus is not a disclosure document for the purposes of Australia’s Corporations Act 2001 (Cth) of Australia, or Corporations Act, has not been lodged with the Australian Securities &amp; Investments Commission and is only directed to the categories of exempt persons set out below. Accordingly, if you receive this prospectus in Australia:</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confirm and warrant that you are either:</w:t>
      </w:r>
    </w:p>
    <w:p>
      <w:pPr>
        <w:spacing w:after="0" w:line="36" w:lineRule="exact"/>
        <w:rPr>
          <w:sz w:val="20"/>
          <w:szCs w:val="20"/>
          <w:color w:val="auto"/>
        </w:rPr>
      </w:pPr>
    </w:p>
    <w:p>
      <w:pPr>
        <w:ind w:left="1100" w:hanging="322"/>
        <w:spacing w:after="0"/>
        <w:tabs>
          <w:tab w:leader="none" w:pos="11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“sophisticated investor” under section 708(8)(a) or (b) of the Corporations Act;</w:t>
      </w:r>
    </w:p>
    <w:p>
      <w:pPr>
        <w:spacing w:after="0" w:line="22" w:lineRule="exact"/>
        <w:rPr>
          <w:rFonts w:ascii="Arial" w:cs="Arial" w:eastAsia="Arial" w:hAnsi="Arial"/>
          <w:sz w:val="18"/>
          <w:szCs w:val="18"/>
          <w:color w:val="auto"/>
        </w:rPr>
      </w:pPr>
    </w:p>
    <w:p>
      <w:pPr>
        <w:ind w:left="1100" w:right="599" w:hanging="322"/>
        <w:spacing w:after="0" w:line="238" w:lineRule="auto"/>
        <w:tabs>
          <w:tab w:leader="none" w:pos="1096"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“sophisticated investor” under section 708(8)(c) or (d) of the Corporations Act and that you have provided an accountant’s certificate to the Company which complies with the requirements of section 708(8)(c)(i) or (ii) of the Corporations Act and related regulations before the offer has been made;</w:t>
      </w:r>
    </w:p>
    <w:p>
      <w:pPr>
        <w:spacing w:after="0" w:line="29" w:lineRule="exact"/>
        <w:rPr>
          <w:rFonts w:ascii="Arial" w:cs="Arial" w:eastAsia="Arial" w:hAnsi="Arial"/>
          <w:sz w:val="18"/>
          <w:szCs w:val="18"/>
          <w:color w:val="auto"/>
        </w:rPr>
      </w:pPr>
    </w:p>
    <w:p>
      <w:pPr>
        <w:ind w:left="1080" w:hanging="30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person associated with the Company under Section 708(12) of the Corporations Act; or</w:t>
      </w:r>
    </w:p>
    <w:p>
      <w:pPr>
        <w:spacing w:after="0" w:line="36" w:lineRule="exact"/>
        <w:rPr>
          <w:rFonts w:ascii="Arial" w:cs="Arial" w:eastAsia="Arial" w:hAnsi="Arial"/>
          <w:sz w:val="18"/>
          <w:szCs w:val="18"/>
          <w:color w:val="auto"/>
        </w:rPr>
      </w:pPr>
    </w:p>
    <w:p>
      <w:pPr>
        <w:ind w:left="1100" w:right="679" w:hanging="322"/>
        <w:spacing w:after="0" w:line="246" w:lineRule="auto"/>
        <w:tabs>
          <w:tab w:leader="none" w:pos="1096"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“professional investor” within the meaning of section 708(11)(a) or (b) of the Corporations Act.</w:t>
      </w:r>
    </w:p>
    <w:p>
      <w:pPr>
        <w:spacing w:after="0" w:line="116" w:lineRule="exact"/>
        <w:rPr>
          <w:sz w:val="20"/>
          <w:szCs w:val="20"/>
          <w:color w:val="auto"/>
        </w:rPr>
      </w:pPr>
    </w:p>
    <w:p>
      <w:pPr>
        <w:ind w:left="460" w:right="539"/>
        <w:spacing w:after="0"/>
        <w:rPr>
          <w:sz w:val="20"/>
          <w:szCs w:val="20"/>
          <w:color w:val="auto"/>
        </w:rPr>
      </w:pPr>
      <w:r>
        <w:rPr>
          <w:rFonts w:ascii="Arial" w:cs="Arial" w:eastAsia="Arial" w:hAnsi="Arial"/>
          <w:sz w:val="18"/>
          <w:szCs w:val="18"/>
          <w:color w:val="auto"/>
        </w:rPr>
        <w:t>To the extent that you are unable to confirm or warrant that you are an exempt sophisticated investor, associated person or professional investor under the Corporations Act any offer made to you under this prospectus is void and incapable of acceptance.</w:t>
      </w:r>
    </w:p>
    <w:p>
      <w:pPr>
        <w:spacing w:after="0" w:line="135" w:lineRule="exact"/>
        <w:rPr>
          <w:sz w:val="20"/>
          <w:szCs w:val="20"/>
          <w:color w:val="auto"/>
        </w:rPr>
      </w:pPr>
    </w:p>
    <w:p>
      <w:pPr>
        <w:ind w:left="460" w:right="619"/>
        <w:spacing w:after="0" w:line="238" w:lineRule="auto"/>
        <w:rPr>
          <w:sz w:val="20"/>
          <w:szCs w:val="20"/>
          <w:color w:val="auto"/>
        </w:rPr>
      </w:pPr>
      <w:r>
        <w:rPr>
          <w:rFonts w:ascii="Arial" w:cs="Arial" w:eastAsia="Arial" w:hAnsi="Arial"/>
          <w:sz w:val="18"/>
          <w:szCs w:val="18"/>
          <w:color w:val="auto"/>
        </w:rPr>
        <w:t>You warrant and agree that you will not offer any of the securities issued to you pursuant to this prospectus for resale in Australia within 12 months of those securities being issued unless any such resale offer is exempt from the requirement to issue a disclosure document under section 708 of the Corporations Act.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161" w:right="1440" w:bottom="1440" w:gutter="0" w:footer="0" w:header="0"/>
        </w:sectPr>
      </w:pPr>
    </w:p>
    <w:bookmarkStart w:id="124" w:name="page125"/>
    <w:bookmarkEnd w:id="124"/>
    <w:p>
      <w:pPr>
        <w:ind w:left="46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66" w:lineRule="exact"/>
        <w:rPr>
          <w:sz w:val="20"/>
          <w:szCs w:val="20"/>
          <w:color w:val="auto"/>
        </w:rPr>
      </w:pPr>
    </w:p>
    <w:p>
      <w:pPr>
        <w:ind w:left="460" w:right="459"/>
        <w:spacing w:after="0" w:line="235" w:lineRule="auto"/>
        <w:rPr>
          <w:sz w:val="20"/>
          <w:szCs w:val="20"/>
          <w:color w:val="auto"/>
        </w:rPr>
      </w:pPr>
      <w:r>
        <w:rPr>
          <w:rFonts w:ascii="Arial" w:cs="Arial" w:eastAsia="Arial" w:hAnsi="Arial"/>
          <w:sz w:val="18"/>
          <w:szCs w:val="18"/>
          <w:color w:val="auto"/>
        </w:rPr>
        <w:t>The shares are not intended to be offered or sold to and should not be offered or sold to any retail investor in the European Economic Area (the “EEA”). For these purposes, a retail investor means a person who is one (or more) of: (i) a retail client as defined in point (11) of Article 4(1) of Directive 2014/65/EU, as amended (“MiFID II”); or (ii) a customer within the meaning of Directive 2002/92/EC, as amended (the “Insurance Mediation Directive”), where that customer would not qualify as a professional client as defined in point (10) of Article 4(1) of MiFID II; or (iii) not a qualified investor as defined in the Directive 2003/71/EC (as amended, the “Prospectus Directive”). No key information document required by Regulation (EU) No 1286/2014, as amended (the “PRIIPs Regulation”) for offering or selling the shares or otherwise making them available to retail investors in the EEA has been prepared. Offering or selling the shares or otherwise making them available to any retail investor in the EEA may be unlawful under the PRIIPS Regulation. This prospectus has been prepared on the basis that any offer of the shares in any member state of the EEA will be made pursuant to an exemption under the Prospectus Directive from a requirement to publish a prospectus for offers of shares. This prospectus is not a prospectus for the purpose of the Prospectus Directive.</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Hong Kong</w:t>
      </w:r>
    </w:p>
    <w:p>
      <w:pPr>
        <w:spacing w:after="0" w:line="153" w:lineRule="exact"/>
        <w:rPr>
          <w:sz w:val="20"/>
          <w:szCs w:val="20"/>
          <w:color w:val="auto"/>
        </w:rPr>
      </w:pPr>
    </w:p>
    <w:p>
      <w:pPr>
        <w:ind w:left="460" w:right="539"/>
        <w:spacing w:after="0" w:line="236" w:lineRule="auto"/>
        <w:rPr>
          <w:sz w:val="20"/>
          <w:szCs w:val="20"/>
          <w:color w:val="auto"/>
        </w:rPr>
      </w:pPr>
      <w:r>
        <w:rPr>
          <w:rFonts w:ascii="Arial" w:cs="Arial" w:eastAsia="Arial" w:hAnsi="Arial"/>
          <w:sz w:val="18"/>
          <w:szCs w:val="18"/>
          <w:color w:val="auto"/>
        </w:rPr>
        <w:t>No securities have been offered or sold, and no securities may be offered or sold, in Hong Kong, by means of any document, other than to persons whose ordinary business is to buy or sell shares or debentures, whether as principal or agent; or to “professional investors” as defined in the Securities and Futures Ordinance (Cap. 571) of Hong Kong (“SFO”) and any rules made under that Ordinance; or in other circumstances which do not result in the document being a “prospectus” as defined in the Companies Ordinance (Cap. 32) of Hong Kong (“CO”) or which do not constitute an offer or invitation to the public for the purpose of the CO or the SFO. No document, invitation or advertisement relating to the securities has been issued or may be issued or may be in the possession of any person for the purpose of issue (in each case whether in Hong Kong or elsewhere), which is directed at, or the contents of which are likely to be accessed or read by, the public of Hong Kong (except if permitted under the securities laws of Hong Kong) other than with respect to securities which are or are intended to be disposed of only to persons outside Hong Kong or only to “professional investors” as defined in the SFO and any rules made under that Ordinance.</w:t>
      </w:r>
    </w:p>
    <w:p>
      <w:pPr>
        <w:spacing w:after="0" w:line="135" w:lineRule="exact"/>
        <w:rPr>
          <w:sz w:val="20"/>
          <w:szCs w:val="20"/>
          <w:color w:val="auto"/>
        </w:rPr>
      </w:pPr>
    </w:p>
    <w:p>
      <w:pPr>
        <w:ind w:left="460" w:right="539"/>
        <w:spacing w:after="0" w:line="237" w:lineRule="auto"/>
        <w:rPr>
          <w:sz w:val="20"/>
          <w:szCs w:val="20"/>
          <w:color w:val="auto"/>
        </w:rPr>
      </w:pPr>
      <w:r>
        <w:rPr>
          <w:rFonts w:ascii="Arial" w:cs="Arial" w:eastAsia="Arial" w:hAnsi="Arial"/>
          <w:sz w:val="18"/>
          <w:szCs w:val="18"/>
          <w:color w:val="auto"/>
        </w:rPr>
        <w:t>This prospectus has not been registered with the Registrar of Companies in Hong Kong. Accordingly, this prospectus may not be issued, circulated or distributed in Hong Kong, and the securities may not be offered for subscription to members of the public in Hong Kong. Each person acquiring the securities will be required, and is deemed by the acquisition of the securities, to confirm that he is aware of the restriction on offers of the securities described in this prospectus and the relevant offering documents and that he is not acquiring, and has not been offered any securities in circumstances that contravene any such restrictions.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Israel</w:t>
      </w:r>
    </w:p>
    <w:p>
      <w:pPr>
        <w:spacing w:after="0" w:line="166" w:lineRule="exact"/>
        <w:rPr>
          <w:sz w:val="20"/>
          <w:szCs w:val="20"/>
          <w:color w:val="auto"/>
        </w:rPr>
      </w:pPr>
    </w:p>
    <w:p>
      <w:pPr>
        <w:ind w:left="460" w:right="679"/>
        <w:spacing w:after="0" w:line="248" w:lineRule="auto"/>
        <w:rPr>
          <w:sz w:val="20"/>
          <w:szCs w:val="20"/>
          <w:color w:val="auto"/>
        </w:rPr>
      </w:pPr>
      <w:r>
        <w:rPr>
          <w:rFonts w:ascii="Arial" w:cs="Arial" w:eastAsia="Arial" w:hAnsi="Arial"/>
          <w:sz w:val="17"/>
          <w:szCs w:val="17"/>
          <w:color w:val="auto"/>
        </w:rPr>
        <w:t>This document does not constitute a prospectus under the Israeli Securities Law, 5728-1968, or the Securities Law, and has not been filed with or approved by the Israel Securities Authority. In Israel, this prospectus is being distributed only to, and is directed only at, and any offer of the shares is directed only at, (i) a limited number of persons in accordance with the Israeli Securities Law and</w:t>
      </w:r>
    </w:p>
    <w:p>
      <w:pPr>
        <w:spacing w:after="0" w:line="2" w:lineRule="exact"/>
        <w:rPr>
          <w:sz w:val="20"/>
          <w:szCs w:val="20"/>
          <w:color w:val="auto"/>
        </w:rPr>
      </w:pPr>
    </w:p>
    <w:p>
      <w:pPr>
        <w:ind w:left="460" w:right="599" w:hanging="6"/>
        <w:spacing w:after="0" w:line="236" w:lineRule="auto"/>
        <w:tabs>
          <w:tab w:leader="none" w:pos="71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Japan</w:t>
      </w:r>
    </w:p>
    <w:p>
      <w:pPr>
        <w:spacing w:after="0" w:line="153" w:lineRule="exact"/>
        <w:rPr>
          <w:sz w:val="20"/>
          <w:szCs w:val="20"/>
          <w:color w:val="auto"/>
        </w:rPr>
      </w:pPr>
    </w:p>
    <w:p>
      <w:pPr>
        <w:ind w:left="460" w:right="599"/>
        <w:spacing w:after="0" w:line="238" w:lineRule="auto"/>
        <w:rPr>
          <w:sz w:val="20"/>
          <w:szCs w:val="20"/>
          <w:color w:val="auto"/>
        </w:rPr>
      </w:pPr>
      <w:r>
        <w:rPr>
          <w:rFonts w:ascii="Arial" w:cs="Arial" w:eastAsia="Arial" w:hAnsi="Arial"/>
          <w:sz w:val="18"/>
          <w:szCs w:val="18"/>
          <w:color w:val="auto"/>
        </w:rPr>
        <w:t>The offering has not been and will not be registered under the Financial Instruments and Exchange Law of Japan (Law No. 25 of 1948 of Japan, as amended), or FIEL, and the Initial Purchaser will not offer or sell any securities, directly or indirectly, in Japan or to, or for the benefit of, any resident of Japan (which term as used herein means any person resident in Japan, including any corporation or other entity organized under the laws of Japan), or to</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25" w:name="page126"/>
    <w:bookmarkEnd w:id="125"/>
    <w:p>
      <w:pPr>
        <w:ind w:left="460" w:right="479"/>
        <w:spacing w:after="0" w:line="238" w:lineRule="auto"/>
        <w:rPr>
          <w:sz w:val="20"/>
          <w:szCs w:val="20"/>
          <w:color w:val="auto"/>
        </w:rPr>
      </w:pPr>
      <w:r>
        <w:rPr>
          <w:rFonts w:ascii="Arial" w:cs="Arial" w:eastAsia="Arial" w:hAnsi="Arial"/>
          <w:sz w:val="18"/>
          <w:szCs w:val="18"/>
          <w:color w:val="auto"/>
        </w:rPr>
        <w:t>others for re-offering or resale, directly or indirectly, in Japan or to, or for the benefit of, any resident of Japan, except pursuant to an exemption from the registration requirements of, and otherwise in compliance with, the FIEL and any other applicable laws, regulations and ministerial guidelines of Japan.</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Singapore</w:t>
      </w:r>
    </w:p>
    <w:p>
      <w:pPr>
        <w:spacing w:after="0" w:line="153" w:lineRule="exact"/>
        <w:rPr>
          <w:sz w:val="20"/>
          <w:szCs w:val="20"/>
          <w:color w:val="auto"/>
        </w:rPr>
      </w:pPr>
    </w:p>
    <w:p>
      <w:pPr>
        <w:ind w:left="460" w:right="559"/>
        <w:spacing w:after="0" w:line="248" w:lineRule="auto"/>
        <w:rPr>
          <w:sz w:val="20"/>
          <w:szCs w:val="20"/>
          <w:color w:val="auto"/>
        </w:rPr>
      </w:pPr>
      <w:r>
        <w:rPr>
          <w:rFonts w:ascii="Arial" w:cs="Arial" w:eastAsia="Arial" w:hAnsi="Arial"/>
          <w:sz w:val="17"/>
          <w:szCs w:val="17"/>
          <w:color w:val="auto"/>
        </w:rPr>
        <w:t>This prospectus has not been and will not be lodged or registered as a prospectus with the Monetary Authority of Singapore. Accordingly, this prospectus and any other document or material in connection with the offer or sale, or invitation for subscription or purchase, of the securities may not be circulated or distributed, nor may the securities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w:t>
      </w:r>
    </w:p>
    <w:p>
      <w:pPr>
        <w:spacing w:after="0" w:line="4" w:lineRule="exact"/>
        <w:rPr>
          <w:sz w:val="20"/>
          <w:szCs w:val="20"/>
          <w:color w:val="auto"/>
        </w:rPr>
      </w:pPr>
    </w:p>
    <w:p>
      <w:pPr>
        <w:ind w:left="460" w:right="579" w:hanging="6"/>
        <w:spacing w:after="0" w:line="246" w:lineRule="auto"/>
        <w:tabs>
          <w:tab w:leader="none" w:pos="750" w:val="left"/>
        </w:tabs>
        <w:numPr>
          <w:ilvl w:val="0"/>
          <w:numId w:val="82"/>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129" w:lineRule="exact"/>
        <w:rPr>
          <w:sz w:val="20"/>
          <w:szCs w:val="20"/>
          <w:color w:val="auto"/>
        </w:rPr>
      </w:pPr>
    </w:p>
    <w:p>
      <w:pPr>
        <w:ind w:left="460" w:right="519"/>
        <w:spacing w:after="0" w:line="246" w:lineRule="auto"/>
        <w:rPr>
          <w:sz w:val="20"/>
          <w:szCs w:val="20"/>
          <w:color w:val="auto"/>
        </w:rPr>
      </w:pPr>
      <w:r>
        <w:rPr>
          <w:rFonts w:ascii="Arial" w:cs="Arial" w:eastAsia="Arial" w:hAnsi="Arial"/>
          <w:sz w:val="18"/>
          <w:szCs w:val="18"/>
          <w:color w:val="auto"/>
        </w:rPr>
        <w:t>Where the securities are subscribed or purchased under Section 275 of the SFA by a relevant person which is:</w:t>
      </w:r>
    </w:p>
    <w:p>
      <w:pPr>
        <w:spacing w:after="0" w:line="21" w:lineRule="exact"/>
        <w:rPr>
          <w:sz w:val="20"/>
          <w:szCs w:val="20"/>
          <w:color w:val="auto"/>
        </w:rPr>
      </w:pPr>
    </w:p>
    <w:p>
      <w:pPr>
        <w:jc w:val="both"/>
        <w:ind w:left="1100" w:right="639" w:hanging="322"/>
        <w:spacing w:after="0"/>
        <w:tabs>
          <w:tab w:leader="none" w:pos="1096"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3" w:lineRule="exact"/>
        <w:rPr>
          <w:rFonts w:ascii="Arial" w:cs="Arial" w:eastAsia="Arial" w:hAnsi="Arial"/>
          <w:sz w:val="18"/>
          <w:szCs w:val="18"/>
          <w:color w:val="auto"/>
        </w:rPr>
      </w:pPr>
    </w:p>
    <w:p>
      <w:pPr>
        <w:ind w:left="1100" w:right="699" w:hanging="322"/>
        <w:spacing w:after="0" w:line="237" w:lineRule="auto"/>
        <w:tabs>
          <w:tab w:leader="none" w:pos="1096"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p>
    <w:p>
      <w:pPr>
        <w:spacing w:after="0" w:line="29" w:lineRule="exact"/>
        <w:rPr>
          <w:rFonts w:ascii="Arial" w:cs="Arial" w:eastAsia="Arial" w:hAnsi="Arial"/>
          <w:sz w:val="18"/>
          <w:szCs w:val="18"/>
          <w:color w:val="auto"/>
        </w:rPr>
      </w:pPr>
    </w:p>
    <w:p>
      <w:pPr>
        <w:jc w:val="both"/>
        <w:ind w:left="1420" w:right="579" w:hanging="318"/>
        <w:spacing w:after="0"/>
        <w:tabs>
          <w:tab w:leader="none" w:pos="1359" w:val="left"/>
        </w:tabs>
        <w:numPr>
          <w:ilvl w:val="1"/>
          <w:numId w:val="83"/>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27" w:lineRule="exact"/>
        <w:rPr>
          <w:rFonts w:ascii="Arial" w:cs="Arial" w:eastAsia="Arial" w:hAnsi="Arial"/>
          <w:sz w:val="18"/>
          <w:szCs w:val="18"/>
          <w:color w:val="auto"/>
        </w:rPr>
      </w:pPr>
    </w:p>
    <w:p>
      <w:pPr>
        <w:ind w:left="1360" w:hanging="258"/>
        <w:spacing w:after="0"/>
        <w:tabs>
          <w:tab w:leader="none" w:pos="1360" w:val="left"/>
        </w:tabs>
        <w:numPr>
          <w:ilvl w:val="1"/>
          <w:numId w:val="83"/>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22" w:lineRule="exact"/>
        <w:rPr>
          <w:rFonts w:ascii="Arial" w:cs="Arial" w:eastAsia="Arial" w:hAnsi="Arial"/>
          <w:sz w:val="18"/>
          <w:szCs w:val="18"/>
          <w:color w:val="auto"/>
        </w:rPr>
      </w:pPr>
    </w:p>
    <w:p>
      <w:pPr>
        <w:ind w:left="1360" w:hanging="258"/>
        <w:spacing w:after="0"/>
        <w:tabs>
          <w:tab w:leader="none" w:pos="1360" w:val="left"/>
        </w:tabs>
        <w:numPr>
          <w:ilvl w:val="1"/>
          <w:numId w:val="83"/>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36" w:lineRule="exact"/>
        <w:rPr>
          <w:rFonts w:ascii="Arial" w:cs="Arial" w:eastAsia="Arial" w:hAnsi="Arial"/>
          <w:sz w:val="18"/>
          <w:szCs w:val="18"/>
          <w:color w:val="auto"/>
        </w:rPr>
      </w:pPr>
    </w:p>
    <w:p>
      <w:pPr>
        <w:ind w:left="1360" w:hanging="258"/>
        <w:spacing w:after="0"/>
        <w:tabs>
          <w:tab w:leader="none" w:pos="136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36" w:lineRule="exact"/>
        <w:rPr>
          <w:rFonts w:ascii="Arial" w:cs="Arial" w:eastAsia="Arial" w:hAnsi="Arial"/>
          <w:sz w:val="18"/>
          <w:szCs w:val="18"/>
          <w:color w:val="auto"/>
        </w:rPr>
      </w:pPr>
    </w:p>
    <w:p>
      <w:pPr>
        <w:ind w:left="1420" w:right="1119" w:hanging="318"/>
        <w:spacing w:after="0" w:line="246" w:lineRule="auto"/>
        <w:tabs>
          <w:tab w:leader="none" w:pos="1359" w:val="left"/>
        </w:tabs>
        <w:numPr>
          <w:ilvl w:val="1"/>
          <w:numId w:val="83"/>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Switzerland</w:t>
      </w:r>
    </w:p>
    <w:p>
      <w:pPr>
        <w:spacing w:after="0" w:line="153" w:lineRule="exact"/>
        <w:rPr>
          <w:sz w:val="20"/>
          <w:szCs w:val="20"/>
          <w:color w:val="auto"/>
        </w:rPr>
      </w:pPr>
    </w:p>
    <w:p>
      <w:pPr>
        <w:ind w:left="460" w:right="459"/>
        <w:spacing w:after="0" w:line="236" w:lineRule="auto"/>
        <w:rPr>
          <w:sz w:val="20"/>
          <w:szCs w:val="20"/>
          <w:color w:val="auto"/>
        </w:rPr>
      </w:pPr>
      <w:r>
        <w:rPr>
          <w:rFonts w:ascii="Arial" w:cs="Arial" w:eastAsia="Arial" w:hAnsi="Arial"/>
          <w:sz w:val="18"/>
          <w:szCs w:val="18"/>
          <w:color w:val="auto"/>
        </w:rPr>
        <w:t>The securities may not be publicly offered in Switzerland and will not be listed on the SIX Swiss Exchange (‘‘SIX”) or on any other stock exchange or regulated trading facility in Switzerland. This prospectus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nor any other offering or marketing material relating to the securities or the offering may be publicly distributed or otherwise made publicly available in Switzerland.</w:t>
      </w:r>
    </w:p>
    <w:p>
      <w:pPr>
        <w:spacing w:after="0" w:line="140" w:lineRule="exact"/>
        <w:rPr>
          <w:sz w:val="20"/>
          <w:szCs w:val="20"/>
          <w:color w:val="auto"/>
        </w:rPr>
      </w:pPr>
    </w:p>
    <w:p>
      <w:pPr>
        <w:ind w:left="460" w:right="639"/>
        <w:spacing w:after="0" w:line="237" w:lineRule="auto"/>
        <w:rPr>
          <w:sz w:val="20"/>
          <w:szCs w:val="20"/>
          <w:color w:val="auto"/>
        </w:rPr>
      </w:pPr>
      <w:r>
        <w:rPr>
          <w:rFonts w:ascii="Arial" w:cs="Arial" w:eastAsia="Arial" w:hAnsi="Arial"/>
          <w:sz w:val="18"/>
          <w:szCs w:val="18"/>
          <w:color w:val="auto"/>
        </w:rPr>
        <w:t>Neither this prospectus nor any other offering or marketing material relating to the offering, the Company or the securities have been or will be filed with or approved by any Swiss regulatory authority. In particular, this prospectus will not be filed with, and the offer of securities will not be supervised by, the Swiss Financial Market Supervisory Authority FINMA, and the offer of securities has not been and will not be authorized under the Swiss Federal Act on Collective Investment Schemes (“CISA”). The investor protection afforded to acquirers of interests in collective investment schemes under the CISA does not extend to acquirers of securities.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26" w:name="page127"/>
    <w:bookmarkEnd w:id="126"/>
    <w:p>
      <w:pPr>
        <w:ind w:left="460"/>
        <w:spacing w:after="0"/>
        <w:rPr>
          <w:sz w:val="20"/>
          <w:szCs w:val="20"/>
          <w:color w:val="auto"/>
        </w:rPr>
      </w:pPr>
      <w:r>
        <w:rPr>
          <w:rFonts w:ascii="Arial" w:cs="Arial" w:eastAsia="Arial" w:hAnsi="Arial"/>
          <w:sz w:val="18"/>
          <w:szCs w:val="18"/>
          <w:b w:val="1"/>
          <w:bCs w:val="1"/>
          <w:i w:val="1"/>
          <w:iCs w:val="1"/>
          <w:color w:val="auto"/>
        </w:rPr>
        <w:t>United Kingdom</w:t>
      </w:r>
    </w:p>
    <w:p>
      <w:pPr>
        <w:spacing w:after="0" w:line="166" w:lineRule="exact"/>
        <w:rPr>
          <w:sz w:val="20"/>
          <w:szCs w:val="20"/>
          <w:color w:val="auto"/>
        </w:rPr>
      </w:pPr>
    </w:p>
    <w:p>
      <w:pPr>
        <w:ind w:left="460" w:right="579"/>
        <w:spacing w:after="0" w:line="237" w:lineRule="auto"/>
        <w:rPr>
          <w:sz w:val="20"/>
          <w:szCs w:val="20"/>
          <w:color w:val="auto"/>
        </w:rPr>
      </w:pPr>
      <w:r>
        <w:rPr>
          <w:rFonts w:ascii="Arial" w:cs="Arial" w:eastAsia="Arial" w:hAnsi="Arial"/>
          <w:sz w:val="18"/>
          <w:szCs w:val="18"/>
          <w:color w:val="auto"/>
        </w:rPr>
        <w:t>This prospectus is only being distributed to, and is only directed at, persons in the United Kingdom that are qualified investors within the meaning of Article 2(1)(e) of the Prospectus Directive that are also (i) investment professionals falling within Article 19(5) of the Financial Services and Markets Act 2000 (Financial Promotion) Order 2005, as amended (the “Order”) and/or (ii) high net worth entities falling within Article 49(2)(a) to (d) of the Order and other persons to whom it may lawfully be communicated (each such person being referred to as a “relevant person”).</w:t>
      </w:r>
    </w:p>
    <w:p>
      <w:pPr>
        <w:spacing w:after="0" w:line="124" w:lineRule="exact"/>
        <w:rPr>
          <w:sz w:val="20"/>
          <w:szCs w:val="20"/>
          <w:color w:val="auto"/>
        </w:rPr>
      </w:pPr>
    </w:p>
    <w:p>
      <w:pPr>
        <w:ind w:left="460" w:right="1279"/>
        <w:spacing w:after="0" w:line="234" w:lineRule="auto"/>
        <w:rPr>
          <w:sz w:val="20"/>
          <w:szCs w:val="20"/>
          <w:color w:val="auto"/>
        </w:rPr>
      </w:pPr>
      <w:r>
        <w:rPr>
          <w:rFonts w:ascii="Arial" w:cs="Arial" w:eastAsia="Arial" w:hAnsi="Arial"/>
          <w:sz w:val="18"/>
          <w:szCs w:val="18"/>
          <w:color w:val="auto"/>
        </w:rPr>
        <w:t>This prospectus and its contents are confidential and should not be distributed, published or reproduced (in whole or in part) or disclosed by recipients to any other persons in the</w:t>
      </w:r>
    </w:p>
    <w:p>
      <w:pPr>
        <w:spacing w:after="0" w:line="1" w:lineRule="exact"/>
        <w:rPr>
          <w:sz w:val="20"/>
          <w:szCs w:val="20"/>
          <w:color w:val="auto"/>
        </w:rPr>
      </w:pPr>
    </w:p>
    <w:p>
      <w:pPr>
        <w:ind w:left="460" w:right="799"/>
        <w:spacing w:after="0" w:line="246" w:lineRule="auto"/>
        <w:rPr>
          <w:sz w:val="20"/>
          <w:szCs w:val="20"/>
          <w:color w:val="auto"/>
        </w:rPr>
      </w:pPr>
      <w:r>
        <w:rPr>
          <w:rFonts w:ascii="Arial" w:cs="Arial" w:eastAsia="Arial" w:hAnsi="Arial"/>
          <w:sz w:val="18"/>
          <w:szCs w:val="18"/>
          <w:color w:val="auto"/>
        </w:rPr>
        <w:t>United Kingdom. Any person in the United Kingdom that is not a relevant person should not act or rely on this document or any of its contents.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66" w:lineRule="exact"/>
        <w:rPr>
          <w:sz w:val="20"/>
          <w:szCs w:val="20"/>
          <w:color w:val="auto"/>
        </w:rPr>
      </w:pPr>
    </w:p>
    <w:p>
      <w:pPr>
        <w:ind w:left="460" w:right="619"/>
        <w:spacing w:after="0" w:line="238" w:lineRule="auto"/>
        <w:rPr>
          <w:sz w:val="20"/>
          <w:szCs w:val="20"/>
          <w:color w:val="auto"/>
        </w:rPr>
      </w:pPr>
      <w:r>
        <w:rPr>
          <w:rFonts w:ascii="Arial" w:cs="Arial" w:eastAsia="Arial" w:hAnsi="Arial"/>
          <w:sz w:val="18"/>
          <w:szCs w:val="18"/>
          <w:color w:val="auto"/>
        </w:rPr>
        <w:t>White &amp; Case LLP is acting as counsel in connection with the registration of our securities under the Securities Act, and as such, will pass upon the validity of the securities offered in this prospectus. Skadden, Arps, Slate, Meagher &amp; Flom LLP advised the underwriters in connection with the offering of the securities.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53" w:lineRule="exact"/>
        <w:rPr>
          <w:sz w:val="20"/>
          <w:szCs w:val="20"/>
          <w:color w:val="auto"/>
        </w:rPr>
      </w:pPr>
    </w:p>
    <w:p>
      <w:pPr>
        <w:ind w:left="460" w:right="499"/>
        <w:spacing w:after="0" w:line="238" w:lineRule="auto"/>
        <w:rPr>
          <w:sz w:val="20"/>
          <w:szCs w:val="20"/>
          <w:color w:val="auto"/>
        </w:rPr>
      </w:pPr>
      <w:r>
        <w:rPr>
          <w:rFonts w:ascii="Arial" w:cs="Arial" w:eastAsia="Arial" w:hAnsi="Arial"/>
          <w:sz w:val="18"/>
          <w:szCs w:val="18"/>
          <w:color w:val="auto"/>
        </w:rPr>
        <w:t>The financial statements of FS Development Corp. as of June 30, 2020, and for the period from June 25, 2020 (inception) through June 30, 2020 appearing in this prospectus have been audited by WithumSmith+Brown, PC, independent registered public accounting firm, as set forth in their report thereon, appearing elsewhere in this prospectus, and are included in reliance on such report given on the authority of such firm as an experts in auditing and accounting.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66" w:lineRule="exact"/>
        <w:rPr>
          <w:sz w:val="20"/>
          <w:szCs w:val="20"/>
          <w:color w:val="auto"/>
        </w:rPr>
      </w:pPr>
    </w:p>
    <w:p>
      <w:pPr>
        <w:ind w:left="460" w:right="559"/>
        <w:spacing w:after="0" w:line="236" w:lineRule="auto"/>
        <w:rPr>
          <w:sz w:val="20"/>
          <w:szCs w:val="20"/>
          <w:color w:val="auto"/>
        </w:rPr>
      </w:pPr>
      <w:r>
        <w:rPr>
          <w:rFonts w:ascii="Arial" w:cs="Arial" w:eastAsia="Arial" w:hAnsi="Arial"/>
          <w:sz w:val="18"/>
          <w:szCs w:val="18"/>
          <w:color w:val="auto"/>
        </w:rPr>
        <w:t>We have filed with the SEC a registration statement on Form S-1 under the Securities Act with respect to the securities we are offering by this prospectus. This prospectus does not contain all of the information included in the registration statement. For further information about us and our securities, you should refer to the registration statement and the exhibits and schedules filed with the registration statement. Whenever we make reference in this prospectus to any of our contracts, agreements or other documents, the references are materially complete but may not include a description of all aspects of such contracts, agreements or other documents, and you should refer to the exhibits attached to the registration statement for copies of the actual contract, agreement or other document.</w:t>
      </w:r>
    </w:p>
    <w:p>
      <w:pPr>
        <w:spacing w:after="0" w:line="139" w:lineRule="exact"/>
        <w:rPr>
          <w:sz w:val="20"/>
          <w:szCs w:val="20"/>
          <w:color w:val="auto"/>
        </w:rPr>
      </w:pPr>
    </w:p>
    <w:p>
      <w:pPr>
        <w:jc w:val="both"/>
        <w:ind w:left="460" w:right="639"/>
        <w:spacing w:after="0" w:line="238" w:lineRule="auto"/>
        <w:rPr>
          <w:sz w:val="20"/>
          <w:szCs w:val="20"/>
          <w:color w:val="auto"/>
        </w:rPr>
      </w:pPr>
      <w:r>
        <w:rPr>
          <w:rFonts w:ascii="Arial" w:cs="Arial" w:eastAsia="Arial" w:hAnsi="Arial"/>
          <w:sz w:val="18"/>
          <w:szCs w:val="18"/>
          <w:color w:val="auto"/>
        </w:rPr>
        <w:t xml:space="preserve">Upon completion of this offering, we will be subject to the information requirements of the Exchange Act and will file annual, quarterly and current event reports, proxy statements and other information with the SEC. You can read our SEC filings, including the registration statement, over the Internet at the SEC’s website at </w:t>
      </w:r>
      <w:r>
        <w:rPr>
          <w:rFonts w:ascii="Arial" w:cs="Arial" w:eastAsia="Arial" w:hAnsi="Arial"/>
          <w:sz w:val="18"/>
          <w:szCs w:val="18"/>
          <w:i w:val="1"/>
          <w:iCs w:val="1"/>
          <w:color w:val="auto"/>
        </w:rPr>
        <w:t>www.sec.gov.</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28" w:name="page129"/>
    <w:bookmarkEnd w:id="128"/>
    <w:p>
      <w:pPr>
        <w:jc w:val="center"/>
        <w:ind w:right="19"/>
        <w:spacing w:after="0"/>
        <w:rPr>
          <w:sz w:val="20"/>
          <w:szCs w:val="20"/>
          <w:color w:val="auto"/>
        </w:rPr>
      </w:pPr>
      <w:r>
        <w:rPr>
          <w:rFonts w:ascii="Arial" w:cs="Arial" w:eastAsia="Arial" w:hAnsi="Arial"/>
          <w:sz w:val="18"/>
          <w:szCs w:val="18"/>
          <w:b w:val="1"/>
          <w:bCs w:val="1"/>
          <w:color w:val="auto"/>
        </w:rPr>
        <w:t>INDEX TO FINANCIAL STATEMENTS</w:t>
      </w:r>
    </w:p>
    <w:p>
      <w:pPr>
        <w:spacing w:after="0" w:line="262"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rPr>
              <w:t>Page</w:t>
            </w:r>
          </w:p>
        </w:tc>
      </w:tr>
      <w:tr>
        <w:trPr>
          <w:trHeight w:val="26"/>
        </w:trPr>
        <w:tc>
          <w:tcPr>
            <w:tcW w:w="1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66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57"/>
        </w:trPr>
        <w:tc>
          <w:tcPr>
            <w:tcW w:w="816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b w:val="1"/>
                <w:bCs w:val="1"/>
                <w:color w:val="auto"/>
              </w:rPr>
              <w:t>Audited Financial Statements of FS Development Corp.:</w:t>
            </w:r>
          </w:p>
        </w:tc>
        <w:tc>
          <w:tcPr>
            <w:tcW w:w="360" w:type="dxa"/>
            <w:vAlign w:val="bottom"/>
            <w:tcBorders>
              <w:bottom w:val="single" w:sz="8" w:color="CCEEFF"/>
            </w:tcBorders>
            <w:shd w:val="clear" w:color="auto" w:fill="CCEEFF"/>
          </w:tcPr>
          <w:p>
            <w:pPr>
              <w:spacing w:after="0"/>
              <w:rPr>
                <w:sz w:val="22"/>
                <w:szCs w:val="22"/>
                <w:color w:val="auto"/>
              </w:rPr>
            </w:pPr>
          </w:p>
        </w:tc>
      </w:tr>
      <w:tr>
        <w:trPr>
          <w:trHeight w:val="257"/>
        </w:trPr>
        <w:tc>
          <w:tcPr>
            <w:tcW w:w="8160" w:type="dxa"/>
            <w:vAlign w:val="bottom"/>
            <w:gridSpan w:val="5"/>
          </w:tcPr>
          <w:p>
            <w:pPr>
              <w:spacing w:after="0"/>
              <w:rPr>
                <w:rFonts w:ascii="Arial" w:cs="Arial" w:eastAsia="Arial" w:hAnsi="Arial"/>
                <w:sz w:val="18"/>
                <w:szCs w:val="18"/>
                <w:u w:val="single" w:color="auto"/>
                <w:color w:val="0000EE"/>
              </w:rPr>
            </w:pPr>
            <w:hyperlink w:anchor="page130">
              <w:r>
                <w:rPr>
                  <w:rFonts w:ascii="Arial" w:cs="Arial" w:eastAsia="Arial" w:hAnsi="Arial"/>
                  <w:sz w:val="18"/>
                  <w:szCs w:val="18"/>
                  <w:u w:val="single" w:color="auto"/>
                  <w:color w:val="0000EE"/>
                </w:rPr>
                <w:t>Report of Independent Registered Public Accounting Firm</w:t>
              </w:r>
            </w:hyperlink>
          </w:p>
        </w:tc>
        <w:tc>
          <w:tcPr>
            <w:tcW w:w="360" w:type="dxa"/>
            <w:vAlign w:val="bottom"/>
          </w:tcPr>
          <w:p>
            <w:pPr>
              <w:jc w:val="center"/>
              <w:spacing w:after="0"/>
              <w:rPr>
                <w:sz w:val="20"/>
                <w:szCs w:val="20"/>
                <w:color w:val="auto"/>
              </w:rPr>
            </w:pPr>
            <w:r>
              <w:rPr>
                <w:rFonts w:ascii="Arial" w:cs="Arial" w:eastAsia="Arial" w:hAnsi="Arial"/>
                <w:sz w:val="18"/>
                <w:szCs w:val="18"/>
                <w:color w:val="auto"/>
              </w:rPr>
              <w:t>F-2</w:t>
            </w:r>
          </w:p>
        </w:tc>
      </w:tr>
      <w:tr>
        <w:trPr>
          <w:trHeight w:val="27"/>
        </w:trPr>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63"/>
        </w:trPr>
        <w:tc>
          <w:tcPr>
            <w:tcW w:w="8160" w:type="dxa"/>
            <w:vAlign w:val="bottom"/>
            <w:tcBorders>
              <w:bottom w:val="single" w:sz="8" w:color="CCEEFF"/>
            </w:tcBorders>
            <w:gridSpan w:val="5"/>
            <w:shd w:val="clear" w:color="auto" w:fill="CCEEFF"/>
          </w:tcPr>
          <w:p>
            <w:pPr>
              <w:spacing w:after="0"/>
              <w:rPr>
                <w:rFonts w:ascii="Arial" w:cs="Arial" w:eastAsia="Arial" w:hAnsi="Arial"/>
                <w:sz w:val="18"/>
                <w:szCs w:val="18"/>
                <w:u w:val="single" w:color="auto"/>
                <w:color w:val="0000EE"/>
              </w:rPr>
            </w:pPr>
            <w:hyperlink w:anchor="page131">
              <w:r>
                <w:rPr>
                  <w:rFonts w:ascii="Arial" w:cs="Arial" w:eastAsia="Arial" w:hAnsi="Arial"/>
                  <w:sz w:val="18"/>
                  <w:szCs w:val="18"/>
                  <w:u w:val="single" w:color="auto"/>
                  <w:color w:val="0000EE"/>
                </w:rPr>
                <w:t>Balance Sheet as of June 30, 2020</w:t>
              </w:r>
            </w:hyperlink>
          </w:p>
        </w:tc>
        <w:tc>
          <w:tcPr>
            <w:tcW w:w="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F-3</w:t>
            </w:r>
          </w:p>
        </w:tc>
      </w:tr>
      <w:tr>
        <w:trPr>
          <w:trHeight w:val="257"/>
        </w:trPr>
        <w:tc>
          <w:tcPr>
            <w:tcW w:w="8160" w:type="dxa"/>
            <w:vAlign w:val="bottom"/>
            <w:gridSpan w:val="5"/>
          </w:tcPr>
          <w:p>
            <w:pPr>
              <w:spacing w:after="0"/>
              <w:rPr>
                <w:rFonts w:ascii="Arial" w:cs="Arial" w:eastAsia="Arial" w:hAnsi="Arial"/>
                <w:sz w:val="18"/>
                <w:szCs w:val="18"/>
                <w:u w:val="single" w:color="auto"/>
                <w:color w:val="0000EE"/>
              </w:rPr>
            </w:pPr>
            <w:hyperlink w:anchor="page132">
              <w:r>
                <w:rPr>
                  <w:rFonts w:ascii="Arial" w:cs="Arial" w:eastAsia="Arial" w:hAnsi="Arial"/>
                  <w:sz w:val="18"/>
                  <w:szCs w:val="18"/>
                  <w:u w:val="single" w:color="auto"/>
                  <w:color w:val="0000EE"/>
                </w:rPr>
                <w:t>Statement of Operations for the period from June 25, 2020 (inception) through June 30, 2020</w:t>
              </w:r>
            </w:hyperlink>
          </w:p>
        </w:tc>
        <w:tc>
          <w:tcPr>
            <w:tcW w:w="360" w:type="dxa"/>
            <w:vAlign w:val="bottom"/>
          </w:tcPr>
          <w:p>
            <w:pPr>
              <w:jc w:val="center"/>
              <w:spacing w:after="0"/>
              <w:rPr>
                <w:sz w:val="20"/>
                <w:szCs w:val="20"/>
                <w:color w:val="auto"/>
              </w:rPr>
            </w:pPr>
            <w:r>
              <w:rPr>
                <w:rFonts w:ascii="Arial" w:cs="Arial" w:eastAsia="Arial" w:hAnsi="Arial"/>
                <w:sz w:val="18"/>
                <w:szCs w:val="18"/>
                <w:color w:val="auto"/>
              </w:rPr>
              <w:t>F-4</w:t>
            </w:r>
          </w:p>
        </w:tc>
      </w:tr>
      <w:tr>
        <w:trPr>
          <w:trHeight w:val="27"/>
        </w:trPr>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176"/>
        </w:trPr>
        <w:tc>
          <w:tcPr>
            <w:tcW w:w="796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rPr>
            </w:pPr>
            <w:hyperlink w:anchor="page133">
              <w:r>
                <w:rPr>
                  <w:rFonts w:ascii="Arial" w:cs="Arial" w:eastAsia="Arial" w:hAnsi="Arial"/>
                  <w:sz w:val="18"/>
                  <w:szCs w:val="18"/>
                  <w:color w:val="0000EE"/>
                </w:rPr>
                <w:t>Statement of Changes in Stockholder’s Equity for the period from June 25, 2020 (inception) through</w:t>
              </w:r>
            </w:hyperlink>
          </w:p>
        </w:tc>
        <w:tc>
          <w:tcPr>
            <w:tcW w:w="200" w:type="dxa"/>
            <w:vAlign w:val="bottom"/>
            <w:tcBorders>
              <w:bottom w:val="single" w:sz="8" w:color="CCEEFF"/>
            </w:tcBorders>
            <w:gridSpan w:val="2"/>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r>
      <w:tr>
        <w:trPr>
          <w:trHeight w:val="230"/>
        </w:trPr>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0000EE"/>
            </w:tcBorders>
            <w:shd w:val="clear" w:color="auto" w:fill="CCEEFF"/>
          </w:tcPr>
          <w:p>
            <w:pPr>
              <w:spacing w:after="0" w:line="182" w:lineRule="exact"/>
              <w:rPr>
                <w:rFonts w:ascii="Arial" w:cs="Arial" w:eastAsia="Arial" w:hAnsi="Arial"/>
                <w:sz w:val="18"/>
                <w:szCs w:val="18"/>
                <w:color w:val="0000EE"/>
              </w:rPr>
            </w:pPr>
            <w:hyperlink w:anchor="page133">
              <w:r>
                <w:rPr>
                  <w:rFonts w:ascii="Arial" w:cs="Arial" w:eastAsia="Arial" w:hAnsi="Arial"/>
                  <w:sz w:val="18"/>
                  <w:szCs w:val="18"/>
                  <w:color w:val="0000EE"/>
                </w:rPr>
                <w:t>June 30, 2020</w:t>
              </w:r>
            </w:hyperlink>
          </w:p>
        </w:tc>
        <w:tc>
          <w:tcPr>
            <w:tcW w:w="6800" w:type="dxa"/>
            <w:vAlign w:val="bottom"/>
            <w:tcBorders>
              <w:bottom w:val="single" w:sz="8" w:color="CCEEFF"/>
            </w:tcBorders>
            <w:gridSpan w:val="3"/>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rPr>
              <w:t>F-5</w:t>
            </w:r>
          </w:p>
        </w:tc>
      </w:tr>
      <w:tr>
        <w:trPr>
          <w:trHeight w:val="257"/>
        </w:trPr>
        <w:tc>
          <w:tcPr>
            <w:tcW w:w="8160" w:type="dxa"/>
            <w:vAlign w:val="bottom"/>
            <w:gridSpan w:val="5"/>
          </w:tcPr>
          <w:p>
            <w:pPr>
              <w:spacing w:after="0"/>
              <w:rPr>
                <w:rFonts w:ascii="Arial" w:cs="Arial" w:eastAsia="Arial" w:hAnsi="Arial"/>
                <w:sz w:val="18"/>
                <w:szCs w:val="18"/>
                <w:u w:val="single" w:color="auto"/>
                <w:color w:val="0000EE"/>
              </w:rPr>
            </w:pPr>
            <w:hyperlink w:anchor="page134">
              <w:r>
                <w:rPr>
                  <w:rFonts w:ascii="Arial" w:cs="Arial" w:eastAsia="Arial" w:hAnsi="Arial"/>
                  <w:sz w:val="18"/>
                  <w:szCs w:val="18"/>
                  <w:u w:val="single" w:color="auto"/>
                  <w:color w:val="0000EE"/>
                </w:rPr>
                <w:t>Statement of Cash Flows for the period from June 25, 2020 (inception) through June 30, 2020</w:t>
              </w:r>
            </w:hyperlink>
          </w:p>
        </w:tc>
        <w:tc>
          <w:tcPr>
            <w:tcW w:w="360" w:type="dxa"/>
            <w:vAlign w:val="bottom"/>
          </w:tcPr>
          <w:p>
            <w:pPr>
              <w:jc w:val="center"/>
              <w:spacing w:after="0"/>
              <w:rPr>
                <w:sz w:val="20"/>
                <w:szCs w:val="20"/>
                <w:color w:val="auto"/>
              </w:rPr>
            </w:pPr>
            <w:r>
              <w:rPr>
                <w:rFonts w:ascii="Arial" w:cs="Arial" w:eastAsia="Arial" w:hAnsi="Arial"/>
                <w:sz w:val="18"/>
                <w:szCs w:val="18"/>
                <w:color w:val="auto"/>
              </w:rPr>
              <w:t>F-6</w:t>
            </w:r>
          </w:p>
        </w:tc>
      </w:tr>
      <w:tr>
        <w:trPr>
          <w:trHeight w:val="27"/>
        </w:trPr>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63"/>
        </w:trPr>
        <w:tc>
          <w:tcPr>
            <w:tcW w:w="8160" w:type="dxa"/>
            <w:vAlign w:val="bottom"/>
            <w:tcBorders>
              <w:bottom w:val="single" w:sz="8" w:color="CCEEFF"/>
            </w:tcBorders>
            <w:gridSpan w:val="5"/>
            <w:shd w:val="clear" w:color="auto" w:fill="CCEEFF"/>
          </w:tcPr>
          <w:p>
            <w:pPr>
              <w:spacing w:after="0"/>
              <w:rPr>
                <w:rFonts w:ascii="Arial" w:cs="Arial" w:eastAsia="Arial" w:hAnsi="Arial"/>
                <w:sz w:val="18"/>
                <w:szCs w:val="18"/>
                <w:u w:val="single" w:color="auto"/>
                <w:color w:val="0000EE"/>
              </w:rPr>
            </w:pPr>
            <w:hyperlink w:anchor="page135">
              <w:r>
                <w:rPr>
                  <w:rFonts w:ascii="Arial" w:cs="Arial" w:eastAsia="Arial" w:hAnsi="Arial"/>
                  <w:sz w:val="18"/>
                  <w:szCs w:val="18"/>
                  <w:u w:val="single" w:color="auto"/>
                  <w:color w:val="0000EE"/>
                </w:rPr>
                <w:t>Notes to Financial Statements</w:t>
              </w:r>
            </w:hyperlink>
          </w:p>
        </w:tc>
        <w:tc>
          <w:tcPr>
            <w:tcW w:w="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F-7</w:t>
            </w:r>
          </w:p>
        </w:tc>
      </w:tr>
      <w:tr>
        <w:trPr>
          <w:trHeight w:val="392"/>
        </w:trPr>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gridSpan w:val="2"/>
          </w:tcPr>
          <w:p>
            <w:pPr>
              <w:ind w:left="2540"/>
              <w:spacing w:after="0"/>
              <w:rPr>
                <w:sz w:val="20"/>
                <w:szCs w:val="20"/>
                <w:color w:val="auto"/>
              </w:rPr>
            </w:pPr>
            <w:r>
              <w:rPr>
                <w:rFonts w:ascii="Arial" w:cs="Arial" w:eastAsia="Arial" w:hAnsi="Arial"/>
                <w:sz w:val="18"/>
                <w:szCs w:val="18"/>
                <w:color w:val="auto"/>
              </w:rPr>
              <w:t>F-1</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ectPr>
          <w:pgSz w:w="11900" w:h="16838" w:orient="portrait"/>
          <w:cols w:equalWidth="0" w:num="1">
            <w:col w:w="9019"/>
          </w:cols>
          <w:pgMar w:left="1440" w:top="333" w:right="1440" w:bottom="1440" w:gutter="0" w:footer="0" w:header="0"/>
        </w:sectPr>
      </w:pPr>
    </w:p>
    <w:bookmarkStart w:id="129" w:name="page130"/>
    <w:bookmarkEnd w:id="129"/>
    <w:p>
      <w:pPr>
        <w:ind w:left="1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the Stockholder and the Board of Directors of</w:t>
      </w:r>
    </w:p>
    <w:p>
      <w:pPr>
        <w:ind w:left="460"/>
        <w:spacing w:after="0"/>
        <w:rPr>
          <w:sz w:val="20"/>
          <w:szCs w:val="20"/>
          <w:color w:val="auto"/>
        </w:rPr>
      </w:pPr>
      <w:r>
        <w:rPr>
          <w:rFonts w:ascii="Arial" w:cs="Arial" w:eastAsia="Arial" w:hAnsi="Arial"/>
          <w:sz w:val="18"/>
          <w:szCs w:val="18"/>
          <w:color w:val="auto"/>
        </w:rPr>
        <w:t>FS Development Corp.</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53" w:lineRule="exact"/>
        <w:rPr>
          <w:sz w:val="20"/>
          <w:szCs w:val="20"/>
          <w:color w:val="auto"/>
        </w:rPr>
      </w:pPr>
    </w:p>
    <w:p>
      <w:pPr>
        <w:ind w:left="460" w:right="499"/>
        <w:spacing w:after="0" w:line="253" w:lineRule="auto"/>
        <w:rPr>
          <w:sz w:val="20"/>
          <w:szCs w:val="20"/>
          <w:color w:val="auto"/>
        </w:rPr>
      </w:pPr>
      <w:r>
        <w:rPr>
          <w:rFonts w:ascii="Arial" w:cs="Arial" w:eastAsia="Arial" w:hAnsi="Arial"/>
          <w:sz w:val="17"/>
          <w:szCs w:val="17"/>
          <w:color w:val="auto"/>
        </w:rPr>
        <w:t>We have audited the accompanying balance sheet of FS Development Corp. (the “Company”) as of June 30, 2020, the related statements of operations, changes in stockholder’s equity and cash flows for the period from June 25, 2020 (inception) through June 30, 2020, and the related notes (collectively referred to as the “financial statements”). In our opinion, the financial statements present fairly, in all material respects, the financial position of the Company as of June 30, 2020, and the results of its operations and its cash flows for the period from June 25, 2020 (inception) through June 30, 2020, in conformity with accounting principles generally accepted in the United States of America.</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Basis for Opinion</w:t>
      </w:r>
    </w:p>
    <w:p>
      <w:pPr>
        <w:spacing w:after="0" w:line="166" w:lineRule="exact"/>
        <w:rPr>
          <w:sz w:val="20"/>
          <w:szCs w:val="20"/>
          <w:color w:val="auto"/>
        </w:rPr>
      </w:pPr>
    </w:p>
    <w:p>
      <w:pPr>
        <w:ind w:left="460" w:right="499"/>
        <w:spacing w:after="0" w:line="237"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7" w:lineRule="exact"/>
        <w:rPr>
          <w:sz w:val="20"/>
          <w:szCs w:val="20"/>
          <w:color w:val="auto"/>
        </w:rPr>
      </w:pPr>
    </w:p>
    <w:p>
      <w:pPr>
        <w:ind w:left="460" w:right="759"/>
        <w:spacing w:after="0" w:line="253"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10" w:lineRule="exact"/>
        <w:rPr>
          <w:sz w:val="20"/>
          <w:szCs w:val="20"/>
          <w:color w:val="auto"/>
        </w:rPr>
      </w:pPr>
    </w:p>
    <w:p>
      <w:pPr>
        <w:ind w:left="460" w:right="499"/>
        <w:spacing w:after="0" w:line="237" w:lineRule="auto"/>
        <w:rPr>
          <w:sz w:val="20"/>
          <w:szCs w:val="20"/>
          <w:color w:val="auto"/>
        </w:rPr>
      </w:pPr>
      <w:r>
        <w:rPr>
          <w:rFonts w:ascii="Arial" w:cs="Arial" w:eastAsia="Arial" w:hAnsi="Arial"/>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 WithumSmith+Brown, PC</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served as the Company’s auditor since 2020.</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w:t>
      </w:r>
    </w:p>
    <w:p>
      <w:pPr>
        <w:ind w:left="460"/>
        <w:spacing w:after="0"/>
        <w:rPr>
          <w:sz w:val="20"/>
          <w:szCs w:val="20"/>
          <w:color w:val="auto"/>
        </w:rPr>
      </w:pPr>
      <w:r>
        <w:rPr>
          <w:rFonts w:ascii="Arial" w:cs="Arial" w:eastAsia="Arial" w:hAnsi="Arial"/>
          <w:sz w:val="18"/>
          <w:szCs w:val="18"/>
          <w:color w:val="auto"/>
        </w:rPr>
        <w:t>July 24, 2020</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30" w:name="page131"/>
    <w:bookmarkEnd w:id="130"/>
    <w:p>
      <w:pPr>
        <w:jc w:val="center"/>
        <w:spacing w:after="0"/>
        <w:rPr>
          <w:sz w:val="20"/>
          <w:szCs w:val="20"/>
          <w:color w:val="auto"/>
        </w:rPr>
      </w:pPr>
      <w:r>
        <w:rPr>
          <w:rFonts w:ascii="Arial" w:cs="Arial" w:eastAsia="Arial" w:hAnsi="Arial"/>
          <w:sz w:val="18"/>
          <w:szCs w:val="18"/>
          <w:b w:val="1"/>
          <w:bCs w:val="1"/>
          <w:color w:val="auto"/>
        </w:rPr>
        <w:t>FS DEVELOPMENT CORP.</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w:t>
      </w: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172"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6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r>
      <w:tr>
        <w:trPr>
          <w:trHeight w:val="257"/>
        </w:trPr>
        <w:tc>
          <w:tcPr>
            <w:tcW w:w="6900" w:type="dxa"/>
            <w:vAlign w:val="bottom"/>
          </w:tcPr>
          <w:p>
            <w:pPr>
              <w:spacing w:after="0"/>
              <w:rPr>
                <w:sz w:val="20"/>
                <w:szCs w:val="20"/>
                <w:color w:val="auto"/>
              </w:rPr>
            </w:pPr>
            <w:r>
              <w:rPr>
                <w:rFonts w:ascii="Arial" w:cs="Arial" w:eastAsia="Arial" w:hAnsi="Arial"/>
                <w:sz w:val="18"/>
                <w:szCs w:val="18"/>
                <w:color w:val="auto"/>
              </w:rPr>
              <w:t>Current assets: Cash</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25,000</w:t>
            </w:r>
          </w:p>
        </w:tc>
      </w:tr>
      <w:tr>
        <w:trPr>
          <w:trHeight w:val="27"/>
        </w:trPr>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83"/>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Deferred offering costs associated with proposed public offering</w:t>
            </w:r>
          </w:p>
        </w:tc>
        <w:tc>
          <w:tcPr>
            <w:tcW w:w="32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53,000</w:t>
            </w:r>
          </w:p>
        </w:tc>
        <w:tc>
          <w:tcPr>
            <w:tcW w:w="120" w:type="dxa"/>
            <w:vAlign w:val="bottom"/>
            <w:shd w:val="clear" w:color="auto" w:fill="CCEEFF"/>
          </w:tcPr>
          <w:p>
            <w:pPr>
              <w:spacing w:after="0"/>
              <w:rPr>
                <w:sz w:val="24"/>
                <w:szCs w:val="24"/>
                <w:color w:val="auto"/>
              </w:rPr>
            </w:pPr>
          </w:p>
        </w:tc>
      </w:tr>
      <w:tr>
        <w:trPr>
          <w:trHeight w:val="290"/>
        </w:trPr>
        <w:tc>
          <w:tcPr>
            <w:tcW w:w="690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78,000</w:t>
            </w:r>
          </w:p>
        </w:tc>
      </w:tr>
      <w:tr>
        <w:trPr>
          <w:trHeight w:val="366"/>
        </w:trPr>
        <w:tc>
          <w:tcPr>
            <w:tcW w:w="6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tcBorders>
              <w:top w:val="single" w:sz="8" w:color="auto"/>
              <w:bottom w:val="single" w:sz="8" w:color="CCEEFF"/>
            </w:tcBorders>
            <w:shd w:val="clear" w:color="auto" w:fill="CCEEFF"/>
          </w:tcPr>
          <w:p>
            <w:pPr>
              <w:spacing w:after="0"/>
              <w:rPr>
                <w:sz w:val="24"/>
                <w:szCs w:val="24"/>
                <w:color w:val="auto"/>
              </w:rPr>
            </w:pPr>
          </w:p>
        </w:tc>
        <w:tc>
          <w:tcPr>
            <w:tcW w:w="760" w:type="dxa"/>
            <w:vAlign w:val="bottom"/>
            <w:tcBorders>
              <w:top w:val="single" w:sz="8" w:color="auto"/>
              <w:bottom w:val="single" w:sz="8" w:color="CCEEFF"/>
            </w:tcBorders>
            <w:shd w:val="clear" w:color="auto" w:fill="CCEEFF"/>
          </w:tcPr>
          <w:p>
            <w:pPr>
              <w:spacing w:after="0"/>
              <w:rPr>
                <w:sz w:val="24"/>
                <w:szCs w:val="24"/>
                <w:color w:val="auto"/>
              </w:rPr>
            </w:pP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r>
      <w:tr>
        <w:trPr>
          <w:trHeight w:val="257"/>
        </w:trPr>
        <w:tc>
          <w:tcPr>
            <w:tcW w:w="6900" w:type="dxa"/>
            <w:vAlign w:val="bottom"/>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7"/>
        </w:trPr>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83"/>
        </w:trPr>
        <w:tc>
          <w:tcPr>
            <w:tcW w:w="6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54,500</w:t>
            </w:r>
          </w:p>
        </w:tc>
        <w:tc>
          <w:tcPr>
            <w:tcW w:w="120" w:type="dxa"/>
            <w:vAlign w:val="bottom"/>
            <w:shd w:val="clear" w:color="auto" w:fill="CCEEFF"/>
          </w:tcPr>
          <w:p>
            <w:pPr>
              <w:spacing w:after="0"/>
              <w:rPr>
                <w:sz w:val="24"/>
                <w:szCs w:val="24"/>
                <w:color w:val="auto"/>
              </w:rPr>
            </w:pPr>
          </w:p>
        </w:tc>
      </w:tr>
      <w:tr>
        <w:trPr>
          <w:trHeight w:val="257"/>
        </w:trPr>
        <w:tc>
          <w:tcPr>
            <w:tcW w:w="690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320" w:type="dxa"/>
            <w:vAlign w:val="bottom"/>
          </w:tcPr>
          <w:p>
            <w:pPr>
              <w:spacing w:after="0"/>
              <w:rPr>
                <w:sz w:val="22"/>
                <w:szCs w:val="2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54,500</w:t>
            </w:r>
          </w:p>
        </w:tc>
      </w:tr>
      <w:tr>
        <w:trPr>
          <w:trHeight w:val="385"/>
        </w:trPr>
        <w:tc>
          <w:tcPr>
            <w:tcW w:w="6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320" w:type="dxa"/>
            <w:vAlign w:val="bottom"/>
            <w:tcBorders>
              <w:top w:val="single" w:sz="8" w:color="auto"/>
              <w:bottom w:val="single" w:sz="8" w:color="CCEEFF"/>
            </w:tcBorders>
            <w:shd w:val="clear" w:color="auto" w:fill="CCEEFF"/>
          </w:tcPr>
          <w:p>
            <w:pPr>
              <w:spacing w:after="0"/>
              <w:rPr>
                <w:sz w:val="24"/>
                <w:szCs w:val="24"/>
                <w:color w:val="auto"/>
              </w:rPr>
            </w:pPr>
          </w:p>
        </w:tc>
        <w:tc>
          <w:tcPr>
            <w:tcW w:w="760" w:type="dxa"/>
            <w:vAlign w:val="bottom"/>
            <w:tcBorders>
              <w:top w:val="single" w:sz="8" w:color="auto"/>
              <w:bottom w:val="single" w:sz="8" w:color="CCEEFF"/>
            </w:tcBorders>
            <w:shd w:val="clear" w:color="auto" w:fill="CCEEFF"/>
          </w:tcPr>
          <w:p>
            <w:pPr>
              <w:spacing w:after="0"/>
              <w:rPr>
                <w:sz w:val="24"/>
                <w:szCs w:val="24"/>
                <w:color w:val="auto"/>
              </w:rPr>
            </w:pP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r>
      <w:tr>
        <w:trPr>
          <w:trHeight w:val="378"/>
        </w:trPr>
        <w:tc>
          <w:tcPr>
            <w:tcW w:w="690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
        </w:trPr>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02"/>
        </w:trPr>
        <w:tc>
          <w:tcPr>
            <w:tcW w:w="6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Preferred stock, $0.0001 par value; 1,000,000 shares authorized; none issued and</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24"/>
        </w:trPr>
        <w:tc>
          <w:tcPr>
            <w:tcW w:w="6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outstanding</w:t>
            </w:r>
          </w:p>
        </w:tc>
        <w:tc>
          <w:tcPr>
            <w:tcW w:w="3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02"/>
        </w:trPr>
        <w:tc>
          <w:tcPr>
            <w:tcW w:w="6900" w:type="dxa"/>
            <w:vAlign w:val="bottom"/>
          </w:tcPr>
          <w:p>
            <w:pPr>
              <w:spacing w:after="0" w:line="201" w:lineRule="exact"/>
              <w:rPr>
                <w:sz w:val="20"/>
                <w:szCs w:val="20"/>
                <w:color w:val="auto"/>
              </w:rPr>
            </w:pPr>
            <w:r>
              <w:rPr>
                <w:rFonts w:ascii="Arial" w:cs="Arial" w:eastAsia="Arial" w:hAnsi="Arial"/>
                <w:sz w:val="18"/>
                <w:szCs w:val="18"/>
                <w:color w:val="auto"/>
              </w:rPr>
              <w:t>Class A common stock, $0.0001 par value; 100,000,000 shares authorized; none</w:t>
            </w: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7"/>
        </w:trPr>
        <w:tc>
          <w:tcPr>
            <w:tcW w:w="6900" w:type="dxa"/>
            <w:vAlign w:val="bottom"/>
          </w:tcPr>
          <w:p>
            <w:pPr>
              <w:ind w:left="180"/>
              <w:spacing w:after="0"/>
              <w:rPr>
                <w:sz w:val="20"/>
                <w:szCs w:val="20"/>
                <w:color w:val="auto"/>
              </w:rPr>
            </w:pPr>
            <w:r>
              <w:rPr>
                <w:rFonts w:ascii="Arial" w:cs="Arial" w:eastAsia="Arial" w:hAnsi="Arial"/>
                <w:sz w:val="18"/>
                <w:szCs w:val="18"/>
                <w:color w:val="auto"/>
              </w:rPr>
              <w:t>issued and outstanding</w:t>
            </w:r>
          </w:p>
        </w:tc>
        <w:tc>
          <w:tcPr>
            <w:tcW w:w="3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7"/>
        </w:trPr>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02"/>
        </w:trPr>
        <w:tc>
          <w:tcPr>
            <w:tcW w:w="6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Class B common stock, $0.0001 par value; 10,000,000 shares authorized; 2,875,000</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44"/>
        </w:trPr>
        <w:tc>
          <w:tcPr>
            <w:tcW w:w="6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issued and outstanding</w:t>
            </w:r>
            <w:r>
              <w:rPr>
                <w:rFonts w:ascii="Arial" w:cs="Arial" w:eastAsia="Arial" w:hAnsi="Arial"/>
                <w:sz w:val="20"/>
                <w:szCs w:val="20"/>
                <w:color w:val="auto"/>
                <w:vertAlign w:val="superscript"/>
              </w:rPr>
              <w:t>(1)</w:t>
            </w:r>
          </w:p>
        </w:tc>
        <w:tc>
          <w:tcPr>
            <w:tcW w:w="3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288</w:t>
            </w:r>
          </w:p>
        </w:tc>
      </w:tr>
      <w:tr>
        <w:trPr>
          <w:trHeight w:val="257"/>
        </w:trPr>
        <w:tc>
          <w:tcPr>
            <w:tcW w:w="69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320" w:type="dxa"/>
            <w:vAlign w:val="bottom"/>
          </w:tcPr>
          <w:p>
            <w:pPr>
              <w:spacing w:after="0"/>
              <w:rPr>
                <w:sz w:val="22"/>
                <w:szCs w:val="2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24,712</w:t>
            </w:r>
          </w:p>
        </w:tc>
      </w:tr>
      <w:tr>
        <w:trPr>
          <w:trHeight w:val="27"/>
        </w:trPr>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83"/>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3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(1,500)</w:t>
            </w:r>
          </w:p>
        </w:tc>
      </w:tr>
      <w:tr>
        <w:trPr>
          <w:trHeight w:val="257"/>
        </w:trPr>
        <w:tc>
          <w:tcPr>
            <w:tcW w:w="69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stockholder’s equity</w:t>
            </w:r>
          </w:p>
        </w:tc>
        <w:tc>
          <w:tcPr>
            <w:tcW w:w="32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23,500</w:t>
            </w:r>
          </w:p>
        </w:tc>
        <w:tc>
          <w:tcPr>
            <w:tcW w:w="120" w:type="dxa"/>
            <w:vAlign w:val="bottom"/>
            <w:tcBorders>
              <w:bottom w:val="single" w:sz="8" w:color="CCEEFF"/>
            </w:tcBorders>
          </w:tcPr>
          <w:p>
            <w:pPr>
              <w:spacing w:after="0"/>
              <w:rPr>
                <w:sz w:val="22"/>
                <w:szCs w:val="22"/>
                <w:color w:val="auto"/>
              </w:rPr>
            </w:pPr>
          </w:p>
        </w:tc>
      </w:tr>
      <w:tr>
        <w:trPr>
          <w:trHeight w:val="257"/>
        </w:trPr>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78,000</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92" w:lineRule="exact"/>
        <w:rPr>
          <w:sz w:val="20"/>
          <w:szCs w:val="20"/>
          <w:color w:val="auto"/>
        </w:rPr>
      </w:pPr>
    </w:p>
    <w:p>
      <w:pPr>
        <w:ind w:left="880" w:right="479" w:hanging="426"/>
        <w:spacing w:after="0" w:line="230" w:lineRule="auto"/>
        <w:tabs>
          <w:tab w:leader="none" w:pos="845" w:val="left"/>
        </w:tabs>
        <w:numPr>
          <w:ilvl w:val="0"/>
          <w:numId w:val="84"/>
        </w:numPr>
        <w:rPr>
          <w:rFonts w:ascii="Arial" w:cs="Arial" w:eastAsia="Arial" w:hAnsi="Arial"/>
          <w:sz w:val="13"/>
          <w:szCs w:val="13"/>
          <w:color w:val="auto"/>
        </w:rPr>
      </w:pPr>
      <w:r>
        <w:rPr>
          <w:rFonts w:ascii="Arial" w:cs="Arial" w:eastAsia="Arial" w:hAnsi="Arial"/>
          <w:sz w:val="13"/>
          <w:szCs w:val="13"/>
          <w:color w:val="auto"/>
        </w:rPr>
        <w:t>This number includes up to 375,000 shares of Class B common stock subject to forfeiture by our sponsor if the over-allotment option is not exercised in full or in part by the underwriters.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31" w:name="page132"/>
    <w:bookmarkEnd w:id="131"/>
    <w:p>
      <w:pPr>
        <w:jc w:val="center"/>
        <w:spacing w:after="0"/>
        <w:rPr>
          <w:sz w:val="20"/>
          <w:szCs w:val="20"/>
          <w:color w:val="auto"/>
        </w:rPr>
      </w:pPr>
      <w:r>
        <w:rPr>
          <w:rFonts w:ascii="Arial" w:cs="Arial" w:eastAsia="Arial" w:hAnsi="Arial"/>
          <w:sz w:val="18"/>
          <w:szCs w:val="18"/>
          <w:b w:val="1"/>
          <w:bCs w:val="1"/>
          <w:color w:val="auto"/>
        </w:rPr>
        <w:t>FS DEVELOPMENT CORP.</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OPERATIONS</w:t>
      </w:r>
    </w:p>
    <w:p>
      <w:pPr>
        <w:jc w:val="center"/>
        <w:spacing w:after="0"/>
        <w:rPr>
          <w:sz w:val="20"/>
          <w:szCs w:val="20"/>
          <w:color w:val="auto"/>
        </w:rPr>
      </w:pPr>
      <w:r>
        <w:rPr>
          <w:rFonts w:ascii="Arial" w:cs="Arial" w:eastAsia="Arial" w:hAnsi="Arial"/>
          <w:sz w:val="18"/>
          <w:szCs w:val="18"/>
          <w:b w:val="1"/>
          <w:bCs w:val="1"/>
          <w:color w:val="auto"/>
        </w:rPr>
        <w:t>For the period from June 25, 2020 (inception) through June 30, 2020</w:t>
      </w:r>
    </w:p>
    <w:p>
      <w:pPr>
        <w:spacing w:after="0" w:line="172" w:lineRule="exact"/>
        <w:rPr>
          <w:sz w:val="20"/>
          <w:szCs w:val="20"/>
          <w:color w:val="auto"/>
        </w:rPr>
      </w:pPr>
    </w:p>
    <w:tbl>
      <w:tblPr>
        <w:tblLayout w:type="fixed"/>
        <w:tblInd w:w="460" w:type="dxa"/>
        <w:tblCellMar>
          <w:top w:w="0" w:type="dxa"/>
          <w:left w:w="0" w:type="dxa"/>
          <w:bottom w:w="0" w:type="dxa"/>
          <w:right w:w="0" w:type="dxa"/>
        </w:tblCellMar>
      </w:tblPr>
      <w:tr>
        <w:trPr>
          <w:trHeight w:val="283"/>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690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23"/>
        </w:trPr>
        <w:tc>
          <w:tcPr>
            <w:tcW w:w="6900" w:type="dxa"/>
            <w:vAlign w:val="bottom"/>
            <w:tcBorders>
              <w:top w:val="single" w:sz="8" w:color="CCEEFF"/>
              <w:bottom w:val="single" w:sz="8" w:color="CCEEFF"/>
            </w:tcBorders>
            <w:shd w:val="clear" w:color="auto" w:fill="CCEEFF"/>
          </w:tcPr>
          <w:p>
            <w:pPr>
              <w:spacing w:after="0" w:line="224" w:lineRule="exact"/>
              <w:rPr>
                <w:sz w:val="20"/>
                <w:szCs w:val="20"/>
                <w:color w:val="auto"/>
              </w:rPr>
            </w:pPr>
            <w:r>
              <w:rPr>
                <w:rFonts w:ascii="Arial" w:cs="Arial" w:eastAsia="Arial" w:hAnsi="Arial"/>
                <w:sz w:val="18"/>
                <w:szCs w:val="18"/>
                <w:b w:val="1"/>
                <w:bCs w:val="1"/>
                <w:color w:val="auto"/>
              </w:rPr>
              <w:t>Weighted average shares outstanding, basic and diluted</w:t>
            </w:r>
            <w:r>
              <w:rPr>
                <w:rFonts w:ascii="Arial" w:cs="Arial" w:eastAsia="Arial" w:hAnsi="Arial"/>
                <w:sz w:val="20"/>
                <w:szCs w:val="20"/>
                <w:b w:val="1"/>
                <w:bCs w:val="1"/>
                <w:color w:val="auto"/>
                <w:vertAlign w:val="superscript"/>
              </w:rPr>
              <w:t>(1)</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Arial" w:cs="Arial" w:eastAsia="Arial" w:hAnsi="Arial"/>
                <w:sz w:val="18"/>
                <w:szCs w:val="18"/>
                <w:b w:val="1"/>
                <w:bCs w:val="1"/>
                <w:color w:val="auto"/>
              </w:rPr>
              <w:t>Basic and diluted net loss per share</w:t>
            </w: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900" w:type="dxa"/>
            <w:vAlign w:val="bottom"/>
            <w:vMerge w:val="continue"/>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92" w:lineRule="exact"/>
        <w:rPr>
          <w:sz w:val="20"/>
          <w:szCs w:val="20"/>
          <w:color w:val="auto"/>
        </w:rPr>
      </w:pPr>
    </w:p>
    <w:p>
      <w:pPr>
        <w:ind w:left="880" w:right="739" w:hanging="426"/>
        <w:spacing w:after="0" w:line="230" w:lineRule="auto"/>
        <w:tabs>
          <w:tab w:leader="none" w:pos="845" w:val="left"/>
        </w:tabs>
        <w:numPr>
          <w:ilvl w:val="0"/>
          <w:numId w:val="85"/>
        </w:numPr>
        <w:rPr>
          <w:rFonts w:ascii="Arial" w:cs="Arial" w:eastAsia="Arial" w:hAnsi="Arial"/>
          <w:sz w:val="13"/>
          <w:szCs w:val="13"/>
          <w:color w:val="auto"/>
        </w:rPr>
      </w:pPr>
      <w:r>
        <w:rPr>
          <w:rFonts w:ascii="Arial" w:cs="Arial" w:eastAsia="Arial" w:hAnsi="Arial"/>
          <w:sz w:val="13"/>
          <w:szCs w:val="13"/>
          <w:color w:val="auto"/>
        </w:rPr>
        <w:t>This number excludes an aggregate of up to 375,000 shares of Class B common stock subject to forfeiture by our sponsor if the over-allotment option is not exercised in full or in part by the underwriters.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32" w:name="page133"/>
    <w:bookmarkEnd w:id="132"/>
    <w:p>
      <w:pPr>
        <w:jc w:val="center"/>
        <w:spacing w:after="0"/>
        <w:rPr>
          <w:sz w:val="20"/>
          <w:szCs w:val="20"/>
          <w:color w:val="auto"/>
        </w:rPr>
      </w:pPr>
      <w:r>
        <w:rPr>
          <w:rFonts w:ascii="Arial" w:cs="Arial" w:eastAsia="Arial" w:hAnsi="Arial"/>
          <w:sz w:val="18"/>
          <w:szCs w:val="18"/>
          <w:b w:val="1"/>
          <w:bCs w:val="1"/>
          <w:color w:val="auto"/>
        </w:rPr>
        <w:t>FS DEVELOPMENT CORP.</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CHANGES IN STOCKHOLDER’S EQUITY</w:t>
      </w:r>
    </w:p>
    <w:p>
      <w:pPr>
        <w:jc w:val="center"/>
        <w:spacing w:after="0"/>
        <w:rPr>
          <w:sz w:val="20"/>
          <w:szCs w:val="20"/>
          <w:color w:val="auto"/>
        </w:rPr>
      </w:pPr>
      <w:r>
        <w:rPr>
          <w:rFonts w:ascii="Arial" w:cs="Arial" w:eastAsia="Arial" w:hAnsi="Arial"/>
          <w:sz w:val="18"/>
          <w:szCs w:val="18"/>
          <w:b w:val="1"/>
          <w:bCs w:val="1"/>
          <w:color w:val="auto"/>
        </w:rPr>
        <w:t>For the period from June 25, 2020 (inception) through June 30, 2020</w:t>
      </w:r>
    </w:p>
    <w:p>
      <w:pPr>
        <w:spacing w:after="0" w:line="240"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20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4"/>
          </w:tcPr>
          <w:p>
            <w:pPr>
              <w:ind w:left="40"/>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80" w:type="dxa"/>
            <w:vAlign w:val="bottom"/>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4"/>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80" w:type="dxa"/>
            <w:vAlign w:val="bottom"/>
          </w:tcPr>
          <w:p>
            <w:pPr>
              <w:spacing w:after="0"/>
              <w:rPr>
                <w:sz w:val="18"/>
                <w:szCs w:val="18"/>
                <w:color w:val="auto"/>
              </w:rPr>
            </w:pPr>
          </w:p>
        </w:tc>
        <w:tc>
          <w:tcPr>
            <w:tcW w:w="1000" w:type="dxa"/>
            <w:vAlign w:val="bottom"/>
            <w:gridSpan w:val="3"/>
          </w:tcPr>
          <w:p>
            <w:pPr>
              <w:ind w:left="440"/>
              <w:spacing w:after="0"/>
              <w:rPr>
                <w:sz w:val="20"/>
                <w:szCs w:val="20"/>
                <w:color w:val="auto"/>
              </w:rPr>
            </w:pPr>
            <w:r>
              <w:rPr>
                <w:rFonts w:ascii="Arial" w:cs="Arial" w:eastAsia="Arial" w:hAnsi="Arial"/>
                <w:sz w:val="14"/>
                <w:szCs w:val="14"/>
                <w:b w:val="1"/>
                <w:bCs w:val="1"/>
                <w:color w:val="auto"/>
              </w:rPr>
              <w:t>Class A</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4"/>
          </w:tcPr>
          <w:p>
            <w:pPr>
              <w:jc w:val="right"/>
              <w:ind w:right="48"/>
              <w:spacing w:after="0"/>
              <w:rPr>
                <w:sz w:val="20"/>
                <w:szCs w:val="20"/>
                <w:color w:val="auto"/>
              </w:rPr>
            </w:pPr>
            <w:r>
              <w:rPr>
                <w:rFonts w:ascii="Arial" w:cs="Arial" w:eastAsia="Arial" w:hAnsi="Arial"/>
                <w:sz w:val="14"/>
                <w:szCs w:val="14"/>
                <w:b w:val="1"/>
                <w:bCs w:val="1"/>
                <w:color w:val="auto"/>
              </w:rPr>
              <w:t>Class B</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2080" w:type="dxa"/>
            <w:vAlign w:val="bottom"/>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gridSpan w:val="2"/>
            <w:vMerge w:val="restart"/>
          </w:tcPr>
          <w:p>
            <w:pPr>
              <w:jc w:val="right"/>
              <w:ind w:right="220"/>
              <w:spacing w:after="0" w:line="149" w:lineRule="exact"/>
              <w:rPr>
                <w:sz w:val="20"/>
                <w:szCs w:val="20"/>
                <w:color w:val="auto"/>
              </w:rPr>
            </w:pPr>
            <w:r>
              <w:rPr>
                <w:rFonts w:ascii="Arial" w:cs="Arial" w:eastAsia="Arial" w:hAnsi="Arial"/>
                <w:sz w:val="14"/>
                <w:szCs w:val="14"/>
                <w:b w:val="1"/>
                <w:bCs w:val="1"/>
                <w:color w:val="auto"/>
              </w:rPr>
              <w:t>Paid-In</w:t>
            </w:r>
          </w:p>
        </w:tc>
        <w:tc>
          <w:tcPr>
            <w:tcW w:w="1000" w:type="dxa"/>
            <w:vAlign w:val="bottom"/>
            <w:gridSpan w:val="4"/>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rPr>
              <w:t>Accumulated</w:t>
            </w:r>
          </w:p>
        </w:tc>
        <w:tc>
          <w:tcPr>
            <w:tcW w:w="98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61"/>
        </w:trPr>
        <w:tc>
          <w:tcPr>
            <w:tcW w:w="20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1000" w:type="dxa"/>
            <w:vAlign w:val="bottom"/>
            <w:gridSpan w:val="4"/>
            <w:vMerge w:val="continue"/>
          </w:tcPr>
          <w:p>
            <w:pPr>
              <w:spacing w:after="0"/>
              <w:rPr>
                <w:sz w:val="5"/>
                <w:szCs w:val="5"/>
                <w:color w:val="auto"/>
              </w:rPr>
            </w:pPr>
          </w:p>
        </w:tc>
        <w:tc>
          <w:tcPr>
            <w:tcW w:w="9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2080" w:type="dxa"/>
            <w:vAlign w:val="bottom"/>
          </w:tcPr>
          <w:p>
            <w:pPr>
              <w:spacing w:after="0"/>
              <w:rPr>
                <w:sz w:val="16"/>
                <w:szCs w:val="16"/>
                <w:color w:val="auto"/>
              </w:rPr>
            </w:pPr>
          </w:p>
        </w:tc>
        <w:tc>
          <w:tcPr>
            <w:tcW w:w="1500" w:type="dxa"/>
            <w:vAlign w:val="bottom"/>
            <w:gridSpan w:val="5"/>
          </w:tcPr>
          <w:p>
            <w:pPr>
              <w:ind w:left="100"/>
              <w:spacing w:after="0"/>
              <w:rPr>
                <w:sz w:val="20"/>
                <w:szCs w:val="20"/>
                <w:color w:val="auto"/>
              </w:rPr>
            </w:pPr>
            <w:r>
              <w:rPr>
                <w:rFonts w:ascii="Arial" w:cs="Arial" w:eastAsia="Arial" w:hAnsi="Arial"/>
                <w:sz w:val="14"/>
                <w:szCs w:val="14"/>
                <w:b w:val="1"/>
                <w:bCs w:val="1"/>
                <w:color w:val="auto"/>
              </w:rPr>
              <w:t>Shares   Amount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6"/>
                <w:szCs w:val="16"/>
                <w:color w:val="auto"/>
              </w:rPr>
            </w:pPr>
          </w:p>
        </w:tc>
        <w:tc>
          <w:tcPr>
            <w:tcW w:w="76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6"/>
                <w:szCs w:val="16"/>
                <w:color w:val="auto"/>
              </w:rPr>
            </w:pPr>
          </w:p>
        </w:tc>
        <w:tc>
          <w:tcPr>
            <w:tcW w:w="8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6"/>
                <w:szCs w:val="16"/>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6"/>
        </w:trPr>
        <w:tc>
          <w:tcPr>
            <w:tcW w:w="20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080" w:type="dxa"/>
            <w:vAlign w:val="bottom"/>
            <w:shd w:val="clear" w:color="auto" w:fill="CCEEFF"/>
          </w:tcPr>
          <w:p>
            <w:pPr>
              <w:spacing w:after="0" w:line="160" w:lineRule="exact"/>
              <w:rPr>
                <w:sz w:val="20"/>
                <w:szCs w:val="20"/>
                <w:color w:val="auto"/>
              </w:rPr>
            </w:pPr>
            <w:r>
              <w:rPr>
                <w:rFonts w:ascii="Arial" w:cs="Arial" w:eastAsia="Arial" w:hAnsi="Arial"/>
                <w:sz w:val="18"/>
                <w:szCs w:val="18"/>
                <w:b w:val="1"/>
                <w:bCs w:val="1"/>
                <w:color w:val="auto"/>
              </w:rPr>
              <w:t>Balance – June 25,</w:t>
            </w: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2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2020 (inception)</w:t>
            </w:r>
          </w:p>
        </w:tc>
        <w:tc>
          <w:tcPr>
            <w:tcW w:w="1000" w:type="dxa"/>
            <w:vAlign w:val="bottom"/>
            <w:tcBorders>
              <w:bottom w:val="single" w:sz="8" w:color="CCEEFF"/>
            </w:tcBorders>
            <w:gridSpan w:val="3"/>
            <w:shd w:val="clear" w:color="auto" w:fill="CCEEFF"/>
          </w:tcPr>
          <w:p>
            <w:pPr>
              <w:ind w:left="480"/>
              <w:spacing w:after="0"/>
              <w:rPr>
                <w:sz w:val="20"/>
                <w:szCs w:val="20"/>
                <w:color w:val="auto"/>
              </w:rPr>
            </w:pPr>
            <w:r>
              <w:rPr>
                <w:rFonts w:ascii="Arial" w:cs="Arial" w:eastAsia="Arial" w:hAnsi="Arial"/>
                <w:sz w:val="18"/>
                <w:szCs w:val="18"/>
                <w:b w:val="1"/>
                <w:bCs w:val="1"/>
                <w:color w:val="auto"/>
              </w:rPr>
              <w:t>— $</w:t>
            </w:r>
          </w:p>
        </w:tc>
        <w:tc>
          <w:tcPr>
            <w:tcW w:w="5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CCEEFF"/>
            </w:tcBorders>
            <w:gridSpan w:val="4"/>
            <w:shd w:val="clear" w:color="auto" w:fill="CCEEFF"/>
          </w:tcPr>
          <w:p>
            <w:pPr>
              <w:jc w:val="right"/>
              <w:ind w:right="88"/>
              <w:spacing w:after="0"/>
              <w:rPr>
                <w:sz w:val="20"/>
                <w:szCs w:val="20"/>
                <w:color w:val="auto"/>
              </w:rPr>
            </w:pPr>
            <w:r>
              <w:rPr>
                <w:rFonts w:ascii="Arial" w:cs="Arial" w:eastAsia="Arial" w:hAnsi="Arial"/>
                <w:sz w:val="18"/>
                <w:szCs w:val="18"/>
                <w:b w:val="1"/>
                <w:bCs w:val="1"/>
                <w:color w:val="auto"/>
              </w:rPr>
              <w:t>— $</w:t>
            </w:r>
          </w:p>
        </w:tc>
        <w:tc>
          <w:tcPr>
            <w:tcW w:w="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 $</w:t>
            </w:r>
          </w:p>
        </w:tc>
        <w:tc>
          <w:tcPr>
            <w:tcW w:w="8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 $</w:t>
            </w:r>
          </w:p>
        </w:tc>
        <w:tc>
          <w:tcPr>
            <w:tcW w:w="8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2"/>
        </w:trPr>
        <w:tc>
          <w:tcPr>
            <w:tcW w:w="2080" w:type="dxa"/>
            <w:vAlign w:val="bottom"/>
          </w:tcPr>
          <w:p>
            <w:pPr>
              <w:spacing w:after="0" w:line="201" w:lineRule="exact"/>
              <w:rPr>
                <w:sz w:val="20"/>
                <w:szCs w:val="20"/>
                <w:color w:val="auto"/>
              </w:rPr>
            </w:pPr>
            <w:r>
              <w:rPr>
                <w:rFonts w:ascii="Arial" w:cs="Arial" w:eastAsia="Arial" w:hAnsi="Arial"/>
                <w:sz w:val="18"/>
                <w:szCs w:val="18"/>
                <w:color w:val="auto"/>
              </w:rPr>
              <w:t>Issuance of Class B</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80" w:type="dxa"/>
            <w:vAlign w:val="bottom"/>
          </w:tcPr>
          <w:p>
            <w:pPr>
              <w:ind w:left="180"/>
              <w:spacing w:after="0" w:line="202" w:lineRule="exact"/>
              <w:rPr>
                <w:sz w:val="20"/>
                <w:szCs w:val="20"/>
                <w:color w:val="auto"/>
              </w:rPr>
            </w:pPr>
            <w:r>
              <w:rPr>
                <w:rFonts w:ascii="Arial" w:cs="Arial" w:eastAsia="Arial" w:hAnsi="Arial"/>
                <w:sz w:val="18"/>
                <w:szCs w:val="18"/>
                <w:color w:val="auto"/>
              </w:rPr>
              <w:t>common stock to</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80" w:type="dxa"/>
            <w:vAlign w:val="bottom"/>
          </w:tcPr>
          <w:p>
            <w:pPr>
              <w:ind w:left="180"/>
              <w:spacing w:after="0"/>
              <w:rPr>
                <w:sz w:val="20"/>
                <w:szCs w:val="20"/>
                <w:color w:val="auto"/>
              </w:rPr>
            </w:pPr>
            <w:r>
              <w:rPr>
                <w:rFonts w:ascii="Arial" w:cs="Arial" w:eastAsia="Arial" w:hAnsi="Arial"/>
                <w:sz w:val="18"/>
                <w:szCs w:val="18"/>
                <w:color w:val="auto"/>
              </w:rPr>
              <w:t xml:space="preserve">Sponsor </w:t>
            </w:r>
            <w:r>
              <w:rPr>
                <w:rFonts w:ascii="Arial" w:cs="Arial" w:eastAsia="Arial" w:hAnsi="Arial"/>
                <w:sz w:val="20"/>
                <w:szCs w:val="20"/>
                <w:color w:val="auto"/>
                <w:vertAlign w:val="superscript"/>
              </w:rPr>
              <w:t>(1)</w:t>
            </w:r>
          </w:p>
        </w:tc>
        <w:tc>
          <w:tcPr>
            <w:tcW w:w="100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2,875,000</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21"/>
                <w:szCs w:val="21"/>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24,712</w:t>
            </w:r>
          </w:p>
        </w:tc>
        <w:tc>
          <w:tcPr>
            <w:tcW w:w="160" w:type="dxa"/>
            <w:vAlign w:val="bottom"/>
          </w:tcPr>
          <w:p>
            <w:pPr>
              <w:spacing w:after="0"/>
              <w:rPr>
                <w:sz w:val="21"/>
                <w:szCs w:val="21"/>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160"/>
        </w:trPr>
        <w:tc>
          <w:tcPr>
            <w:tcW w:w="2080" w:type="dxa"/>
            <w:vAlign w:val="bottom"/>
          </w:tcPr>
          <w:p>
            <w:pPr>
              <w:spacing w:after="0" w:line="160" w:lineRule="exact"/>
              <w:rPr>
                <w:sz w:val="20"/>
                <w:szCs w:val="20"/>
                <w:color w:val="auto"/>
              </w:rPr>
            </w:pPr>
            <w:r>
              <w:rPr>
                <w:rFonts w:ascii="Arial" w:cs="Arial" w:eastAsia="Arial" w:hAnsi="Arial"/>
                <w:sz w:val="18"/>
                <w:szCs w:val="18"/>
                <w:b w:val="1"/>
                <w:bCs w:val="1"/>
                <w:color w:val="auto"/>
              </w:rPr>
              <w:t>Balance – June 30,</w:t>
            </w:r>
          </w:p>
        </w:tc>
        <w:tc>
          <w:tcPr>
            <w:tcW w:w="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2"/>
        </w:trPr>
        <w:tc>
          <w:tcPr>
            <w:tcW w:w="2080" w:type="dxa"/>
            <w:vAlign w:val="bottom"/>
          </w:tcPr>
          <w:p>
            <w:pPr>
              <w:ind w:left="180"/>
              <w:spacing w:after="0"/>
              <w:rPr>
                <w:sz w:val="20"/>
                <w:szCs w:val="20"/>
                <w:color w:val="auto"/>
              </w:rPr>
            </w:pPr>
            <w:r>
              <w:rPr>
                <w:rFonts w:ascii="Arial" w:cs="Arial" w:eastAsia="Arial" w:hAnsi="Arial"/>
                <w:sz w:val="18"/>
                <w:szCs w:val="18"/>
                <w:b w:val="1"/>
                <w:bCs w:val="1"/>
                <w:color w:val="auto"/>
              </w:rPr>
              <w:t>2020</w:t>
            </w:r>
          </w:p>
        </w:tc>
        <w:tc>
          <w:tcPr>
            <w:tcW w:w="1000" w:type="dxa"/>
            <w:vAlign w:val="bottom"/>
            <w:gridSpan w:val="3"/>
          </w:tcPr>
          <w:p>
            <w:pPr>
              <w:ind w:left="480"/>
              <w:spacing w:after="0"/>
              <w:rPr>
                <w:sz w:val="20"/>
                <w:szCs w:val="20"/>
                <w:color w:val="auto"/>
              </w:rPr>
            </w:pPr>
            <w:r>
              <w:rPr>
                <w:rFonts w:ascii="Arial" w:cs="Arial" w:eastAsia="Arial" w:hAnsi="Arial"/>
                <w:sz w:val="18"/>
                <w:szCs w:val="18"/>
                <w:b w:val="1"/>
                <w:bCs w:val="1"/>
                <w:color w:val="auto"/>
              </w:rPr>
              <w:t>— $</w:t>
            </w:r>
          </w:p>
        </w:tc>
        <w:tc>
          <w:tcPr>
            <w:tcW w:w="500" w:type="dxa"/>
            <w:vAlign w:val="bottom"/>
            <w:gridSpan w:val="2"/>
          </w:tcPr>
          <w:p>
            <w:pPr>
              <w:ind w:left="24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2,875,000</w:t>
            </w:r>
          </w:p>
        </w:tc>
        <w:tc>
          <w:tcPr>
            <w:tcW w:w="320" w:type="dxa"/>
            <w:vAlign w:val="bottom"/>
            <w:gridSpan w:val="2"/>
          </w:tcPr>
          <w:p>
            <w:pPr>
              <w:jc w:val="right"/>
              <w:ind w:right="88"/>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288</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24,712</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(1,500)</w:t>
            </w:r>
          </w:p>
        </w:tc>
        <w:tc>
          <w:tcPr>
            <w:tcW w:w="100" w:type="dxa"/>
            <w:vAlign w:val="bottom"/>
          </w:tcPr>
          <w:p>
            <w:pPr>
              <w:spacing w:after="0"/>
              <w:rPr>
                <w:sz w:val="21"/>
                <w:szCs w:val="21"/>
                <w:color w:val="auto"/>
              </w:rPr>
            </w:pP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23,500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92" w:lineRule="exact"/>
        <w:rPr>
          <w:sz w:val="20"/>
          <w:szCs w:val="20"/>
          <w:color w:val="auto"/>
        </w:rPr>
      </w:pPr>
    </w:p>
    <w:p>
      <w:pPr>
        <w:ind w:left="880" w:right="479" w:hanging="426"/>
        <w:spacing w:after="0" w:line="230" w:lineRule="auto"/>
        <w:tabs>
          <w:tab w:leader="none" w:pos="845" w:val="left"/>
        </w:tabs>
        <w:numPr>
          <w:ilvl w:val="0"/>
          <w:numId w:val="86"/>
        </w:numPr>
        <w:rPr>
          <w:rFonts w:ascii="Arial" w:cs="Arial" w:eastAsia="Arial" w:hAnsi="Arial"/>
          <w:sz w:val="13"/>
          <w:szCs w:val="13"/>
          <w:color w:val="auto"/>
        </w:rPr>
      </w:pPr>
      <w:r>
        <w:rPr>
          <w:rFonts w:ascii="Arial" w:cs="Arial" w:eastAsia="Arial" w:hAnsi="Arial"/>
          <w:sz w:val="13"/>
          <w:szCs w:val="13"/>
          <w:color w:val="auto"/>
        </w:rPr>
        <w:t>This number includes up to 375,000 shares of Class B common stock subject to forfeiture by our sponsor if the over-allotment option is not exercised in full or in part by the underwriters.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33" w:name="page134"/>
    <w:bookmarkEnd w:id="133"/>
    <w:p>
      <w:pPr>
        <w:jc w:val="center"/>
        <w:ind w:right="19"/>
        <w:spacing w:after="0"/>
        <w:rPr>
          <w:sz w:val="20"/>
          <w:szCs w:val="20"/>
          <w:color w:val="auto"/>
        </w:rPr>
      </w:pPr>
      <w:r>
        <w:rPr>
          <w:rFonts w:ascii="Arial" w:cs="Arial" w:eastAsia="Arial" w:hAnsi="Arial"/>
          <w:sz w:val="18"/>
          <w:szCs w:val="18"/>
          <w:b w:val="1"/>
          <w:bCs w:val="1"/>
          <w:color w:val="auto"/>
        </w:rPr>
        <w:t>FS DEVELOPMENT CORP.</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 OF CASH FLOWS</w:t>
      </w:r>
    </w:p>
    <w:p>
      <w:pPr>
        <w:jc w:val="center"/>
        <w:ind w:right="19"/>
        <w:spacing w:after="0"/>
        <w:rPr>
          <w:sz w:val="20"/>
          <w:szCs w:val="20"/>
          <w:color w:val="auto"/>
        </w:rPr>
      </w:pPr>
      <w:r>
        <w:rPr>
          <w:rFonts w:ascii="Arial" w:cs="Arial" w:eastAsia="Arial" w:hAnsi="Arial"/>
          <w:sz w:val="18"/>
          <w:szCs w:val="18"/>
          <w:b w:val="1"/>
          <w:bCs w:val="1"/>
          <w:color w:val="auto"/>
        </w:rPr>
        <w:t>For the period from June 25, 2020 (inception) through June 30, 2020</w:t>
      </w:r>
    </w:p>
    <w:p>
      <w:pPr>
        <w:spacing w:after="0" w:line="172"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6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900" w:type="dxa"/>
            <w:vAlign w:val="bottom"/>
          </w:tcPr>
          <w:p>
            <w:pPr>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69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Accrued expenses</w:t>
            </w:r>
          </w:p>
        </w:tc>
        <w:tc>
          <w:tcPr>
            <w:tcW w:w="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1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9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Net cash used in operating activities</w:t>
            </w:r>
          </w:p>
        </w:tc>
        <w:tc>
          <w:tcPr>
            <w:tcW w:w="34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90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1803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p>
      <w:pPr>
        <w:spacing w:after="0" w:line="6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Proceeds from issuance of Class B common stock to Sponsor</w:t>
      </w:r>
    </w:p>
    <w:p>
      <w:pPr>
        <w:spacing w:after="0" w:line="6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37465</wp:posOffset>
            </wp:positionV>
            <wp:extent cx="5143500" cy="2654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00" cy="265430"/>
                    </a:xfrm>
                    <a:prstGeom prst="rect">
                      <a:avLst/>
                    </a:prstGeom>
                    <a:noFill/>
                  </pic:spPr>
                </pic:pic>
              </a:graphicData>
            </a:graphic>
          </wp:anchor>
        </w:drawing>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Net increase in cash</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Cash – beginning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37465</wp:posOffset>
            </wp:positionV>
            <wp:extent cx="5143500" cy="1797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Cash – end of the period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Supplemental disclosure of noncash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37465</wp:posOffset>
            </wp:positionV>
            <wp:extent cx="5143500" cy="1797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jc w:val="right"/>
        <w:ind w:right="579"/>
        <w:spacing w:after="0"/>
        <w:rPr>
          <w:sz w:val="20"/>
          <w:szCs w:val="20"/>
          <w:color w:val="auto"/>
        </w:rPr>
      </w:pPr>
      <w:r>
        <w:rPr>
          <w:rFonts w:ascii="Arial" w:cs="Arial" w:eastAsia="Arial" w:hAnsi="Arial"/>
          <w:sz w:val="18"/>
          <w:szCs w:val="18"/>
          <w:color w:val="auto"/>
        </w:rPr>
        <w:t>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67691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76910" cy="8255"/>
                    </a:xfrm>
                    <a:prstGeom prst="rect">
                      <a:avLst/>
                    </a:prstGeom>
                    <a:noFill/>
                  </pic:spPr>
                </pic:pic>
              </a:graphicData>
            </a:graphic>
          </wp:anchor>
        </w:drawing>
      </w:r>
    </w:p>
    <w:p>
      <w:pPr>
        <w:spacing w:after="0" w:line="57" w:lineRule="exact"/>
        <w:rPr>
          <w:sz w:val="20"/>
          <w:szCs w:val="20"/>
          <w:color w:val="auto"/>
        </w:rPr>
      </w:pPr>
    </w:p>
    <w:p>
      <w:pPr>
        <w:jc w:val="right"/>
        <w:ind w:right="579"/>
        <w:spacing w:after="0"/>
        <w:rPr>
          <w:sz w:val="20"/>
          <w:szCs w:val="20"/>
          <w:color w:val="auto"/>
        </w:rPr>
      </w:pPr>
      <w:r>
        <w:rPr>
          <w:rFonts w:ascii="Arial" w:cs="Arial" w:eastAsia="Arial" w:hAnsi="Arial"/>
          <w:sz w:val="18"/>
          <w:szCs w:val="18"/>
          <w:color w:val="auto"/>
        </w:rPr>
        <w:t>25,000</w:t>
      </w:r>
    </w:p>
    <w:p>
      <w:pPr>
        <w:spacing w:after="0" w:line="198" w:lineRule="exact"/>
        <w:rPr>
          <w:sz w:val="20"/>
          <w:szCs w:val="20"/>
          <w:color w:val="auto"/>
        </w:rPr>
      </w:pPr>
    </w:p>
    <w:p>
      <w:pPr>
        <w:jc w:val="right"/>
        <w:ind w:right="579"/>
        <w:spacing w:after="0"/>
        <w:rPr>
          <w:sz w:val="20"/>
          <w:szCs w:val="20"/>
          <w:color w:val="auto"/>
        </w:rPr>
      </w:pPr>
      <w:r>
        <w:rPr>
          <w:rFonts w:ascii="Arial" w:cs="Arial" w:eastAsia="Arial" w:hAnsi="Arial"/>
          <w:sz w:val="18"/>
          <w:szCs w:val="18"/>
          <w:color w:val="auto"/>
        </w:rPr>
        <w:t>25,000</w:t>
      </w:r>
    </w:p>
    <w:p>
      <w:pPr>
        <w:spacing w:after="0" w:line="212" w:lineRule="exact"/>
        <w:rPr>
          <w:sz w:val="20"/>
          <w:szCs w:val="20"/>
          <w:color w:val="auto"/>
        </w:rPr>
      </w:pPr>
    </w:p>
    <w:p>
      <w:pPr>
        <w:jc w:val="right"/>
        <w:ind w:right="579"/>
        <w:spacing w:after="0"/>
        <w:rPr>
          <w:sz w:val="20"/>
          <w:szCs w:val="20"/>
          <w:color w:val="auto"/>
        </w:rPr>
      </w:pPr>
      <w:r>
        <w:rPr>
          <w:rFonts w:ascii="Arial" w:cs="Arial" w:eastAsia="Arial" w:hAnsi="Arial"/>
          <w:sz w:val="18"/>
          <w:szCs w:val="18"/>
          <w:color w:val="auto"/>
        </w:rPr>
        <w:t>—</w:t>
      </w:r>
    </w:p>
    <w:p>
      <w:pPr>
        <w:spacing w:after="0" w:line="55" w:lineRule="exact"/>
        <w:rPr>
          <w:sz w:val="20"/>
          <w:szCs w:val="20"/>
          <w:color w:val="auto"/>
        </w:rPr>
      </w:pPr>
    </w:p>
    <w:p>
      <w:pPr>
        <w:ind w:left="520" w:hanging="514"/>
        <w:spacing w:after="0"/>
        <w:tabs>
          <w:tab w:leader="none" w:pos="52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37465</wp:posOffset>
            </wp:positionV>
            <wp:extent cx="67691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76910" cy="8890"/>
                    </a:xfrm>
                    <a:prstGeom prst="rect">
                      <a:avLst/>
                    </a:prstGeom>
                    <a:noFill/>
                  </pic:spPr>
                </pic:pic>
              </a:graphicData>
            </a:graphic>
          </wp:anchor>
        </w:drawing>
      </w:r>
    </w:p>
    <w:p>
      <w:pPr>
        <w:spacing w:after="0" w:line="517" w:lineRule="exact"/>
        <w:rPr>
          <w:sz w:val="20"/>
          <w:szCs w:val="20"/>
          <w:color w:val="auto"/>
        </w:rPr>
      </w:pPr>
    </w:p>
    <w:p>
      <w:pPr>
        <w:sectPr>
          <w:pgSz w:w="11900" w:h="16838" w:orient="portrait"/>
          <w:cols w:equalWidth="0" w:num="2">
            <w:col w:w="6640" w:space="720"/>
            <w:col w:w="1659"/>
          </w:cols>
          <w:pgMar w:left="1440" w:top="333" w:right="1440" w:bottom="1440" w:gutter="0" w:footer="0" w:header="0"/>
          <w:type w:val="continuous"/>
        </w:sectPr>
      </w:pPr>
    </w:p>
    <w:p>
      <w:pPr>
        <w:ind w:left="640"/>
        <w:spacing w:after="0"/>
        <w:tabs>
          <w:tab w:leader="none" w:pos="7340" w:val="left"/>
          <w:tab w:leader="none" w:pos="7860" w:val="left"/>
        </w:tabs>
        <w:rPr>
          <w:sz w:val="20"/>
          <w:szCs w:val="20"/>
          <w:color w:val="auto"/>
        </w:rPr>
      </w:pPr>
      <w:r>
        <w:rPr>
          <w:rFonts w:ascii="Arial" w:cs="Arial" w:eastAsia="Arial" w:hAnsi="Arial"/>
          <w:sz w:val="18"/>
          <w:szCs w:val="18"/>
          <w:color w:val="auto"/>
        </w:rPr>
        <w:t>Deferred offering costs included in accrued expenses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53,000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134" w:name="page135"/>
    <w:bookmarkEnd w:id="134"/>
    <w:p>
      <w:pPr>
        <w:jc w:val="center"/>
        <w:ind w:right="19"/>
        <w:spacing w:after="0"/>
        <w:rPr>
          <w:sz w:val="20"/>
          <w:szCs w:val="20"/>
          <w:color w:val="auto"/>
        </w:rPr>
      </w:pPr>
      <w:r>
        <w:rPr>
          <w:rFonts w:ascii="Arial" w:cs="Arial" w:eastAsia="Arial" w:hAnsi="Arial"/>
          <w:sz w:val="18"/>
          <w:szCs w:val="18"/>
          <w:b w:val="1"/>
          <w:bCs w:val="1"/>
          <w:color w:val="auto"/>
        </w:rPr>
        <w:t>FS DEVELOPMENT CORP.</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 — Description of Organization, Business Operations and Basis of Presentation</w:t>
      </w:r>
    </w:p>
    <w:p>
      <w:pPr>
        <w:spacing w:after="0" w:line="166" w:lineRule="exact"/>
        <w:rPr>
          <w:sz w:val="20"/>
          <w:szCs w:val="20"/>
          <w:color w:val="auto"/>
        </w:rPr>
      </w:pPr>
    </w:p>
    <w:p>
      <w:pPr>
        <w:ind w:left="460" w:right="519"/>
        <w:spacing w:after="0" w:line="255" w:lineRule="auto"/>
        <w:rPr>
          <w:sz w:val="20"/>
          <w:szCs w:val="20"/>
          <w:color w:val="auto"/>
        </w:rPr>
      </w:pPr>
      <w:r>
        <w:rPr>
          <w:rFonts w:ascii="Arial" w:cs="Arial" w:eastAsia="Arial" w:hAnsi="Arial"/>
          <w:sz w:val="17"/>
          <w:szCs w:val="17"/>
          <w:color w:val="auto"/>
        </w:rPr>
        <w:t>FS Development Corp. (the “Company”) is a blank check company incorporated in Delaware on June 25, 2020. The Company was formed for the purpose of effecting a merger, capital stock exchange, asset acquisition, stock purchase, reorganization or similar business combination with one or more businesses (the “Business Combination”). The Company is an emerging growth company and, as such, the Company is subject to all of the risks associated with emerging growth companies.</w:t>
      </w:r>
    </w:p>
    <w:p>
      <w:pPr>
        <w:spacing w:after="0" w:line="109" w:lineRule="exact"/>
        <w:rPr>
          <w:sz w:val="20"/>
          <w:szCs w:val="20"/>
          <w:color w:val="auto"/>
        </w:rPr>
      </w:pPr>
    </w:p>
    <w:p>
      <w:pPr>
        <w:ind w:left="460" w:right="559"/>
        <w:spacing w:after="0" w:line="237" w:lineRule="auto"/>
        <w:rPr>
          <w:sz w:val="20"/>
          <w:szCs w:val="20"/>
          <w:color w:val="auto"/>
        </w:rPr>
      </w:pPr>
      <w:r>
        <w:rPr>
          <w:rFonts w:ascii="Arial" w:cs="Arial" w:eastAsia="Arial" w:hAnsi="Arial"/>
          <w:sz w:val="18"/>
          <w:szCs w:val="18"/>
          <w:color w:val="auto"/>
        </w:rPr>
        <w:t>As of June 30, 2020, the Company had not commenced any operations. All activity for the period from June 25, 2020 (inception) through June 30, 2020 relates to the Company’s formation and the proposed initial public offering described below. The Company will not generate any operating revenues until after the completion of its initial Business Combination, at the earliest. The Company will generate non-operating income in the form of interest income on cash and cash equivalents from the proceeds derived from the Proposed Public Offering (as defined below). The Company has selected December 31 as its fiscal year end.</w:t>
      </w:r>
    </w:p>
    <w:p>
      <w:pPr>
        <w:spacing w:after="0" w:line="135" w:lineRule="exact"/>
        <w:rPr>
          <w:sz w:val="20"/>
          <w:szCs w:val="20"/>
          <w:color w:val="auto"/>
        </w:rPr>
      </w:pPr>
    </w:p>
    <w:p>
      <w:pPr>
        <w:ind w:left="460" w:right="559"/>
        <w:spacing w:after="0" w:line="236" w:lineRule="auto"/>
        <w:rPr>
          <w:sz w:val="20"/>
          <w:szCs w:val="20"/>
          <w:color w:val="auto"/>
        </w:rPr>
      </w:pPr>
      <w:r>
        <w:rPr>
          <w:rFonts w:ascii="Arial" w:cs="Arial" w:eastAsia="Arial" w:hAnsi="Arial"/>
          <w:sz w:val="18"/>
          <w:szCs w:val="18"/>
          <w:color w:val="auto"/>
        </w:rPr>
        <w:t>The Company’s sponsor is FS Development Holdings, LLC, a Delaware limited liability company (the “Sponsor”). The Company’s ability to commence operations is contingent upon obtaining adequate financial resources through a proposed public offering (the “Proposed Public Offering”) of 10,000,000 shares of Class A common stock (each, a “Public Share” and collectively, the “Public Shares”) at $10.00 per share (or 11,500,000 shares if the underwriters’ over-allotment option is exercised in full), which is discussed in Note 3, and the sale of 400,000 shares of Class A common stock (or 430,000 shares if the underwriters’ over-allotment option is exercised in full) (each, a “Private Placement Share” and collectively, the “Private Placement Shares”), at a price of $10.00 per Private Placement Share in a private placement to the Sponsor that will close simultaneously with the Proposed Public Offering.</w:t>
      </w:r>
    </w:p>
    <w:p>
      <w:pPr>
        <w:spacing w:after="0" w:line="138" w:lineRule="exact"/>
        <w:rPr>
          <w:sz w:val="20"/>
          <w:szCs w:val="20"/>
          <w:color w:val="auto"/>
        </w:rPr>
      </w:pPr>
    </w:p>
    <w:p>
      <w:pPr>
        <w:ind w:left="460" w:right="479"/>
        <w:spacing w:after="0" w:line="249"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the Proposed Public Offering and the sale of Private Placement Shares,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having an aggregate fair market value of at least 80% of the net assets held in the Trust Account (as defined below) (net of amounts disbursed to management for working capital purposes and excluding the amount of any deferred underwriting discount held in trust) at the time of the agreement to enter into the initial Business Combination. However, the Company will only complete a Business Combination if the post-transaction company owns or acquires 50% or more of the voting securities of the target or otherwise acquires a controlling interest in the target sufficient for it not to be required to register as an investment company under the Investment Company Act 1940, as amended (the “Investment Company Act”). Upon the closing of the Proposed Public Offering, management has agreed that an amount equal to at least $10.00 per share sold in the Proposed Public Offering, including the proceeds from the sale of the Private Placement Shares to the Sponsor, will be held in a trust account (“Trust Account”) located in the United States at JP Morgan Chase Bank, N.A. with Continental Stock Transfer &amp; Trust Company acting as trustee, and invested only in U.S.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as determined by the Company, until the earlier of: (i) the completion of a Business Combination and (ii) the distribution of the Trust Account as described below.</w:t>
      </w:r>
    </w:p>
    <w:p>
      <w:pPr>
        <w:spacing w:after="0" w:line="331"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The Company will provide the holders (the “Public Stockholders”) of the Company’s outstanding Public Shares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Public Stockholders will be entitled to redeem their Public Shares for a pro rata portion of the amount then held in the Trust Account (initially anticipated to be $10.00 per Public Share). The per-share amount to be distributed to Public Stockholders who redeem their Public Shares will not be reduced by the deferred underwriting commissions the Company will pay to the underwriters (as discussed in Note 5). These Public Shares will be recorded at a redemption value and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35" w:name="page136"/>
    <w:bookmarkEnd w:id="135"/>
    <w:p>
      <w:pPr>
        <w:jc w:val="center"/>
        <w:ind w:right="19"/>
        <w:spacing w:after="0"/>
        <w:rPr>
          <w:sz w:val="20"/>
          <w:szCs w:val="20"/>
          <w:color w:val="auto"/>
        </w:rPr>
      </w:pPr>
      <w:r>
        <w:rPr>
          <w:rFonts w:ascii="Arial" w:cs="Arial" w:eastAsia="Arial" w:hAnsi="Arial"/>
          <w:sz w:val="18"/>
          <w:szCs w:val="18"/>
          <w:b w:val="1"/>
          <w:bCs w:val="1"/>
          <w:color w:val="auto"/>
        </w:rPr>
        <w:t>FS DEVELOPMENT CORP.</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 — Description of Organization, Business Operations and Basis of Presentation </w:t>
      </w:r>
      <w:r>
        <w:rPr>
          <w:rFonts w:ascii="Arial" w:cs="Arial" w:eastAsia="Arial" w:hAnsi="Arial"/>
          <w:sz w:val="18"/>
          <w:szCs w:val="18"/>
          <w:color w:val="auto"/>
        </w:rPr>
        <w:t>(cont.)</w:t>
      </w:r>
    </w:p>
    <w:p>
      <w:pPr>
        <w:spacing w:after="0" w:line="193"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classified as temporary equity upon the completion of the Proposed Public Offering in accordance with the Financial Accounting Standards Board’s (“FASB”) Accounting Standards Codification (“ASC”) Topic 480 “Distinguishing Liabilities from Equity.” The Company will proceed with a Business Combination if a majority of the shares voted are voted in favor of the Business Combination. The Company will not redeem the Public Shares in an amount that would cause its net tangible assets to be less than $5,000,001. If a stockholder vote is not required by law and the Company does not decide to hold a stockholder vote for business or other legal reasons, the Company will, pursuant to its Amended and Restated Certificate of Incorporation (the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law, or the Company decides to obtain stockholder approval for business or legal reasons, the Company will offer to redeem shares in conjunction with a proxy solicitation pursuant to the proxy rules and not pursuant to the tender offer rules. Additionally, each public stockholder may elect to redeem their Public Shares irrespective of whether they vote for or against the proposed transaction. If the Company seeks stockholder approval in connection with a Business Combination, the Initial Stockholders (as defined below) have agreed to vote their Founder Shares (as defined below in Note 4) and any Public Shares purchased during or after the Proposed Public Offering in favor of a Business Combination. In addition, the Initial Stockholders have agreed to waive their redemption rights with respect to their Founder Shares and Public Shares in connection with the completion of a Business Combination.</w:t>
      </w:r>
    </w:p>
    <w:p>
      <w:pPr>
        <w:spacing w:after="0" w:line="145" w:lineRule="exact"/>
        <w:rPr>
          <w:sz w:val="20"/>
          <w:szCs w:val="20"/>
          <w:color w:val="auto"/>
        </w:rPr>
      </w:pPr>
    </w:p>
    <w:p>
      <w:pPr>
        <w:ind w:left="460" w:right="539"/>
        <w:spacing w:after="0" w:line="238" w:lineRule="auto"/>
        <w:rPr>
          <w:sz w:val="20"/>
          <w:szCs w:val="20"/>
          <w:color w:val="auto"/>
        </w:rPr>
      </w:pPr>
      <w:r>
        <w:rPr>
          <w:rFonts w:ascii="Arial" w:cs="Arial" w:eastAsia="Arial" w:hAnsi="Arial"/>
          <w:sz w:val="18"/>
          <w:szCs w:val="18"/>
          <w:color w:val="auto"/>
        </w:rPr>
        <w:t>The Certificate of Incorporation will provide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20% or more of the Public Shares, without the prior consent of the Company.</w:t>
      </w:r>
    </w:p>
    <w:p>
      <w:pPr>
        <w:spacing w:after="0" w:line="135" w:lineRule="exact"/>
        <w:rPr>
          <w:sz w:val="20"/>
          <w:szCs w:val="20"/>
          <w:color w:val="auto"/>
        </w:rPr>
      </w:pPr>
    </w:p>
    <w:p>
      <w:pPr>
        <w:ind w:left="460" w:right="579"/>
        <w:spacing w:after="0" w:line="237" w:lineRule="auto"/>
        <w:rPr>
          <w:sz w:val="20"/>
          <w:szCs w:val="20"/>
          <w:color w:val="auto"/>
        </w:rPr>
      </w:pPr>
      <w:r>
        <w:rPr>
          <w:rFonts w:ascii="Arial" w:cs="Arial" w:eastAsia="Arial" w:hAnsi="Arial"/>
          <w:sz w:val="18"/>
          <w:szCs w:val="18"/>
          <w:color w:val="auto"/>
        </w:rPr>
        <w:t>The Sponsor and the Company’s officers and directors (the “Initial Stockholders”) have agreed not to propose an amendment to the Certificate of Incorporation to modify the substance or timing of the Company’s obligation to redeem 100% of the Public Shares if the Company does not complete a Business Combination within the Combination Period (as defined below) or with respect to any other material provisions relating to stockholders’ rights or pre-initial Business Combination activity, unless the Company provides the Public Stockholders with the opportunity to redeem their Public Shares in conjunction with any such amendment.</w:t>
      </w:r>
    </w:p>
    <w:p>
      <w:pPr>
        <w:spacing w:after="0" w:line="122" w:lineRule="exact"/>
        <w:rPr>
          <w:sz w:val="20"/>
          <w:szCs w:val="20"/>
          <w:color w:val="auto"/>
        </w:rPr>
      </w:pPr>
    </w:p>
    <w:p>
      <w:pPr>
        <w:ind w:left="460" w:right="539"/>
        <w:spacing w:after="0" w:line="251" w:lineRule="auto"/>
        <w:rPr>
          <w:sz w:val="20"/>
          <w:szCs w:val="20"/>
          <w:color w:val="auto"/>
        </w:rPr>
      </w:pPr>
      <w:r>
        <w:rPr>
          <w:rFonts w:ascii="Arial" w:cs="Arial" w:eastAsia="Arial" w:hAnsi="Arial"/>
          <w:sz w:val="17"/>
          <w:szCs w:val="17"/>
          <w:color w:val="auto"/>
        </w:rPr>
        <w:t>If the Company is unable to complete a Business Combination within 24 months from the closing of the Proposed Public Offering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its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the remaining stockholders and the board of directors, liquidate and dissolve, subject in each case to the Company’s obligations under Delaware law to provide for claims of creditors and the requirements of other applicable law.</w:t>
      </w:r>
    </w:p>
    <w:p>
      <w:pPr>
        <w:spacing w:after="0" w:line="125" w:lineRule="exact"/>
        <w:rPr>
          <w:sz w:val="20"/>
          <w:szCs w:val="20"/>
          <w:color w:val="auto"/>
        </w:rPr>
      </w:pPr>
    </w:p>
    <w:p>
      <w:pPr>
        <w:ind w:left="460" w:right="559"/>
        <w:spacing w:after="0" w:line="236" w:lineRule="auto"/>
        <w:rPr>
          <w:sz w:val="20"/>
          <w:szCs w:val="20"/>
          <w:color w:val="auto"/>
        </w:rPr>
      </w:pPr>
      <w:r>
        <w:rPr>
          <w:rFonts w:ascii="Arial" w:cs="Arial" w:eastAsia="Arial" w:hAnsi="Arial"/>
          <w:sz w:val="18"/>
          <w:szCs w:val="18"/>
          <w:color w:val="auto"/>
        </w:rPr>
        <w:t>The Initial Stockholders have agreed to waive their rights to liquidating distributions from the Trust Account with respect to the Founder Shares and Private Placement Shares if the Company fails to complete a Business Combination within the Combination Period. However, if the Initial Stockholders acquire Public Shares in or after the Proposed Public Offering, they will be entitled to liquidating distributions from the Trust Account with respect to such Public Shares if the Company fails to complete a Business Combination within the Combination Period. The underwriters have agreed to waive their rights to the deferred underwriting commission (see Note 5)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residual assets remaining available for distribution (including Trust Account assets) will be only $10.00. In</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36" w:name="page137"/>
    <w:bookmarkEnd w:id="136"/>
    <w:p>
      <w:pPr>
        <w:jc w:val="center"/>
        <w:ind w:right="19"/>
        <w:spacing w:after="0"/>
        <w:rPr>
          <w:sz w:val="20"/>
          <w:szCs w:val="20"/>
          <w:color w:val="auto"/>
        </w:rPr>
      </w:pPr>
      <w:r>
        <w:rPr>
          <w:rFonts w:ascii="Arial" w:cs="Arial" w:eastAsia="Arial" w:hAnsi="Arial"/>
          <w:sz w:val="18"/>
          <w:szCs w:val="18"/>
          <w:b w:val="1"/>
          <w:bCs w:val="1"/>
          <w:color w:val="auto"/>
        </w:rPr>
        <w:t>FS DEVELOPMENT CORP.</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 — Description of Organization, Business Operations and Basis of Presentation </w:t>
      </w:r>
      <w:r>
        <w:rPr>
          <w:rFonts w:ascii="Arial" w:cs="Arial" w:eastAsia="Arial" w:hAnsi="Arial"/>
          <w:sz w:val="18"/>
          <w:szCs w:val="18"/>
          <w:color w:val="auto"/>
        </w:rPr>
        <w:t>(cont.)</w:t>
      </w:r>
    </w:p>
    <w:p>
      <w:pPr>
        <w:spacing w:after="0" w:line="193" w:lineRule="exact"/>
        <w:rPr>
          <w:sz w:val="20"/>
          <w:szCs w:val="20"/>
          <w:color w:val="auto"/>
        </w:rPr>
      </w:pPr>
    </w:p>
    <w:p>
      <w:pPr>
        <w:ind w:left="460" w:right="559"/>
        <w:spacing w:after="0" w:line="235" w:lineRule="auto"/>
        <w:rPr>
          <w:sz w:val="20"/>
          <w:szCs w:val="20"/>
          <w:color w:val="auto"/>
        </w:rPr>
      </w:pPr>
      <w:r>
        <w:rPr>
          <w:rFonts w:ascii="Arial" w:cs="Arial" w:eastAsia="Arial" w:hAnsi="Arial"/>
          <w:sz w:val="18"/>
          <w:szCs w:val="18"/>
          <w:color w:val="auto"/>
        </w:rPr>
        <w:t>order to protect the amounts held in the Trust Account, the Sponsor has agreed to be liable to the Company if and to the extent any claims by a third party (except for the Company’s independent registered public accounting firm) for services rendered or products sold to the Company, or a prospective target business with which the Company has entered into a letter of intent, confidentiality or other similar agreement or business combination agreement (a “Target”),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trust assets, less taxes payable, provided that such liability will not apply to any claims by a third party or Target that executed a waiver of any and all rights to the monies held in the Trust Account (whether or not such waiver is enforceable) nor will it apply to any claims under the Company’s indemnity of the underwriters of the Proposed Public Offering against certain liabilities, including liabilities under the Securities Act of 1933, as amended (the “Securities Act”). The Company will seek to reduce the possibility that the Sponsor will have to indemnify the Trust Account due to claims of creditors by endeavoring to have all vendors, service providers, prospective target businesses or other entities with which the Company does business, execute agreements with the Company waiving any right, title, interest or claim of any kind in or to monies held in the Trust Account.</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66" w:lineRule="exact"/>
        <w:rPr>
          <w:sz w:val="20"/>
          <w:szCs w:val="20"/>
          <w:color w:val="auto"/>
        </w:rPr>
      </w:pPr>
    </w:p>
    <w:p>
      <w:pPr>
        <w:ind w:left="460" w:right="479"/>
        <w:spacing w:after="0"/>
        <w:rPr>
          <w:sz w:val="20"/>
          <w:szCs w:val="20"/>
          <w:color w:val="auto"/>
        </w:rPr>
      </w:pPr>
      <w:r>
        <w:rPr>
          <w:rFonts w:ascii="Arial" w:cs="Arial" w:eastAsia="Arial" w:hAnsi="Arial"/>
          <w:sz w:val="18"/>
          <w:szCs w:val="18"/>
          <w:color w:val="auto"/>
        </w:rPr>
        <w:t>The accompanying financial statements are presented in U.S. dollars in conformity with accounting principles generally accepted in the United States of America (“U.S. GAAP”) and pursuant to the rules and regulations of the SEC.</w:t>
      </w:r>
    </w:p>
    <w:p>
      <w:pPr>
        <w:spacing w:after="0" w:line="135" w:lineRule="exact"/>
        <w:rPr>
          <w:sz w:val="20"/>
          <w:szCs w:val="20"/>
          <w:color w:val="auto"/>
        </w:rPr>
      </w:pPr>
    </w:p>
    <w:p>
      <w:pPr>
        <w:ind w:left="460" w:right="639"/>
        <w:spacing w:after="0" w:line="253" w:lineRule="auto"/>
        <w:rPr>
          <w:sz w:val="20"/>
          <w:szCs w:val="20"/>
          <w:color w:val="auto"/>
        </w:rPr>
      </w:pPr>
      <w:r>
        <w:rPr>
          <w:rFonts w:ascii="Arial" w:cs="Arial" w:eastAsia="Arial" w:hAnsi="Arial"/>
          <w:sz w:val="17"/>
          <w:szCs w:val="17"/>
          <w:color w:val="auto"/>
        </w:rPr>
        <w:t>The Company does not have sufficient liquidity to meet its anticipated obligations over the next year from the issuance of these financial statements. In connection with the Company’s assessment of going concern considerations in accordance with FASB’s Accounting Standards Update (“ASU”) 2014-15, “Disclosure of Uncertainties about an Entity’s Ability to Continue as a Going Concern,” management has determined that the Company has access to funds from the Sponsor that are sufficient to fund the working capital needs of the Company until the earlier of the consummation of the Proposed Public Offering or one year from the issuance of these financial statements.</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53" w:lineRule="exact"/>
        <w:rPr>
          <w:sz w:val="20"/>
          <w:szCs w:val="20"/>
          <w:color w:val="auto"/>
        </w:rPr>
      </w:pPr>
    </w:p>
    <w:p>
      <w:pPr>
        <w:ind w:left="460" w:right="559"/>
        <w:spacing w:after="0" w:line="236" w:lineRule="auto"/>
        <w:rPr>
          <w:sz w:val="20"/>
          <w:szCs w:val="20"/>
          <w:color w:val="auto"/>
        </w:rPr>
      </w:pPr>
      <w:r>
        <w:rPr>
          <w:rFonts w:ascii="Arial" w:cs="Arial" w:eastAsia="Arial" w:hAnsi="Arial"/>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39"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37" w:name="page138"/>
    <w:bookmarkEnd w:id="137"/>
    <w:p>
      <w:pPr>
        <w:jc w:val="center"/>
        <w:ind w:right="19"/>
        <w:spacing w:after="0"/>
        <w:rPr>
          <w:sz w:val="20"/>
          <w:szCs w:val="20"/>
          <w:color w:val="auto"/>
        </w:rPr>
      </w:pPr>
      <w:r>
        <w:rPr>
          <w:rFonts w:ascii="Arial" w:cs="Arial" w:eastAsia="Arial" w:hAnsi="Arial"/>
          <w:sz w:val="18"/>
          <w:szCs w:val="18"/>
          <w:b w:val="1"/>
          <w:bCs w:val="1"/>
          <w:color w:val="auto"/>
        </w:rPr>
        <w:t>FS DEVELOPMENT CORP.</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66"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cash accounts in a financial institution, which, at times, may exceed the Federal Depository Insurance Coverage limit of $250,000. At June 30, 2020, the Company has not experienced losses on these accounts and management believes the Company is not exposed to significant risks on such accounts.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153" w:lineRule="exact"/>
        <w:rPr>
          <w:sz w:val="20"/>
          <w:szCs w:val="20"/>
          <w:color w:val="auto"/>
        </w:rPr>
      </w:pPr>
    </w:p>
    <w:p>
      <w:pPr>
        <w:jc w:val="both"/>
        <w:ind w:left="460" w:right="799"/>
        <w:spacing w:after="0"/>
        <w:rPr>
          <w:sz w:val="20"/>
          <w:szCs w:val="20"/>
          <w:color w:val="auto"/>
        </w:rPr>
      </w:pPr>
      <w:r>
        <w:rPr>
          <w:rFonts w:ascii="Arial" w:cs="Arial" w:eastAsia="Arial" w:hAnsi="Arial"/>
          <w:sz w:val="18"/>
          <w:szCs w:val="18"/>
          <w:color w:val="auto"/>
        </w:rPr>
        <w:t>The fair value of the Company’s assets and liabilities, which qualify as financial instruments under FASB ASC 820, “Fair Value Measurements and Disclosures,” approximates the carrying amounts represented in the balance sheet.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66" w:lineRule="exact"/>
        <w:rPr>
          <w:sz w:val="20"/>
          <w:szCs w:val="20"/>
          <w:color w:val="auto"/>
        </w:rPr>
      </w:pPr>
    </w:p>
    <w:p>
      <w:pPr>
        <w:ind w:left="460" w:right="559"/>
        <w:spacing w:after="0" w:line="238" w:lineRule="auto"/>
        <w:rPr>
          <w:sz w:val="20"/>
          <w:szCs w:val="20"/>
          <w:color w:val="auto"/>
        </w:rPr>
      </w:pPr>
      <w:r>
        <w:rPr>
          <w:rFonts w:ascii="Arial" w:cs="Arial" w:eastAsia="Arial" w:hAnsi="Arial"/>
          <w:sz w:val="18"/>
          <w:szCs w:val="18"/>
          <w:color w:val="auto"/>
        </w:rPr>
        <w:t>The preparation of financial statements in conformity with U.S. GAAP requires the Company’s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Deferred Offering Costs Associated with the Proposed Public Offering</w:t>
      </w:r>
    </w:p>
    <w:p>
      <w:pPr>
        <w:spacing w:after="0" w:line="166" w:lineRule="exact"/>
        <w:rPr>
          <w:sz w:val="20"/>
          <w:szCs w:val="20"/>
          <w:color w:val="auto"/>
        </w:rPr>
      </w:pPr>
    </w:p>
    <w:p>
      <w:pPr>
        <w:ind w:left="460" w:right="659"/>
        <w:spacing w:after="0" w:line="238" w:lineRule="auto"/>
        <w:rPr>
          <w:sz w:val="20"/>
          <w:szCs w:val="20"/>
          <w:color w:val="auto"/>
        </w:rPr>
      </w:pPr>
      <w:r>
        <w:rPr>
          <w:rFonts w:ascii="Arial" w:cs="Arial" w:eastAsia="Arial" w:hAnsi="Arial"/>
          <w:sz w:val="18"/>
          <w:szCs w:val="18"/>
          <w:color w:val="auto"/>
        </w:rPr>
        <w:t>Deferred offering costs consist of legal, accounting, underwriting fees and other costs incurred through the balance sheet date that are directly related to the Proposed Public Offering and that will be charged to stockholder’s equity upon the completion of the Proposed Public Offering. Should the Proposed Public Offering prove to be unsuccessful, these deferred costs, as well as additional expenses to be incurred, will be charged to operations.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153"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The Company complies with accounting and disclosure requirements of FASB ASC Topic 260, “Earnings Per Share.” Net loss per share is computed by dividing net loss by the weighted average number of shares of common stock outstanding during the period, excluding common stock subject to forfeiture. Weighted average shares at June 30, 2020 were reduced for the effect of an aggregate of 375,000 shares of Class B common stock that are subject to forfeiture by our sponsor if the over-allotment option is not exercised in full or in part by the underwriters (see Note 6). At June 30, 2020, the Company did not have any dilutive securities and other contracts that could, potentially, be exercised or converted into shares of common stock and then share in the earnings of the Company. As a result, diluted loss per share is the same as basic loss per share for the period presented.</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Taxes</w:t>
      </w:r>
    </w:p>
    <w:p>
      <w:pPr>
        <w:spacing w:after="0" w:line="166" w:lineRule="exact"/>
        <w:rPr>
          <w:sz w:val="20"/>
          <w:szCs w:val="20"/>
          <w:color w:val="auto"/>
        </w:rPr>
      </w:pPr>
    </w:p>
    <w:p>
      <w:pPr>
        <w:ind w:left="460" w:right="539"/>
        <w:spacing w:after="0" w:line="236" w:lineRule="auto"/>
        <w:rPr>
          <w:sz w:val="20"/>
          <w:szCs w:val="20"/>
          <w:color w:val="auto"/>
        </w:rPr>
      </w:pPr>
      <w:r>
        <w:rPr>
          <w:rFonts w:ascii="Arial" w:cs="Arial" w:eastAsia="Arial" w:hAnsi="Arial"/>
          <w:sz w:val="18"/>
          <w:szCs w:val="18"/>
          <w:color w:val="auto"/>
        </w:rPr>
        <w:t>The Company follows the asset and liability method of accounting for income taxes under FASB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 Deferred tax assets were deemed immaterial as of June 30, 2020.</w:t>
      </w:r>
    </w:p>
    <w:p>
      <w:pPr>
        <w:spacing w:after="0" w:line="139"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FASB 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There were no unrecognized tax benefits as of June 30, 2020. The Company recognizes accrued interest and penalties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38" w:name="page139"/>
    <w:bookmarkEnd w:id="138"/>
    <w:p>
      <w:pPr>
        <w:jc w:val="center"/>
        <w:spacing w:after="0"/>
        <w:rPr>
          <w:sz w:val="20"/>
          <w:szCs w:val="20"/>
          <w:color w:val="auto"/>
        </w:rPr>
      </w:pPr>
      <w:r>
        <w:rPr>
          <w:rFonts w:ascii="Arial" w:cs="Arial" w:eastAsia="Arial" w:hAnsi="Arial"/>
          <w:sz w:val="18"/>
          <w:szCs w:val="18"/>
          <w:b w:val="1"/>
          <w:bCs w:val="1"/>
          <w:color w:val="auto"/>
        </w:rPr>
        <w:t>FS DEVELOPMENT CORP.</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193" w:lineRule="exact"/>
        <w:rPr>
          <w:sz w:val="20"/>
          <w:szCs w:val="20"/>
          <w:color w:val="auto"/>
        </w:rPr>
      </w:pPr>
    </w:p>
    <w:p>
      <w:pPr>
        <w:ind w:left="460" w:right="599"/>
        <w:spacing w:after="0" w:line="237" w:lineRule="auto"/>
        <w:rPr>
          <w:sz w:val="20"/>
          <w:szCs w:val="20"/>
          <w:color w:val="auto"/>
        </w:rPr>
      </w:pPr>
      <w:r>
        <w:rPr>
          <w:rFonts w:ascii="Arial" w:cs="Arial" w:eastAsia="Arial" w:hAnsi="Arial"/>
          <w:sz w:val="18"/>
          <w:szCs w:val="18"/>
          <w:color w:val="auto"/>
        </w:rPr>
        <w:t>related to unrecognized tax benefits as income tax expense. No amounts were accrued for the payment of interest and penalties as of June 30, 2020. The Company is currently not aware of any issues under review that could result in significant payments, accruals or material deviation from its position. The Company is subject to income tax examinations by major taxing authorities since inception. The provision for income taxes was deemed to be de minimis for the period from June 25, 2020 (inception) through June 30, 2020.</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66" w:lineRule="exact"/>
        <w:rPr>
          <w:sz w:val="20"/>
          <w:szCs w:val="20"/>
          <w:color w:val="auto"/>
        </w:rPr>
      </w:pPr>
    </w:p>
    <w:p>
      <w:pPr>
        <w:ind w:left="460" w:right="519"/>
        <w:spacing w:after="0"/>
        <w:rPr>
          <w:sz w:val="20"/>
          <w:szCs w:val="20"/>
          <w:color w:val="auto"/>
        </w:rPr>
      </w:pPr>
      <w:r>
        <w:rPr>
          <w:rFonts w:ascii="Arial" w:cs="Arial" w:eastAsia="Arial" w:hAnsi="Arial"/>
          <w:sz w:val="18"/>
          <w:szCs w:val="18"/>
          <w:color w:val="auto"/>
        </w:rPr>
        <w:t>The Company’s management does not believe that any recently issued, but not yet effective, accounting standards if currently adopted would have a material effect on the accompanying financial statements.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3 — Proposed Public Offering</w:t>
      </w:r>
    </w:p>
    <w:p>
      <w:pPr>
        <w:spacing w:after="0" w:line="166" w:lineRule="exact"/>
        <w:rPr>
          <w:sz w:val="20"/>
          <w:szCs w:val="20"/>
          <w:color w:val="auto"/>
        </w:rPr>
      </w:pPr>
    </w:p>
    <w:p>
      <w:pPr>
        <w:ind w:left="460" w:right="519"/>
        <w:spacing w:after="0" w:line="246" w:lineRule="auto"/>
        <w:rPr>
          <w:sz w:val="20"/>
          <w:szCs w:val="20"/>
          <w:color w:val="auto"/>
        </w:rPr>
      </w:pPr>
      <w:r>
        <w:rPr>
          <w:rFonts w:ascii="Arial" w:cs="Arial" w:eastAsia="Arial" w:hAnsi="Arial"/>
          <w:sz w:val="18"/>
          <w:szCs w:val="18"/>
          <w:color w:val="auto"/>
        </w:rPr>
        <w:t>Pursuant to the Proposed Public Offering, the Company intends to offer for sale 10,000,000 shares of Class A Common stock at a price of $10.00 per share.</w:t>
      </w:r>
    </w:p>
    <w:p>
      <w:pPr>
        <w:spacing w:after="0" w:line="116"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The Company will grant the underwriters a 45-day option from the date of the final prospectus relating to the Proposed Public Offering to purchase up to 1,500,000 additional shares to cover over-allotments, if any, at the Proposed Public Offering price, less underwriting discounts and commissions.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4 — Related Party Transactions</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Founder Shares</w:t>
      </w:r>
    </w:p>
    <w:p>
      <w:pPr>
        <w:spacing w:after="0" w:line="234"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On June 30, 2020, the Sponsor purchased 2,875,000 shares of the Company’s Class B common stock, par value $0.0001 per share, (the “Founder Shares”) for an aggregate price of $25,000. The Sponsor has agreed to forfeit up to 375,000 Founder Shares to the extent that the over-allotment option is not exercised in full by the underwriters. The forfeiture will be adjusted to the extent that the over-allotment option is not exercised in full by the underwriters so that the Founder Shares will represent 20.0% of the Company’s issued and outstanding shares of common stock after the Proposed Public Offering (excluding the Private Placement Shares). If the Company increases or decreases the size of the offering, the Company will effect a stock dividend or share contribution back to capital, as applicable, immediately prior to the consummation of the Proposed Public Offering in such amount as to maintain the Founder Share ownership of the Company’s stockholders prior to the Proposed Public Offering at 20.0% of the Company’s issued and outstanding common stock upon the consummation of the Proposed Public Offering (excluding the Private Placement Shares).</w:t>
      </w:r>
    </w:p>
    <w:p>
      <w:pPr>
        <w:spacing w:after="0" w:line="136"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The Sponsor has agreed to purchase an aggregate of 400,000 Private Placement Shares (or 430,000 Private Placement Shares if the underwriters’ over-allotment option is exercised in full), at a price of $10.00 per Private Placement Share ($4.0 million in the aggregate, or $ 4.3 million if the underwriters’ over-allotment option is exercised in full) in a private placement that will occur simultaneously with the closing of the Proposed Public Offering.</w:t>
      </w:r>
    </w:p>
    <w:p>
      <w:pPr>
        <w:spacing w:after="0" w:line="135"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The Initial Stockholders has agreed, subject to limited exceptions, not to transfer, assign or sell any of the Founder Shares or Private Placement Shares until the earlier to occur of: (i) one year after the completion of the initial Business Combination and (ii) the date on which the Company completes a liquidation, merger, capital stock exchange or other similar transaction after our initial Business Combination that results in all of the Company’s stockholders having the right to exchange their Class A common stock for cash, securities or other property; except to certain permitted transferees and under certain circumstances. Any permitted transferees will be subject to the same restrictions and other agreements of the Initial Stockholders with respect to any Founder Shares or Private Placement Shares. Notwithstanding the foregoing, if (1) the closing price of the Class A common stock equals or exceeds $12.00 per share (as adjusted for stock splits, stock capitalizations, reorganizations, recapitalizations and the like) for any 20 trading days within any 30-trading day period commencing at least 150 days after the initial Business Combination or (2) if the Company consummates a transaction after the initial Business Combination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39" w:name="page140"/>
    <w:bookmarkEnd w:id="139"/>
    <w:p>
      <w:pPr>
        <w:jc w:val="center"/>
        <w:ind w:right="19"/>
        <w:spacing w:after="0"/>
        <w:rPr>
          <w:sz w:val="20"/>
          <w:szCs w:val="20"/>
          <w:color w:val="auto"/>
        </w:rPr>
      </w:pPr>
      <w:r>
        <w:rPr>
          <w:rFonts w:ascii="Arial" w:cs="Arial" w:eastAsia="Arial" w:hAnsi="Arial"/>
          <w:sz w:val="18"/>
          <w:szCs w:val="18"/>
          <w:b w:val="1"/>
          <w:bCs w:val="1"/>
          <w:color w:val="auto"/>
        </w:rPr>
        <w:t>FS DEVELOPMENT CORP.</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4 — Related Party Transactions </w:t>
      </w:r>
      <w:r>
        <w:rPr>
          <w:rFonts w:ascii="Arial" w:cs="Arial" w:eastAsia="Arial" w:hAnsi="Arial"/>
          <w:sz w:val="18"/>
          <w:szCs w:val="18"/>
          <w:color w:val="auto"/>
        </w:rPr>
        <w:t>(cont.)</w:t>
      </w:r>
    </w:p>
    <w:p>
      <w:pPr>
        <w:spacing w:after="0" w:line="193" w:lineRule="exact"/>
        <w:rPr>
          <w:sz w:val="20"/>
          <w:szCs w:val="20"/>
          <w:color w:val="auto"/>
        </w:rPr>
      </w:pPr>
    </w:p>
    <w:p>
      <w:pPr>
        <w:ind w:left="460" w:right="559"/>
        <w:spacing w:after="0"/>
        <w:rPr>
          <w:sz w:val="20"/>
          <w:szCs w:val="20"/>
          <w:color w:val="auto"/>
        </w:rPr>
      </w:pPr>
      <w:r>
        <w:rPr>
          <w:rFonts w:ascii="Arial" w:cs="Arial" w:eastAsia="Arial" w:hAnsi="Arial"/>
          <w:sz w:val="18"/>
          <w:szCs w:val="18"/>
          <w:color w:val="auto"/>
        </w:rPr>
        <w:t>which results in the Company’s stockholders having the right to exchange their shares for cash, securities or other property, the Founder Shares and Private Placement Shares will be released from the lock-up.</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166" w:lineRule="exact"/>
        <w:rPr>
          <w:sz w:val="20"/>
          <w:szCs w:val="20"/>
          <w:color w:val="auto"/>
        </w:rPr>
      </w:pPr>
    </w:p>
    <w:p>
      <w:pPr>
        <w:ind w:left="460" w:right="499"/>
        <w:spacing w:after="0" w:line="237" w:lineRule="auto"/>
        <w:rPr>
          <w:sz w:val="20"/>
          <w:szCs w:val="20"/>
          <w:color w:val="auto"/>
        </w:rPr>
      </w:pPr>
      <w:r>
        <w:rPr>
          <w:rFonts w:ascii="Arial" w:cs="Arial" w:eastAsia="Arial" w:hAnsi="Arial"/>
          <w:sz w:val="18"/>
          <w:szCs w:val="18"/>
          <w:color w:val="auto"/>
        </w:rPr>
        <w:t>On June 30, 2020, the Sponsor agreed to loan the Company an aggregate of up to $ 200,000 to cover expenses related to the Proposed Public Offering pursuant to a promissory note (the “Note”). This loan is non-interest bearing and payable on the earlier of December 31, 2020 or the completion of the Proposed Public Offering. As of June 30, 2020, the Company has not borrowed any amount under the Note. Subsequent to June 30, 2020, the Company received $50,000 in loan proceeds under the Note.</w:t>
      </w:r>
    </w:p>
    <w:p>
      <w:pPr>
        <w:spacing w:after="0" w:line="137"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In addition, in order to finance transaction costs in connection with a Business Combination, the Sponsor or an affiliate of the Sponsor, or certain of the Company’s officers and directors may, but are not obligated to, loan the Company funds as may be required (“Working Capital Loans”). If the Company completes a Business Combination, the Company would repay the Working Capital Loans out of the proceeds of the Trust Account released to the Company. Otherwise, the Working Capital Loans would be repaid only out of funds held outside the Trust Account. In the event that a Business Combination does not close, the Company may use a portion of proceeds held outside the Trust Account to repay the Working Capital Loans but no proceeds held in the Trust Account would be used to repay the Working Capital Loans. The Working Capital Loans would either be repaid upon consummation of a Business Combination or, at the lender’s discretion, up to $1.5 million of such Working Capital Loans may be convertible into shares of Class A Common Stock of the post Business Combination entity at a price of $10.00 per share. Except for the foregoing, the terms of such Working Capital Loans, if any, have not been determined and no written agreements exist with respect to such loans. To date, the Company had no borrowings under the Working Capital Loans.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Private Placement of Common Stock in connection with initial Business Combination</w:t>
      </w:r>
    </w:p>
    <w:p>
      <w:pPr>
        <w:spacing w:after="0" w:line="153" w:lineRule="exact"/>
        <w:rPr>
          <w:sz w:val="20"/>
          <w:szCs w:val="20"/>
          <w:color w:val="auto"/>
        </w:rPr>
      </w:pPr>
    </w:p>
    <w:p>
      <w:pPr>
        <w:ind w:left="460" w:right="519"/>
        <w:spacing w:after="0" w:line="252" w:lineRule="auto"/>
        <w:rPr>
          <w:sz w:val="20"/>
          <w:szCs w:val="20"/>
          <w:color w:val="auto"/>
        </w:rPr>
      </w:pPr>
      <w:r>
        <w:rPr>
          <w:rFonts w:ascii="Arial" w:cs="Arial" w:eastAsia="Arial" w:hAnsi="Arial"/>
          <w:sz w:val="17"/>
          <w:szCs w:val="17"/>
          <w:color w:val="auto"/>
        </w:rPr>
        <w:t>The Sponsor has indicated an interest to purchase $25.0 million of the Company’s Class A Common Stock in a private placement that would occur concurrently with the consummation of the initial Business Combination. The funds from such private placement would be used as part of the consideration to the sellers in the initial Business Combination, and any excess funds from such private placement would be used for working capital in the post-transaction company. However, because indications of interest are not binding agreements or commitments to purchase, the Sponsor may determine not to purchase any such shares, or to purchase fewer shares than it indicated an interest in purchasing. Furthermore, the Company is not under any obligation to sell any such shares.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Administrative Services Agreement</w:t>
      </w:r>
    </w:p>
    <w:p>
      <w:pPr>
        <w:spacing w:after="0" w:line="166" w:lineRule="exact"/>
        <w:rPr>
          <w:sz w:val="20"/>
          <w:szCs w:val="20"/>
          <w:color w:val="auto"/>
        </w:rPr>
      </w:pPr>
    </w:p>
    <w:p>
      <w:pPr>
        <w:ind w:left="460" w:right="739"/>
        <w:spacing w:after="0" w:line="238" w:lineRule="auto"/>
        <w:rPr>
          <w:sz w:val="20"/>
          <w:szCs w:val="20"/>
          <w:color w:val="auto"/>
        </w:rPr>
      </w:pPr>
      <w:r>
        <w:rPr>
          <w:rFonts w:ascii="Arial" w:cs="Arial" w:eastAsia="Arial" w:hAnsi="Arial"/>
          <w:sz w:val="18"/>
          <w:szCs w:val="18"/>
          <w:color w:val="auto"/>
        </w:rPr>
        <w:t>The Company will enter into an agreement that will provide that, commencing on the date that the Company’s securities are first listed on Nasdaq and continuing until the earlier of the Company’s consummation of a Business Combination and the Company’s liquidation, to the Company will pay the Sponsor a total of $10,000 per month for office space, secretarial and administrative services provided to members of the Company’s management team.</w:t>
      </w:r>
    </w:p>
    <w:p>
      <w:pPr>
        <w:spacing w:after="0" w:line="135" w:lineRule="exact"/>
        <w:rPr>
          <w:sz w:val="20"/>
          <w:szCs w:val="20"/>
          <w:color w:val="auto"/>
        </w:rPr>
      </w:pPr>
    </w:p>
    <w:p>
      <w:pPr>
        <w:ind w:left="460" w:right="519"/>
        <w:spacing w:after="0" w:line="238" w:lineRule="auto"/>
        <w:rPr>
          <w:sz w:val="20"/>
          <w:szCs w:val="20"/>
          <w:color w:val="auto"/>
        </w:rPr>
      </w:pPr>
      <w:r>
        <w:rPr>
          <w:rFonts w:ascii="Arial" w:cs="Arial" w:eastAsia="Arial" w:hAnsi="Arial"/>
          <w:sz w:val="18"/>
          <w:szCs w:val="18"/>
          <w:color w:val="auto"/>
        </w:rPr>
        <w:t>The Sponsor, officers and directors, or any of their respective affiliates will be reimbursed for any out-of-pocket expenses incurred in connection with activities on the Company’s behalf such as identifying potential target businesses and performing due diligence on suitable Business Combinations. The Company’s audit committee will review on a quarterly basis all payments that were made to the Sponsor, officers or directors, or their affiliates.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40" w:name="page141"/>
    <w:bookmarkEnd w:id="140"/>
    <w:p>
      <w:pPr>
        <w:jc w:val="center"/>
        <w:spacing w:after="0"/>
        <w:rPr>
          <w:sz w:val="20"/>
          <w:szCs w:val="20"/>
          <w:color w:val="auto"/>
        </w:rPr>
      </w:pPr>
      <w:r>
        <w:rPr>
          <w:rFonts w:ascii="Arial" w:cs="Arial" w:eastAsia="Arial" w:hAnsi="Arial"/>
          <w:sz w:val="18"/>
          <w:szCs w:val="18"/>
          <w:b w:val="1"/>
          <w:bCs w:val="1"/>
          <w:color w:val="auto"/>
        </w:rPr>
        <w:t>FS DEVELOPMENT CORP.</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5 — Commitments and Contingencies</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66"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The holders of Founder Shares and Private Placement Shares that may be issued upon conversion of Working Capital Loans, if any, will be entitled to registration rights pursuant to a registration rights agreement to be signed prior to the consummation of the Proposed Public Offering. The holders of these securities are entitled to make up to three demands, excluding short form demands, that the Company register such securities. In addition, the holders have certain “piggy-back” registration rights with respect to registration statements filed subsequent to the completion of the initial Business Combination. The Company will bear the expenses incurred in connection with the filing of any such registration statements.</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153" w:lineRule="exact"/>
        <w:rPr>
          <w:sz w:val="20"/>
          <w:szCs w:val="20"/>
          <w:color w:val="auto"/>
        </w:rPr>
      </w:pPr>
    </w:p>
    <w:p>
      <w:pPr>
        <w:ind w:left="460" w:right="559"/>
        <w:spacing w:after="0" w:line="236" w:lineRule="auto"/>
        <w:rPr>
          <w:sz w:val="20"/>
          <w:szCs w:val="20"/>
          <w:color w:val="auto"/>
        </w:rPr>
      </w:pPr>
      <w:r>
        <w:rPr>
          <w:rFonts w:ascii="Arial" w:cs="Arial" w:eastAsia="Arial" w:hAnsi="Arial"/>
          <w:sz w:val="18"/>
          <w:szCs w:val="18"/>
          <w:color w:val="auto"/>
        </w:rPr>
        <w:t>The underwriters will be entitled to an underwriting discount of $0.20 per share, or $ 2.0 million in the aggregate (or $2.3 million in the aggregate if the underwriters’ over-allotment option is exercised in full), payable upon the closing of the Proposed Public Offering. $0.35 per share, or $3.5 million in the aggregate (or approximately $4.0 million in the aggregate if the underwriters’ over-allotment option is exercised in full) will be payable to the underwriters for deferred underwriting commissions. The deferred fee will become payable to the underwriters from the amounts held in the Trust Account solely in the event that the Company completes a Business Combination, subject to the terms of the underwriting agreement.</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66" w:lineRule="exact"/>
        <w:rPr>
          <w:sz w:val="20"/>
          <w:szCs w:val="20"/>
          <w:color w:val="auto"/>
        </w:rPr>
      </w:pPr>
    </w:p>
    <w:p>
      <w:pPr>
        <w:ind w:left="460" w:right="499"/>
        <w:spacing w:after="0" w:line="238" w:lineRule="auto"/>
        <w:rPr>
          <w:sz w:val="20"/>
          <w:szCs w:val="20"/>
          <w:color w:val="auto"/>
        </w:rPr>
      </w:pPr>
      <w:r>
        <w:rPr>
          <w:rFonts w:ascii="Arial" w:cs="Arial" w:eastAsia="Arial" w:hAnsi="Arial"/>
          <w:sz w:val="18"/>
          <w:szCs w:val="18"/>
          <w:color w:val="auto"/>
        </w:rPr>
        <w:t>Management is currently evaluating the impact of the COVID-19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these financial statements. The financial statements do not include any adjustments that might result from the outcome of this uncertainty.</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6 — Stockholder’s Equity</w:t>
      </w:r>
    </w:p>
    <w:p>
      <w:pPr>
        <w:spacing w:after="0" w:line="144" w:lineRule="exact"/>
        <w:rPr>
          <w:sz w:val="20"/>
          <w:szCs w:val="20"/>
          <w:color w:val="auto"/>
        </w:rPr>
      </w:pPr>
    </w:p>
    <w:p>
      <w:pPr>
        <w:ind w:left="460" w:right="699"/>
        <w:spacing w:after="0" w:line="253" w:lineRule="auto"/>
        <w:rPr>
          <w:sz w:val="20"/>
          <w:szCs w:val="20"/>
          <w:color w:val="auto"/>
        </w:rPr>
      </w:pPr>
      <w:r>
        <w:rPr>
          <w:rFonts w:ascii="Arial" w:cs="Arial" w:eastAsia="Arial" w:hAnsi="Arial"/>
          <w:sz w:val="18"/>
          <w:szCs w:val="18"/>
          <w:b w:val="1"/>
          <w:bCs w:val="1"/>
          <w:i w:val="1"/>
          <w:iCs w:val="1"/>
          <w:color w:val="auto"/>
        </w:rPr>
        <w:t xml:space="preserve">Class A Common Stock </w:t>
      </w:r>
      <w:r>
        <w:rPr>
          <w:rFonts w:ascii="Arial" w:cs="Arial" w:eastAsia="Arial" w:hAnsi="Arial"/>
          <w:sz w:val="18"/>
          <w:szCs w:val="18"/>
          <w:color w:val="auto"/>
        </w:rPr>
        <w:t>— The Company is authorized to issue 100,000,000 shares of Class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with a par value of $0.0001 per share. As of June 30, 2020, there were no shares of Class A common stock issued or outstanding.</w:t>
      </w:r>
    </w:p>
    <w:p>
      <w:pPr>
        <w:spacing w:after="0" w:line="88" w:lineRule="exact"/>
        <w:rPr>
          <w:sz w:val="20"/>
          <w:szCs w:val="20"/>
          <w:color w:val="auto"/>
        </w:rPr>
      </w:pPr>
    </w:p>
    <w:p>
      <w:pPr>
        <w:ind w:left="460" w:right="539"/>
        <w:spacing w:after="0"/>
        <w:rPr>
          <w:sz w:val="20"/>
          <w:szCs w:val="20"/>
          <w:color w:val="auto"/>
        </w:rPr>
      </w:pPr>
      <w:r>
        <w:rPr>
          <w:rFonts w:ascii="Arial" w:cs="Arial" w:eastAsia="Arial" w:hAnsi="Arial"/>
          <w:sz w:val="18"/>
          <w:szCs w:val="18"/>
          <w:b w:val="1"/>
          <w:bCs w:val="1"/>
          <w:i w:val="1"/>
          <w:iCs w:val="1"/>
          <w:color w:val="auto"/>
        </w:rPr>
        <w:t xml:space="preserve">Class B Common Stock </w:t>
      </w:r>
      <w:r>
        <w:rPr>
          <w:rFonts w:ascii="Arial" w:cs="Arial" w:eastAsia="Arial" w:hAnsi="Arial"/>
          <w:sz w:val="18"/>
          <w:szCs w:val="18"/>
          <w:color w:val="auto"/>
        </w:rPr>
        <w:t>— The Company is authorized to issue 10,000,000 shares of Class B</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with a par value of $0.0001 per share. On June 30, 2020, the Company issued 2,875,000 shares of Class B common stock, including an aggregate of up to 375,000 shares of Class B common stock that are subject to forfeiture by the Sponsor, to the Company by the Initial Stockholders for no consideration to the extent that the underwriters’ over-allotment option is not exercised in full or in part, so that the Initial Stockholders will collectively own 20% of the Company’s issued and outstanding common stock (excluding the Private Placement Shares) after the Proposed Public Offering (excluding the Private Placement Shares).</w:t>
      </w:r>
    </w:p>
    <w:p>
      <w:pPr>
        <w:spacing w:after="0" w:line="135" w:lineRule="exact"/>
        <w:rPr>
          <w:sz w:val="20"/>
          <w:szCs w:val="20"/>
          <w:color w:val="auto"/>
        </w:rPr>
      </w:pPr>
    </w:p>
    <w:p>
      <w:pPr>
        <w:ind w:left="460" w:right="559"/>
        <w:spacing w:after="0"/>
        <w:rPr>
          <w:sz w:val="20"/>
          <w:szCs w:val="20"/>
          <w:color w:val="auto"/>
        </w:rPr>
      </w:pPr>
      <w:r>
        <w:rPr>
          <w:rFonts w:ascii="Arial" w:cs="Arial" w:eastAsia="Arial" w:hAnsi="Arial"/>
          <w:sz w:val="18"/>
          <w:szCs w:val="18"/>
          <w:color w:val="auto"/>
        </w:rPr>
        <w:t>Holders of record of Class A common stock and Class B common stock will vote together as a single class on all matters submitted to a vote of our stockholders, with each share of common stock entitling the holder to one vote except as required by law.</w:t>
      </w:r>
    </w:p>
    <w:p>
      <w:pPr>
        <w:spacing w:after="0" w:line="135" w:lineRule="exact"/>
        <w:rPr>
          <w:sz w:val="20"/>
          <w:szCs w:val="20"/>
          <w:color w:val="auto"/>
        </w:rPr>
      </w:pPr>
    </w:p>
    <w:p>
      <w:pPr>
        <w:ind w:left="460" w:right="499"/>
        <w:spacing w:after="0" w:line="237" w:lineRule="auto"/>
        <w:rPr>
          <w:sz w:val="20"/>
          <w:szCs w:val="20"/>
          <w:color w:val="auto"/>
        </w:rPr>
      </w:pPr>
      <w:r>
        <w:rPr>
          <w:rFonts w:ascii="Arial" w:cs="Arial" w:eastAsia="Arial" w:hAnsi="Arial"/>
          <w:sz w:val="18"/>
          <w:szCs w:val="18"/>
          <w:color w:val="auto"/>
        </w:rPr>
        <w:t>The Class B common stock will automatically convert into Class A common stock concurrently with or immediately following the consummation of the initial Business Combination on a one-for-one basis, subject to adjustment for stock splits, stock dividends, reorganizations, recapitalizations and the like, and subject to further adjustment as provided herein. In the case that additional shares of Class A common stock or equity-linked securities are issued or deemed issued in connection with the initial Business Combination, the number of shares of Class A common stock issuable upon conversion of all Founder Shares will equal, in the aggregate, on an as-converted basis, 20%</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41" w:name="page142"/>
    <w:bookmarkEnd w:id="141"/>
    <w:p>
      <w:pPr>
        <w:jc w:val="center"/>
        <w:ind w:right="19"/>
        <w:spacing w:after="0"/>
        <w:rPr>
          <w:sz w:val="20"/>
          <w:szCs w:val="20"/>
          <w:color w:val="auto"/>
        </w:rPr>
      </w:pPr>
      <w:r>
        <w:rPr>
          <w:rFonts w:ascii="Arial" w:cs="Arial" w:eastAsia="Arial" w:hAnsi="Arial"/>
          <w:sz w:val="18"/>
          <w:szCs w:val="18"/>
          <w:b w:val="1"/>
          <w:bCs w:val="1"/>
          <w:color w:val="auto"/>
        </w:rPr>
        <w:t>FS DEVELOPMENT CORP.</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6 — Stockholder’s Equity </w:t>
      </w:r>
      <w:r>
        <w:rPr>
          <w:rFonts w:ascii="Arial" w:cs="Arial" w:eastAsia="Arial" w:hAnsi="Arial"/>
          <w:sz w:val="18"/>
          <w:szCs w:val="18"/>
          <w:color w:val="auto"/>
        </w:rPr>
        <w:t>(cont.)</w:t>
      </w:r>
    </w:p>
    <w:p>
      <w:pPr>
        <w:spacing w:after="0" w:line="193"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of the total number of shares of Class A common stock issued and outstanding (excluding the Private Placement Shares) after such conversion (after giving effect to any redemptions of shares of Class A common stock by Public Stockholders), including the total number of shares of Class A common stock issued, or deemed issued or issuable upon conversion or exercise of any equity-linked securities or rights issued or deemed issued, by the Company in connection with or in relation to the consummation of the initial Business Combination, excluding any shares of Class A common stock or equity-linked securities or rights exercisable for or convertible into shares of Class A common stock issued, or to be issued, to any seller in the initial Business Combination and any private placement shares issued upon conversion of Working Capital Loans, provided that such conversion of Founder Shares will never occur on a less than one-for-one basis.</w:t>
      </w:r>
    </w:p>
    <w:p>
      <w:pPr>
        <w:spacing w:after="0" w:line="116" w:lineRule="exact"/>
        <w:rPr>
          <w:sz w:val="20"/>
          <w:szCs w:val="20"/>
          <w:color w:val="auto"/>
        </w:rPr>
      </w:pPr>
    </w:p>
    <w:p>
      <w:pPr>
        <w:ind w:left="460" w:right="599"/>
        <w:spacing w:after="0" w:line="247" w:lineRule="auto"/>
        <w:rPr>
          <w:sz w:val="20"/>
          <w:szCs w:val="20"/>
          <w:color w:val="auto"/>
        </w:rPr>
      </w:pPr>
      <w:r>
        <w:rPr>
          <w:rFonts w:ascii="Arial" w:cs="Arial" w:eastAsia="Arial" w:hAnsi="Arial"/>
          <w:sz w:val="18"/>
          <w:szCs w:val="18"/>
          <w:b w:val="1"/>
          <w:bCs w:val="1"/>
          <w:i w:val="1"/>
          <w:iCs w:val="1"/>
          <w:color w:val="auto"/>
        </w:rPr>
        <w:t xml:space="preserve">Preferred Stock </w:t>
      </w:r>
      <w:r>
        <w:rPr>
          <w:rFonts w:ascii="Arial" w:cs="Arial" w:eastAsia="Arial" w:hAnsi="Arial"/>
          <w:sz w:val="18"/>
          <w:szCs w:val="18"/>
          <w:color w:val="auto"/>
        </w:rPr>
        <w:t>— The Company is authorized to issue 1,000,000 shares of preferred stock, par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value $0.0001 per share, with such designations, voting and other rights and preferences as may be determined from time to time by the Company’s board of directors. As of June 30, 2020, there were no shares of preferred stock issued or outstanding.</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7 — Subsequent Events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Subsequent to June 30, 2020, the Company received $50,000 in loan proceeds under the Note.</w:t>
      </w:r>
    </w:p>
    <w:p>
      <w:pPr>
        <w:spacing w:after="0" w:line="131" w:lineRule="exact"/>
        <w:rPr>
          <w:sz w:val="20"/>
          <w:szCs w:val="20"/>
          <w:color w:val="auto"/>
        </w:rPr>
      </w:pPr>
    </w:p>
    <w:p>
      <w:pPr>
        <w:ind w:left="460" w:right="519"/>
        <w:spacing w:after="0"/>
        <w:rPr>
          <w:sz w:val="20"/>
          <w:szCs w:val="20"/>
          <w:color w:val="auto"/>
        </w:rPr>
      </w:pPr>
      <w:r>
        <w:rPr>
          <w:rFonts w:ascii="Arial" w:cs="Arial" w:eastAsia="Arial" w:hAnsi="Arial"/>
          <w:sz w:val="18"/>
          <w:szCs w:val="18"/>
          <w:color w:val="auto"/>
        </w:rPr>
        <w:t>On July 24, 2020, the Sponsor transferred 30,000 Founder Shares to each of its independent director nominees at their original per-share purchase price, for an aggregate of 90,000 Founder Shares transferred.</w:t>
      </w:r>
    </w:p>
    <w:p>
      <w:pPr>
        <w:spacing w:after="0" w:line="135" w:lineRule="exact"/>
        <w:rPr>
          <w:sz w:val="20"/>
          <w:szCs w:val="20"/>
          <w:color w:val="auto"/>
        </w:rPr>
      </w:pPr>
    </w:p>
    <w:p>
      <w:pPr>
        <w:ind w:left="460" w:right="519"/>
        <w:spacing w:after="0" w:line="238"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July 24, 2020, the date that the financial statements were available to be issued. Based on this review, except as noted above, the Company did not identify any subsequent events that would have required adjustment or disclosure in the financial statements.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42" w:name="page143"/>
    <w:bookmarkEnd w:id="142"/>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1202690</wp:posOffset>
            </wp:positionH>
            <wp:positionV relativeFrom="page">
              <wp:posOffset>131445</wp:posOffset>
            </wp:positionV>
            <wp:extent cx="5143500"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page">
              <wp:posOffset>1202690</wp:posOffset>
            </wp:positionH>
            <wp:positionV relativeFrom="page">
              <wp:posOffset>174625</wp:posOffset>
            </wp:positionV>
            <wp:extent cx="5143500"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00" cy="25400"/>
                    </a:xfrm>
                    <a:prstGeom prst="rect">
                      <a:avLst/>
                    </a:prstGeom>
                    <a:noFill/>
                  </pic:spPr>
                </pic:pic>
              </a:graphicData>
            </a:graphic>
          </wp:anchor>
        </w:drawing>
        <w:t>10,000,000 Shares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36"/>
          <w:szCs w:val="36"/>
          <w:b w:val="1"/>
          <w:bCs w:val="1"/>
          <w:color w:val="auto"/>
        </w:rPr>
        <w:t>FS Development 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______________________</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PRELIMINARY PROSPECTUS</w:t>
      </w:r>
    </w:p>
    <w:p>
      <w:pPr>
        <w:spacing w:after="0" w:line="13"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Jefferies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Until (25 days after the date of this prospectus), all dealers that buy, sell or trade our common stock,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102" w:lineRule="exact"/>
        <w:rPr>
          <w:sz w:val="20"/>
          <w:szCs w:val="20"/>
          <w:color w:val="auto"/>
        </w:rPr>
      </w:pPr>
    </w:p>
    <w:p>
      <w:pPr>
        <w:ind w:left="460" w:right="599"/>
        <w:spacing w:after="0" w:line="259" w:lineRule="auto"/>
        <w:rPr>
          <w:sz w:val="20"/>
          <w:szCs w:val="20"/>
          <w:color w:val="auto"/>
        </w:rPr>
      </w:pPr>
      <w:r>
        <w:rPr>
          <w:rFonts w:ascii="Arial" w:cs="Arial" w:eastAsia="Arial" w:hAnsi="Arial"/>
          <w:sz w:val="17"/>
          <w:szCs w:val="17"/>
          <w:b w:val="1"/>
          <w:bCs w:val="1"/>
          <w:color w:val="auto"/>
        </w:rPr>
        <w:t>You should rely only on the information contained in this prospectus. We have not, and the underwriters have not, authorized anyone to provide you with different information. If anyone provides you with different or inconsistent information, you should not rely on it. We are not, and the underwriters are not, making an offer to sell securities in any jurisdiction where the offer or sale is not permitted. You should not assume that the information contained in this prospectus is accurate as of any date other than the date on the front of this prospectus.</w:t>
      </w:r>
    </w:p>
    <w:p>
      <w:pPr>
        <w:spacing w:after="0" w:line="98" w:lineRule="exact"/>
        <w:rPr>
          <w:sz w:val="20"/>
          <w:szCs w:val="20"/>
          <w:color w:val="auto"/>
        </w:rPr>
      </w:pPr>
    </w:p>
    <w:p>
      <w:pPr>
        <w:ind w:left="460" w:right="499"/>
        <w:spacing w:after="0"/>
        <w:rPr>
          <w:sz w:val="20"/>
          <w:szCs w:val="20"/>
          <w:color w:val="auto"/>
        </w:rPr>
      </w:pPr>
      <w:r>
        <w:rPr>
          <w:rFonts w:ascii="Arial" w:cs="Arial" w:eastAsia="Arial" w:hAnsi="Arial"/>
          <w:sz w:val="18"/>
          <w:szCs w:val="18"/>
          <w:b w:val="1"/>
          <w:bCs w:val="1"/>
          <w:color w:val="auto"/>
        </w:rPr>
        <w:t>No dealer, salesperson or any other person is authorized to give any information or make any representations in connection with this offering other than those contained in this prospectus and, if given or made, the information or representations must not be relied upon as having been authorized by us. This prospectus does not constitute an offer to sell or a solicitation of an offer to buy any security other than the securities offered by this prospectus, or an offer to sell or a solicitation of an offer to buy any securities by anyone in any jurisdiction in which the offer or solicitation is not authorized or is unlawful.</w:t>
      </w:r>
    </w:p>
    <w:p>
      <w:pPr>
        <w:spacing w:after="0" w:line="185"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328930</wp:posOffset>
            </wp:positionV>
            <wp:extent cx="5143500"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371475</wp:posOffset>
            </wp:positionV>
            <wp:extent cx="5143500"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645795</wp:posOffset>
            </wp:positionV>
            <wp:extent cx="51435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707" w:right="1440" w:bottom="1440" w:gutter="0" w:footer="0" w:header="0"/>
        </w:sectPr>
      </w:pPr>
    </w:p>
    <w:bookmarkStart w:id="143" w:name="page144"/>
    <w:bookmarkEnd w:id="143"/>
    <w:p>
      <w:pPr>
        <w:jc w:val="center"/>
        <w:spacing w:after="0"/>
        <w:rPr>
          <w:sz w:val="20"/>
          <w:szCs w:val="20"/>
          <w:color w:val="auto"/>
        </w:rPr>
      </w:pPr>
      <w:r>
        <w:rPr>
          <w:rFonts w:ascii="Arial" w:cs="Arial" w:eastAsia="Arial" w:hAnsi="Arial"/>
          <w:sz w:val="18"/>
          <w:szCs w:val="18"/>
          <w:b w:val="1"/>
          <w:bCs w:val="1"/>
          <w:color w:val="auto"/>
        </w:rPr>
        <w:t>PART II</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66" w:lineRule="exact"/>
        <w:rPr>
          <w:sz w:val="20"/>
          <w:szCs w:val="20"/>
          <w:color w:val="auto"/>
        </w:rPr>
      </w:pPr>
    </w:p>
    <w:p>
      <w:pPr>
        <w:ind w:left="460" w:right="719"/>
        <w:spacing w:after="0" w:line="246" w:lineRule="auto"/>
        <w:rPr>
          <w:sz w:val="20"/>
          <w:szCs w:val="20"/>
          <w:color w:val="auto"/>
        </w:rPr>
      </w:pPr>
      <w:r>
        <w:rPr>
          <w:rFonts w:ascii="Arial" w:cs="Arial" w:eastAsia="Arial" w:hAnsi="Arial"/>
          <w:sz w:val="18"/>
          <w:szCs w:val="18"/>
          <w:color w:val="auto"/>
        </w:rPr>
        <w:t>The estimated expenses payable by us in connection with the offering described in this registration statement (other than the underwriting discount and commissions) will be as follows:</w:t>
      </w:r>
    </w:p>
    <w:p>
      <w:pPr>
        <w:spacing w:after="0" w:line="157"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6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SEC expenses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15,000</w:t>
            </w:r>
          </w:p>
        </w:tc>
      </w:tr>
      <w:tr>
        <w:trPr>
          <w:trHeight w:val="257"/>
        </w:trPr>
        <w:tc>
          <w:tcPr>
            <w:tcW w:w="6900" w:type="dxa"/>
            <w:vAlign w:val="bottom"/>
          </w:tcPr>
          <w:p>
            <w:pPr>
              <w:spacing w:after="0"/>
              <w:rPr>
                <w:sz w:val="20"/>
                <w:szCs w:val="20"/>
                <w:color w:val="auto"/>
              </w:rPr>
            </w:pPr>
            <w:r>
              <w:rPr>
                <w:rFonts w:ascii="Arial" w:cs="Arial" w:eastAsia="Arial" w:hAnsi="Arial"/>
                <w:sz w:val="18"/>
                <w:szCs w:val="18"/>
                <w:color w:val="auto"/>
              </w:rPr>
              <w:t>FINRA expenses</w:t>
            </w: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18,000</w:t>
            </w:r>
          </w:p>
        </w:tc>
      </w:tr>
      <w:tr>
        <w:trPr>
          <w:trHeight w:val="27"/>
        </w:trPr>
        <w:tc>
          <w:tcPr>
            <w:tcW w:w="6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63"/>
        </w:trPr>
        <w:tc>
          <w:tcPr>
            <w:tcW w:w="6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60,000</w:t>
            </w:r>
          </w:p>
        </w:tc>
      </w:tr>
      <w:tr>
        <w:trPr>
          <w:trHeight w:val="257"/>
        </w:trPr>
        <w:tc>
          <w:tcPr>
            <w:tcW w:w="690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35,000</w:t>
            </w:r>
          </w:p>
        </w:tc>
      </w:tr>
      <w:tr>
        <w:trPr>
          <w:trHeight w:val="27"/>
        </w:trPr>
        <w:tc>
          <w:tcPr>
            <w:tcW w:w="6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64"/>
        </w:trPr>
        <w:tc>
          <w:tcPr>
            <w:tcW w:w="6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Travel and road show expenses</w:t>
            </w: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20,000</w:t>
            </w:r>
          </w:p>
        </w:tc>
      </w:tr>
      <w:tr>
        <w:trPr>
          <w:trHeight w:val="257"/>
        </w:trPr>
        <w:tc>
          <w:tcPr>
            <w:tcW w:w="690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325,000</w:t>
            </w:r>
          </w:p>
        </w:tc>
      </w:tr>
      <w:tr>
        <w:trPr>
          <w:trHeight w:val="27"/>
        </w:trPr>
        <w:tc>
          <w:tcPr>
            <w:tcW w:w="6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63"/>
        </w:trPr>
        <w:tc>
          <w:tcPr>
            <w:tcW w:w="6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Nasdaq listing and filing fees</w:t>
            </w: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75,000</w:t>
            </w:r>
          </w:p>
        </w:tc>
      </w:tr>
      <w:tr>
        <w:trPr>
          <w:trHeight w:val="283"/>
        </w:trPr>
        <w:tc>
          <w:tcPr>
            <w:tcW w:w="6900" w:type="dxa"/>
            <w:vAlign w:val="bottom"/>
          </w:tcPr>
          <w:p>
            <w:pPr>
              <w:spacing w:after="0"/>
              <w:rPr>
                <w:sz w:val="20"/>
                <w:szCs w:val="20"/>
                <w:color w:val="auto"/>
              </w:rPr>
            </w:pPr>
            <w:r>
              <w:rPr>
                <w:rFonts w:ascii="Arial" w:cs="Arial" w:eastAsia="Arial" w:hAnsi="Arial"/>
                <w:sz w:val="18"/>
                <w:szCs w:val="18"/>
                <w:color w:val="auto"/>
              </w:rPr>
              <w:t>Director &amp; Officers liability insurance premiums</w:t>
            </w:r>
            <w:r>
              <w:rPr>
                <w:rFonts w:ascii="Arial" w:cs="Arial" w:eastAsia="Arial" w:hAnsi="Arial"/>
                <w:sz w:val="20"/>
                <w:szCs w:val="20"/>
                <w:color w:val="auto"/>
                <w:vertAlign w:val="superscript"/>
              </w:rPr>
              <w:t>(1)</w:t>
            </w: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125,000</w:t>
            </w:r>
          </w:p>
        </w:tc>
      </w:tr>
      <w:tr>
        <w:trPr>
          <w:trHeight w:val="283"/>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24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327,000</w:t>
            </w:r>
          </w:p>
        </w:tc>
      </w:tr>
      <w:tr>
        <w:trPr>
          <w:trHeight w:val="250"/>
        </w:trPr>
        <w:tc>
          <w:tcPr>
            <w:tcW w:w="690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1,000,000</w:t>
            </w:r>
          </w:p>
        </w:tc>
      </w:tr>
      <w:tr>
        <w:trPr>
          <w:trHeight w:val="20"/>
        </w:trPr>
        <w:tc>
          <w:tcPr>
            <w:tcW w:w="6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92" w:lineRule="exact"/>
        <w:rPr>
          <w:sz w:val="20"/>
          <w:szCs w:val="20"/>
          <w:color w:val="auto"/>
        </w:rPr>
      </w:pPr>
    </w:p>
    <w:p>
      <w:pPr>
        <w:ind w:left="880" w:right="839" w:hanging="426"/>
        <w:spacing w:after="0" w:line="230" w:lineRule="auto"/>
        <w:tabs>
          <w:tab w:leader="none" w:pos="845" w:val="left"/>
        </w:tabs>
        <w:numPr>
          <w:ilvl w:val="0"/>
          <w:numId w:val="88"/>
        </w:numPr>
        <w:rPr>
          <w:rFonts w:ascii="Arial" w:cs="Arial" w:eastAsia="Arial" w:hAnsi="Arial"/>
          <w:sz w:val="13"/>
          <w:szCs w:val="13"/>
          <w:color w:val="auto"/>
        </w:rPr>
      </w:pPr>
      <w:r>
        <w:rPr>
          <w:rFonts w:ascii="Arial" w:cs="Arial" w:eastAsia="Arial" w:hAnsi="Arial"/>
          <w:sz w:val="13"/>
          <w:szCs w:val="13"/>
          <w:color w:val="auto"/>
        </w:rPr>
        <w:t>This amount represents the approximate amount of annual director and officer liability insurance premiums the registrant anticipates paying following the completion of its initial public offering and until it completes an initial business combination.</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53" w:lineRule="exact"/>
        <w:rPr>
          <w:sz w:val="20"/>
          <w:szCs w:val="20"/>
          <w:color w:val="auto"/>
        </w:rPr>
      </w:pPr>
    </w:p>
    <w:p>
      <w:pPr>
        <w:ind w:left="460" w:right="659"/>
        <w:spacing w:after="0" w:line="238" w:lineRule="auto"/>
        <w:rPr>
          <w:sz w:val="20"/>
          <w:szCs w:val="20"/>
          <w:color w:val="auto"/>
        </w:rPr>
      </w:pPr>
      <w:r>
        <w:rPr>
          <w:rFonts w:ascii="Arial" w:cs="Arial" w:eastAsia="Arial" w:hAnsi="Arial"/>
          <w:sz w:val="18"/>
          <w:szCs w:val="18"/>
          <w:color w:val="auto"/>
        </w:rPr>
        <w:t>Our amended and restated certificate of incorporation will provide that all of our directors, officers, employees and agents shall be entitled to be indemnified by us to the fullest extent permitted by Section 145 of the Delaware General Corporation Law (“DGCL”). Section 145 of the Delaware General Corporation Law concerning indemnification of officers, directors, employees and agents is set forth below.</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145. Indemnification of officers, directors, employees and agents; insurance.</w:t>
      </w:r>
    </w:p>
    <w:p>
      <w:pPr>
        <w:spacing w:after="0" w:line="36" w:lineRule="exact"/>
        <w:rPr>
          <w:sz w:val="20"/>
          <w:szCs w:val="20"/>
          <w:color w:val="auto"/>
        </w:rPr>
      </w:pPr>
    </w:p>
    <w:p>
      <w:pPr>
        <w:ind w:left="1100" w:right="479" w:hanging="322"/>
        <w:spacing w:after="0" w:line="235" w:lineRule="auto"/>
        <w:tabs>
          <w:tab w:leader="none" w:pos="1086"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corporation shall have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w:t>
      </w:r>
    </w:p>
    <w:p>
      <w:pPr>
        <w:spacing w:after="0" w:line="24" w:lineRule="exact"/>
        <w:rPr>
          <w:rFonts w:ascii="Arial" w:cs="Arial" w:eastAsia="Arial" w:hAnsi="Arial"/>
          <w:sz w:val="18"/>
          <w:szCs w:val="18"/>
          <w:color w:val="auto"/>
        </w:rPr>
      </w:pPr>
    </w:p>
    <w:p>
      <w:pPr>
        <w:ind w:left="1100" w:right="499" w:hanging="322"/>
        <w:spacing w:after="0" w:line="236" w:lineRule="auto"/>
        <w:tabs>
          <w:tab w:leader="none" w:pos="1086"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corporation shall have power to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44" w:name="page145"/>
    <w:bookmarkEnd w:id="144"/>
    <w:p>
      <w:pPr>
        <w:ind w:left="1100" w:right="459"/>
        <w:spacing w:after="0" w:line="238" w:lineRule="auto"/>
        <w:rPr>
          <w:sz w:val="20"/>
          <w:szCs w:val="20"/>
          <w:color w:val="auto"/>
        </w:rPr>
      </w:pPr>
      <w:r>
        <w:rPr>
          <w:rFonts w:ascii="Arial" w:cs="Arial" w:eastAsia="Arial" w:hAnsi="Arial"/>
          <w:sz w:val="18"/>
          <w:szCs w:val="18"/>
          <w:color w:val="auto"/>
        </w:rPr>
        <w:t>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3" w:lineRule="exact"/>
        <w:rPr>
          <w:sz w:val="20"/>
          <w:szCs w:val="20"/>
          <w:color w:val="auto"/>
        </w:rPr>
      </w:pPr>
    </w:p>
    <w:p>
      <w:pPr>
        <w:ind w:left="1100" w:right="599" w:hanging="322"/>
        <w:spacing w:after="0" w:line="238" w:lineRule="auto"/>
        <w:tabs>
          <w:tab w:leader="none" w:pos="1083" w:val="left"/>
        </w:tabs>
        <w:numPr>
          <w:ilvl w:val="0"/>
          <w:numId w:val="90"/>
        </w:numPr>
        <w:rPr>
          <w:rFonts w:ascii="Arial" w:cs="Arial" w:eastAsia="Arial" w:hAnsi="Arial"/>
          <w:sz w:val="18"/>
          <w:szCs w:val="18"/>
          <w:color w:val="auto"/>
        </w:rPr>
      </w:pPr>
      <w:r>
        <w:rPr>
          <w:rFonts w:ascii="Arial" w:cs="Arial" w:eastAsia="Arial" w:hAnsi="Arial"/>
          <w:sz w:val="18"/>
          <w:szCs w:val="18"/>
          <w:color w:val="auto"/>
        </w:rPr>
        <w:t>To the extent that a present or former director or officer of a corporation has been successful on the merits or otherwise in defense of any action, suit or proceeding referred to in subsections (a) and (b) of this section, or in defense of any claim, issue or matter therein, such person shall be indemnified against expenses (including attorneys’ fees) actually and reasonably incurred by such person in connection therewith.</w:t>
      </w:r>
    </w:p>
    <w:p>
      <w:pPr>
        <w:spacing w:after="0" w:line="26" w:lineRule="exact"/>
        <w:rPr>
          <w:rFonts w:ascii="Arial" w:cs="Arial" w:eastAsia="Arial" w:hAnsi="Arial"/>
          <w:sz w:val="18"/>
          <w:szCs w:val="18"/>
          <w:color w:val="auto"/>
        </w:rPr>
      </w:pPr>
    </w:p>
    <w:p>
      <w:pPr>
        <w:ind w:left="1100" w:right="459" w:hanging="322"/>
        <w:spacing w:after="0" w:line="236" w:lineRule="auto"/>
        <w:tabs>
          <w:tab w:leader="none" w:pos="1086"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indemnification under subsections (a) and (b) of this section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subsections (a) and (b) of this section. Such determination shall be made, with respect to a person who is a director or officer at the time of such determination, (1) by a majority vote of the directors who are not parties to such action, suit or proceeding, even though less than a quorum, or (2) by a committee of such directors designated by majority vote of such directors, even though less than a quorum, or (3) if there are no such directors, or if such directors so direct, by independent legal counsel in a written opinion, or (4) by the stockholders.</w:t>
      </w:r>
    </w:p>
    <w:p>
      <w:pPr>
        <w:spacing w:after="0" w:line="30" w:lineRule="exact"/>
        <w:rPr>
          <w:rFonts w:ascii="Arial" w:cs="Arial" w:eastAsia="Arial" w:hAnsi="Arial"/>
          <w:sz w:val="18"/>
          <w:szCs w:val="18"/>
          <w:color w:val="auto"/>
        </w:rPr>
      </w:pPr>
    </w:p>
    <w:p>
      <w:pPr>
        <w:ind w:left="1100" w:right="559" w:hanging="322"/>
        <w:spacing w:after="0" w:line="236" w:lineRule="auto"/>
        <w:tabs>
          <w:tab w:leader="none" w:pos="1096" w:val="left"/>
        </w:tabs>
        <w:numPr>
          <w:ilvl w:val="0"/>
          <w:numId w:val="90"/>
        </w:numPr>
        <w:rPr>
          <w:rFonts w:ascii="Arial" w:cs="Arial" w:eastAsia="Arial" w:hAnsi="Arial"/>
          <w:sz w:val="18"/>
          <w:szCs w:val="18"/>
          <w:color w:val="auto"/>
        </w:rPr>
      </w:pPr>
      <w:r>
        <w:rPr>
          <w:rFonts w:ascii="Arial" w:cs="Arial" w:eastAsia="Arial" w:hAnsi="Arial"/>
          <w:sz w:val="18"/>
          <w:szCs w:val="18"/>
          <w:color w:val="auto"/>
        </w:rPr>
        <w:t>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section. Such expenses (including attorneys’ fees) incurred by former officers and directors or other employees and agents may be so paid upon such terms and conditions, if any, as the corporation deems appropriate.</w:t>
      </w:r>
    </w:p>
    <w:p>
      <w:pPr>
        <w:spacing w:after="0" w:line="18" w:lineRule="exact"/>
        <w:rPr>
          <w:rFonts w:ascii="Arial" w:cs="Arial" w:eastAsia="Arial" w:hAnsi="Arial"/>
          <w:sz w:val="18"/>
          <w:szCs w:val="18"/>
          <w:color w:val="auto"/>
        </w:rPr>
      </w:pPr>
    </w:p>
    <w:p>
      <w:pPr>
        <w:ind w:left="1100" w:right="499" w:hanging="322"/>
        <w:spacing w:after="0" w:line="236" w:lineRule="auto"/>
        <w:tabs>
          <w:tab w:leader="none" w:pos="1043"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indemnification and advancement of expenses provided by, or granted pursuant to, the other subsections of this section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 A right to indemnification or to advancement of expenses arising under a provision of the certificate of incorporation or a bylaw shall not be eliminated or impaired by an amendment to such provision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spacing w:after="0" w:line="28" w:lineRule="exact"/>
        <w:rPr>
          <w:rFonts w:ascii="Arial" w:cs="Arial" w:eastAsia="Arial" w:hAnsi="Arial"/>
          <w:sz w:val="18"/>
          <w:szCs w:val="18"/>
          <w:color w:val="auto"/>
        </w:rPr>
      </w:pPr>
    </w:p>
    <w:p>
      <w:pPr>
        <w:ind w:left="1100" w:right="499" w:hanging="322"/>
        <w:spacing w:after="0" w:line="237" w:lineRule="auto"/>
        <w:tabs>
          <w:tab w:leader="none" w:pos="1086"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corporation shall have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this section.</w:t>
      </w:r>
    </w:p>
    <w:p>
      <w:pPr>
        <w:spacing w:after="0" w:line="27" w:lineRule="exact"/>
        <w:rPr>
          <w:rFonts w:ascii="Arial" w:cs="Arial" w:eastAsia="Arial" w:hAnsi="Arial"/>
          <w:sz w:val="18"/>
          <w:szCs w:val="18"/>
          <w:color w:val="auto"/>
        </w:rPr>
      </w:pPr>
    </w:p>
    <w:p>
      <w:pPr>
        <w:ind w:left="1100" w:right="479" w:hanging="322"/>
        <w:spacing w:after="0" w:line="236" w:lineRule="auto"/>
        <w:tabs>
          <w:tab w:leader="none" w:pos="1096" w:val="left"/>
        </w:tabs>
        <w:numPr>
          <w:ilvl w:val="0"/>
          <w:numId w:val="90"/>
        </w:numPr>
        <w:rPr>
          <w:rFonts w:ascii="Arial" w:cs="Arial" w:eastAsia="Arial" w:hAnsi="Arial"/>
          <w:sz w:val="18"/>
          <w:szCs w:val="18"/>
          <w:color w:val="auto"/>
        </w:rPr>
      </w:pPr>
      <w:r>
        <w:rPr>
          <w:rFonts w:ascii="Arial" w:cs="Arial" w:eastAsia="Arial" w:hAnsi="Arial"/>
          <w:sz w:val="18"/>
          <w:szCs w:val="18"/>
          <w:color w:val="auto"/>
        </w:rPr>
        <w:t>For purposes of this section,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this section with respect to the resulting or surviving corporation as such person would have with respect to such constituent corporation if its separate existence had continued.</w:t>
      </w:r>
    </w:p>
    <w:p>
      <w:pPr>
        <w:spacing w:after="0" w:line="16" w:lineRule="exact"/>
        <w:rPr>
          <w:rFonts w:ascii="Arial" w:cs="Arial" w:eastAsia="Arial" w:hAnsi="Arial"/>
          <w:sz w:val="18"/>
          <w:szCs w:val="18"/>
          <w:color w:val="auto"/>
        </w:rPr>
      </w:pPr>
    </w:p>
    <w:p>
      <w:pPr>
        <w:ind w:left="1100" w:right="539" w:hanging="322"/>
        <w:spacing w:after="0" w:line="238" w:lineRule="auto"/>
        <w:tabs>
          <w:tab w:leader="none" w:pos="1086" w:val="left"/>
        </w:tabs>
        <w:numPr>
          <w:ilvl w:val="0"/>
          <w:numId w:val="90"/>
        </w:numPr>
        <w:rPr>
          <w:rFonts w:ascii="Arial" w:cs="Arial" w:eastAsia="Arial" w:hAnsi="Arial"/>
          <w:sz w:val="18"/>
          <w:szCs w:val="18"/>
          <w:color w:val="auto"/>
        </w:rPr>
      </w:pPr>
      <w:r>
        <w:rPr>
          <w:rFonts w:ascii="Arial" w:cs="Arial" w:eastAsia="Arial" w:hAnsi="Arial"/>
          <w:sz w:val="18"/>
          <w:szCs w:val="18"/>
          <w:color w:val="auto"/>
        </w:rPr>
        <w:t>For purposes of this section, references to “other enterprises” shall include employee benefit plans; references to “fines” shall include any excise taxes assessed on a person with respect to any employee benefit plan; and references to “serving at the request of the corporation” shall include any service as a director, officer, employee or agent of the corporation which imposes duties on, or involves services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179" w:right="1440" w:bottom="1440" w:gutter="0" w:footer="0" w:header="0"/>
        </w:sectPr>
      </w:pPr>
    </w:p>
    <w:bookmarkStart w:id="145" w:name="page146"/>
    <w:bookmarkEnd w:id="145"/>
    <w:p>
      <w:pPr>
        <w:ind w:left="1100" w:right="659"/>
        <w:spacing w:after="0" w:line="238" w:lineRule="auto"/>
        <w:rPr>
          <w:sz w:val="20"/>
          <w:szCs w:val="20"/>
          <w:color w:val="auto"/>
        </w:rPr>
      </w:pPr>
      <w:r>
        <w:rPr>
          <w:rFonts w:ascii="Arial" w:cs="Arial" w:eastAsia="Arial" w:hAnsi="Arial"/>
          <w:sz w:val="18"/>
          <w:szCs w:val="18"/>
          <w:color w:val="auto"/>
        </w:rPr>
        <w:t>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section.</w:t>
      </w:r>
    </w:p>
    <w:p>
      <w:pPr>
        <w:spacing w:after="0" w:line="13" w:lineRule="exact"/>
        <w:rPr>
          <w:sz w:val="20"/>
          <w:szCs w:val="20"/>
          <w:color w:val="auto"/>
        </w:rPr>
      </w:pPr>
    </w:p>
    <w:p>
      <w:pPr>
        <w:ind w:left="1100" w:right="599" w:hanging="322"/>
        <w:spacing w:after="0" w:line="238" w:lineRule="auto"/>
        <w:tabs>
          <w:tab w:leader="none" w:pos="1083"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indemnification and advancement of expenses provided by, or granted pursuant to, this section shall, unless otherwise provided when authorized or ratified, continue as to a person who has ceased to be a director, officer, employee or agent and shall inure to the benefit of the heirs, executors and administrators of such a person.</w:t>
      </w:r>
    </w:p>
    <w:p>
      <w:pPr>
        <w:spacing w:after="0" w:line="29" w:lineRule="exact"/>
        <w:rPr>
          <w:rFonts w:ascii="Arial" w:cs="Arial" w:eastAsia="Arial" w:hAnsi="Arial"/>
          <w:sz w:val="18"/>
          <w:szCs w:val="18"/>
          <w:color w:val="auto"/>
        </w:rPr>
      </w:pPr>
    </w:p>
    <w:p>
      <w:pPr>
        <w:ind w:left="1100" w:right="559" w:hanging="322"/>
        <w:spacing w:after="0" w:line="238" w:lineRule="auto"/>
        <w:tabs>
          <w:tab w:leader="none" w:pos="1083"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Court of Chancery is hereby vested with exclusive jurisdiction to hear and determine all actions for advancement of expenses or indemnification brought under this section or under any by law, agreement, vote of stockholders or disinterested directors, or otherwise. The Court of Chancery may summarily determine a corporation’s obligation to advance expenses (including attorneys’ fees).</w:t>
      </w:r>
    </w:p>
    <w:p>
      <w:pPr>
        <w:spacing w:after="0" w:line="135"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of expenses incurred or paid by a director, officer or controlling person in a successful defense of any action, suit or proceeding) is asserted by such director, officer or controlling person in connection with the securities being registered, we will, unless in the opinion of its counsel the matter has been settled by controlling precedent, submit to the court of appropriate jurisdiction the question whether such indemnification by it is against public policy as expressed in the Securities Act and will be governed by the final adjudication of such issue.</w:t>
      </w:r>
    </w:p>
    <w:p>
      <w:pPr>
        <w:spacing w:after="0" w:line="124"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In accordance with Section 102(b)(7) of the DGCL, our amended and restated certificate of incorporation, will provide that no director shall be personally liable to us or any of our stockholders for monetary damages resulting from breaches of their fiduciary duty as directors, except to the extent such limitation on or exemption from liability is not permitted under the DGCL. The effect of this provision of our amended and restated certificate of incorporation is to eliminate our rights and those of our stockholders (through stockholders’ derivative suits on our behalf) to recover monetary damages against a director for breach of the fiduciary duty of care as a director, including breaches resulting from negligent or grossly negligent behavior, except, as restricted by Section 102(b)(7) of the DGCL. However, this provision does not limit or eliminate our rights or the rights of any stockholder to seek non-monetary relief, such as an injunction or rescission, in the event of a breach of a director’s duty of care.</w:t>
      </w:r>
    </w:p>
    <w:p>
      <w:pPr>
        <w:spacing w:after="0" w:line="137" w:lineRule="exact"/>
        <w:rPr>
          <w:sz w:val="20"/>
          <w:szCs w:val="20"/>
          <w:color w:val="auto"/>
        </w:rPr>
      </w:pPr>
    </w:p>
    <w:p>
      <w:pPr>
        <w:ind w:left="460" w:right="599"/>
        <w:spacing w:after="0" w:line="236" w:lineRule="auto"/>
        <w:rPr>
          <w:sz w:val="20"/>
          <w:szCs w:val="20"/>
          <w:color w:val="auto"/>
        </w:rPr>
      </w:pPr>
      <w:r>
        <w:rPr>
          <w:rFonts w:ascii="Arial" w:cs="Arial" w:eastAsia="Arial" w:hAnsi="Arial"/>
          <w:sz w:val="18"/>
          <w:szCs w:val="18"/>
          <w:color w:val="auto"/>
        </w:rPr>
        <w:t>If the DGCL is amended to authorize corporate action further eliminating or limiting the liability of directors, then, in accordance with our amended and restated certificate of incorporation, the liability of our directors to us or our stockholders will be eliminated or limited to the fullest extent authorized by the DGCL, as so amended. Any repeal or amendment of provisions of our amended and restated certificate of incorporation limiting or eliminating the liability of directors, whether by our stockholders or by changes in law, or the adoption of any other provisions inconsistent therewith, will (unless otherwise required by law) be prospective only, except to the extent such amendment or change in law permits us to further limit or eliminate the liability of directors on a retroactive basis.</w:t>
      </w:r>
    </w:p>
    <w:p>
      <w:pPr>
        <w:spacing w:after="0" w:line="140" w:lineRule="exact"/>
        <w:rPr>
          <w:sz w:val="20"/>
          <w:szCs w:val="20"/>
          <w:color w:val="auto"/>
        </w:rPr>
      </w:pPr>
    </w:p>
    <w:p>
      <w:pPr>
        <w:ind w:left="460" w:right="719"/>
        <w:spacing w:after="0" w:line="236" w:lineRule="auto"/>
        <w:rPr>
          <w:sz w:val="20"/>
          <w:szCs w:val="20"/>
          <w:color w:val="auto"/>
        </w:rPr>
      </w:pPr>
      <w:r>
        <w:rPr>
          <w:rFonts w:ascii="Arial" w:cs="Arial" w:eastAsia="Arial" w:hAnsi="Arial"/>
          <w:sz w:val="18"/>
          <w:szCs w:val="18"/>
          <w:color w:val="auto"/>
        </w:rPr>
        <w:t>Our amended and restated certificate of incorporation will also provide that we will, to the fullest extent authorized or permitted by applicable law, indemnify our current and former officers and directors, as well as those persons who, while directors or officers of our corporation, are or were serving as directors, officers, employees or agents of another entity, trust or other enterprise, including service with respect to an employee benefit plan, in connection with any threatened, pending or completed proceeding, whether civil, criminal, administrative or investigative, against all expense, liability and loss (including, without limitation, attorney’s fees, judgments, fines, ERISA excise taxes and penalties and amounts paid in settlement) reasonably incurred or suffered by any such person in connection with any such proceeding.</w:t>
      </w:r>
    </w:p>
    <w:p>
      <w:pPr>
        <w:spacing w:after="0" w:line="126" w:lineRule="exact"/>
        <w:rPr>
          <w:sz w:val="20"/>
          <w:szCs w:val="20"/>
          <w:color w:val="auto"/>
        </w:rPr>
      </w:pPr>
    </w:p>
    <w:p>
      <w:pPr>
        <w:ind w:left="460" w:right="559"/>
        <w:spacing w:after="0" w:line="238" w:lineRule="auto"/>
        <w:rPr>
          <w:sz w:val="20"/>
          <w:szCs w:val="20"/>
          <w:color w:val="auto"/>
        </w:rPr>
      </w:pPr>
      <w:r>
        <w:rPr>
          <w:rFonts w:ascii="Arial" w:cs="Arial" w:eastAsia="Arial" w:hAnsi="Arial"/>
          <w:sz w:val="18"/>
          <w:szCs w:val="18"/>
          <w:color w:val="auto"/>
        </w:rPr>
        <w:t>Notwithstanding the foregoing, a person eligible for indemnification pursuant to our amended and restated certificate of incorporation will be indemnified by us in connection with a proceeding initiated by such person only if such proceeding was authorized by our board of directors, except for proceedings to enforce rights to indemnification.</w:t>
      </w:r>
    </w:p>
    <w:p>
      <w:pPr>
        <w:spacing w:after="0" w:line="137" w:lineRule="exact"/>
        <w:rPr>
          <w:sz w:val="20"/>
          <w:szCs w:val="20"/>
          <w:color w:val="auto"/>
        </w:rPr>
      </w:pPr>
    </w:p>
    <w:p>
      <w:pPr>
        <w:ind w:left="460" w:right="1019"/>
        <w:spacing w:after="0" w:line="238" w:lineRule="auto"/>
        <w:rPr>
          <w:sz w:val="20"/>
          <w:szCs w:val="20"/>
          <w:color w:val="auto"/>
        </w:rPr>
      </w:pPr>
      <w:r>
        <w:rPr>
          <w:rFonts w:ascii="Arial" w:cs="Arial" w:eastAsia="Arial" w:hAnsi="Arial"/>
          <w:sz w:val="18"/>
          <w:szCs w:val="18"/>
          <w:color w:val="auto"/>
        </w:rPr>
        <w:t>The right to indemnification which will be conferred by our amended and restated certificate of incorporation is a contract right that includes the right to be paid by us the expenses incurred in defending or otherwise participating in any proceeding referenced above in advance of its final disposition, provided, however, that if the DGCL requires,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179" w:right="1440" w:bottom="1440" w:gutter="0" w:footer="0" w:header="0"/>
        </w:sectPr>
      </w:pPr>
    </w:p>
    <w:bookmarkStart w:id="146" w:name="page147"/>
    <w:bookmarkEnd w:id="146"/>
    <w:p>
      <w:pPr>
        <w:ind w:left="460" w:right="479"/>
        <w:spacing w:after="0" w:line="238" w:lineRule="auto"/>
        <w:rPr>
          <w:sz w:val="20"/>
          <w:szCs w:val="20"/>
          <w:color w:val="auto"/>
        </w:rPr>
      </w:pPr>
      <w:r>
        <w:rPr>
          <w:rFonts w:ascii="Arial" w:cs="Arial" w:eastAsia="Arial" w:hAnsi="Arial"/>
          <w:sz w:val="18"/>
          <w:szCs w:val="18"/>
          <w:color w:val="auto"/>
        </w:rPr>
        <w:t>an advancement of expenses incurred by our officer or director (solely in the capacity as an officer or director of our corporation) will be made only upon delivery to us of an undertaking, by or on behalf of such officer or director, to repay all amounts so advanced if it is ultimately determined that such person is not entitled to be indemnified for such expenses under our amended and restated certificate of incorporation or otherwise.</w:t>
      </w:r>
    </w:p>
    <w:p>
      <w:pPr>
        <w:spacing w:after="0" w:line="121"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The rights to indemnification and advancement of expenses will not be deemed exclusive of any other rights which any person covered by our amended and restated certificate of incorporation may have or hereafter acquire under law, our amended and restated certificate of incorporation, our bylaws, an agreement, vote of stockholders or disinterested directors, or otherwise.</w:t>
      </w:r>
    </w:p>
    <w:p>
      <w:pPr>
        <w:spacing w:after="0" w:line="137"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Any repeal or amendment of provisions of our amended and restated certificate of incorporation affecting indemnification rights, whether by our stockholders or by changes in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at the time of such repeal or amendment or adoption of such inconsistent provision with respect to any act or omission occurring prior to such repeal or amendment or adoption of such inconsistent provision. Our amended and restated certificate of incorporation will also permit us, to the extent and in the manner authorized or permitted by law, to indemnify and to advance expenses to persons other that those specifically covered by our amended and restated certificate of incorporation.</w:t>
      </w:r>
    </w:p>
    <w:p>
      <w:pPr>
        <w:spacing w:after="0" w:line="137"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Our bylaws, which we intend to adopt immediately prior to the closing of this offering, include the provisions relating to advancement of expenses and indemnification rights consistent with those which will be set forth in our amended and restated certificate of incorporation. In addition, our bylaws provide for a right of indemnity to bring a suit in the event a claim for indemnification or advancement of expenses is not paid in full by us within a specified period of time. Our bylaws also permit us to purchase and maintain insurance, at our expense, to protect us and/or any director, officer, employee or agent of our corporation or another entity, trust or other enterprise against any expense, liability or loss, whether or not we would have the power to indemnify such person against such expense, liability or loss under the DGCL.</w:t>
      </w:r>
    </w:p>
    <w:p>
      <w:pPr>
        <w:spacing w:after="0" w:line="126" w:lineRule="exact"/>
        <w:rPr>
          <w:sz w:val="20"/>
          <w:szCs w:val="20"/>
          <w:color w:val="auto"/>
        </w:rPr>
      </w:pPr>
    </w:p>
    <w:p>
      <w:pPr>
        <w:ind w:left="460" w:right="559"/>
        <w:spacing w:after="0" w:line="237" w:lineRule="auto"/>
        <w:rPr>
          <w:sz w:val="20"/>
          <w:szCs w:val="20"/>
          <w:color w:val="auto"/>
        </w:rPr>
      </w:pPr>
      <w:r>
        <w:rPr>
          <w:rFonts w:ascii="Arial" w:cs="Arial" w:eastAsia="Arial" w:hAnsi="Arial"/>
          <w:sz w:val="18"/>
          <w:szCs w:val="18"/>
          <w:color w:val="auto"/>
        </w:rPr>
        <w:t>Any repeal or amendment of provisions of our bylaws affecting indemnification rights, whether by our board of directors, stockholders or by changes in applicable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thereunder with respect to any act or omission occurring prior to such repeal or amendment or adoption of such inconsistent provision.</w:t>
      </w:r>
    </w:p>
    <w:p>
      <w:pPr>
        <w:spacing w:after="0" w:line="135" w:lineRule="exact"/>
        <w:rPr>
          <w:sz w:val="20"/>
          <w:szCs w:val="20"/>
          <w:color w:val="auto"/>
        </w:rPr>
      </w:pPr>
    </w:p>
    <w:p>
      <w:pPr>
        <w:ind w:left="460" w:right="639"/>
        <w:spacing w:after="0" w:line="238" w:lineRule="auto"/>
        <w:rPr>
          <w:sz w:val="20"/>
          <w:szCs w:val="20"/>
          <w:color w:val="auto"/>
        </w:rPr>
      </w:pPr>
      <w:r>
        <w:rPr>
          <w:rFonts w:ascii="Arial" w:cs="Arial" w:eastAsia="Arial" w:hAnsi="Arial"/>
          <w:sz w:val="18"/>
          <w:szCs w:val="18"/>
          <w:color w:val="auto"/>
        </w:rPr>
        <w:t>We will enter into indemnification agreements with each of our officers and directors a form of which is to be filed as an exhibit to this Registration Statement. These agreements will require us to indemnify these individuals to the fullest extent permitted under Delaware law against liabilities that may arise by reason of their service to us, and to advance expenses incurred as a result of any proceeding against them as to which they could be indemnified.</w:t>
      </w:r>
    </w:p>
    <w:p>
      <w:pPr>
        <w:spacing w:after="0" w:line="135" w:lineRule="exact"/>
        <w:rPr>
          <w:sz w:val="20"/>
          <w:szCs w:val="20"/>
          <w:color w:val="auto"/>
        </w:rPr>
      </w:pPr>
    </w:p>
    <w:p>
      <w:pPr>
        <w:jc w:val="both"/>
        <w:ind w:left="460" w:right="579"/>
        <w:spacing w:after="0" w:line="238" w:lineRule="auto"/>
        <w:rPr>
          <w:sz w:val="20"/>
          <w:szCs w:val="20"/>
          <w:color w:val="auto"/>
        </w:rPr>
      </w:pPr>
      <w:r>
        <w:rPr>
          <w:rFonts w:ascii="Arial" w:cs="Arial" w:eastAsia="Arial" w:hAnsi="Arial"/>
          <w:sz w:val="18"/>
          <w:szCs w:val="18"/>
          <w:color w:val="auto"/>
        </w:rPr>
        <w:t>Pursuant to the Underwriting Agreement to be filed as Exhibit 1.1 to this Registration Statement, we have agreed to indemnify the underwriters and the underwriters have agreed to indemnify us against certain civil liabilities that may be incurred in connection with this offering, including certain liabilities under the Securities Act.</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53"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On June 30, 2020, FS Development Holdings, LLC, our sponsor, purchased an aggregate 2,875,000 founder shares for a total purchase price of $ 25,000, or approximately $0.009 per share. Such securities were issued in connection with our organization pursuant to the exemption from registration contained in Section 4(a)(2) of the Securities Act. The number of founder shares outstanding was determined based on the expectation that the total size of this offering would be a maximum of 11,500,000 shares if the underwriters’ over-allotment option is exercised in full and therefore that such founder shares would represent 20% of the issued and outstanding shares of common stock (excluding the Private Placement Shares) after this offering. Up to 375,000 of these shares will be forfeited by our sponsor depending on the extent to which the underwriters’ over-allotment is exercised.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47" w:name="page148"/>
    <w:bookmarkEnd w:id="147"/>
    <w:p>
      <w:pPr>
        <w:ind w:left="460" w:right="599"/>
        <w:spacing w:after="0" w:line="237" w:lineRule="auto"/>
        <w:rPr>
          <w:sz w:val="20"/>
          <w:szCs w:val="20"/>
          <w:color w:val="auto"/>
        </w:rPr>
      </w:pPr>
      <w:r>
        <w:rPr>
          <w:rFonts w:ascii="Arial" w:cs="Arial" w:eastAsia="Arial" w:hAnsi="Arial"/>
          <w:sz w:val="18"/>
          <w:szCs w:val="18"/>
          <w:color w:val="auto"/>
        </w:rPr>
        <w:t>Foresite Capital Management V, LLC is the sole member of our sponsor. Our sponsor is an accredited investor for purposes of Rule 501 of Regulation D. Each of the equity holders in our sponsor is an accredited investor under Rule 501 of Regulation D. The sole business of our sponsor is to act as the company’s sponsor in connection with this offering. The limited liability company agreement of our sponsor provides that its membership interests may only be transferred to our officers or directors or other persons affiliated with our sponsor, or in connection with estate planning transfers.</w:t>
      </w:r>
    </w:p>
    <w:p>
      <w:pPr>
        <w:spacing w:after="0" w:line="122" w:lineRule="exact"/>
        <w:rPr>
          <w:sz w:val="20"/>
          <w:szCs w:val="20"/>
          <w:color w:val="auto"/>
        </w:rPr>
      </w:pPr>
    </w:p>
    <w:p>
      <w:pPr>
        <w:ind w:left="460" w:right="519"/>
        <w:spacing w:after="0" w:line="237" w:lineRule="auto"/>
        <w:rPr>
          <w:sz w:val="20"/>
          <w:szCs w:val="20"/>
          <w:color w:val="auto"/>
        </w:rPr>
      </w:pPr>
      <w:r>
        <w:rPr>
          <w:rFonts w:ascii="Arial" w:cs="Arial" w:eastAsia="Arial" w:hAnsi="Arial"/>
          <w:sz w:val="18"/>
          <w:szCs w:val="18"/>
          <w:color w:val="auto"/>
        </w:rPr>
        <w:t>Our sponsor has committed, pursuant to a written agreement, to purchase from us an aggregate of 400,000 private placement shares (or 430,000 private placement shares if the underwriters’ over-allotment option is exercised in full) at $10.00 per share (for an aggregate purchase price of $4,000,000 (or $4,300,000 if the underwriters’ over-allotment option is exercised in full)). This purchase will take place on a private placement basis simultaneously with the completion of our initial public offering. This issuance will be made pursuant to the exemption from registration contained in Section 4(a)(2) of the Securities Act.</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underwriting discounts or commissions were paid with respect to such sales.</w:t>
      </w:r>
    </w:p>
    <w:p>
      <w:pPr>
        <w:spacing w:after="0" w:line="17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48" w:name="page149"/>
    <w:bookmarkEnd w:id="148"/>
    <w:p>
      <w:pPr>
        <w:ind w:left="46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48" w:lineRule="exact"/>
        <w:rPr>
          <w:sz w:val="20"/>
          <w:szCs w:val="20"/>
          <w:color w:val="auto"/>
        </w:rPr>
      </w:pPr>
    </w:p>
    <w:p>
      <w:pPr>
        <w:ind w:left="720" w:hanging="266"/>
        <w:spacing w:after="0"/>
        <w:tabs>
          <w:tab w:leader="none" w:pos="720" w:val="left"/>
        </w:tabs>
        <w:numPr>
          <w:ilvl w:val="0"/>
          <w:numId w:val="92"/>
        </w:numPr>
        <w:rPr>
          <w:rFonts w:ascii="Arial" w:cs="Arial" w:eastAsia="Arial" w:hAnsi="Arial"/>
          <w:sz w:val="18"/>
          <w:szCs w:val="18"/>
          <w:color w:val="auto"/>
        </w:rPr>
      </w:pPr>
      <w:r>
        <w:rPr>
          <w:rFonts w:ascii="Arial" w:cs="Arial" w:eastAsia="Arial" w:hAnsi="Arial"/>
          <w:sz w:val="18"/>
          <w:szCs w:val="18"/>
          <w:i w:val="1"/>
          <w:iCs w:val="1"/>
          <w:color w:val="auto"/>
        </w:rPr>
        <w:t xml:space="preserve">Exhibits. </w:t>
      </w:r>
      <w:r>
        <w:rPr>
          <w:rFonts w:ascii="Arial" w:cs="Arial" w:eastAsia="Arial" w:hAnsi="Arial"/>
          <w:sz w:val="18"/>
          <w:szCs w:val="18"/>
          <w:color w:val="auto"/>
        </w:rPr>
        <w:t>The following exhibits are being filed herewith:</w:t>
      </w:r>
    </w:p>
    <w:p>
      <w:pPr>
        <w:spacing w:after="0" w:line="207" w:lineRule="exact"/>
        <w:rPr>
          <w:rFonts w:ascii="Arial" w:cs="Arial" w:eastAsia="Arial" w:hAnsi="Arial"/>
          <w:sz w:val="18"/>
          <w:szCs w:val="18"/>
          <w:color w:val="auto"/>
        </w:rPr>
      </w:pPr>
    </w:p>
    <w:p>
      <w:pPr>
        <w:ind w:left="3840"/>
        <w:spacing w:after="0"/>
        <w:rPr>
          <w:rFonts w:ascii="Arial" w:cs="Arial" w:eastAsia="Arial" w:hAnsi="Arial"/>
          <w:sz w:val="18"/>
          <w:szCs w:val="18"/>
          <w:color w:val="auto"/>
        </w:rPr>
      </w:pPr>
      <w:r>
        <w:rPr>
          <w:rFonts w:ascii="Arial" w:cs="Arial" w:eastAsia="Arial" w:hAnsi="Arial"/>
          <w:sz w:val="18"/>
          <w:szCs w:val="18"/>
          <w:b w:val="1"/>
          <w:bCs w:val="1"/>
          <w:color w:val="auto"/>
        </w:rPr>
        <w:t>EXHIBIT INDEX</w:t>
      </w:r>
    </w:p>
    <w:p>
      <w:pPr>
        <w:spacing w:after="0" w:line="262" w:lineRule="exact"/>
        <w:rPr>
          <w:sz w:val="20"/>
          <w:szCs w:val="20"/>
          <w:color w:val="auto"/>
        </w:rPr>
      </w:pPr>
    </w:p>
    <w:p>
      <w:pPr>
        <w:ind w:left="460"/>
        <w:spacing w:after="0"/>
        <w:tabs>
          <w:tab w:leader="none" w:pos="452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34925</wp:posOffset>
            </wp:positionV>
            <wp:extent cx="5143500" cy="1797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47" w:lineRule="exact"/>
        <w:rPr>
          <w:sz w:val="20"/>
          <w:szCs w:val="20"/>
          <w:color w:val="auto"/>
        </w:rPr>
      </w:pPr>
    </w:p>
    <w:p>
      <w:pPr>
        <w:ind w:left="720"/>
        <w:spacing w:after="0"/>
        <w:tabs>
          <w:tab w:leader="none" w:pos="1280" w:val="left"/>
        </w:tabs>
        <w:rPr>
          <w:rFonts w:ascii="Arial" w:cs="Arial" w:eastAsia="Arial" w:hAnsi="Arial"/>
          <w:sz w:val="18"/>
          <w:szCs w:val="18"/>
          <w:u w:val="single" w:color="auto"/>
          <w:color w:val="0000EE"/>
        </w:rPr>
      </w:pPr>
      <w:r>
        <w:rPr>
          <w:rFonts w:ascii="Arial" w:cs="Arial" w:eastAsia="Arial" w:hAnsi="Arial"/>
          <w:sz w:val="18"/>
          <w:szCs w:val="18"/>
          <w:color w:val="auto"/>
        </w:rPr>
        <w:t>1.1</w:t>
      </w:r>
      <w:r>
        <w:rPr>
          <w:sz w:val="20"/>
          <w:szCs w:val="20"/>
          <w:color w:val="auto"/>
        </w:rPr>
        <w:tab/>
      </w:r>
      <w:hyperlink w:anchor="page152">
        <w:r>
          <w:rPr>
            <w:rFonts w:ascii="Arial" w:cs="Arial" w:eastAsia="Arial" w:hAnsi="Arial"/>
            <w:sz w:val="18"/>
            <w:szCs w:val="18"/>
            <w:u w:val="single" w:color="auto"/>
            <w:color w:val="0000EE"/>
          </w:rPr>
          <w:t>Form of Underwriting Agreement.*</w:t>
        </w:r>
      </w:hyperlink>
    </w:p>
    <w:p>
      <w:pPr>
        <w:spacing w:after="0" w:line="63" w:lineRule="exact"/>
        <w:rPr>
          <w:sz w:val="20"/>
          <w:szCs w:val="20"/>
          <w:color w:val="auto"/>
        </w:rPr>
      </w:pPr>
    </w:p>
    <w:p>
      <w:pPr>
        <w:ind w:left="720"/>
        <w:spacing w:after="0"/>
        <w:tabs>
          <w:tab w:leader="none" w:pos="1280" w:val="left"/>
        </w:tabs>
        <w:rPr>
          <w:rFonts w:ascii="Arial" w:cs="Arial" w:eastAsia="Arial" w:hAnsi="Arial"/>
          <w:sz w:val="18"/>
          <w:szCs w:val="18"/>
          <w:u w:val="single" w:color="auto"/>
          <w:color w:val="0000EE"/>
        </w:rPr>
      </w:pPr>
      <w:r>
        <w:rPr>
          <w:rFonts w:ascii="Arial" w:cs="Arial" w:eastAsia="Arial" w:hAnsi="Arial"/>
          <w:sz w:val="18"/>
          <w:szCs w:val="18"/>
          <w:color w:val="auto"/>
        </w:rPr>
        <w:t>3.1</w:t>
      </w:r>
      <w:r>
        <w:rPr>
          <w:sz w:val="20"/>
          <w:szCs w:val="20"/>
          <w:color w:val="auto"/>
        </w:rPr>
        <w:tab/>
      </w:r>
      <w:hyperlink w:anchor="page190">
        <w:r>
          <w:rPr>
            <w:rFonts w:ascii="Arial" w:cs="Arial" w:eastAsia="Arial" w:hAnsi="Arial"/>
            <w:sz w:val="18"/>
            <w:szCs w:val="18"/>
            <w:u w:val="single" w:color="auto"/>
            <w:color w:val="0000EE"/>
          </w:rPr>
          <w:t>Certificate of Incorporation.*</w:t>
        </w:r>
      </w:hyperlink>
    </w:p>
    <w:p>
      <w:pPr>
        <w:spacing w:after="0" w:line="77" w:lineRule="exact"/>
        <w:rPr>
          <w:sz w:val="20"/>
          <w:szCs w:val="20"/>
          <w:color w:val="auto"/>
        </w:rPr>
      </w:pPr>
    </w:p>
    <w:p>
      <w:pPr>
        <w:ind w:left="720"/>
        <w:spacing w:after="0"/>
        <w:tabs>
          <w:tab w:leader="none" w:pos="1280" w:val="left"/>
        </w:tabs>
        <w:rPr>
          <w:rFonts w:ascii="Arial" w:cs="Arial" w:eastAsia="Arial" w:hAnsi="Arial"/>
          <w:sz w:val="18"/>
          <w:szCs w:val="18"/>
          <w:u w:val="single" w:color="auto"/>
          <w:color w:val="0000EE"/>
        </w:rPr>
      </w:pPr>
      <w:r>
        <w:rPr>
          <w:rFonts w:ascii="Arial" w:cs="Arial" w:eastAsia="Arial" w:hAnsi="Arial"/>
          <w:sz w:val="18"/>
          <w:szCs w:val="18"/>
          <w:color w:val="auto"/>
        </w:rPr>
        <w:t>3.2</w:t>
      </w:r>
      <w:r>
        <w:rPr>
          <w:sz w:val="20"/>
          <w:szCs w:val="20"/>
          <w:color w:val="auto"/>
        </w:rPr>
        <w:tab/>
      </w:r>
      <w:hyperlink w:anchor="page200">
        <w:r>
          <w:rPr>
            <w:rFonts w:ascii="Arial" w:cs="Arial" w:eastAsia="Arial" w:hAnsi="Arial"/>
            <w:sz w:val="18"/>
            <w:szCs w:val="18"/>
            <w:u w:val="single" w:color="auto"/>
            <w:color w:val="0000EE"/>
          </w:rPr>
          <w:t>Certificate of Amendment to the Certificate of Incorporation.*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-130175</wp:posOffset>
            </wp:positionV>
            <wp:extent cx="5143500" cy="1803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ind w:left="720"/>
        <w:spacing w:after="0"/>
        <w:tabs>
          <w:tab w:leader="none" w:pos="1280" w:val="left"/>
        </w:tabs>
        <w:rPr>
          <w:rFonts w:ascii="Arial" w:cs="Arial" w:eastAsia="Arial" w:hAnsi="Arial"/>
          <w:sz w:val="18"/>
          <w:szCs w:val="18"/>
          <w:u w:val="single" w:color="auto"/>
          <w:color w:val="0000EE"/>
        </w:rPr>
      </w:pPr>
      <w:r>
        <w:rPr>
          <w:rFonts w:ascii="Arial" w:cs="Arial" w:eastAsia="Arial" w:hAnsi="Arial"/>
          <w:sz w:val="18"/>
          <w:szCs w:val="18"/>
          <w:color w:val="auto"/>
        </w:rPr>
        <w:t>3.3</w:t>
      </w:r>
      <w:r>
        <w:rPr>
          <w:sz w:val="20"/>
          <w:szCs w:val="20"/>
          <w:color w:val="auto"/>
        </w:rPr>
        <w:tab/>
      </w:r>
      <w:hyperlink w:anchor="page202">
        <w:r>
          <w:rPr>
            <w:rFonts w:ascii="Arial" w:cs="Arial" w:eastAsia="Arial" w:hAnsi="Arial"/>
            <w:sz w:val="18"/>
            <w:szCs w:val="18"/>
            <w:u w:val="single" w:color="auto"/>
            <w:color w:val="0000EE"/>
          </w:rPr>
          <w:t>Amended and Restated Certificate of Incorporation.*</w:t>
        </w:r>
      </w:hyperlink>
    </w:p>
    <w:p>
      <w:pPr>
        <w:spacing w:after="0" w:line="77" w:lineRule="exact"/>
        <w:rPr>
          <w:sz w:val="20"/>
          <w:szCs w:val="20"/>
          <w:color w:val="auto"/>
        </w:rPr>
      </w:pPr>
    </w:p>
    <w:p>
      <w:pPr>
        <w:ind w:left="720"/>
        <w:spacing w:after="0"/>
        <w:tabs>
          <w:tab w:leader="none" w:pos="1280" w:val="left"/>
        </w:tabs>
        <w:rPr>
          <w:rFonts w:ascii="Arial" w:cs="Arial" w:eastAsia="Arial" w:hAnsi="Arial"/>
          <w:sz w:val="18"/>
          <w:szCs w:val="18"/>
          <w:u w:val="single" w:color="auto"/>
          <w:color w:val="0000EE"/>
        </w:rPr>
      </w:pPr>
      <w:r>
        <w:rPr>
          <w:rFonts w:ascii="Arial" w:cs="Arial" w:eastAsia="Arial" w:hAnsi="Arial"/>
          <w:sz w:val="18"/>
          <w:szCs w:val="18"/>
          <w:color w:val="auto"/>
        </w:rPr>
        <w:t>3.4</w:t>
      </w:r>
      <w:r>
        <w:rPr>
          <w:sz w:val="20"/>
          <w:szCs w:val="20"/>
          <w:color w:val="auto"/>
        </w:rPr>
        <w:tab/>
      </w:r>
      <w:hyperlink w:anchor="page215">
        <w:r>
          <w:rPr>
            <w:rFonts w:ascii="Arial" w:cs="Arial" w:eastAsia="Arial" w:hAnsi="Arial"/>
            <w:sz w:val="18"/>
            <w:szCs w:val="18"/>
            <w:u w:val="single" w:color="auto"/>
            <w:color w:val="0000EE"/>
          </w:rPr>
          <w:t>Bylaws.*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-130175</wp:posOffset>
            </wp:positionV>
            <wp:extent cx="5143500" cy="1797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720"/>
        <w:spacing w:after="0"/>
        <w:tabs>
          <w:tab w:leader="none" w:pos="1280" w:val="left"/>
        </w:tabs>
        <w:rPr>
          <w:rFonts w:ascii="Arial" w:cs="Arial" w:eastAsia="Arial" w:hAnsi="Arial"/>
          <w:sz w:val="18"/>
          <w:szCs w:val="18"/>
          <w:u w:val="single" w:color="auto"/>
          <w:color w:val="0000EE"/>
        </w:rPr>
      </w:pPr>
      <w:r>
        <w:rPr>
          <w:rFonts w:ascii="Arial" w:cs="Arial" w:eastAsia="Arial" w:hAnsi="Arial"/>
          <w:sz w:val="18"/>
          <w:szCs w:val="18"/>
          <w:color w:val="auto"/>
        </w:rPr>
        <w:t>4.1</w:t>
      </w:r>
      <w:r>
        <w:rPr>
          <w:sz w:val="20"/>
          <w:szCs w:val="20"/>
          <w:color w:val="auto"/>
        </w:rPr>
        <w:tab/>
      </w:r>
      <w:hyperlink w:anchor="page239">
        <w:r>
          <w:rPr>
            <w:rFonts w:ascii="Arial" w:cs="Arial" w:eastAsia="Arial" w:hAnsi="Arial"/>
            <w:sz w:val="18"/>
            <w:szCs w:val="18"/>
            <w:u w:val="single" w:color="auto"/>
            <w:color w:val="0000EE"/>
          </w:rPr>
          <w:t>Specimen Class A Common Stock Certificate.*</w:t>
        </w:r>
      </w:hyperlink>
    </w:p>
    <w:p>
      <w:pPr>
        <w:spacing w:after="0" w:line="77" w:lineRule="exact"/>
        <w:rPr>
          <w:sz w:val="20"/>
          <w:szCs w:val="20"/>
          <w:color w:val="auto"/>
        </w:rPr>
      </w:pPr>
    </w:p>
    <w:p>
      <w:pPr>
        <w:ind w:left="720"/>
        <w:spacing w:after="0"/>
        <w:tabs>
          <w:tab w:leader="none" w:pos="1280" w:val="left"/>
        </w:tabs>
        <w:rPr>
          <w:rFonts w:ascii="Arial" w:cs="Arial" w:eastAsia="Arial" w:hAnsi="Arial"/>
          <w:sz w:val="17"/>
          <w:szCs w:val="17"/>
          <w:u w:val="single" w:color="auto"/>
          <w:color w:val="0000EE"/>
        </w:rPr>
      </w:pPr>
      <w:r>
        <w:rPr>
          <w:rFonts w:ascii="Arial" w:cs="Arial" w:eastAsia="Arial" w:hAnsi="Arial"/>
          <w:sz w:val="18"/>
          <w:szCs w:val="18"/>
          <w:color w:val="auto"/>
        </w:rPr>
        <w:t>5.1</w:t>
      </w:r>
      <w:r>
        <w:rPr>
          <w:sz w:val="20"/>
          <w:szCs w:val="20"/>
          <w:color w:val="auto"/>
        </w:rPr>
        <w:tab/>
      </w:r>
      <w:hyperlink w:anchor="page242">
        <w:r>
          <w:rPr>
            <w:rFonts w:ascii="Arial" w:cs="Arial" w:eastAsia="Arial" w:hAnsi="Arial"/>
            <w:sz w:val="17"/>
            <w:szCs w:val="17"/>
            <w:u w:val="single" w:color="auto"/>
            <w:color w:val="0000EE"/>
          </w:rPr>
          <w:t>Opinion of White &amp; Case LLP.*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-130175</wp:posOffset>
            </wp:positionV>
            <wp:extent cx="5143500" cy="1797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1300" w:right="479" w:hanging="640"/>
        <w:spacing w:after="0" w:line="246" w:lineRule="auto"/>
        <w:tabs>
          <w:tab w:leader="none" w:pos="1280" w:val="left"/>
        </w:tabs>
        <w:rPr>
          <w:rFonts w:ascii="Arial" w:cs="Arial" w:eastAsia="Arial" w:hAnsi="Arial"/>
          <w:sz w:val="18"/>
          <w:szCs w:val="18"/>
          <w:u w:val="single" w:color="auto"/>
          <w:color w:val="0000EE"/>
        </w:rPr>
      </w:pPr>
      <w:r>
        <w:rPr>
          <w:rFonts w:ascii="Arial" w:cs="Arial" w:eastAsia="Arial" w:hAnsi="Arial"/>
          <w:sz w:val="18"/>
          <w:szCs w:val="18"/>
          <w:color w:val="auto"/>
        </w:rPr>
        <w:t>10.1</w:t>
      </w:r>
      <w:r>
        <w:rPr>
          <w:sz w:val="20"/>
          <w:szCs w:val="20"/>
          <w:color w:val="auto"/>
        </w:rPr>
        <w:tab/>
      </w:r>
      <w:hyperlink w:anchor="page245">
        <w:r>
          <w:rPr>
            <w:rFonts w:ascii="Arial" w:cs="Arial" w:eastAsia="Arial" w:hAnsi="Arial"/>
            <w:sz w:val="18"/>
            <w:szCs w:val="18"/>
            <w:u w:val="single" w:color="auto"/>
            <w:color w:val="0000EE"/>
          </w:rPr>
          <w:t>Form of Letter Agreement among the Registrant, FS Development Holdings, LLC and each</w:t>
        </w:r>
      </w:hyperlink>
      <w:r>
        <w:rPr>
          <w:rFonts w:ascii="Arial" w:cs="Arial" w:eastAsia="Arial" w:hAnsi="Arial"/>
          <w:sz w:val="18"/>
          <w:szCs w:val="18"/>
          <w:u w:val="single" w:color="auto"/>
          <w:color w:val="0000EE"/>
        </w:rPr>
        <w:t xml:space="preserve"> </w:t>
      </w:r>
      <w:hyperlink w:anchor="page245">
        <w:r>
          <w:rPr>
            <w:rFonts w:ascii="Arial" w:cs="Arial" w:eastAsia="Arial" w:hAnsi="Arial"/>
            <w:sz w:val="18"/>
            <w:szCs w:val="18"/>
            <w:u w:val="single" w:color="auto"/>
            <w:color w:val="0000EE"/>
          </w:rPr>
          <w:t>of the executive officers and directors of the Registrant.*</w:t>
        </w:r>
      </w:hyperlink>
    </w:p>
    <w:p>
      <w:pPr>
        <w:spacing w:after="0" w:line="21" w:lineRule="exact"/>
        <w:rPr>
          <w:sz w:val="20"/>
          <w:szCs w:val="20"/>
          <w:color w:val="auto"/>
        </w:rPr>
      </w:pPr>
    </w:p>
    <w:p>
      <w:pPr>
        <w:ind w:left="1300" w:right="599" w:hanging="640"/>
        <w:spacing w:after="0" w:line="246" w:lineRule="auto"/>
        <w:tabs>
          <w:tab w:leader="none" w:pos="1280" w:val="left"/>
        </w:tabs>
        <w:rPr>
          <w:rFonts w:ascii="Arial" w:cs="Arial" w:eastAsia="Arial" w:hAnsi="Arial"/>
          <w:sz w:val="18"/>
          <w:szCs w:val="18"/>
          <w:u w:val="single" w:color="auto"/>
          <w:color w:val="0000EE"/>
        </w:rPr>
      </w:pPr>
      <w:r>
        <w:rPr>
          <w:rFonts w:ascii="Arial" w:cs="Arial" w:eastAsia="Arial" w:hAnsi="Arial"/>
          <w:sz w:val="18"/>
          <w:szCs w:val="18"/>
          <w:color w:val="auto"/>
        </w:rPr>
        <w:t>10.2</w:t>
      </w:r>
      <w:r>
        <w:rPr>
          <w:sz w:val="20"/>
          <w:szCs w:val="20"/>
          <w:color w:val="auto"/>
        </w:rPr>
        <w:tab/>
      </w:r>
      <w:hyperlink w:anchor="page252">
        <w:r>
          <w:rPr>
            <w:rFonts w:ascii="Arial" w:cs="Arial" w:eastAsia="Arial" w:hAnsi="Arial"/>
            <w:sz w:val="18"/>
            <w:szCs w:val="18"/>
            <w:u w:val="single" w:color="auto"/>
            <w:color w:val="0000EE"/>
          </w:rPr>
          <w:t>Form of Investment Management Trust Agreement between Continental Stock Transfer &amp;</w:t>
        </w:r>
      </w:hyperlink>
      <w:r>
        <w:rPr>
          <w:rFonts w:ascii="Arial" w:cs="Arial" w:eastAsia="Arial" w:hAnsi="Arial"/>
          <w:sz w:val="18"/>
          <w:szCs w:val="18"/>
          <w:u w:val="single" w:color="auto"/>
          <w:color w:val="0000EE"/>
        </w:rPr>
        <w:t xml:space="preserve"> </w:t>
      </w:r>
      <w:hyperlink w:anchor="page252">
        <w:r>
          <w:rPr>
            <w:rFonts w:ascii="Arial" w:cs="Arial" w:eastAsia="Arial" w:hAnsi="Arial"/>
            <w:sz w:val="18"/>
            <w:szCs w:val="18"/>
            <w:u w:val="single" w:color="auto"/>
            <w:color w:val="0000EE"/>
          </w:rPr>
          <w:t>Trust Company and the Registrant.*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-267970</wp:posOffset>
            </wp:positionV>
            <wp:extent cx="5143500" cy="28257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00" cy="282575"/>
                    </a:xfrm>
                    <a:prstGeom prst="rect">
                      <a:avLst/>
                    </a:prstGeom>
                    <a:noFill/>
                  </pic:spPr>
                </pic:pic>
              </a:graphicData>
            </a:graphic>
          </wp:anchor>
        </w:drawing>
      </w:r>
    </w:p>
    <w:p>
      <w:pPr>
        <w:spacing w:after="0" w:line="1" w:lineRule="exact"/>
        <w:rPr>
          <w:sz w:val="20"/>
          <w:szCs w:val="20"/>
          <w:color w:val="auto"/>
        </w:rPr>
      </w:pPr>
    </w:p>
    <w:p>
      <w:pPr>
        <w:ind w:left="1300" w:right="579" w:hanging="640"/>
        <w:spacing w:after="0" w:line="246" w:lineRule="auto"/>
        <w:tabs>
          <w:tab w:leader="none" w:pos="1280" w:val="left"/>
        </w:tabs>
        <w:rPr>
          <w:rFonts w:ascii="Arial" w:cs="Arial" w:eastAsia="Arial" w:hAnsi="Arial"/>
          <w:sz w:val="18"/>
          <w:szCs w:val="18"/>
          <w:u w:val="single" w:color="auto"/>
          <w:color w:val="0000EE"/>
        </w:rPr>
      </w:pPr>
      <w:r>
        <w:rPr>
          <w:rFonts w:ascii="Arial" w:cs="Arial" w:eastAsia="Arial" w:hAnsi="Arial"/>
          <w:sz w:val="18"/>
          <w:szCs w:val="18"/>
          <w:color w:val="auto"/>
        </w:rPr>
        <w:t>10.3</w:t>
      </w:r>
      <w:r>
        <w:rPr>
          <w:sz w:val="20"/>
          <w:szCs w:val="20"/>
          <w:color w:val="auto"/>
        </w:rPr>
        <w:tab/>
      </w:r>
      <w:hyperlink w:anchor="page266">
        <w:r>
          <w:rPr>
            <w:rFonts w:ascii="Arial" w:cs="Arial" w:eastAsia="Arial" w:hAnsi="Arial"/>
            <w:sz w:val="18"/>
            <w:szCs w:val="18"/>
            <w:u w:val="single" w:color="auto"/>
            <w:color w:val="0000EE"/>
          </w:rPr>
          <w:t>Form of Registration Rights Agreement among the Registrant, FS Development Holdings,</w:t>
        </w:r>
      </w:hyperlink>
      <w:r>
        <w:rPr>
          <w:rFonts w:ascii="Arial" w:cs="Arial" w:eastAsia="Arial" w:hAnsi="Arial"/>
          <w:sz w:val="18"/>
          <w:szCs w:val="18"/>
          <w:u w:val="single" w:color="auto"/>
          <w:color w:val="0000EE"/>
        </w:rPr>
        <w:t xml:space="preserve"> </w:t>
      </w:r>
      <w:hyperlink w:anchor="page266">
        <w:r>
          <w:rPr>
            <w:rFonts w:ascii="Arial" w:cs="Arial" w:eastAsia="Arial" w:hAnsi="Arial"/>
            <w:sz w:val="18"/>
            <w:szCs w:val="18"/>
            <w:u w:val="single" w:color="auto"/>
            <w:color w:val="0000EE"/>
          </w:rPr>
          <w:t>LLC and the Holders signatory thereto.*</w:t>
        </w:r>
      </w:hyperlink>
    </w:p>
    <w:p>
      <w:pPr>
        <w:spacing w:after="0" w:line="21" w:lineRule="exact"/>
        <w:rPr>
          <w:sz w:val="20"/>
          <w:szCs w:val="20"/>
          <w:color w:val="auto"/>
        </w:rPr>
      </w:pPr>
    </w:p>
    <w:p>
      <w:pPr>
        <w:ind w:left="1300" w:right="859" w:hanging="640"/>
        <w:spacing w:after="0" w:line="246" w:lineRule="auto"/>
        <w:tabs>
          <w:tab w:leader="none" w:pos="1280" w:val="left"/>
        </w:tabs>
        <w:rPr>
          <w:rFonts w:ascii="Arial" w:cs="Arial" w:eastAsia="Arial" w:hAnsi="Arial"/>
          <w:sz w:val="18"/>
          <w:szCs w:val="18"/>
          <w:u w:val="single" w:color="auto"/>
          <w:color w:val="0000EE"/>
        </w:rPr>
      </w:pPr>
      <w:r>
        <w:rPr>
          <w:rFonts w:ascii="Arial" w:cs="Arial" w:eastAsia="Arial" w:hAnsi="Arial"/>
          <w:sz w:val="18"/>
          <w:szCs w:val="18"/>
          <w:color w:val="auto"/>
        </w:rPr>
        <w:t>10.4</w:t>
      </w:r>
      <w:r>
        <w:rPr>
          <w:sz w:val="20"/>
          <w:szCs w:val="20"/>
          <w:color w:val="auto"/>
        </w:rPr>
        <w:tab/>
      </w:r>
      <w:hyperlink w:anchor="page282">
        <w:r>
          <w:rPr>
            <w:rFonts w:ascii="Arial" w:cs="Arial" w:eastAsia="Arial" w:hAnsi="Arial"/>
            <w:sz w:val="18"/>
            <w:szCs w:val="18"/>
            <w:u w:val="single" w:color="auto"/>
            <w:color w:val="0000EE"/>
          </w:rPr>
          <w:t>Form of Private Placement Class A Common Stock Purchase Agreement between the</w:t>
        </w:r>
      </w:hyperlink>
      <w:r>
        <w:rPr>
          <w:rFonts w:ascii="Arial" w:cs="Arial" w:eastAsia="Arial" w:hAnsi="Arial"/>
          <w:sz w:val="18"/>
          <w:szCs w:val="18"/>
          <w:u w:val="single" w:color="auto"/>
          <w:color w:val="0000EE"/>
        </w:rPr>
        <w:t xml:space="preserve"> </w:t>
      </w:r>
      <w:hyperlink w:anchor="page282">
        <w:r>
          <w:rPr>
            <w:rFonts w:ascii="Arial" w:cs="Arial" w:eastAsia="Arial" w:hAnsi="Arial"/>
            <w:sz w:val="18"/>
            <w:szCs w:val="18"/>
            <w:u w:val="single" w:color="auto"/>
            <w:color w:val="0000EE"/>
          </w:rPr>
          <w:t>Registrant and FS Development Holdings,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-267970</wp:posOffset>
            </wp:positionV>
            <wp:extent cx="5143500" cy="2832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3500" cy="283210"/>
                    </a:xfrm>
                    <a:prstGeom prst="rect">
                      <a:avLst/>
                    </a:prstGeom>
                    <a:noFill/>
                  </pic:spPr>
                </pic:pic>
              </a:graphicData>
            </a:graphic>
          </wp:anchor>
        </w:drawing>
      </w:r>
    </w:p>
    <w:p>
      <w:pPr>
        <w:spacing w:after="0" w:line="1" w:lineRule="exact"/>
        <w:rPr>
          <w:sz w:val="20"/>
          <w:szCs w:val="20"/>
          <w:color w:val="auto"/>
        </w:rPr>
      </w:pPr>
    </w:p>
    <w:p>
      <w:pPr>
        <w:ind w:left="660"/>
        <w:spacing w:after="0"/>
        <w:tabs>
          <w:tab w:leader="none" w:pos="1280" w:val="left"/>
        </w:tabs>
        <w:rPr>
          <w:rFonts w:ascii="Arial" w:cs="Arial" w:eastAsia="Arial" w:hAnsi="Arial"/>
          <w:sz w:val="17"/>
          <w:szCs w:val="17"/>
          <w:u w:val="single" w:color="auto"/>
          <w:color w:val="0000EE"/>
        </w:rPr>
      </w:pPr>
      <w:r>
        <w:rPr>
          <w:rFonts w:ascii="Arial" w:cs="Arial" w:eastAsia="Arial" w:hAnsi="Arial"/>
          <w:sz w:val="18"/>
          <w:szCs w:val="18"/>
          <w:color w:val="auto"/>
        </w:rPr>
        <w:t>10.5</w:t>
      </w:r>
      <w:r>
        <w:rPr>
          <w:sz w:val="20"/>
          <w:szCs w:val="20"/>
          <w:color w:val="auto"/>
        </w:rPr>
        <w:tab/>
      </w:r>
      <w:hyperlink w:anchor="page289">
        <w:r>
          <w:rPr>
            <w:rFonts w:ascii="Arial" w:cs="Arial" w:eastAsia="Arial" w:hAnsi="Arial"/>
            <w:sz w:val="17"/>
            <w:szCs w:val="17"/>
            <w:u w:val="single" w:color="auto"/>
            <w:color w:val="0000EE"/>
          </w:rPr>
          <w:t>Form of Indemnity Agreement.*</w:t>
        </w:r>
      </w:hyperlink>
    </w:p>
    <w:p>
      <w:pPr>
        <w:spacing w:after="0" w:line="77" w:lineRule="exact"/>
        <w:rPr>
          <w:sz w:val="20"/>
          <w:szCs w:val="20"/>
          <w:color w:val="auto"/>
        </w:rPr>
      </w:pPr>
    </w:p>
    <w:p>
      <w:pPr>
        <w:ind w:left="660"/>
        <w:spacing w:after="0"/>
        <w:tabs>
          <w:tab w:leader="none" w:pos="1280" w:val="left"/>
        </w:tabs>
        <w:rPr>
          <w:rFonts w:ascii="Arial" w:cs="Arial" w:eastAsia="Arial" w:hAnsi="Arial"/>
          <w:sz w:val="18"/>
          <w:szCs w:val="18"/>
          <w:u w:val="single" w:color="auto"/>
          <w:color w:val="0000EE"/>
        </w:rPr>
      </w:pPr>
      <w:r>
        <w:rPr>
          <w:rFonts w:ascii="Arial" w:cs="Arial" w:eastAsia="Arial" w:hAnsi="Arial"/>
          <w:sz w:val="18"/>
          <w:szCs w:val="18"/>
          <w:color w:val="auto"/>
        </w:rPr>
        <w:t>10.6</w:t>
      </w:r>
      <w:r>
        <w:rPr>
          <w:sz w:val="20"/>
          <w:szCs w:val="20"/>
          <w:color w:val="auto"/>
        </w:rPr>
        <w:tab/>
      </w:r>
      <w:hyperlink w:anchor="page305">
        <w:r>
          <w:rPr>
            <w:rFonts w:ascii="Arial" w:cs="Arial" w:eastAsia="Arial" w:hAnsi="Arial"/>
            <w:sz w:val="18"/>
            <w:szCs w:val="18"/>
            <w:u w:val="single" w:color="auto"/>
            <w:color w:val="0000EE"/>
          </w:rPr>
          <w:t>Promissory Note issued to FS Development Holdings,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-130175</wp:posOffset>
            </wp:positionV>
            <wp:extent cx="5143500" cy="1797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1300" w:right="519" w:hanging="640"/>
        <w:spacing w:after="0" w:line="246" w:lineRule="auto"/>
        <w:tabs>
          <w:tab w:leader="none" w:pos="1280" w:val="left"/>
        </w:tabs>
        <w:rPr>
          <w:rFonts w:ascii="Arial" w:cs="Arial" w:eastAsia="Arial" w:hAnsi="Arial"/>
          <w:sz w:val="18"/>
          <w:szCs w:val="18"/>
          <w:u w:val="single" w:color="auto"/>
          <w:color w:val="0000EE"/>
        </w:rPr>
      </w:pPr>
      <w:r>
        <w:rPr>
          <w:rFonts w:ascii="Arial" w:cs="Arial" w:eastAsia="Arial" w:hAnsi="Arial"/>
          <w:sz w:val="18"/>
          <w:szCs w:val="18"/>
          <w:color w:val="auto"/>
        </w:rPr>
        <w:t>10.7</w:t>
      </w:r>
      <w:r>
        <w:rPr>
          <w:sz w:val="20"/>
          <w:szCs w:val="20"/>
          <w:color w:val="auto"/>
        </w:rPr>
        <w:tab/>
      </w:r>
      <w:hyperlink w:anchor="page309">
        <w:r>
          <w:rPr>
            <w:rFonts w:ascii="Arial" w:cs="Arial" w:eastAsia="Arial" w:hAnsi="Arial"/>
            <w:sz w:val="18"/>
            <w:szCs w:val="18"/>
            <w:u w:val="single" w:color="auto"/>
            <w:color w:val="0000EE"/>
          </w:rPr>
          <w:t>Securities Subscription Agreement between the Registrant and FS Development Holdings,</w:t>
        </w:r>
      </w:hyperlink>
      <w:r>
        <w:rPr>
          <w:rFonts w:ascii="Arial" w:cs="Arial" w:eastAsia="Arial" w:hAnsi="Arial"/>
          <w:sz w:val="18"/>
          <w:szCs w:val="18"/>
          <w:u w:val="single" w:color="auto"/>
          <w:color w:val="0000EE"/>
        </w:rPr>
        <w:t xml:space="preserve"> </w:t>
      </w:r>
      <w:hyperlink w:anchor="page309">
        <w:r>
          <w:rPr>
            <w:rFonts w:ascii="Arial" w:cs="Arial" w:eastAsia="Arial" w:hAnsi="Arial"/>
            <w:sz w:val="18"/>
            <w:szCs w:val="18"/>
            <w:u w:val="single" w:color="auto"/>
            <w:color w:val="0000EE"/>
          </w:rPr>
          <w:t>LLC.*</w:t>
        </w:r>
      </w:hyperlink>
    </w:p>
    <w:p>
      <w:pPr>
        <w:spacing w:after="0" w:line="21" w:lineRule="exact"/>
        <w:rPr>
          <w:sz w:val="20"/>
          <w:szCs w:val="20"/>
          <w:color w:val="auto"/>
        </w:rPr>
      </w:pPr>
    </w:p>
    <w:p>
      <w:pPr>
        <w:ind w:left="1300" w:right="599" w:hanging="640"/>
        <w:spacing w:after="0" w:line="246" w:lineRule="auto"/>
        <w:tabs>
          <w:tab w:leader="none" w:pos="1280" w:val="left"/>
        </w:tabs>
        <w:rPr>
          <w:rFonts w:ascii="Arial" w:cs="Arial" w:eastAsia="Arial" w:hAnsi="Arial"/>
          <w:sz w:val="18"/>
          <w:szCs w:val="18"/>
          <w:u w:val="single" w:color="auto"/>
          <w:color w:val="0000EE"/>
        </w:rPr>
      </w:pPr>
      <w:r>
        <w:rPr>
          <w:rFonts w:ascii="Arial" w:cs="Arial" w:eastAsia="Arial" w:hAnsi="Arial"/>
          <w:sz w:val="18"/>
          <w:szCs w:val="18"/>
          <w:color w:val="auto"/>
        </w:rPr>
        <w:t>10.8</w:t>
      </w:r>
      <w:r>
        <w:rPr>
          <w:sz w:val="20"/>
          <w:szCs w:val="20"/>
          <w:color w:val="auto"/>
        </w:rPr>
        <w:tab/>
      </w:r>
      <w:hyperlink w:anchor="page318">
        <w:r>
          <w:rPr>
            <w:rFonts w:ascii="Arial" w:cs="Arial" w:eastAsia="Arial" w:hAnsi="Arial"/>
            <w:sz w:val="18"/>
            <w:szCs w:val="18"/>
            <w:u w:val="single" w:color="auto"/>
            <w:color w:val="0000EE"/>
          </w:rPr>
          <w:t>Form of Administrative Services Agreement between the Registrant and FS Development</w:t>
        </w:r>
      </w:hyperlink>
      <w:r>
        <w:rPr>
          <w:rFonts w:ascii="Arial" w:cs="Arial" w:eastAsia="Arial" w:hAnsi="Arial"/>
          <w:sz w:val="18"/>
          <w:szCs w:val="18"/>
          <w:u w:val="single" w:color="auto"/>
          <w:color w:val="0000EE"/>
        </w:rPr>
        <w:t xml:space="preserve"> </w:t>
      </w:r>
      <w:hyperlink w:anchor="page318">
        <w:r>
          <w:rPr>
            <w:rFonts w:ascii="Arial" w:cs="Arial" w:eastAsia="Arial" w:hAnsi="Arial"/>
            <w:sz w:val="18"/>
            <w:szCs w:val="18"/>
            <w:u w:val="single" w:color="auto"/>
            <w:color w:val="0000EE"/>
          </w:rPr>
          <w:t>Holdings,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-267970</wp:posOffset>
            </wp:positionV>
            <wp:extent cx="5143500" cy="2832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00" cy="283210"/>
                    </a:xfrm>
                    <a:prstGeom prst="rect">
                      <a:avLst/>
                    </a:prstGeom>
                    <a:noFill/>
                  </pic:spPr>
                </pic:pic>
              </a:graphicData>
            </a:graphic>
          </wp:anchor>
        </w:drawing>
      </w:r>
    </w:p>
    <w:p>
      <w:pPr>
        <w:spacing w:after="0" w:line="1" w:lineRule="exact"/>
        <w:rPr>
          <w:sz w:val="20"/>
          <w:szCs w:val="20"/>
          <w:color w:val="auto"/>
        </w:rPr>
      </w:pPr>
    </w:p>
    <w:p>
      <w:pPr>
        <w:ind w:left="1300" w:hanging="561"/>
        <w:spacing w:after="0"/>
        <w:tabs>
          <w:tab w:leader="none" w:pos="1300" w:val="left"/>
        </w:tabs>
        <w:numPr>
          <w:ilvl w:val="0"/>
          <w:numId w:val="93"/>
        </w:numPr>
        <w:rPr>
          <w:rFonts w:ascii="Arial" w:cs="Arial" w:eastAsia="Arial" w:hAnsi="Arial"/>
          <w:sz w:val="18"/>
          <w:szCs w:val="18"/>
          <w:u w:val="single" w:color="auto"/>
          <w:color w:val="0000EE"/>
        </w:rPr>
      </w:pPr>
      <w:hyperlink w:anchor="page321">
        <w:r>
          <w:rPr>
            <w:rFonts w:ascii="Arial" w:cs="Arial" w:eastAsia="Arial" w:hAnsi="Arial"/>
            <w:sz w:val="18"/>
            <w:szCs w:val="18"/>
            <w:u w:val="single" w:color="auto"/>
            <w:color w:val="0000EE"/>
          </w:rPr>
          <w:t>Form of Code of Ethics.*</w:t>
        </w:r>
      </w:hyperlink>
    </w:p>
    <w:p>
      <w:pPr>
        <w:spacing w:after="0" w:line="77" w:lineRule="exact"/>
        <w:rPr>
          <w:sz w:val="20"/>
          <w:szCs w:val="20"/>
          <w:color w:val="auto"/>
        </w:rPr>
      </w:pPr>
    </w:p>
    <w:p>
      <w:pPr>
        <w:ind w:left="660"/>
        <w:spacing w:after="0"/>
        <w:tabs>
          <w:tab w:leader="none" w:pos="1280" w:val="left"/>
        </w:tabs>
        <w:rPr>
          <w:rFonts w:ascii="Arial" w:cs="Arial" w:eastAsia="Arial" w:hAnsi="Arial"/>
          <w:sz w:val="18"/>
          <w:szCs w:val="18"/>
          <w:u w:val="single" w:color="auto"/>
          <w:color w:val="0000EE"/>
        </w:rPr>
      </w:pPr>
      <w:r>
        <w:rPr>
          <w:rFonts w:ascii="Arial" w:cs="Arial" w:eastAsia="Arial" w:hAnsi="Arial"/>
          <w:sz w:val="18"/>
          <w:szCs w:val="18"/>
          <w:color w:val="auto"/>
        </w:rPr>
        <w:t>23.1</w:t>
      </w:r>
      <w:r>
        <w:rPr>
          <w:sz w:val="20"/>
          <w:szCs w:val="20"/>
          <w:color w:val="auto"/>
        </w:rPr>
        <w:tab/>
      </w:r>
      <w:hyperlink w:anchor="page326">
        <w:r>
          <w:rPr>
            <w:rFonts w:ascii="Arial" w:cs="Arial" w:eastAsia="Arial" w:hAnsi="Arial"/>
            <w:sz w:val="18"/>
            <w:szCs w:val="18"/>
            <w:u w:val="single" w:color="auto"/>
            <w:color w:val="0000EE"/>
          </w:rPr>
          <w:t>Consent of WithumSmith+Brown, PC.*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-130175</wp:posOffset>
            </wp:positionV>
            <wp:extent cx="5143500" cy="1803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ind w:left="660"/>
        <w:spacing w:after="0"/>
        <w:tabs>
          <w:tab w:leader="none" w:pos="1280" w:val="left"/>
        </w:tabs>
        <w:rPr>
          <w:rFonts w:ascii="Arial" w:cs="Arial" w:eastAsia="Arial" w:hAnsi="Arial"/>
          <w:sz w:val="18"/>
          <w:szCs w:val="18"/>
          <w:u w:val="single" w:color="auto"/>
          <w:color w:val="0000EE"/>
        </w:rPr>
      </w:pPr>
      <w:r>
        <w:rPr>
          <w:rFonts w:ascii="Arial" w:cs="Arial" w:eastAsia="Arial" w:hAnsi="Arial"/>
          <w:sz w:val="18"/>
          <w:szCs w:val="18"/>
          <w:color w:val="auto"/>
        </w:rPr>
        <w:t>23.2</w:t>
      </w:r>
      <w:r>
        <w:rPr>
          <w:sz w:val="20"/>
          <w:szCs w:val="20"/>
          <w:color w:val="auto"/>
        </w:rPr>
        <w:tab/>
      </w:r>
      <w:hyperlink w:anchor="page242">
        <w:r>
          <w:rPr>
            <w:rFonts w:ascii="Arial" w:cs="Arial" w:eastAsia="Arial" w:hAnsi="Arial"/>
            <w:sz w:val="18"/>
            <w:szCs w:val="18"/>
            <w:u w:val="single" w:color="auto"/>
            <w:color w:val="0000EE"/>
          </w:rPr>
          <w:t>Consent of White &amp; Case LLP (included on Exhibit 5.1).*</w:t>
        </w:r>
      </w:hyperlink>
    </w:p>
    <w:p>
      <w:pPr>
        <w:spacing w:after="0" w:line="77" w:lineRule="exact"/>
        <w:rPr>
          <w:sz w:val="20"/>
          <w:szCs w:val="20"/>
          <w:color w:val="auto"/>
        </w:rPr>
      </w:pPr>
    </w:p>
    <w:p>
      <w:pPr>
        <w:ind w:left="660" w:right="3759" w:firstLine="79"/>
        <w:spacing w:after="0" w:line="328" w:lineRule="auto"/>
        <w:tabs>
          <w:tab w:leader="none" w:pos="1301" w:val="left"/>
        </w:tabs>
        <w:numPr>
          <w:ilvl w:val="0"/>
          <w:numId w:val="94"/>
        </w:numPr>
        <w:rPr>
          <w:rFonts w:ascii="Arial" w:cs="Arial" w:eastAsia="Arial" w:hAnsi="Arial"/>
          <w:sz w:val="18"/>
          <w:szCs w:val="18"/>
          <w:color w:val="000000"/>
        </w:rPr>
      </w:pPr>
      <w:hyperlink r:id="rId211">
        <w:r>
          <w:rPr>
            <w:rFonts w:ascii="Arial" w:cs="Arial" w:eastAsia="Arial" w:hAnsi="Arial"/>
            <w:sz w:val="18"/>
            <w:szCs w:val="18"/>
            <w:u w:val="single" w:color="auto"/>
            <w:color w:val="0000EE"/>
          </w:rPr>
          <w:t>Power of Attorney (included on signature page).**</w:t>
        </w:r>
      </w:hyperlink>
      <w:r>
        <w:rPr>
          <w:rFonts w:ascii="Arial" w:cs="Arial" w:eastAsia="Arial" w:hAnsi="Arial"/>
          <w:sz w:val="18"/>
          <w:szCs w:val="18"/>
          <w:u w:val="single" w:color="auto"/>
          <w:color w:val="0000EE"/>
        </w:rPr>
        <w:t xml:space="preserve"> </w:t>
      </w:r>
      <w:r>
        <w:rPr>
          <w:rFonts w:ascii="Arial" w:cs="Arial" w:eastAsia="Arial" w:hAnsi="Arial"/>
          <w:sz w:val="18"/>
          <w:szCs w:val="18"/>
          <w:color w:val="000000"/>
        </w:rPr>
        <w:t xml:space="preserve">99.1 </w:t>
      </w:r>
      <w:hyperlink w:anchor="page327">
        <w:r>
          <w:rPr>
            <w:rFonts w:ascii="Arial" w:cs="Arial" w:eastAsia="Arial" w:hAnsi="Arial"/>
            <w:sz w:val="18"/>
            <w:szCs w:val="18"/>
            <w:u w:val="single" w:color="auto"/>
            <w:color w:val="0000EE"/>
          </w:rPr>
          <w:t>Form of Audit Committee Charter.*</w:t>
        </w:r>
      </w:hyperlink>
    </w:p>
    <w:p>
      <w:pPr>
        <w:spacing w:after="0" w:line="1" w:lineRule="exact"/>
        <w:rPr>
          <w:rFonts w:ascii="Arial" w:cs="Arial" w:eastAsia="Arial" w:hAnsi="Arial"/>
          <w:sz w:val="18"/>
          <w:szCs w:val="18"/>
          <w:color w:val="000000"/>
        </w:rPr>
      </w:pPr>
    </w:p>
    <w:p>
      <w:pPr>
        <w:ind w:left="660"/>
        <w:spacing w:after="0"/>
        <w:rPr>
          <w:rFonts w:ascii="Arial" w:cs="Arial" w:eastAsia="Arial" w:hAnsi="Arial"/>
          <w:sz w:val="18"/>
          <w:szCs w:val="18"/>
          <w:color w:val="auto"/>
        </w:rPr>
      </w:pPr>
      <w:r>
        <w:rPr>
          <w:rFonts w:ascii="Arial" w:cs="Arial" w:eastAsia="Arial" w:hAnsi="Arial"/>
          <w:sz w:val="18"/>
          <w:szCs w:val="18"/>
          <w:color w:val="auto"/>
        </w:rPr>
        <w:t xml:space="preserve">99.2   </w:t>
      </w:r>
      <w:hyperlink w:anchor="page334">
        <w:r>
          <w:rPr>
            <w:rFonts w:ascii="Arial" w:cs="Arial" w:eastAsia="Arial" w:hAnsi="Arial"/>
            <w:sz w:val="18"/>
            <w:szCs w:val="18"/>
            <w:u w:val="single" w:color="auto"/>
            <w:color w:val="0000EE"/>
          </w:rPr>
          <w:t>Form of Compensation Committee Charter.*</w:t>
        </w:r>
      </w:hyperlink>
    </w:p>
    <w:p>
      <w:pPr>
        <w:spacing w:after="0" w:line="76"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 xml:space="preserve">99.3   </w:t>
      </w:r>
      <w:hyperlink w:anchor="page338">
        <w:r>
          <w:rPr>
            <w:rFonts w:ascii="Arial" w:cs="Arial" w:eastAsia="Arial" w:hAnsi="Arial"/>
            <w:sz w:val="18"/>
            <w:szCs w:val="18"/>
            <w:u w:val="single" w:color="auto"/>
            <w:color w:val="0000EE"/>
          </w:rPr>
          <w:t>Form of Nominating &amp; Corporate Governance Committee Charter.*</w:t>
        </w:r>
      </w:hyperlink>
    </w:p>
    <w:p>
      <w:pPr>
        <w:spacing w:after="0" w:line="76"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 xml:space="preserve">99.4   </w:t>
      </w:r>
      <w:hyperlink r:id="rId212">
        <w:r>
          <w:rPr>
            <w:rFonts w:ascii="Arial" w:cs="Arial" w:eastAsia="Arial" w:hAnsi="Arial"/>
            <w:sz w:val="18"/>
            <w:szCs w:val="18"/>
            <w:u w:val="single" w:color="auto"/>
            <w:color w:val="0000EE"/>
          </w:rPr>
          <w:t>Consent of Robert Carey.**</w:t>
        </w:r>
      </w:hyperlink>
    </w:p>
    <w:p>
      <w:pPr>
        <w:spacing w:after="0" w:line="76"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 xml:space="preserve">99.5   </w:t>
      </w:r>
      <w:hyperlink r:id="rId213">
        <w:r>
          <w:rPr>
            <w:rFonts w:ascii="Arial" w:cs="Arial" w:eastAsia="Arial" w:hAnsi="Arial"/>
            <w:sz w:val="18"/>
            <w:szCs w:val="18"/>
            <w:u w:val="single" w:color="auto"/>
            <w:color w:val="0000EE"/>
          </w:rPr>
          <w:t>Consent of Daniel Dubin.**</w:t>
        </w:r>
      </w:hyperlink>
    </w:p>
    <w:p>
      <w:pPr>
        <w:spacing w:after="0" w:line="76"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 xml:space="preserve">99.6   </w:t>
      </w:r>
      <w:hyperlink r:id="rId214">
        <w:r>
          <w:rPr>
            <w:rFonts w:ascii="Arial" w:cs="Arial" w:eastAsia="Arial" w:hAnsi="Arial"/>
            <w:sz w:val="18"/>
            <w:szCs w:val="18"/>
            <w:u w:val="single" w:color="auto"/>
            <w:color w:val="0000EE"/>
          </w:rPr>
          <w:t>Consent of Deepa Pakianathan.**</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288290</wp:posOffset>
            </wp:positionH>
            <wp:positionV relativeFrom="paragraph">
              <wp:posOffset>-1210310</wp:posOffset>
            </wp:positionV>
            <wp:extent cx="5143500" cy="1797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5">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-850265</wp:posOffset>
            </wp:positionV>
            <wp:extent cx="5143500" cy="1797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6">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-490220</wp:posOffset>
            </wp:positionV>
            <wp:extent cx="5143500" cy="1803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7">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-130175</wp:posOffset>
            </wp:positionV>
            <wp:extent cx="5143500" cy="1803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8">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113" w:lineRule="exact"/>
        <w:rPr>
          <w:rFonts w:ascii="Arial" w:cs="Arial" w:eastAsia="Arial" w:hAnsi="Arial"/>
          <w:sz w:val="18"/>
          <w:szCs w:val="18"/>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92" w:lineRule="exact"/>
        <w:rPr>
          <w:rFonts w:ascii="Arial" w:cs="Arial" w:eastAsia="Arial" w:hAnsi="Arial"/>
          <w:sz w:val="18"/>
          <w:szCs w:val="18"/>
          <w:color w:val="auto"/>
        </w:rPr>
      </w:pPr>
    </w:p>
    <w:p>
      <w:pPr>
        <w:jc w:val="both"/>
        <w:ind w:left="460" w:right="7339" w:hanging="6"/>
        <w:spacing w:after="0" w:line="230" w:lineRule="auto"/>
        <w:tabs>
          <w:tab w:leader="none" w:pos="824" w:val="left"/>
        </w:tabs>
        <w:numPr>
          <w:ilvl w:val="0"/>
          <w:numId w:val="95"/>
        </w:numPr>
        <w:rPr>
          <w:rFonts w:ascii="Arial" w:cs="Arial" w:eastAsia="Arial" w:hAnsi="Arial"/>
          <w:sz w:val="13"/>
          <w:szCs w:val="13"/>
          <w:color w:val="auto"/>
        </w:rPr>
      </w:pPr>
      <w:r>
        <w:rPr>
          <w:rFonts w:ascii="Arial" w:cs="Arial" w:eastAsia="Arial" w:hAnsi="Arial"/>
          <w:sz w:val="13"/>
          <w:szCs w:val="13"/>
          <w:color w:val="auto"/>
        </w:rPr>
        <w:t>Filed herewith. ** Previously filed.</w:t>
      </w:r>
    </w:p>
    <w:p>
      <w:pPr>
        <w:spacing w:after="0" w:line="106" w:lineRule="exact"/>
        <w:rPr>
          <w:rFonts w:ascii="Arial" w:cs="Arial" w:eastAsia="Arial" w:hAnsi="Arial"/>
          <w:sz w:val="18"/>
          <w:szCs w:val="18"/>
          <w:color w:val="auto"/>
        </w:rPr>
      </w:pPr>
    </w:p>
    <w:p>
      <w:pPr>
        <w:ind w:left="460" w:right="1079" w:hanging="6"/>
        <w:spacing w:after="0" w:line="267" w:lineRule="auto"/>
        <w:tabs>
          <w:tab w:leader="none" w:pos="730"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See page F-1 for an index to the financial statements and schedules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in the registration statement.</w:t>
      </w:r>
    </w:p>
    <w:p>
      <w:pPr>
        <w:spacing w:after="0" w:line="151"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II-6</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49" w:name="page150"/>
    <w:bookmarkEnd w:id="149"/>
    <w:p>
      <w:pPr>
        <w:ind w:left="460"/>
        <w:spacing w:after="0"/>
        <w:rPr>
          <w:sz w:val="20"/>
          <w:szCs w:val="20"/>
          <w:color w:val="auto"/>
        </w:rPr>
      </w:pPr>
      <w:r>
        <w:rPr>
          <w:rFonts w:ascii="Arial" w:cs="Arial" w:eastAsia="Arial" w:hAnsi="Arial"/>
          <w:sz w:val="18"/>
          <w:szCs w:val="18"/>
          <w:b w:val="1"/>
          <w:bCs w:val="1"/>
          <w:color w:val="auto"/>
        </w:rPr>
        <w:t>Item 17. Undertakings.</w:t>
      </w:r>
    </w:p>
    <w:p>
      <w:pPr>
        <w:spacing w:after="0" w:line="58" w:lineRule="exact"/>
        <w:rPr>
          <w:sz w:val="20"/>
          <w:szCs w:val="20"/>
          <w:color w:val="auto"/>
        </w:rPr>
      </w:pPr>
    </w:p>
    <w:p>
      <w:pPr>
        <w:ind w:left="1100" w:right="499" w:hanging="322"/>
        <w:spacing w:after="0"/>
        <w:tabs>
          <w:tab w:leader="none" w:pos="1093"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undersigned registrant hereby undertakes to provide to the underwriters at the closing specified in the underwriting agreements, certificates in such denominations and registered in such names as required by the underwriters to permit prompt delivery to each purchaser.</w:t>
      </w:r>
    </w:p>
    <w:p>
      <w:pPr>
        <w:spacing w:after="0" w:line="13" w:lineRule="exact"/>
        <w:rPr>
          <w:rFonts w:ascii="Arial" w:cs="Arial" w:eastAsia="Arial" w:hAnsi="Arial"/>
          <w:sz w:val="18"/>
          <w:szCs w:val="18"/>
          <w:color w:val="auto"/>
        </w:rPr>
      </w:pPr>
    </w:p>
    <w:p>
      <w:pPr>
        <w:ind w:left="1100" w:right="479" w:hanging="322"/>
        <w:spacing w:after="0" w:line="236" w:lineRule="auto"/>
        <w:tabs>
          <w:tab w:leader="none" w:pos="1096"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8" w:lineRule="exact"/>
        <w:rPr>
          <w:rFonts w:ascii="Arial" w:cs="Arial" w:eastAsia="Arial" w:hAnsi="Arial"/>
          <w:sz w:val="18"/>
          <w:szCs w:val="18"/>
          <w:color w:val="auto"/>
        </w:rPr>
      </w:pPr>
    </w:p>
    <w:p>
      <w:pPr>
        <w:ind w:left="1080" w:hanging="302"/>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36" w:lineRule="exact"/>
        <w:rPr>
          <w:rFonts w:ascii="Arial" w:cs="Arial" w:eastAsia="Arial" w:hAnsi="Arial"/>
          <w:sz w:val="18"/>
          <w:szCs w:val="18"/>
          <w:color w:val="auto"/>
        </w:rPr>
      </w:pPr>
    </w:p>
    <w:p>
      <w:pPr>
        <w:ind w:left="1420" w:right="519" w:hanging="318"/>
        <w:spacing w:after="0" w:line="238" w:lineRule="auto"/>
        <w:tabs>
          <w:tab w:leader="none" w:pos="1416" w:val="left"/>
        </w:tabs>
        <w:numPr>
          <w:ilvl w:val="1"/>
          <w:numId w:val="97"/>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3" w:lineRule="exact"/>
        <w:rPr>
          <w:rFonts w:ascii="Arial" w:cs="Arial" w:eastAsia="Arial" w:hAnsi="Arial"/>
          <w:sz w:val="18"/>
          <w:szCs w:val="18"/>
          <w:color w:val="auto"/>
        </w:rPr>
      </w:pPr>
    </w:p>
    <w:p>
      <w:pPr>
        <w:ind w:left="1420" w:right="599" w:hanging="318"/>
        <w:spacing w:after="0" w:line="238" w:lineRule="auto"/>
        <w:tabs>
          <w:tab w:leader="none" w:pos="1416" w:val="left"/>
        </w:tabs>
        <w:numPr>
          <w:ilvl w:val="1"/>
          <w:numId w:val="97"/>
        </w:numPr>
        <w:rPr>
          <w:rFonts w:ascii="Arial" w:cs="Arial" w:eastAsia="Arial" w:hAnsi="Arial"/>
          <w:sz w:val="18"/>
          <w:szCs w:val="18"/>
          <w:color w:val="auto"/>
        </w:rPr>
      </w:pPr>
      <w:r>
        <w:rPr>
          <w:rFonts w:ascii="Arial" w:cs="Arial" w:eastAsia="Arial" w:hAnsi="Arial"/>
          <w:sz w:val="18"/>
          <w:szCs w:val="18"/>
          <w:color w:val="auto"/>
        </w:rPr>
        <w:t xml:space="preserve">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50" w:name="page151"/>
    <w:bookmarkEnd w:id="150"/>
    <w:p>
      <w:pPr>
        <w:jc w:val="center"/>
        <w:spacing w:after="0"/>
        <w:rPr>
          <w:sz w:val="20"/>
          <w:szCs w:val="20"/>
          <w:color w:val="auto"/>
        </w:rPr>
      </w:pPr>
      <w:r>
        <w:rPr>
          <w:rFonts w:ascii="Arial" w:cs="Arial" w:eastAsia="Arial" w:hAnsi="Arial"/>
          <w:sz w:val="18"/>
          <w:szCs w:val="18"/>
          <w:b w:val="1"/>
          <w:bCs w:val="1"/>
          <w:color w:val="auto"/>
        </w:rPr>
        <w:t>SIGNATURES</w:t>
      </w:r>
    </w:p>
    <w:p>
      <w:pPr>
        <w:spacing w:after="0" w:line="166" w:lineRule="exact"/>
        <w:rPr>
          <w:sz w:val="20"/>
          <w:szCs w:val="20"/>
          <w:color w:val="auto"/>
        </w:rPr>
      </w:pPr>
    </w:p>
    <w:p>
      <w:pPr>
        <w:jc w:val="both"/>
        <w:ind w:left="460" w:right="899"/>
        <w:spacing w:after="0" w:line="255"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San Francisco, CA, on the 7</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day of August, 2020.</w:t>
      </w:r>
    </w:p>
    <w:p>
      <w:pPr>
        <w:spacing w:after="0" w:line="117"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FS DEVELOPMENT CORP.</w:t>
      </w:r>
    </w:p>
    <w:p>
      <w:pPr>
        <w:spacing w:after="0" w:line="20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By: /s/ Dennis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3528695</wp:posOffset>
            </wp:positionH>
            <wp:positionV relativeFrom="paragraph">
              <wp:posOffset>23495</wp:posOffset>
            </wp:positionV>
            <wp:extent cx="190309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1">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5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Dennis Ryan</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Chief Financial Officer</w:t>
      </w:r>
    </w:p>
    <w:p>
      <w:pPr>
        <w:spacing w:after="0" w:line="320" w:lineRule="exact"/>
        <w:rPr>
          <w:sz w:val="20"/>
          <w:szCs w:val="20"/>
          <w:color w:val="auto"/>
        </w:rPr>
      </w:pPr>
    </w:p>
    <w:p>
      <w:pPr>
        <w:ind w:left="460" w:right="599"/>
        <w:spacing w:after="0" w:line="274" w:lineRule="auto"/>
        <w:rPr>
          <w:sz w:val="20"/>
          <w:szCs w:val="20"/>
          <w:color w:val="auto"/>
        </w:rPr>
      </w:pPr>
      <w:r>
        <w:rPr>
          <w:rFonts w:ascii="Arial" w:cs="Arial" w:eastAsia="Arial" w:hAnsi="Arial"/>
          <w:sz w:val="17"/>
          <w:szCs w:val="17"/>
          <w:color w:val="auto"/>
        </w:rPr>
        <w:t>Pursuant to the requirements of the Securities Act of 1933, as amended, this Registration Statement has been signed below by the following persons in the capacities and on the dates indicated.</w:t>
      </w:r>
    </w:p>
    <w:p>
      <w:pPr>
        <w:spacing w:after="0" w:line="216"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74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100" w:type="dxa"/>
            <w:vAlign w:val="bottom"/>
            <w:gridSpan w:val="3"/>
          </w:tcPr>
          <w:p>
            <w:pPr>
              <w:ind w:left="1720"/>
              <w:spacing w:after="0"/>
              <w:rPr>
                <w:sz w:val="20"/>
                <w:szCs w:val="20"/>
                <w:color w:val="auto"/>
              </w:rPr>
            </w:pPr>
            <w:r>
              <w:rPr>
                <w:rFonts w:ascii="Arial" w:cs="Arial" w:eastAsia="Arial" w:hAnsi="Arial"/>
                <w:sz w:val="14"/>
                <w:szCs w:val="14"/>
                <w:b w:val="1"/>
                <w:bCs w:val="1"/>
                <w:color w:val="auto"/>
              </w:rPr>
              <w:t>Position</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Date</w:t>
            </w:r>
          </w:p>
        </w:tc>
      </w:tr>
      <w:tr>
        <w:trPr>
          <w:trHeight w:val="26"/>
        </w:trPr>
        <w:tc>
          <w:tcPr>
            <w:tcW w:w="7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345"/>
        </w:trPr>
        <w:tc>
          <w:tcPr>
            <w:tcW w:w="740" w:type="dxa"/>
            <w:vAlign w:val="bottom"/>
          </w:tcPr>
          <w:p>
            <w:pPr>
              <w:spacing w:after="0"/>
              <w:rPr>
                <w:sz w:val="20"/>
                <w:szCs w:val="20"/>
                <w:color w:val="auto"/>
              </w:rPr>
            </w:pPr>
            <w:r>
              <w:rPr>
                <w:rFonts w:ascii="Arial" w:cs="Arial" w:eastAsia="Arial" w:hAnsi="Arial"/>
                <w:sz w:val="18"/>
                <w:szCs w:val="18"/>
                <w:color w:val="auto"/>
              </w:rPr>
              <w:t>*</w:t>
            </w:r>
          </w:p>
        </w:tc>
        <w:tc>
          <w:tcPr>
            <w:tcW w:w="1660" w:type="dxa"/>
            <w:vAlign w:val="bottom"/>
          </w:tcPr>
          <w:p>
            <w:pPr>
              <w:spacing w:after="0"/>
              <w:rPr>
                <w:sz w:val="24"/>
                <w:szCs w:val="24"/>
                <w:color w:val="auto"/>
              </w:rPr>
            </w:pPr>
          </w:p>
        </w:tc>
        <w:tc>
          <w:tcPr>
            <w:tcW w:w="4200" w:type="dxa"/>
            <w:vAlign w:val="bottom"/>
            <w:gridSpan w:val="4"/>
          </w:tcPr>
          <w:p>
            <w:pPr>
              <w:ind w:left="100"/>
              <w:spacing w:after="0"/>
              <w:rPr>
                <w:sz w:val="20"/>
                <w:szCs w:val="20"/>
                <w:color w:val="auto"/>
              </w:rPr>
            </w:pPr>
            <w:r>
              <w:rPr>
                <w:rFonts w:ascii="Arial" w:cs="Arial" w:eastAsia="Arial" w:hAnsi="Arial"/>
                <w:sz w:val="18"/>
                <w:szCs w:val="18"/>
                <w:color w:val="auto"/>
              </w:rPr>
              <w:t>President, Chief Executive Officer and Director</w:t>
            </w:r>
          </w:p>
        </w:tc>
        <w:tc>
          <w:tcPr>
            <w:tcW w:w="1500" w:type="dxa"/>
            <w:vAlign w:val="bottom"/>
          </w:tcPr>
          <w:p>
            <w:pPr>
              <w:jc w:val="center"/>
              <w:spacing w:after="0"/>
              <w:rPr>
                <w:sz w:val="20"/>
                <w:szCs w:val="20"/>
                <w:color w:val="auto"/>
              </w:rPr>
            </w:pPr>
            <w:r>
              <w:rPr>
                <w:rFonts w:ascii="Arial" w:cs="Arial" w:eastAsia="Arial" w:hAnsi="Arial"/>
                <w:sz w:val="18"/>
                <w:szCs w:val="18"/>
                <w:color w:val="auto"/>
              </w:rPr>
              <w:t>August 7, 2020</w:t>
            </w:r>
          </w:p>
        </w:tc>
      </w:tr>
      <w:tr>
        <w:trPr>
          <w:trHeight w:val="40"/>
        </w:trPr>
        <w:tc>
          <w:tcPr>
            <w:tcW w:w="240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37"/>
        </w:trPr>
        <w:tc>
          <w:tcPr>
            <w:tcW w:w="2400" w:type="dxa"/>
            <w:vAlign w:val="bottom"/>
            <w:gridSpan w:val="2"/>
          </w:tcPr>
          <w:p>
            <w:pPr>
              <w:spacing w:after="0"/>
              <w:rPr>
                <w:sz w:val="20"/>
                <w:szCs w:val="20"/>
                <w:color w:val="auto"/>
              </w:rPr>
            </w:pPr>
            <w:r>
              <w:rPr>
                <w:rFonts w:ascii="Arial" w:cs="Arial" w:eastAsia="Arial" w:hAnsi="Arial"/>
                <w:sz w:val="18"/>
                <w:szCs w:val="18"/>
                <w:color w:val="auto"/>
              </w:rPr>
              <w:t>Jim Tananbaum</w:t>
            </w:r>
          </w:p>
        </w:tc>
        <w:tc>
          <w:tcPr>
            <w:tcW w:w="4200" w:type="dxa"/>
            <w:vAlign w:val="bottom"/>
            <w:gridSpan w:val="4"/>
          </w:tcPr>
          <w:p>
            <w:pPr>
              <w:ind w:left="100"/>
              <w:spacing w:after="0"/>
              <w:rPr>
                <w:sz w:val="20"/>
                <w:szCs w:val="20"/>
                <w:color w:val="auto"/>
              </w:rPr>
            </w:pPr>
            <w:r>
              <w:rPr>
                <w:rFonts w:ascii="Arial" w:cs="Arial" w:eastAsia="Arial" w:hAnsi="Arial"/>
                <w:sz w:val="18"/>
                <w:szCs w:val="18"/>
                <w:color w:val="auto"/>
              </w:rPr>
              <w:t>(Principal Executive Officer)</w:t>
            </w:r>
          </w:p>
        </w:tc>
        <w:tc>
          <w:tcPr>
            <w:tcW w:w="1500" w:type="dxa"/>
            <w:vAlign w:val="bottom"/>
          </w:tcPr>
          <w:p>
            <w:pPr>
              <w:spacing w:after="0"/>
              <w:rPr>
                <w:sz w:val="20"/>
                <w:szCs w:val="20"/>
                <w:color w:val="auto"/>
              </w:rPr>
            </w:pPr>
          </w:p>
        </w:tc>
      </w:tr>
      <w:tr>
        <w:trPr>
          <w:trHeight w:val="378"/>
        </w:trPr>
        <w:tc>
          <w:tcPr>
            <w:tcW w:w="2400" w:type="dxa"/>
            <w:vAlign w:val="bottom"/>
            <w:gridSpan w:val="2"/>
          </w:tcPr>
          <w:p>
            <w:pPr>
              <w:spacing w:after="0"/>
              <w:rPr>
                <w:sz w:val="20"/>
                <w:szCs w:val="20"/>
                <w:color w:val="auto"/>
              </w:rPr>
            </w:pPr>
            <w:r>
              <w:rPr>
                <w:rFonts w:ascii="Arial" w:cs="Arial" w:eastAsia="Arial" w:hAnsi="Arial"/>
                <w:sz w:val="18"/>
                <w:szCs w:val="18"/>
                <w:color w:val="auto"/>
              </w:rPr>
              <w:t>/s/ Dennis Ryan</w:t>
            </w:r>
          </w:p>
        </w:tc>
        <w:tc>
          <w:tcPr>
            <w:tcW w:w="4200" w:type="dxa"/>
            <w:vAlign w:val="bottom"/>
            <w:gridSpan w:val="4"/>
          </w:tcPr>
          <w:p>
            <w:pPr>
              <w:ind w:left="100"/>
              <w:spacing w:after="0"/>
              <w:rPr>
                <w:sz w:val="20"/>
                <w:szCs w:val="20"/>
                <w:color w:val="auto"/>
              </w:rPr>
            </w:pPr>
            <w:r>
              <w:rPr>
                <w:rFonts w:ascii="Arial" w:cs="Arial" w:eastAsia="Arial" w:hAnsi="Arial"/>
                <w:sz w:val="18"/>
                <w:szCs w:val="18"/>
                <w:color w:val="auto"/>
              </w:rPr>
              <w:t>Chief Financial Officer</w:t>
            </w:r>
          </w:p>
        </w:tc>
        <w:tc>
          <w:tcPr>
            <w:tcW w:w="1500" w:type="dxa"/>
            <w:vAlign w:val="bottom"/>
          </w:tcPr>
          <w:p>
            <w:pPr>
              <w:jc w:val="center"/>
              <w:spacing w:after="0"/>
              <w:rPr>
                <w:sz w:val="20"/>
                <w:szCs w:val="20"/>
                <w:color w:val="auto"/>
              </w:rPr>
            </w:pPr>
            <w:r>
              <w:rPr>
                <w:rFonts w:ascii="Arial" w:cs="Arial" w:eastAsia="Arial" w:hAnsi="Arial"/>
                <w:sz w:val="18"/>
                <w:szCs w:val="18"/>
                <w:color w:val="auto"/>
              </w:rPr>
              <w:t>August 7, 2020</w:t>
            </w:r>
          </w:p>
        </w:tc>
      </w:tr>
      <w:tr>
        <w:trPr>
          <w:trHeight w:val="40"/>
        </w:trPr>
        <w:tc>
          <w:tcPr>
            <w:tcW w:w="240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37"/>
        </w:trPr>
        <w:tc>
          <w:tcPr>
            <w:tcW w:w="2400" w:type="dxa"/>
            <w:vAlign w:val="bottom"/>
            <w:gridSpan w:val="2"/>
          </w:tcPr>
          <w:p>
            <w:pPr>
              <w:spacing w:after="0"/>
              <w:rPr>
                <w:sz w:val="20"/>
                <w:szCs w:val="20"/>
                <w:color w:val="auto"/>
              </w:rPr>
            </w:pPr>
            <w:r>
              <w:rPr>
                <w:rFonts w:ascii="Arial" w:cs="Arial" w:eastAsia="Arial" w:hAnsi="Arial"/>
                <w:sz w:val="18"/>
                <w:szCs w:val="18"/>
                <w:color w:val="auto"/>
              </w:rPr>
              <w:t>Dennis Ryan</w:t>
            </w:r>
          </w:p>
        </w:tc>
        <w:tc>
          <w:tcPr>
            <w:tcW w:w="4200" w:type="dxa"/>
            <w:vAlign w:val="bottom"/>
            <w:gridSpan w:val="4"/>
          </w:tcPr>
          <w:p>
            <w:pPr>
              <w:ind w:left="100"/>
              <w:spacing w:after="0"/>
              <w:rPr>
                <w:sz w:val="20"/>
                <w:szCs w:val="20"/>
                <w:color w:val="auto"/>
              </w:rPr>
            </w:pPr>
            <w:r>
              <w:rPr>
                <w:rFonts w:ascii="Arial" w:cs="Arial" w:eastAsia="Arial" w:hAnsi="Arial"/>
                <w:sz w:val="18"/>
                <w:szCs w:val="18"/>
                <w:color w:val="auto"/>
              </w:rPr>
              <w:t>(Principal Financial and Accounting Officer)</w:t>
            </w:r>
          </w:p>
        </w:tc>
        <w:tc>
          <w:tcPr>
            <w:tcW w:w="1500" w:type="dxa"/>
            <w:vAlign w:val="bottom"/>
          </w:tcPr>
          <w:p>
            <w:pPr>
              <w:spacing w:after="0"/>
              <w:rPr>
                <w:sz w:val="20"/>
                <w:szCs w:val="20"/>
                <w:color w:val="auto"/>
              </w:rPr>
            </w:pPr>
          </w:p>
        </w:tc>
      </w:tr>
      <w:tr>
        <w:trPr>
          <w:trHeight w:val="378"/>
        </w:trPr>
        <w:tc>
          <w:tcPr>
            <w:tcW w:w="740" w:type="dxa"/>
            <w:vAlign w:val="bottom"/>
          </w:tcPr>
          <w:p>
            <w:pPr>
              <w:spacing w:after="0"/>
              <w:rPr>
                <w:sz w:val="20"/>
                <w:szCs w:val="20"/>
                <w:color w:val="auto"/>
              </w:rPr>
            </w:pPr>
            <w:r>
              <w:rPr>
                <w:rFonts w:ascii="Arial" w:cs="Arial" w:eastAsia="Arial" w:hAnsi="Arial"/>
                <w:sz w:val="18"/>
                <w:szCs w:val="18"/>
                <w:color w:val="auto"/>
              </w:rPr>
              <w:t>*</w:t>
            </w:r>
          </w:p>
        </w:tc>
        <w:tc>
          <w:tcPr>
            <w:tcW w:w="1660" w:type="dxa"/>
            <w:vAlign w:val="bottom"/>
          </w:tcPr>
          <w:p>
            <w:pPr>
              <w:spacing w:after="0"/>
              <w:rPr>
                <w:sz w:val="24"/>
                <w:szCs w:val="24"/>
                <w:color w:val="auto"/>
              </w:rPr>
            </w:pPr>
          </w:p>
        </w:tc>
        <w:tc>
          <w:tcPr>
            <w:tcW w:w="4200" w:type="dxa"/>
            <w:vAlign w:val="bottom"/>
            <w:gridSpan w:val="4"/>
          </w:tcPr>
          <w:p>
            <w:pPr>
              <w:ind w:left="100"/>
              <w:spacing w:after="0"/>
              <w:rPr>
                <w:sz w:val="20"/>
                <w:szCs w:val="20"/>
                <w:color w:val="auto"/>
              </w:rPr>
            </w:pPr>
            <w:r>
              <w:rPr>
                <w:rFonts w:ascii="Arial" w:cs="Arial" w:eastAsia="Arial" w:hAnsi="Arial"/>
                <w:sz w:val="18"/>
                <w:szCs w:val="18"/>
                <w:color w:val="auto"/>
              </w:rPr>
              <w:t>Vice President and Director</w:t>
            </w:r>
          </w:p>
        </w:tc>
        <w:tc>
          <w:tcPr>
            <w:tcW w:w="1500" w:type="dxa"/>
            <w:vAlign w:val="bottom"/>
          </w:tcPr>
          <w:p>
            <w:pPr>
              <w:jc w:val="center"/>
              <w:spacing w:after="0"/>
              <w:rPr>
                <w:sz w:val="20"/>
                <w:szCs w:val="20"/>
                <w:color w:val="auto"/>
              </w:rPr>
            </w:pPr>
            <w:r>
              <w:rPr>
                <w:rFonts w:ascii="Arial" w:cs="Arial" w:eastAsia="Arial" w:hAnsi="Arial"/>
                <w:sz w:val="18"/>
                <w:szCs w:val="18"/>
                <w:color w:val="auto"/>
              </w:rPr>
              <w:t>August 7, 2020</w:t>
            </w:r>
          </w:p>
        </w:tc>
      </w:tr>
      <w:tr>
        <w:trPr>
          <w:trHeight w:val="40"/>
        </w:trPr>
        <w:tc>
          <w:tcPr>
            <w:tcW w:w="240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37"/>
        </w:trPr>
        <w:tc>
          <w:tcPr>
            <w:tcW w:w="2400" w:type="dxa"/>
            <w:vAlign w:val="bottom"/>
            <w:gridSpan w:val="2"/>
          </w:tcPr>
          <w:p>
            <w:pPr>
              <w:spacing w:after="0"/>
              <w:rPr>
                <w:sz w:val="20"/>
                <w:szCs w:val="20"/>
                <w:color w:val="auto"/>
              </w:rPr>
            </w:pPr>
            <w:r>
              <w:rPr>
                <w:rFonts w:ascii="Arial" w:cs="Arial" w:eastAsia="Arial" w:hAnsi="Arial"/>
                <w:sz w:val="18"/>
                <w:szCs w:val="18"/>
                <w:color w:val="auto"/>
              </w:rPr>
              <w:t>Michael Rome</w:t>
            </w: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78"/>
        </w:trPr>
        <w:tc>
          <w:tcPr>
            <w:tcW w:w="740" w:type="dxa"/>
            <w:vAlign w:val="bottom"/>
          </w:tcPr>
          <w:p>
            <w:pPr>
              <w:spacing w:after="0"/>
              <w:rPr>
                <w:sz w:val="20"/>
                <w:szCs w:val="20"/>
                <w:color w:val="auto"/>
              </w:rPr>
            </w:pPr>
            <w:r>
              <w:rPr>
                <w:rFonts w:ascii="Arial" w:cs="Arial" w:eastAsia="Arial" w:hAnsi="Arial"/>
                <w:sz w:val="18"/>
                <w:szCs w:val="18"/>
                <w:color w:val="auto"/>
              </w:rPr>
              <w:t>*</w:t>
            </w:r>
          </w:p>
        </w:tc>
        <w:tc>
          <w:tcPr>
            <w:tcW w:w="1660" w:type="dxa"/>
            <w:vAlign w:val="bottom"/>
          </w:tcPr>
          <w:p>
            <w:pPr>
              <w:spacing w:after="0"/>
              <w:rPr>
                <w:sz w:val="24"/>
                <w:szCs w:val="24"/>
                <w:color w:val="auto"/>
              </w:rPr>
            </w:pPr>
          </w:p>
        </w:tc>
        <w:tc>
          <w:tcPr>
            <w:tcW w:w="4200" w:type="dxa"/>
            <w:vAlign w:val="bottom"/>
            <w:gridSpan w:val="4"/>
          </w:tcPr>
          <w:p>
            <w:pPr>
              <w:ind w:left="100"/>
              <w:spacing w:after="0"/>
              <w:rPr>
                <w:sz w:val="20"/>
                <w:szCs w:val="20"/>
                <w:color w:val="auto"/>
              </w:rPr>
            </w:pPr>
            <w:r>
              <w:rPr>
                <w:rFonts w:ascii="Arial" w:cs="Arial" w:eastAsia="Arial" w:hAnsi="Arial"/>
                <w:sz w:val="18"/>
                <w:szCs w:val="18"/>
                <w:color w:val="auto"/>
              </w:rPr>
              <w:t>Director</w:t>
            </w:r>
          </w:p>
        </w:tc>
        <w:tc>
          <w:tcPr>
            <w:tcW w:w="1500" w:type="dxa"/>
            <w:vAlign w:val="bottom"/>
          </w:tcPr>
          <w:p>
            <w:pPr>
              <w:jc w:val="center"/>
              <w:spacing w:after="0"/>
              <w:rPr>
                <w:sz w:val="20"/>
                <w:szCs w:val="20"/>
                <w:color w:val="auto"/>
              </w:rPr>
            </w:pPr>
            <w:r>
              <w:rPr>
                <w:rFonts w:ascii="Arial" w:cs="Arial" w:eastAsia="Arial" w:hAnsi="Arial"/>
                <w:sz w:val="18"/>
                <w:szCs w:val="18"/>
                <w:color w:val="auto"/>
              </w:rPr>
              <w:t>August 7, 2020</w:t>
            </w:r>
          </w:p>
        </w:tc>
      </w:tr>
      <w:tr>
        <w:trPr>
          <w:trHeight w:val="40"/>
        </w:trPr>
        <w:tc>
          <w:tcPr>
            <w:tcW w:w="240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37"/>
        </w:trPr>
        <w:tc>
          <w:tcPr>
            <w:tcW w:w="2400" w:type="dxa"/>
            <w:vAlign w:val="bottom"/>
            <w:gridSpan w:val="2"/>
          </w:tcPr>
          <w:p>
            <w:pPr>
              <w:spacing w:after="0"/>
              <w:rPr>
                <w:sz w:val="20"/>
                <w:szCs w:val="20"/>
                <w:color w:val="auto"/>
              </w:rPr>
            </w:pPr>
            <w:r>
              <w:rPr>
                <w:rFonts w:ascii="Arial" w:cs="Arial" w:eastAsia="Arial" w:hAnsi="Arial"/>
                <w:sz w:val="18"/>
                <w:szCs w:val="18"/>
                <w:color w:val="auto"/>
              </w:rPr>
              <w:t>Vikram Bajaj</w:t>
            </w: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594"/>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1660" w:type="dxa"/>
            <w:vAlign w:val="bottom"/>
          </w:tcPr>
          <w:p>
            <w:pPr>
              <w:spacing w:after="0"/>
              <w:rPr>
                <w:sz w:val="20"/>
                <w:szCs w:val="20"/>
                <w:color w:val="auto"/>
              </w:rPr>
            </w:pPr>
            <w:r>
              <w:rPr>
                <w:rFonts w:ascii="Arial" w:cs="Arial" w:eastAsia="Arial" w:hAnsi="Arial"/>
                <w:sz w:val="18"/>
                <w:szCs w:val="18"/>
                <w:color w:val="auto"/>
              </w:rPr>
              <w:t>/s/ Dennis Ryan</w:t>
            </w: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7"/>
        </w:trPr>
        <w:tc>
          <w:tcPr>
            <w:tcW w:w="74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358"/>
        </w:trPr>
        <w:tc>
          <w:tcPr>
            <w:tcW w:w="740" w:type="dxa"/>
            <w:vAlign w:val="bottom"/>
          </w:tcPr>
          <w:p>
            <w:pPr>
              <w:spacing w:after="0"/>
              <w:rPr>
                <w:sz w:val="24"/>
                <w:szCs w:val="24"/>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Dennis Ryan</w:t>
            </w: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92"/>
        </w:trPr>
        <w:tc>
          <w:tcPr>
            <w:tcW w:w="740" w:type="dxa"/>
            <w:vAlign w:val="bottom"/>
          </w:tcPr>
          <w:p>
            <w:pPr>
              <w:spacing w:after="0"/>
              <w:rPr>
                <w:sz w:val="24"/>
                <w:szCs w:val="24"/>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Attorney-in-Fact</w:t>
            </w: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405"/>
        </w:trPr>
        <w:tc>
          <w:tcPr>
            <w:tcW w:w="7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gridSpan w:val="3"/>
          </w:tcPr>
          <w:p>
            <w:pPr>
              <w:ind w:left="1420"/>
              <w:spacing w:after="0"/>
              <w:rPr>
                <w:sz w:val="20"/>
                <w:szCs w:val="20"/>
                <w:color w:val="auto"/>
              </w:rPr>
            </w:pPr>
            <w:r>
              <w:rPr>
                <w:rFonts w:ascii="Arial" w:cs="Arial" w:eastAsia="Arial" w:hAnsi="Arial"/>
                <w:sz w:val="18"/>
                <w:szCs w:val="18"/>
                <w:color w:val="auto"/>
              </w:rPr>
              <w:t>II-8</w:t>
            </w:r>
          </w:p>
        </w:tc>
        <w:tc>
          <w:tcPr>
            <w:tcW w:w="15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33" w:right="1440"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10,000,000 Class A Common Stock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FS Development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UNDERWRITING AGREEMENT</w:t>
      </w:r>
    </w:p>
    <w:p>
      <w:pPr>
        <w:spacing w:after="0" w:line="229" w:lineRule="exact"/>
        <w:rPr>
          <w:sz w:val="20"/>
          <w:szCs w:val="20"/>
          <w:color w:val="auto"/>
        </w:rPr>
      </w:pPr>
    </w:p>
    <w:p>
      <w:pPr>
        <w:jc w:val="right"/>
        <w:spacing w:after="0"/>
        <w:tabs>
          <w:tab w:leader="none" w:pos="4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 of the several Underwriters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 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b w:val="1"/>
          <w:bCs w:val="1"/>
          <w:color w:val="auto"/>
        </w:rPr>
        <w:t xml:space="preserve">Introductory. </w:t>
      </w:r>
      <w:r>
        <w:rPr>
          <w:rFonts w:ascii="Arial" w:cs="Arial" w:eastAsia="Arial" w:hAnsi="Arial"/>
          <w:sz w:val="16"/>
          <w:szCs w:val="16"/>
          <w:color w:val="auto"/>
        </w:rPr>
        <w:t>FS Development Corp.,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proposes, upon the terms and subject to the conditions set forth</w:t>
      </w:r>
      <w:r>
        <w:rPr>
          <w:rFonts w:ascii="Arial" w:cs="Arial" w:eastAsia="Arial" w:hAnsi="Arial"/>
          <w:sz w:val="16"/>
          <w:szCs w:val="16"/>
          <w:b w:val="1"/>
          <w:bCs w:val="1"/>
          <w:color w:val="auto"/>
        </w:rPr>
        <w:t xml:space="preserve"> </w:t>
      </w:r>
      <w:r>
        <w:rPr>
          <w:rFonts w:ascii="Arial" w:cs="Arial" w:eastAsia="Arial" w:hAnsi="Arial"/>
          <w:sz w:val="16"/>
          <w:szCs w:val="16"/>
          <w:color w:val="auto"/>
        </w:rPr>
        <w:t>in this agreement (this “</w:t>
      </w:r>
      <w:r>
        <w:rPr>
          <w:rFonts w:ascii="Arial" w:cs="Arial" w:eastAsia="Arial" w:hAnsi="Arial"/>
          <w:sz w:val="16"/>
          <w:szCs w:val="16"/>
          <w:b w:val="1"/>
          <w:bCs w:val="1"/>
          <w:color w:val="auto"/>
        </w:rPr>
        <w:t>Agreement</w:t>
      </w:r>
      <w:r>
        <w:rPr>
          <w:rFonts w:ascii="Arial" w:cs="Arial" w:eastAsia="Arial" w:hAnsi="Arial"/>
          <w:sz w:val="16"/>
          <w:szCs w:val="16"/>
          <w:color w:val="auto"/>
        </w:rPr>
        <w:t xml:space="preserve">”), to issue and sell to the underwriters named in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(the “</w:t>
      </w:r>
      <w:r>
        <w:rPr>
          <w:rFonts w:ascii="Arial" w:cs="Arial" w:eastAsia="Arial" w:hAnsi="Arial"/>
          <w:sz w:val="16"/>
          <w:szCs w:val="16"/>
          <w:b w:val="1"/>
          <w:bCs w:val="1"/>
          <w:color w:val="auto"/>
        </w:rPr>
        <w:t>Underwriters</w:t>
      </w:r>
      <w:r>
        <w:rPr>
          <w:rFonts w:ascii="Arial" w:cs="Arial" w:eastAsia="Arial" w:hAnsi="Arial"/>
          <w:sz w:val="16"/>
          <w:szCs w:val="16"/>
          <w:color w:val="auto"/>
        </w:rPr>
        <w:t>”) an aggregate of 10,000,000 shares of Class A common stock, par value $0.0001 per share, of the Company (“</w:t>
      </w:r>
      <w:r>
        <w:rPr>
          <w:rFonts w:ascii="Arial" w:cs="Arial" w:eastAsia="Arial" w:hAnsi="Arial"/>
          <w:sz w:val="16"/>
          <w:szCs w:val="16"/>
          <w:b w:val="1"/>
          <w:bCs w:val="1"/>
          <w:color w:val="auto"/>
        </w:rPr>
        <w:t>Class A Common Stock</w:t>
      </w:r>
      <w:r>
        <w:rPr>
          <w:rFonts w:ascii="Arial" w:cs="Arial" w:eastAsia="Arial" w:hAnsi="Arial"/>
          <w:sz w:val="16"/>
          <w:szCs w:val="16"/>
          <w:color w:val="auto"/>
        </w:rPr>
        <w:t>”). The 10,000,000 shares of Class A Common Stock to be sold by the Company are called the “</w:t>
      </w:r>
      <w:r>
        <w:rPr>
          <w:rFonts w:ascii="Arial" w:cs="Arial" w:eastAsia="Arial" w:hAnsi="Arial"/>
          <w:sz w:val="16"/>
          <w:szCs w:val="16"/>
          <w:b w:val="1"/>
          <w:bCs w:val="1"/>
          <w:color w:val="auto"/>
        </w:rPr>
        <w:t>Firm Securities</w:t>
      </w:r>
      <w:r>
        <w:rPr>
          <w:rFonts w:ascii="Arial" w:cs="Arial" w:eastAsia="Arial" w:hAnsi="Arial"/>
          <w:sz w:val="16"/>
          <w:szCs w:val="16"/>
          <w:color w:val="auto"/>
        </w:rPr>
        <w:t>.” In addition, the Company has granted to the Underwriters an option to purchase up to an additional 1,500,000 shares of Class A Common Stock as provided in Section 2. The additional 1,500,000 shares of Class A Common Stock to be sold by the Company pursuant to such option are collectively called the “</w:t>
      </w:r>
      <w:r>
        <w:rPr>
          <w:rFonts w:ascii="Arial" w:cs="Arial" w:eastAsia="Arial" w:hAnsi="Arial"/>
          <w:sz w:val="16"/>
          <w:szCs w:val="16"/>
          <w:b w:val="1"/>
          <w:bCs w:val="1"/>
          <w:color w:val="auto"/>
        </w:rPr>
        <w:t>Optional Securities</w:t>
      </w:r>
      <w:r>
        <w:rPr>
          <w:rFonts w:ascii="Arial" w:cs="Arial" w:eastAsia="Arial" w:hAnsi="Arial"/>
          <w:sz w:val="16"/>
          <w:szCs w:val="16"/>
          <w:color w:val="auto"/>
        </w:rPr>
        <w:t>.” The Firm Securities and, if and to the extent such option is exercised, the Optional Securities are collectively called the “</w:t>
      </w:r>
      <w:r>
        <w:rPr>
          <w:rFonts w:ascii="Arial" w:cs="Arial" w:eastAsia="Arial" w:hAnsi="Arial"/>
          <w:sz w:val="16"/>
          <w:szCs w:val="16"/>
          <w:b w:val="1"/>
          <w:bCs w:val="1"/>
          <w:color w:val="auto"/>
        </w:rPr>
        <w:t>Offered Securities</w:t>
      </w:r>
      <w:r>
        <w:rPr>
          <w:rFonts w:ascii="Arial" w:cs="Arial" w:eastAsia="Arial" w:hAnsi="Arial"/>
          <w:sz w:val="16"/>
          <w:szCs w:val="16"/>
          <w:color w:val="auto"/>
        </w:rPr>
        <w:t>.” Jefferies LLC has agreed to act as Representative of the Underwriters (when acting in such capacity, the “</w:t>
      </w:r>
      <w:r>
        <w:rPr>
          <w:rFonts w:ascii="Arial" w:cs="Arial" w:eastAsia="Arial" w:hAnsi="Arial"/>
          <w:sz w:val="16"/>
          <w:szCs w:val="16"/>
          <w:b w:val="1"/>
          <w:bCs w:val="1"/>
          <w:color w:val="auto"/>
        </w:rPr>
        <w:t>Representative</w:t>
      </w:r>
      <w:r>
        <w:rPr>
          <w:rFonts w:ascii="Arial" w:cs="Arial" w:eastAsia="Arial" w:hAnsi="Arial"/>
          <w:sz w:val="16"/>
          <w:szCs w:val="16"/>
          <w:color w:val="auto"/>
        </w:rPr>
        <w:t>”) in connection with the offering of the Offered Securities for sale to the public as contemplated in the Prospectus (as defined below) (the “</w:t>
      </w:r>
      <w:r>
        <w:rPr>
          <w:rFonts w:ascii="Arial" w:cs="Arial" w:eastAsia="Arial" w:hAnsi="Arial"/>
          <w:sz w:val="16"/>
          <w:szCs w:val="16"/>
          <w:b w:val="1"/>
          <w:bCs w:val="1"/>
          <w:color w:val="auto"/>
        </w:rPr>
        <w:t>Offering</w:t>
      </w:r>
      <w:r>
        <w:rPr>
          <w:rFonts w:ascii="Arial" w:cs="Arial" w:eastAsia="Arial" w:hAnsi="Arial"/>
          <w:sz w:val="16"/>
          <w:szCs w:val="16"/>
          <w:color w:val="auto"/>
        </w:rPr>
        <w:t xml:space="preserve">”). To the extent there are no additional underwriters listed on </w:t>
      </w:r>
      <w:r>
        <w:rPr>
          <w:rFonts w:ascii="Arial" w:cs="Arial" w:eastAsia="Arial" w:hAnsi="Arial"/>
          <w:sz w:val="16"/>
          <w:szCs w:val="16"/>
          <w:u w:val="single" w:color="auto"/>
          <w:color w:val="auto"/>
        </w:rPr>
        <w:t>Schedule A</w:t>
      </w:r>
      <w:r>
        <w:rPr>
          <w:rFonts w:ascii="Arial" w:cs="Arial" w:eastAsia="Arial" w:hAnsi="Arial"/>
          <w:sz w:val="16"/>
          <w:szCs w:val="16"/>
          <w:color w:val="auto"/>
        </w:rPr>
        <w:t>, the term “Representative” as used herein shall mean you, as Underwriter, and the term “Underwriter” shall mean either the singular or the plural, as the context requires. As used herein, the term “</w:t>
      </w:r>
      <w:r>
        <w:rPr>
          <w:rFonts w:ascii="Arial" w:cs="Arial" w:eastAsia="Arial" w:hAnsi="Arial"/>
          <w:sz w:val="16"/>
          <w:szCs w:val="16"/>
          <w:b w:val="1"/>
          <w:bCs w:val="1"/>
          <w:color w:val="auto"/>
        </w:rPr>
        <w:t>Business Combination</w:t>
      </w:r>
      <w:r>
        <w:rPr>
          <w:rFonts w:ascii="Arial" w:cs="Arial" w:eastAsia="Arial" w:hAnsi="Arial"/>
          <w:sz w:val="16"/>
          <w:szCs w:val="16"/>
          <w:color w:val="auto"/>
        </w:rPr>
        <w:t>” (as described more fully in the Registration Statement (as defined below)) shall mean a merger, capital stock exchange, asset acquisition, stock purchase, reorganization or similar business combination with one or more businesses.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has prepared and filed with the U.S.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a registration statement on Form 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1, File No. 333-240098 which contains a form of prospectus to be used in connection with the Offering and sale of the Offered Securities. Such registration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statement, as amended, including the financial statements, exhibits and schedules thereto, in the form in which it became effective under the Securities Act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1933, as amended, and the rules and regulations promulgated thereunder (collectively, the “</w:t>
      </w:r>
      <w:r>
        <w:rPr>
          <w:rFonts w:ascii="Arial" w:cs="Arial" w:eastAsia="Arial" w:hAnsi="Arial"/>
          <w:sz w:val="16"/>
          <w:szCs w:val="16"/>
          <w:b w:val="1"/>
          <w:bCs w:val="1"/>
          <w:color w:val="auto"/>
        </w:rPr>
        <w:t>Securities Act</w:t>
      </w:r>
      <w:r>
        <w:rPr>
          <w:rFonts w:ascii="Arial" w:cs="Arial" w:eastAsia="Arial" w:hAnsi="Arial"/>
          <w:sz w:val="16"/>
          <w:szCs w:val="16"/>
          <w:color w:val="auto"/>
        </w:rPr>
        <w:t>”), including any information deemed to be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part thereof at the time of effectiveness pursuant to Rule 430A under the Securities Act, is called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Any registration statement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by the Company pursuant to Rule 462(b) under the Securities Act in connection with the offer and sale of the Offered Securities is called the “</w:t>
      </w:r>
      <w:r>
        <w:rPr>
          <w:rFonts w:ascii="Arial" w:cs="Arial" w:eastAsia="Arial" w:hAnsi="Arial"/>
          <w:sz w:val="16"/>
          <w:szCs w:val="16"/>
          <w:b w:val="1"/>
          <w:bCs w:val="1"/>
          <w:color w:val="auto"/>
        </w:rPr>
        <w:t>Rule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462(b) Registration Statement</w:t>
      </w:r>
      <w:r>
        <w:rPr>
          <w:rFonts w:ascii="Arial" w:cs="Arial" w:eastAsia="Arial" w:hAnsi="Arial"/>
          <w:sz w:val="17"/>
          <w:szCs w:val="17"/>
          <w:color w:val="auto"/>
        </w:rPr>
        <w:t>,” and from and after the date and time of filing of any such Rule 462(b) Registration Statement the term “Registration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Statement” shall include the Rule 462(b) Registration Statement. The prospectus, in the form first used by the Underwriters to confirm sales of the Offered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Securities or in the form first made available to the Underwriters by the Company to meet requests of purchasers pursuant to Rule 173 under the Securities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Act, is called the “</w:t>
      </w:r>
      <w:r>
        <w:rPr>
          <w:rFonts w:ascii="Arial" w:cs="Arial" w:eastAsia="Arial" w:hAnsi="Arial"/>
          <w:sz w:val="17"/>
          <w:szCs w:val="17"/>
          <w:b w:val="1"/>
          <w:bCs w:val="1"/>
          <w:color w:val="auto"/>
        </w:rPr>
        <w:t>Prospectus</w:t>
      </w:r>
      <w:r>
        <w:rPr>
          <w:rFonts w:ascii="Arial" w:cs="Arial" w:eastAsia="Arial" w:hAnsi="Arial"/>
          <w:sz w:val="17"/>
          <w:szCs w:val="17"/>
          <w:color w:val="auto"/>
        </w:rPr>
        <w:t>.” The preliminary prospectus dated [●], 2020 describing the Offered Securities and the Offering thereof is called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Preliminary Prospectus</w:t>
      </w:r>
      <w:r>
        <w:rPr>
          <w:rFonts w:ascii="Arial" w:cs="Arial" w:eastAsia="Arial" w:hAnsi="Arial"/>
          <w:sz w:val="16"/>
          <w:szCs w:val="16"/>
          <w:color w:val="auto"/>
        </w:rPr>
        <w:t>,” and the Preliminary Prospectus and any other prospectus in preliminary form that describes the Offered Securities and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Offering thereof and is used prior to the filing of the Prospectus is called a “</w:t>
      </w:r>
      <w:r>
        <w:rPr>
          <w:rFonts w:ascii="Arial" w:cs="Arial" w:eastAsia="Arial" w:hAnsi="Arial"/>
          <w:sz w:val="17"/>
          <w:szCs w:val="17"/>
          <w:b w:val="1"/>
          <w:bCs w:val="1"/>
          <w:color w:val="auto"/>
        </w:rPr>
        <w:t>preliminary prospectus</w:t>
      </w:r>
      <w:r>
        <w:rPr>
          <w:rFonts w:ascii="Arial" w:cs="Arial" w:eastAsia="Arial" w:hAnsi="Arial"/>
          <w:sz w:val="17"/>
          <w:szCs w:val="17"/>
          <w:color w:val="auto"/>
        </w:rPr>
        <w:t>.” As used herein, “</w:t>
      </w:r>
      <w:r>
        <w:rPr>
          <w:rFonts w:ascii="Arial" w:cs="Arial" w:eastAsia="Arial" w:hAnsi="Arial"/>
          <w:sz w:val="17"/>
          <w:szCs w:val="17"/>
          <w:b w:val="1"/>
          <w:bCs w:val="1"/>
          <w:color w:val="auto"/>
        </w:rPr>
        <w:t>Applicable Time</w:t>
      </w:r>
      <w:r>
        <w:rPr>
          <w:rFonts w:ascii="Arial" w:cs="Arial" w:eastAsia="Arial" w:hAnsi="Arial"/>
          <w:sz w:val="17"/>
          <w:szCs w:val="17"/>
          <w:color w:val="auto"/>
        </w:rPr>
        <w:t>” is [●] p.m.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(New York City time) on [●], 2020. As used herein, “</w:t>
      </w:r>
      <w:r>
        <w:rPr>
          <w:rFonts w:ascii="Arial" w:cs="Arial" w:eastAsia="Arial" w:hAnsi="Arial"/>
          <w:sz w:val="16"/>
          <w:szCs w:val="16"/>
          <w:b w:val="1"/>
          <w:bCs w:val="1"/>
          <w:color w:val="auto"/>
        </w:rPr>
        <w:t>Effective Date</w:t>
      </w:r>
      <w:r>
        <w:rPr>
          <w:rFonts w:ascii="Arial" w:cs="Arial" w:eastAsia="Arial" w:hAnsi="Arial"/>
          <w:sz w:val="16"/>
          <w:szCs w:val="16"/>
          <w:color w:val="auto"/>
        </w:rPr>
        <w:t>” means the date and time at which such registration statement, or the most recent post-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effective amendment thereto, was declared effective by the Commission in accordance with the rules and regulations under the Securities Act. As used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herein, “</w:t>
      </w:r>
      <w:r>
        <w:rPr>
          <w:rFonts w:ascii="Arial" w:cs="Arial" w:eastAsia="Arial" w:hAnsi="Arial"/>
          <w:sz w:val="16"/>
          <w:szCs w:val="16"/>
          <w:b w:val="1"/>
          <w:bCs w:val="1"/>
          <w:color w:val="auto"/>
        </w:rPr>
        <w:t>free writing prospectus</w:t>
      </w:r>
      <w:r>
        <w:rPr>
          <w:rFonts w:ascii="Arial" w:cs="Arial" w:eastAsia="Arial" w:hAnsi="Arial"/>
          <w:sz w:val="16"/>
          <w:szCs w:val="16"/>
          <w:color w:val="auto"/>
        </w:rPr>
        <w:t>” has the meaning set forth in Rule 405 under the Securities Act, and “</w:t>
      </w:r>
      <w:r>
        <w:rPr>
          <w:rFonts w:ascii="Arial" w:cs="Arial" w:eastAsia="Arial" w:hAnsi="Arial"/>
          <w:sz w:val="16"/>
          <w:szCs w:val="16"/>
          <w:b w:val="1"/>
          <w:bCs w:val="1"/>
          <w:color w:val="auto"/>
        </w:rPr>
        <w:t>Time of Sale Prospectus</w:t>
      </w:r>
      <w:r>
        <w:rPr>
          <w:rFonts w:ascii="Arial" w:cs="Arial" w:eastAsia="Arial" w:hAnsi="Arial"/>
          <w:sz w:val="16"/>
          <w:szCs w:val="16"/>
          <w:color w:val="auto"/>
        </w:rPr>
        <w:t>” means the Preliminary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Prospectus together with the Time of Delivery Information, if any, set forth on </w:t>
      </w:r>
      <w:r>
        <w:rPr>
          <w:rFonts w:ascii="Arial" w:cs="Arial" w:eastAsia="Arial" w:hAnsi="Arial"/>
          <w:sz w:val="16"/>
          <w:szCs w:val="16"/>
          <w:u w:val="single" w:color="auto"/>
          <w:color w:val="auto"/>
        </w:rPr>
        <w:t>Schedule B</w:t>
      </w:r>
      <w:r>
        <w:rPr>
          <w:rFonts w:ascii="Arial" w:cs="Arial" w:eastAsia="Arial" w:hAnsi="Arial"/>
          <w:sz w:val="16"/>
          <w:szCs w:val="16"/>
          <w:color w:val="auto"/>
        </w:rPr>
        <w:t xml:space="preserve"> hereto. As used herein, “</w:t>
      </w:r>
      <w:r>
        <w:rPr>
          <w:rFonts w:ascii="Arial" w:cs="Arial" w:eastAsia="Arial" w:hAnsi="Arial"/>
          <w:sz w:val="16"/>
          <w:szCs w:val="16"/>
          <w:b w:val="1"/>
          <w:bCs w:val="1"/>
          <w:color w:val="auto"/>
        </w:rPr>
        <w:t>Road Show</w:t>
      </w:r>
      <w:r>
        <w:rPr>
          <w:rFonts w:ascii="Arial" w:cs="Arial" w:eastAsia="Arial" w:hAnsi="Arial"/>
          <w:sz w:val="16"/>
          <w:szCs w:val="16"/>
          <w:color w:val="auto"/>
        </w:rPr>
        <w:t>” means a “road show”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defined in Rule 433 under the Securities Act) relating to the Offering contemplated hereby that is a “written communication” (as defined in Rule 405 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Securities Act). As used herein, “</w:t>
      </w:r>
      <w:r>
        <w:rPr>
          <w:rFonts w:ascii="Arial" w:cs="Arial" w:eastAsia="Arial" w:hAnsi="Arial"/>
          <w:sz w:val="16"/>
          <w:szCs w:val="16"/>
          <w:b w:val="1"/>
          <w:bCs w:val="1"/>
          <w:color w:val="auto"/>
        </w:rPr>
        <w:t>Section 5(d) Written Communication</w:t>
      </w:r>
      <w:r>
        <w:rPr>
          <w:rFonts w:ascii="Arial" w:cs="Arial" w:eastAsia="Arial" w:hAnsi="Arial"/>
          <w:sz w:val="16"/>
          <w:szCs w:val="16"/>
          <w:color w:val="auto"/>
        </w:rPr>
        <w:t>” means each written communication (within the meaning of Rule 405 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Securities Act) that is made in reliance on Section 5(d) of the Securities Act by the Company or any person authorized to act on behalf of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one or more potential investors that are qualified institutional buyers (“</w:t>
      </w:r>
      <w:r>
        <w:rPr>
          <w:rFonts w:ascii="Arial" w:cs="Arial" w:eastAsia="Arial" w:hAnsi="Arial"/>
          <w:sz w:val="16"/>
          <w:szCs w:val="16"/>
          <w:b w:val="1"/>
          <w:bCs w:val="1"/>
          <w:color w:val="auto"/>
        </w:rPr>
        <w:t>QIBs</w:t>
      </w:r>
      <w:r>
        <w:rPr>
          <w:rFonts w:ascii="Arial" w:cs="Arial" w:eastAsia="Arial" w:hAnsi="Arial"/>
          <w:sz w:val="16"/>
          <w:szCs w:val="16"/>
          <w:color w:val="auto"/>
        </w:rPr>
        <w:t>”) and/or institutions that are accredited investors (“</w:t>
      </w:r>
      <w:r>
        <w:rPr>
          <w:rFonts w:ascii="Arial" w:cs="Arial" w:eastAsia="Arial" w:hAnsi="Arial"/>
          <w:sz w:val="16"/>
          <w:szCs w:val="16"/>
          <w:b w:val="1"/>
          <w:bCs w:val="1"/>
          <w:color w:val="auto"/>
        </w:rPr>
        <w:t>IAIs</w:t>
      </w:r>
      <w:r>
        <w:rPr>
          <w:rFonts w:ascii="Arial" w:cs="Arial" w:eastAsia="Arial" w:hAnsi="Arial"/>
          <w:sz w:val="16"/>
          <w:szCs w:val="16"/>
          <w:color w:val="auto"/>
        </w:rPr>
        <w:t>”), as such terms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are respectively defined in Rule 144A and Rule 501(a) under the Securities Act, to determine whether such investors might have an interest in the Offering;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Section 5(d) Oral Communication</w:t>
      </w:r>
      <w:r>
        <w:rPr>
          <w:rFonts w:ascii="Arial" w:cs="Arial" w:eastAsia="Arial" w:hAnsi="Arial"/>
          <w:sz w:val="16"/>
          <w:szCs w:val="16"/>
          <w:color w:val="auto"/>
        </w:rPr>
        <w:t>” means each oral communication, if any, made in reliance on Section 5(d) of the Securities Act by the Company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person authorized to act on behalf of the Company made to one or more QIBs and/or one or more IAIs to determine whether such investors might have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 interest in the Offering; “</w:t>
      </w:r>
      <w:r>
        <w:rPr>
          <w:rFonts w:ascii="Arial" w:cs="Arial" w:eastAsia="Arial" w:hAnsi="Arial"/>
          <w:sz w:val="16"/>
          <w:szCs w:val="16"/>
          <w:b w:val="1"/>
          <w:bCs w:val="1"/>
          <w:color w:val="auto"/>
        </w:rPr>
        <w:t>Marketing Materials</w:t>
      </w:r>
      <w:r>
        <w:rPr>
          <w:rFonts w:ascii="Arial" w:cs="Arial" w:eastAsia="Arial" w:hAnsi="Arial"/>
          <w:sz w:val="16"/>
          <w:szCs w:val="16"/>
          <w:color w:val="auto"/>
        </w:rPr>
        <w:t>” means any materials or information provided to investors by, or with the approval of, the Company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connection with the marketing of the Offering, including any Road Show or investor presentations made to investors by the Company (whether in person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electronically); and “</w:t>
      </w:r>
      <w:r>
        <w:rPr>
          <w:rFonts w:ascii="Arial" w:cs="Arial" w:eastAsia="Arial" w:hAnsi="Arial"/>
          <w:sz w:val="17"/>
          <w:szCs w:val="17"/>
          <w:b w:val="1"/>
          <w:bCs w:val="1"/>
          <w:color w:val="auto"/>
        </w:rPr>
        <w:t>Permitted Section 5(d) Communication</w:t>
      </w:r>
      <w:r>
        <w:rPr>
          <w:rFonts w:ascii="Arial" w:cs="Arial" w:eastAsia="Arial" w:hAnsi="Arial"/>
          <w:sz w:val="17"/>
          <w:szCs w:val="17"/>
          <w:color w:val="auto"/>
        </w:rPr>
        <w:t>” means the Section 5(d) Written Communication(s) and Marketing Materials listed 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Schedule C</w:t>
      </w:r>
      <w:r>
        <w:rPr>
          <w:rFonts w:ascii="Arial" w:cs="Arial" w:eastAsia="Arial" w:hAnsi="Arial"/>
          <w:sz w:val="18"/>
          <w:szCs w:val="18"/>
          <w:color w:val="auto"/>
        </w:rPr>
        <w:t xml:space="preserve">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2" w:name="page153"/>
    <w:bookmarkEnd w:id="152"/>
    <w:p>
      <w:pPr>
        <w:ind w:right="80" w:firstLine="648"/>
        <w:spacing w:after="0" w:line="263" w:lineRule="auto"/>
        <w:rPr>
          <w:sz w:val="20"/>
          <w:szCs w:val="20"/>
          <w:color w:val="auto"/>
        </w:rPr>
      </w:pPr>
      <w:r>
        <w:rPr>
          <w:rFonts w:ascii="Arial" w:cs="Arial" w:eastAsia="Arial" w:hAnsi="Arial"/>
          <w:sz w:val="18"/>
          <w:szCs w:val="18"/>
          <w:color w:val="auto"/>
        </w:rPr>
        <w:t>All references in this Agreement to the Registration Statement, any preliminary prospectus (including the Preliminary Prospectus), or the Prospectus, or any amendments or supplements to any of the foregoing shall include any copy thereof filed with the Commission pursuant to its Electronic Data Gathering, Analysis and Retrieval System (“</w:t>
      </w:r>
      <w:r>
        <w:rPr>
          <w:rFonts w:ascii="Arial" w:cs="Arial" w:eastAsia="Arial" w:hAnsi="Arial"/>
          <w:sz w:val="18"/>
          <w:szCs w:val="18"/>
          <w:b w:val="1"/>
          <w:bCs w:val="1"/>
          <w:color w:val="auto"/>
        </w:rPr>
        <w:t>EDGAR</w:t>
      </w:r>
      <w:r>
        <w:rPr>
          <w:rFonts w:ascii="Arial" w:cs="Arial" w:eastAsia="Arial" w:hAnsi="Arial"/>
          <w:sz w:val="18"/>
          <w:szCs w:val="18"/>
          <w:color w:val="auto"/>
        </w:rPr>
        <w:t>”).</w:t>
      </w:r>
    </w:p>
    <w:p>
      <w:pPr>
        <w:spacing w:after="0" w:line="180"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color w:val="auto"/>
        </w:rPr>
        <w:t>The Company has entered into a Securities Subscription Agreement, dated as of June 30, 2020 (the “</w:t>
      </w:r>
      <w:r>
        <w:rPr>
          <w:rFonts w:ascii="Arial" w:cs="Arial" w:eastAsia="Arial" w:hAnsi="Arial"/>
          <w:sz w:val="18"/>
          <w:szCs w:val="18"/>
          <w:b w:val="1"/>
          <w:bCs w:val="1"/>
          <w:color w:val="auto"/>
        </w:rPr>
        <w:t>Subscription Agreement</w:t>
      </w:r>
      <w:r>
        <w:rPr>
          <w:rFonts w:ascii="Arial" w:cs="Arial" w:eastAsia="Arial" w:hAnsi="Arial"/>
          <w:sz w:val="18"/>
          <w:szCs w:val="18"/>
          <w:color w:val="auto"/>
        </w:rPr>
        <w:t>”), with FS Development Holdings, LLC, a Delaware limited liability company (the “</w:t>
      </w:r>
      <w:r>
        <w:rPr>
          <w:rFonts w:ascii="Arial" w:cs="Arial" w:eastAsia="Arial" w:hAnsi="Arial"/>
          <w:sz w:val="18"/>
          <w:szCs w:val="18"/>
          <w:b w:val="1"/>
          <w:bCs w:val="1"/>
          <w:color w:val="auto"/>
        </w:rPr>
        <w:t>Sponsor</w:t>
      </w:r>
      <w:r>
        <w:rPr>
          <w:rFonts w:ascii="Arial" w:cs="Arial" w:eastAsia="Arial" w:hAnsi="Arial"/>
          <w:sz w:val="18"/>
          <w:szCs w:val="18"/>
          <w:color w:val="auto"/>
        </w:rPr>
        <w:t>”), in substantially the form filed as Exhibit 10.7 to the Registration Statement, pursuant to which the Sponsor purchased an aggregate of 2,875,000 shares of Class B common stock for an aggregate purchase price of $25,000, or approximately $0.009 per share (the “</w:t>
      </w:r>
      <w:r>
        <w:rPr>
          <w:rFonts w:ascii="Arial" w:cs="Arial" w:eastAsia="Arial" w:hAnsi="Arial"/>
          <w:sz w:val="18"/>
          <w:szCs w:val="18"/>
          <w:b w:val="1"/>
          <w:bCs w:val="1"/>
          <w:color w:val="auto"/>
        </w:rPr>
        <w:t>Founder Shares</w:t>
      </w:r>
      <w:r>
        <w:rPr>
          <w:rFonts w:ascii="Arial" w:cs="Arial" w:eastAsia="Arial" w:hAnsi="Arial"/>
          <w:sz w:val="18"/>
          <w:szCs w:val="18"/>
          <w:color w:val="auto"/>
        </w:rPr>
        <w:t>”). The Founder Shares are substantially similar to the Class A Common Stock except as described in the Prospectus.</w:t>
      </w:r>
    </w:p>
    <w:p>
      <w:pPr>
        <w:spacing w:after="0" w:line="187"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Prior to the First Closing Date (as defined below), the Sponsor will subscribe to purchase an aggregate of 400,000 shares of Class A Common Stock (or up to 430,000 shares of Class A Common Stock if the option to purchase additional shares of Class A Common Stock as provided in Section 2 is exercised in full) (the “</w:t>
      </w:r>
      <w:r>
        <w:rPr>
          <w:rFonts w:ascii="Arial" w:cs="Arial" w:eastAsia="Arial" w:hAnsi="Arial"/>
          <w:sz w:val="16"/>
          <w:szCs w:val="16"/>
          <w:b w:val="1"/>
          <w:bCs w:val="1"/>
          <w:color w:val="auto"/>
        </w:rPr>
        <w:t>Sponsor Shares</w:t>
      </w:r>
      <w:r>
        <w:rPr>
          <w:rFonts w:ascii="Arial" w:cs="Arial" w:eastAsia="Arial" w:hAnsi="Arial"/>
          <w:sz w:val="16"/>
          <w:szCs w:val="16"/>
          <w:color w:val="auto"/>
        </w:rPr>
        <w:t>”), and the Company will enter into a Private Placement Class A Common Stock Purchase Agreement with the Sponsor (the “</w:t>
      </w:r>
      <w:r>
        <w:rPr>
          <w:rFonts w:ascii="Arial" w:cs="Arial" w:eastAsia="Arial" w:hAnsi="Arial"/>
          <w:sz w:val="16"/>
          <w:szCs w:val="16"/>
          <w:b w:val="1"/>
          <w:bCs w:val="1"/>
          <w:color w:val="auto"/>
        </w:rPr>
        <w:t>Sponsor Shares Purchase Agreement</w:t>
      </w:r>
      <w:r>
        <w:rPr>
          <w:rFonts w:ascii="Arial" w:cs="Arial" w:eastAsia="Arial" w:hAnsi="Arial"/>
          <w:sz w:val="16"/>
          <w:szCs w:val="16"/>
          <w:color w:val="auto"/>
        </w:rPr>
        <w:t>”) in substantially the form filed as Exhibit 10.4 to the Registration Statement. Except as described in the Registration Statement, the Time of Sale Prospectus and the Prospectus, the Sponsor Shares have the same terms as the Firm Securities.</w:t>
      </w:r>
    </w:p>
    <w:p>
      <w:pPr>
        <w:spacing w:after="0" w:line="16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Company has entered into an Investment Management Trust Agreement, dated as of the date hereof, with Continental Stock Transfer &amp; Trust Company (“</w:t>
      </w:r>
      <w:r>
        <w:rPr>
          <w:rFonts w:ascii="Arial" w:cs="Arial" w:eastAsia="Arial" w:hAnsi="Arial"/>
          <w:sz w:val="18"/>
          <w:szCs w:val="18"/>
          <w:b w:val="1"/>
          <w:bCs w:val="1"/>
          <w:color w:val="auto"/>
        </w:rPr>
        <w:t>CST</w:t>
      </w:r>
      <w:r>
        <w:rPr>
          <w:rFonts w:ascii="Arial" w:cs="Arial" w:eastAsia="Arial" w:hAnsi="Arial"/>
          <w:sz w:val="18"/>
          <w:szCs w:val="18"/>
          <w:color w:val="auto"/>
        </w:rPr>
        <w:t>”), as trustee, in substantially the form filed as Exhibit 10.2 to the Registration Statement (the “</w:t>
      </w:r>
      <w:r>
        <w:rPr>
          <w:rFonts w:ascii="Arial" w:cs="Arial" w:eastAsia="Arial" w:hAnsi="Arial"/>
          <w:sz w:val="18"/>
          <w:szCs w:val="18"/>
          <w:b w:val="1"/>
          <w:bCs w:val="1"/>
          <w:color w:val="auto"/>
        </w:rPr>
        <w:t>Trust Agreement</w:t>
      </w:r>
      <w:r>
        <w:rPr>
          <w:rFonts w:ascii="Arial" w:cs="Arial" w:eastAsia="Arial" w:hAnsi="Arial"/>
          <w:sz w:val="18"/>
          <w:szCs w:val="18"/>
          <w:color w:val="auto"/>
        </w:rPr>
        <w:t>”), pursuant to which proceeds from the sale of the Sponsor Shares and proceeds from the Offering and sale of the Offered Securities will be deposited and held in a trust account (the “</w:t>
      </w:r>
      <w:r>
        <w:rPr>
          <w:rFonts w:ascii="Arial" w:cs="Arial" w:eastAsia="Arial" w:hAnsi="Arial"/>
          <w:sz w:val="18"/>
          <w:szCs w:val="18"/>
          <w:b w:val="1"/>
          <w:bCs w:val="1"/>
          <w:color w:val="auto"/>
        </w:rPr>
        <w:t>Trust Account</w:t>
      </w:r>
      <w:r>
        <w:rPr>
          <w:rFonts w:ascii="Arial" w:cs="Arial" w:eastAsia="Arial" w:hAnsi="Arial"/>
          <w:sz w:val="18"/>
          <w:szCs w:val="18"/>
          <w:color w:val="auto"/>
        </w:rPr>
        <w:t>”) for the benefit of the Company, the Underwriters and the holders of the Firm Securities and the Optional Securities, if and when issued.</w:t>
      </w:r>
    </w:p>
    <w:p>
      <w:pPr>
        <w:spacing w:after="0" w:line="188"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Company has entered into a Registration Rights Agreement, dated as of the date hereof, with the Sponsor and the other parties thereto, in substantially the form filed as Exhibit 10.3 to the Registration Statement (the “</w:t>
      </w:r>
      <w:r>
        <w:rPr>
          <w:rFonts w:ascii="Arial" w:cs="Arial" w:eastAsia="Arial" w:hAnsi="Arial"/>
          <w:sz w:val="18"/>
          <w:szCs w:val="18"/>
          <w:b w:val="1"/>
          <w:bCs w:val="1"/>
          <w:color w:val="auto"/>
        </w:rPr>
        <w:t>Registration Rights Agreement</w:t>
      </w:r>
      <w:r>
        <w:rPr>
          <w:rFonts w:ascii="Arial" w:cs="Arial" w:eastAsia="Arial" w:hAnsi="Arial"/>
          <w:sz w:val="18"/>
          <w:szCs w:val="18"/>
          <w:color w:val="auto"/>
        </w:rPr>
        <w:t>”), pursuant to which the Company will grant certain registration rights in respect of the Founder Shares, the Sponsor Shares and any shares of Class A Common Stock issued upon the conversion of working capital loans by the Sponsor, the Company’s officers and directors or their respective affiliates, to the Company (the “</w:t>
      </w:r>
      <w:r>
        <w:rPr>
          <w:rFonts w:ascii="Arial" w:cs="Arial" w:eastAsia="Arial" w:hAnsi="Arial"/>
          <w:sz w:val="18"/>
          <w:szCs w:val="18"/>
          <w:b w:val="1"/>
          <w:bCs w:val="1"/>
          <w:color w:val="auto"/>
        </w:rPr>
        <w:t>Working Capital</w:t>
      </w:r>
      <w:r>
        <w:rPr>
          <w:rFonts w:ascii="Arial" w:cs="Arial" w:eastAsia="Arial" w:hAnsi="Arial"/>
          <w:sz w:val="18"/>
          <w:szCs w:val="18"/>
          <w:color w:val="auto"/>
        </w:rPr>
        <w:t xml:space="preserve"> </w:t>
      </w:r>
      <w:r>
        <w:rPr>
          <w:rFonts w:ascii="Arial" w:cs="Arial" w:eastAsia="Arial" w:hAnsi="Arial"/>
          <w:sz w:val="18"/>
          <w:szCs w:val="18"/>
          <w:b w:val="1"/>
          <w:bCs w:val="1"/>
          <w:color w:val="auto"/>
        </w:rPr>
        <w:t>Shares</w:t>
      </w:r>
      <w:r>
        <w:rPr>
          <w:rFonts w:ascii="Arial" w:cs="Arial" w:eastAsia="Arial" w:hAnsi="Arial"/>
          <w:sz w:val="18"/>
          <w:szCs w:val="18"/>
          <w:color w:val="auto"/>
        </w:rPr>
        <w:t>”).</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53" w:name="page154"/>
    <w:bookmarkEnd w:id="153"/>
    <w:p>
      <w:pPr>
        <w:ind w:right="520" w:firstLine="648"/>
        <w:spacing w:after="0" w:line="277" w:lineRule="auto"/>
        <w:rPr>
          <w:sz w:val="20"/>
          <w:szCs w:val="20"/>
          <w:color w:val="auto"/>
        </w:rPr>
      </w:pPr>
      <w:r>
        <w:rPr>
          <w:rFonts w:ascii="Arial" w:cs="Arial" w:eastAsia="Arial" w:hAnsi="Arial"/>
          <w:sz w:val="18"/>
          <w:szCs w:val="18"/>
          <w:color w:val="auto"/>
        </w:rPr>
        <w:t>The Company has entered into a letter agreement, dated as of the date hereof, with the Sponsor and the Company’s officers and directors, in substantially the form filed as Exhibit 10.1 to the Registration Statement (the “</w:t>
      </w:r>
      <w:r>
        <w:rPr>
          <w:rFonts w:ascii="Arial" w:cs="Arial" w:eastAsia="Arial" w:hAnsi="Arial"/>
          <w:sz w:val="18"/>
          <w:szCs w:val="18"/>
          <w:b w:val="1"/>
          <w:bCs w:val="1"/>
          <w:color w:val="auto"/>
        </w:rPr>
        <w:t>Insider Letter</w:t>
      </w:r>
      <w:r>
        <w:rPr>
          <w:rFonts w:ascii="Arial" w:cs="Arial" w:eastAsia="Arial" w:hAnsi="Arial"/>
          <w:sz w:val="18"/>
          <w:szCs w:val="18"/>
          <w:color w:val="auto"/>
        </w:rPr>
        <w:t>”).</w:t>
      </w:r>
    </w:p>
    <w:p>
      <w:pPr>
        <w:spacing w:after="0" w:line="170"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The Company has entered into an Administrative Services Agreement, dated as of the date hereof, with the Sponsor, in substantially the form filed as Exhibit 10.8 to the Registration Statement (the “</w:t>
      </w:r>
      <w:r>
        <w:rPr>
          <w:rFonts w:ascii="Arial" w:cs="Arial" w:eastAsia="Arial" w:hAnsi="Arial"/>
          <w:sz w:val="18"/>
          <w:szCs w:val="18"/>
          <w:b w:val="1"/>
          <w:bCs w:val="1"/>
          <w:color w:val="auto"/>
        </w:rPr>
        <w:t>Administrative Services Agreement</w:t>
      </w:r>
      <w:r>
        <w:rPr>
          <w:rFonts w:ascii="Arial" w:cs="Arial" w:eastAsia="Arial" w:hAnsi="Arial"/>
          <w:sz w:val="18"/>
          <w:szCs w:val="18"/>
          <w:color w:val="auto"/>
        </w:rPr>
        <w:t>”), pursuant to which the Company will pay to Sponsor an aggregate monthly fee of $10,000 for office space, secretarial and administrative services.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hereby confirms its agreements with the Underwriters as follows:</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Section 1. Representations and Warranties of the Company.</w:t>
      </w:r>
    </w:p>
    <w:p>
      <w:pPr>
        <w:spacing w:after="0" w:line="22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Company hereby represents, warrants and covenants to each Underwriter, as of the date of this Agreement, as of the First Closing Date (as hereinafter defined) and as of each Option Closing Date (as hereinafter defined), if any, as follows:</w:t>
      </w:r>
    </w:p>
    <w:p>
      <w:pPr>
        <w:spacing w:after="0" w:line="166" w:lineRule="exact"/>
        <w:rPr>
          <w:sz w:val="20"/>
          <w:szCs w:val="20"/>
          <w:color w:val="auto"/>
        </w:rPr>
      </w:pPr>
    </w:p>
    <w:p>
      <w:pPr>
        <w:ind w:right="240" w:firstLine="656"/>
        <w:spacing w:after="0" w:line="281" w:lineRule="auto"/>
        <w:tabs>
          <w:tab w:leader="none" w:pos="903" w:val="left"/>
        </w:tabs>
        <w:numPr>
          <w:ilvl w:val="0"/>
          <w:numId w:val="98"/>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Compliance with Registration Requirements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Registration Statement has become effective under the Securities Act. The Company has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complied, to the Commission’s satisfaction with all requests of the Commission for additional or supplemental information, if any. No stop order suspending the effectiveness of the Registration Statement is in effect and no proceedings for such purpose have been instituted or are pending or, to the best knowledge of the Company, are contemplated or threatened by the Commission.</w:t>
      </w:r>
    </w:p>
    <w:p>
      <w:pPr>
        <w:spacing w:after="0" w:line="164" w:lineRule="exact"/>
        <w:rPr>
          <w:rFonts w:ascii="Arial" w:cs="Arial" w:eastAsia="Arial" w:hAnsi="Arial"/>
          <w:sz w:val="17"/>
          <w:szCs w:val="17"/>
          <w:b w:val="1"/>
          <w:bCs w:val="1"/>
          <w:color w:val="auto"/>
        </w:rPr>
      </w:pPr>
    </w:p>
    <w:p>
      <w:pPr>
        <w:ind w:firstLine="656"/>
        <w:spacing w:after="0" w:line="268" w:lineRule="auto"/>
        <w:tabs>
          <w:tab w:leader="none" w:pos="913" w:val="left"/>
        </w:tabs>
        <w:numPr>
          <w:ilvl w:val="0"/>
          <w:numId w:val="98"/>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Disclosure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Each preliminary prospectus and the Prospectus when filed complied in all material respects with the Securities Act and, if filed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electronic transmission pursuant to EDGAR, was identical (except as may be permitted by Regulation S-T under the Securities Act) to the copy thereof delivered to the Underwriters for use in connection with the offer and sale of the Offered Securities. Each of the Registration Statement and any post-effective amendment thereto, at the time it became or becomes effective, complied and will comply in all material respects with the Securities Act and did not and will not contain any untrue statement of a material fact or omit to state a material fact required to be stated therein or necessary to make the statements therein not misleading. As of the Applicable Time, the Time of Sale Prospectus did not, and at the First Closing Date and at each applicable Option Closing Date (as defined in Section 2), will not, contain any untrue statement of a material fact or omit to state a material fact necessary to make the statements therein, in the light of the circumstances under which they were made, not misleading. The Prospectus, as of its date, did not, and at the First Closing Date and at each applicable Option Closing Date, will not, contain any untrue statement of a material fact or omit to state a material fact necessary in order to make the statements therein, in the light of the circumstances under which they were made, not misleading. The representations and warranties set forth in the three immediately preceding sentences do not apply to statements in or omissions from the Registration Statement or any post-effective amendment thereto, or the Prospectus or the Time of Sale Prospectus, or any amendments or supplements thereto, made in reliance upon and in conformity with written information relating to any Underwriter furnished to the Company in writing by the Representative expressly for use therein, it being understood and agreed that the only such information consists of the information described in Section 8(b) below. There are no contracts or other documents required to be described in the Time of Sale Prospectus or the Prospectus or to be filed as an exhibit to the Registration Statement which have not been described or filed as required.</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54" w:name="page155"/>
    <w:bookmarkEnd w:id="154"/>
    <w:p>
      <w:pPr>
        <w:ind w:left="-20" w:right="20" w:firstLine="656"/>
        <w:spacing w:after="0" w:line="271" w:lineRule="auto"/>
        <w:tabs>
          <w:tab w:leader="none" w:pos="872" w:val="left"/>
        </w:tabs>
        <w:numPr>
          <w:ilvl w:val="0"/>
          <w:numId w:val="99"/>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Free Writing Prospectuses; Road Show</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of the determination date referenced in Rule 164(h) under the Securities Act and as of the date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hereof, the Company was and is an “ineligible issuer” in connection with the Offering pursuant to Rules 164, 405 and 433 under the Securities Act. The Company has not prepared, used or referred to, and will not, without your prior written consent, prepare, use or refer to, any free writing prospectus. Each of the Marketing Materials (including each Road Show), when considered together with the Time of Sale Prospectus, did not, as of the Applicable Time, contain any untrue statement of a material fact or omit to state a material fact necessary to make the statements therein, in the light of the circumstances under which they were made, not misleading. The representation and warranty set forth in the immediately preceding sentence does not apply to statements in or omissions from the Time of Sale Prospectus, or any amendments or supplements thereto, made in reliance upon and in conformity with written information relating to any Underwriter furnished to the Company in writing by the Representative expressly for use therein, it being understood and agreed that the only such information consists of the information described in Section 8(b) below.</w:t>
      </w:r>
    </w:p>
    <w:p>
      <w:pPr>
        <w:spacing w:after="0" w:line="173" w:lineRule="exact"/>
        <w:rPr>
          <w:rFonts w:ascii="Arial" w:cs="Arial" w:eastAsia="Arial" w:hAnsi="Arial"/>
          <w:sz w:val="17"/>
          <w:szCs w:val="17"/>
          <w:b w:val="1"/>
          <w:bCs w:val="1"/>
          <w:color w:val="auto"/>
        </w:rPr>
      </w:pPr>
    </w:p>
    <w:p>
      <w:pPr>
        <w:ind w:left="-20" w:firstLine="656"/>
        <w:spacing w:after="0" w:line="303" w:lineRule="auto"/>
        <w:tabs>
          <w:tab w:leader="none" w:pos="893" w:val="left"/>
        </w:tabs>
        <w:numPr>
          <w:ilvl w:val="0"/>
          <w:numId w:val="9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Distribution of Offering Material By the Company</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Prior to the later of (i) the expiration or termination of the option granted to the several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Underwriters in Section 2, (ii) the completion of the several Underwriters’ distribution of the Offered Securities and (iii) the expiration of 25 days after the date of the Prospectus</w:t>
      </w:r>
      <w:r>
        <w:rPr>
          <w:rFonts w:ascii="Arial" w:cs="Arial" w:eastAsia="Arial" w:hAnsi="Arial"/>
          <w:sz w:val="16"/>
          <w:szCs w:val="16"/>
          <w:b w:val="1"/>
          <w:bCs w:val="1"/>
          <w:color w:val="auto"/>
        </w:rPr>
        <w:t>,</w:t>
      </w:r>
      <w:r>
        <w:rPr>
          <w:rFonts w:ascii="Arial" w:cs="Arial" w:eastAsia="Arial" w:hAnsi="Arial"/>
          <w:sz w:val="16"/>
          <w:szCs w:val="16"/>
          <w:color w:val="auto"/>
        </w:rPr>
        <w:t xml:space="preserve"> the Company has not distributed and will not distribute any offering material in connection with the Offering and sale of the Offered Securities other than the Registration Statement, the Time of Sale Prospectus, the Prospectus and any Permitted Section 5(d) Communications.</w:t>
      </w:r>
    </w:p>
    <w:p>
      <w:pPr>
        <w:spacing w:after="0" w:line="150" w:lineRule="exact"/>
        <w:rPr>
          <w:rFonts w:ascii="Arial" w:cs="Arial" w:eastAsia="Arial" w:hAnsi="Arial"/>
          <w:sz w:val="16"/>
          <w:szCs w:val="16"/>
          <w:b w:val="1"/>
          <w:bCs w:val="1"/>
          <w:color w:val="auto"/>
        </w:rPr>
      </w:pPr>
    </w:p>
    <w:p>
      <w:pPr>
        <w:ind w:left="-20" w:right="80" w:firstLine="656"/>
        <w:spacing w:after="0" w:line="261" w:lineRule="auto"/>
        <w:tabs>
          <w:tab w:leader="none" w:pos="872"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The Underwriting Agreement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has been duly and validly authorized, executed and delivered by the Company, and is a valid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binding agreement of the Company, enforceable against the Company in accordance with its terms, except as the enforceability thereof may be limited by bankruptcy, insolvency, or similar laws affecting creditors’ rights generally from time to time in effect and by equitable principles of general applicability.</w:t>
      </w:r>
    </w:p>
    <w:p>
      <w:pPr>
        <w:spacing w:after="0" w:line="179" w:lineRule="exact"/>
        <w:rPr>
          <w:rFonts w:ascii="Arial" w:cs="Arial" w:eastAsia="Arial" w:hAnsi="Arial"/>
          <w:sz w:val="18"/>
          <w:szCs w:val="18"/>
          <w:b w:val="1"/>
          <w:bCs w:val="1"/>
          <w:color w:val="auto"/>
        </w:rPr>
      </w:pPr>
    </w:p>
    <w:p>
      <w:pPr>
        <w:ind w:left="-20" w:firstLine="656"/>
        <w:spacing w:after="0" w:line="281" w:lineRule="auto"/>
        <w:tabs>
          <w:tab w:leader="none" w:pos="853" w:val="left"/>
        </w:tabs>
        <w:numPr>
          <w:ilvl w:val="0"/>
          <w:numId w:val="99"/>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Filing of a Form 8-A</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has filed with the Commission a registration statement (the “</w:t>
      </w:r>
      <w:r>
        <w:rPr>
          <w:rFonts w:ascii="Arial" w:cs="Arial" w:eastAsia="Arial" w:hAnsi="Arial"/>
          <w:sz w:val="17"/>
          <w:szCs w:val="17"/>
          <w:b w:val="1"/>
          <w:bCs w:val="1"/>
          <w:color w:val="auto"/>
        </w:rPr>
        <w:t>Exchange Act Registration Statement</w:t>
      </w:r>
      <w:r>
        <w:rPr>
          <w:rFonts w:ascii="Arial" w:cs="Arial" w:eastAsia="Arial" w:hAnsi="Arial"/>
          <w:sz w:val="17"/>
          <w:szCs w:val="17"/>
          <w:color w:val="auto"/>
        </w:rPr>
        <w:t>”)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Form 8-A (file number 001-[●]) providing for the registration under the Securities Exchange Act of 1934, as amended, and the rules and regulations promulgated thereunder (collectively, the “</w:t>
      </w:r>
      <w:r>
        <w:rPr>
          <w:rFonts w:ascii="Arial" w:cs="Arial" w:eastAsia="Arial" w:hAnsi="Arial"/>
          <w:sz w:val="17"/>
          <w:szCs w:val="17"/>
          <w:b w:val="1"/>
          <w:bCs w:val="1"/>
          <w:color w:val="auto"/>
        </w:rPr>
        <w:t>Exchange Act</w:t>
      </w:r>
      <w:r>
        <w:rPr>
          <w:rFonts w:ascii="Arial" w:cs="Arial" w:eastAsia="Arial" w:hAnsi="Arial"/>
          <w:sz w:val="17"/>
          <w:szCs w:val="17"/>
          <w:color w:val="auto"/>
        </w:rPr>
        <w:t>”) of the shares of Class A Common Stock, which registration is currently effective on the date hereof. The Exchange Act Registration Statement has become effective as provided in Section 12 of the Exchange Act.</w:t>
      </w:r>
    </w:p>
    <w:p>
      <w:pPr>
        <w:spacing w:after="0" w:line="164" w:lineRule="exact"/>
        <w:rPr>
          <w:rFonts w:ascii="Arial" w:cs="Arial" w:eastAsia="Arial" w:hAnsi="Arial"/>
          <w:sz w:val="17"/>
          <w:szCs w:val="17"/>
          <w:b w:val="1"/>
          <w:bCs w:val="1"/>
          <w:color w:val="auto"/>
        </w:rPr>
      </w:pPr>
    </w:p>
    <w:p>
      <w:pPr>
        <w:ind w:left="-20" w:right="260" w:firstLine="656"/>
        <w:spacing w:after="0" w:line="282" w:lineRule="auto"/>
        <w:tabs>
          <w:tab w:leader="none" w:pos="883"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Stock Exchange Listing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shares of Class A Common Stock have been approved for listing on The Nasdaq Capital Market (“</w:t>
      </w:r>
      <w:r>
        <w:rPr>
          <w:rFonts w:ascii="Arial" w:cs="Arial" w:eastAsia="Arial" w:hAnsi="Arial"/>
          <w:sz w:val="18"/>
          <w:szCs w:val="18"/>
          <w:b w:val="1"/>
          <w:bCs w:val="1"/>
          <w:color w:val="auto"/>
        </w:rPr>
        <w:t>Nasdaq</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subject only to official notice of issuance.</w:t>
      </w:r>
    </w:p>
    <w:p>
      <w:pPr>
        <w:spacing w:after="0" w:line="161" w:lineRule="exact"/>
        <w:rPr>
          <w:rFonts w:ascii="Arial" w:cs="Arial" w:eastAsia="Arial" w:hAnsi="Arial"/>
          <w:sz w:val="18"/>
          <w:szCs w:val="18"/>
          <w:b w:val="1"/>
          <w:bCs w:val="1"/>
          <w:color w:val="auto"/>
        </w:rPr>
      </w:pPr>
    </w:p>
    <w:p>
      <w:pPr>
        <w:ind w:left="-20" w:right="360" w:firstLine="656"/>
        <w:spacing w:after="0" w:line="347" w:lineRule="auto"/>
        <w:tabs>
          <w:tab w:leader="none" w:pos="893" w:val="left"/>
        </w:tabs>
        <w:numPr>
          <w:ilvl w:val="0"/>
          <w:numId w:val="9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No Integration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Neither the Company nor any of its affiliates has, prior to the date hereof, made any offer or sale of any securities that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required to be “integrated” pursuant to the Securities Act with the offer and sale of the Offered Securities pursuant to the Registration Statement.</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337" w:right="359" w:bottom="1440" w:gutter="0" w:footer="0" w:header="0"/>
        </w:sectPr>
      </w:pPr>
    </w:p>
    <w:bookmarkStart w:id="155" w:name="page156"/>
    <w:bookmarkEnd w:id="155"/>
    <w:p>
      <w:pPr>
        <w:ind w:right="120" w:firstLine="656"/>
        <w:spacing w:after="0" w:line="266" w:lineRule="auto"/>
        <w:tabs>
          <w:tab w:leader="none" w:pos="863"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Authorization of the Sponsor Shares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Sponsor Shares have been duly authorized by the Company and, when issued and delivered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manner set forth in the Sponsor Shares Purchase Agreement against payment therefor, will be validly issued, fully paid and non-assessable and free of preemptive rights, rights of first refusal and similar rights.</w:t>
      </w:r>
    </w:p>
    <w:p>
      <w:pPr>
        <w:spacing w:after="0" w:line="175" w:lineRule="exact"/>
        <w:rPr>
          <w:rFonts w:ascii="Arial" w:cs="Arial" w:eastAsia="Arial" w:hAnsi="Arial"/>
          <w:sz w:val="18"/>
          <w:szCs w:val="18"/>
          <w:b w:val="1"/>
          <w:bCs w:val="1"/>
          <w:color w:val="auto"/>
        </w:rPr>
      </w:pPr>
    </w:p>
    <w:p>
      <w:pPr>
        <w:ind w:left="880" w:hanging="224"/>
        <w:spacing w:after="0"/>
        <w:tabs>
          <w:tab w:leader="none" w:pos="880" w:val="left"/>
        </w:tabs>
        <w:numPr>
          <w:ilvl w:val="0"/>
          <w:numId w:val="10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Authorization of the Founder Shares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Founder Shares have been duly authorized, were validly issued and are fully paid and non-</w:t>
      </w:r>
    </w:p>
    <w:p>
      <w:pPr>
        <w:spacing w:after="0" w:line="38"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assessable.</w:t>
      </w:r>
    </w:p>
    <w:p>
      <w:pPr>
        <w:spacing w:after="0" w:line="206" w:lineRule="exact"/>
        <w:rPr>
          <w:rFonts w:ascii="Arial" w:cs="Arial" w:eastAsia="Arial" w:hAnsi="Arial"/>
          <w:sz w:val="17"/>
          <w:szCs w:val="17"/>
          <w:b w:val="1"/>
          <w:bCs w:val="1"/>
          <w:color w:val="auto"/>
        </w:rPr>
      </w:pPr>
    </w:p>
    <w:p>
      <w:pPr>
        <w:ind w:firstLine="656"/>
        <w:spacing w:after="0" w:line="266" w:lineRule="auto"/>
        <w:tabs>
          <w:tab w:leader="none" w:pos="913"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Authorization of the Offered Securities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Offered Securities have been duly authorized for issuance and sale pursuant to this Agreement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when issued and delivered by the Company against payment therefor pursuant to this Agreement, will be validly issued, fully paid and non-assessable and free of preemptive rights, rights of first refusal and similar rights.</w:t>
      </w:r>
    </w:p>
    <w:p>
      <w:pPr>
        <w:spacing w:after="0" w:line="175" w:lineRule="exact"/>
        <w:rPr>
          <w:rFonts w:ascii="Arial" w:cs="Arial" w:eastAsia="Arial" w:hAnsi="Arial"/>
          <w:sz w:val="18"/>
          <w:szCs w:val="18"/>
          <w:b w:val="1"/>
          <w:bCs w:val="1"/>
          <w:color w:val="auto"/>
        </w:rPr>
      </w:pPr>
    </w:p>
    <w:p>
      <w:pPr>
        <w:ind w:right="80" w:firstLine="656"/>
        <w:spacing w:after="0" w:line="314" w:lineRule="auto"/>
        <w:tabs>
          <w:tab w:leader="none" w:pos="863" w:val="left"/>
        </w:tabs>
        <w:numPr>
          <w:ilvl w:val="0"/>
          <w:numId w:val="100"/>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The Trust Agreement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Trust Agreement has been duly authorized, executed and delivered by the Company, and is a valid and binding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of the Company, enforceable against the Company, in accordance with its terms, except as the enforceability thereof may be limited by bankruptcy, insolvency, or similar laws affecting creditors’ rights generally from time to time in effect and by equitable principles of general applicability.</w:t>
      </w:r>
    </w:p>
    <w:p>
      <w:pPr>
        <w:spacing w:after="0" w:line="141" w:lineRule="exact"/>
        <w:rPr>
          <w:rFonts w:ascii="Arial" w:cs="Arial" w:eastAsia="Arial" w:hAnsi="Arial"/>
          <w:sz w:val="16"/>
          <w:szCs w:val="16"/>
          <w:b w:val="1"/>
          <w:bCs w:val="1"/>
          <w:color w:val="auto"/>
        </w:rPr>
      </w:pPr>
    </w:p>
    <w:p>
      <w:pPr>
        <w:ind w:right="40" w:firstLine="656"/>
        <w:spacing w:after="0" w:line="261" w:lineRule="auto"/>
        <w:tabs>
          <w:tab w:leader="none" w:pos="963"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The Subscription Agreement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Subscription Agreement has been duly authorized, executed and delivered by the Company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Sponsor, and is a valid and binding agreement of the Company and the Sponsor, enforceable against the Company and the Sponsor in accordance with its terms, except as the enforceability thereof may be limited by bankruptcy, insolvency, or similar laws affecting creditors’ rights generally from time to time in effect and by equitable principles of general applicability.</w:t>
      </w:r>
    </w:p>
    <w:p>
      <w:pPr>
        <w:spacing w:after="0" w:line="179" w:lineRule="exact"/>
        <w:rPr>
          <w:rFonts w:ascii="Arial" w:cs="Arial" w:eastAsia="Arial" w:hAnsi="Arial"/>
          <w:sz w:val="18"/>
          <w:szCs w:val="18"/>
          <w:b w:val="1"/>
          <w:bCs w:val="1"/>
          <w:color w:val="auto"/>
        </w:rPr>
      </w:pPr>
    </w:p>
    <w:p>
      <w:pPr>
        <w:ind w:firstLine="656"/>
        <w:spacing w:after="0" w:line="261" w:lineRule="auto"/>
        <w:tabs>
          <w:tab w:leader="none" w:pos="913"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The Sponsor Shares Purchase Agreement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Sponsor Shares Purchase Agreement has been duly authorized, executed and delivered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and the Sponsor, and is a valid and binding agreement of the Company and the Sponsor, enforceable against the Company and the Sponsor in accordance with its terms, except as the enforceability thereof may be limited by bankruptcy, insolvency, or similar laws affecting creditors’ rights generally from time to time in effect and by equitable principles of general applicability.</w:t>
      </w:r>
    </w:p>
    <w:p>
      <w:pPr>
        <w:spacing w:after="0" w:line="179" w:lineRule="exact"/>
        <w:rPr>
          <w:rFonts w:ascii="Arial" w:cs="Arial" w:eastAsia="Arial" w:hAnsi="Arial"/>
          <w:sz w:val="18"/>
          <w:szCs w:val="18"/>
          <w:b w:val="1"/>
          <w:bCs w:val="1"/>
          <w:color w:val="auto"/>
        </w:rPr>
      </w:pPr>
    </w:p>
    <w:p>
      <w:pPr>
        <w:jc w:val="both"/>
        <w:ind w:right="120" w:firstLine="656"/>
        <w:spacing w:after="0" w:line="261" w:lineRule="auto"/>
        <w:tabs>
          <w:tab w:leader="none" w:pos="903"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The Registration Rights Agreement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Registration Rights Agreement has been duly authorized, executed and delivered by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is a valid and binding agreement of the Company, enforceable against the Company in accordance with its terms, except as the enforceability thereof may be limited by bankruptcy, insolvency, or similar laws affecting creditors’ rights generally from time to time in effect and by equitable principles of general applicability.</w:t>
      </w:r>
    </w:p>
    <w:p>
      <w:pPr>
        <w:spacing w:after="0" w:line="179" w:lineRule="exact"/>
        <w:rPr>
          <w:rFonts w:ascii="Arial" w:cs="Arial" w:eastAsia="Arial" w:hAnsi="Arial"/>
          <w:sz w:val="18"/>
          <w:szCs w:val="18"/>
          <w:b w:val="1"/>
          <w:bCs w:val="1"/>
          <w:color w:val="auto"/>
        </w:rPr>
      </w:pPr>
    </w:p>
    <w:p>
      <w:pPr>
        <w:ind w:right="280" w:firstLine="656"/>
        <w:spacing w:after="0" w:line="274" w:lineRule="auto"/>
        <w:tabs>
          <w:tab w:leader="none" w:pos="913" w:val="left"/>
        </w:tabs>
        <w:numPr>
          <w:ilvl w:val="0"/>
          <w:numId w:val="10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The Insider Letter</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Insider Letter has been duly authorized, executed and delivered by the Company and the Sponsor and, to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Company’s knowledge, each executive officer, director and director nominee, respectively, and is a valid and binding agreement of the Company, the Sponsor and, to the Company’s knowledge, each executive officer, director and director nominee of the Company, respectively, enforceable against the Company, the Sponsor and, to the Company’s knowledge, each executive officer, director and director nominee of the Company, respectively, in accordance with its terms, except as the enforceability thereof may be limited by bankruptcy, insolvency, or similar laws affecting creditors’ rights generally from time to time in effect and by equitable principles of general applicability.</w:t>
      </w:r>
    </w:p>
    <w:p>
      <w:pPr>
        <w:spacing w:after="0" w:line="34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sectPr>
      </w:pPr>
    </w:p>
    <w:bookmarkStart w:id="156" w:name="page157"/>
    <w:bookmarkEnd w:id="156"/>
    <w:p>
      <w:pPr>
        <w:ind w:left="-20" w:right="160" w:firstLine="656"/>
        <w:spacing w:after="0" w:line="281" w:lineRule="auto"/>
        <w:tabs>
          <w:tab w:leader="none" w:pos="893" w:val="left"/>
        </w:tabs>
        <w:numPr>
          <w:ilvl w:val="0"/>
          <w:numId w:val="101"/>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The Administrative Services Agreement</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Administrative Services Agreement has been duly authorized, executed and delivered by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and, assuming the due authorization, execution and delivery thereof by Sponsor, is a valid and binding agreement of the Company, enforceable against the Company in accordance with its terms except as the enforceability thereof may be limited by bankruptcy, insolvency, or similar laws affecting creditors’ rights generally from time to time in effect and by equitable principles of general applicability.</w:t>
      </w:r>
    </w:p>
    <w:p>
      <w:pPr>
        <w:spacing w:after="0" w:line="164" w:lineRule="exact"/>
        <w:rPr>
          <w:rFonts w:ascii="Arial" w:cs="Arial" w:eastAsia="Arial" w:hAnsi="Arial"/>
          <w:sz w:val="17"/>
          <w:szCs w:val="17"/>
          <w:b w:val="1"/>
          <w:bCs w:val="1"/>
          <w:color w:val="auto"/>
        </w:rPr>
      </w:pPr>
    </w:p>
    <w:p>
      <w:pPr>
        <w:ind w:left="-20" w:right="480" w:firstLine="656"/>
        <w:spacing w:after="0" w:line="312" w:lineRule="auto"/>
        <w:tabs>
          <w:tab w:leader="none" w:pos="872" w:val="left"/>
        </w:tabs>
        <w:numPr>
          <w:ilvl w:val="0"/>
          <w:numId w:val="101"/>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No Applicable Registration or Other Similar Rights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There are no persons with registration or other similar rights to have equity or debt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securities registered for sale under the Registration Statement or included in the offering contemplated by this Agreement.</w:t>
      </w:r>
    </w:p>
    <w:p>
      <w:pPr>
        <w:spacing w:after="0" w:line="139" w:lineRule="exact"/>
        <w:rPr>
          <w:rFonts w:ascii="Arial" w:cs="Arial" w:eastAsia="Arial" w:hAnsi="Arial"/>
          <w:sz w:val="17"/>
          <w:szCs w:val="17"/>
          <w:b w:val="1"/>
          <w:bCs w:val="1"/>
          <w:color w:val="auto"/>
        </w:rPr>
      </w:pPr>
    </w:p>
    <w:p>
      <w:pPr>
        <w:ind w:left="-20" w:right="160" w:firstLine="656"/>
        <w:spacing w:after="0" w:line="258" w:lineRule="auto"/>
        <w:tabs>
          <w:tab w:leader="none" w:pos="863"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Independent Accountants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WithumSmith+Brown, PC (“</w:t>
      </w:r>
      <w:r>
        <w:rPr>
          <w:rFonts w:ascii="Arial" w:cs="Arial" w:eastAsia="Arial" w:hAnsi="Arial"/>
          <w:sz w:val="18"/>
          <w:szCs w:val="18"/>
          <w:b w:val="1"/>
          <w:bCs w:val="1"/>
          <w:color w:val="auto"/>
        </w:rPr>
        <w:t>Withum</w:t>
      </w:r>
      <w:r>
        <w:rPr>
          <w:rFonts w:ascii="Arial" w:cs="Arial" w:eastAsia="Arial" w:hAnsi="Arial"/>
          <w:sz w:val="18"/>
          <w:szCs w:val="18"/>
          <w:color w:val="auto"/>
        </w:rPr>
        <w:t>”), who have certified certain financial statements of the Company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delivered their report with respect to the audited financial statements (which term as used in this Agreement includes the related notes thereto and the supporting schedules, if any) filed with the Commission as a part of the Registration Statement, the Time of Sale Prospectus and the Prospectus, is a registered public accounting firm that is independent with respect to the Company within the meaning of the Securities Act and the Exchange Act and the applicable published rules and regulations thereunder.</w:t>
      </w:r>
    </w:p>
    <w:p>
      <w:pPr>
        <w:spacing w:after="0" w:line="183" w:lineRule="exact"/>
        <w:rPr>
          <w:rFonts w:ascii="Arial" w:cs="Arial" w:eastAsia="Arial" w:hAnsi="Arial"/>
          <w:sz w:val="18"/>
          <w:szCs w:val="18"/>
          <w:b w:val="1"/>
          <w:bCs w:val="1"/>
          <w:color w:val="auto"/>
        </w:rPr>
      </w:pPr>
    </w:p>
    <w:p>
      <w:pPr>
        <w:ind w:left="-20" w:firstLine="656"/>
        <w:spacing w:after="0" w:line="289" w:lineRule="auto"/>
        <w:tabs>
          <w:tab w:leader="none" w:pos="853" w:val="left"/>
        </w:tabs>
        <w:numPr>
          <w:ilvl w:val="0"/>
          <w:numId w:val="10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Financial Statements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financial statements, including the notes thereto and the supporting schedules, if any, filed with the Commission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part of the Registration Statement, the Time of Sale Prospectus and the Prospectus present fairly the financial position of the Company as of the dates indicated and the results of the Company’s operations, changes in stockholders’ equity and cash flows for the periods specified. Such financial statements and supporting schedules, if any, have been prepared in conformity with generally accepted accounting principles as applied in the United States applied on a consistent basis throughout the periods involved, except as may be expressly stated in the related notes thereto. No other financial statements or supporting schedules are required to be included in the Registration Statement, the Time of Sale Prospectus or the Prospectus. The financial data set forth in each of the Registration Statement, the Time of Sale Prospectus and the Prospectus under the captions “Summary Financial Data” and “Capitalization” fairly present the information set forth therein on a basis consistent with that of the audited financial statements contained in the Registration Statement, the Time of Sale Prospectus and the Prospectus. There are no pro forma or as adjusted financial statements that are required to be included in the Registration Statement, the Time of Sale Prospectus and the Prospectus in accordance with Regulation S-X that have not been included as so required.</w:t>
      </w:r>
    </w:p>
    <w:p>
      <w:pPr>
        <w:spacing w:after="0" w:line="160" w:lineRule="exact"/>
        <w:rPr>
          <w:rFonts w:ascii="Arial" w:cs="Arial" w:eastAsia="Arial" w:hAnsi="Arial"/>
          <w:sz w:val="16"/>
          <w:szCs w:val="16"/>
          <w:b w:val="1"/>
          <w:bCs w:val="1"/>
          <w:color w:val="auto"/>
        </w:rPr>
      </w:pPr>
    </w:p>
    <w:p>
      <w:pPr>
        <w:ind w:left="-20" w:right="80" w:firstLine="656"/>
        <w:spacing w:after="0" w:line="294" w:lineRule="auto"/>
        <w:tabs>
          <w:tab w:leader="none" w:pos="893" w:val="left"/>
        </w:tabs>
        <w:numPr>
          <w:ilvl w:val="0"/>
          <w:numId w:val="10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Company’s Accounting System</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the extent required by Rule 13a-15(e) under the Exchange Act, the Company will maintain “disclosure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controls and procedures” (as defined under Rule 13a-15(e) under the Exchange Act) and a system of internal accounting controls sufficient to provide reasonable assurance that: (i) transactions are executed in accordance with management’s general or specific authorization; (ii) transactions are recorded as necessary to permit preparation of financial statements in conformity with generally accepted accounting principles as applied in the United States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159" w:lineRule="exact"/>
        <w:rPr>
          <w:rFonts w:ascii="Arial" w:cs="Arial" w:eastAsia="Arial" w:hAnsi="Arial"/>
          <w:sz w:val="16"/>
          <w:szCs w:val="16"/>
          <w:b w:val="1"/>
          <w:bCs w:val="1"/>
          <w:color w:val="auto"/>
        </w:rPr>
      </w:pPr>
    </w:p>
    <w:p>
      <w:pPr>
        <w:ind w:left="-20" w:right="260" w:firstLine="656"/>
        <w:spacing w:after="0" w:line="312" w:lineRule="auto"/>
        <w:tabs>
          <w:tab w:leader="none" w:pos="883" w:val="left"/>
        </w:tabs>
        <w:numPr>
          <w:ilvl w:val="0"/>
          <w:numId w:val="101"/>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Disclosure Controls and Procedures; Deficiencies in or Changes to Internal Control Over Financial Reporting</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maintains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“disclosure controls and procedures” as defined under Rule 13a-15(e) under the Exchange Act, to the extent required by such rule.</w:t>
      </w:r>
    </w:p>
    <w:p>
      <w:pPr>
        <w:spacing w:after="0" w:line="139" w:lineRule="exact"/>
        <w:rPr>
          <w:rFonts w:ascii="Arial" w:cs="Arial" w:eastAsia="Arial" w:hAnsi="Arial"/>
          <w:sz w:val="17"/>
          <w:szCs w:val="17"/>
          <w:b w:val="1"/>
          <w:bCs w:val="1"/>
          <w:color w:val="auto"/>
        </w:rPr>
      </w:pPr>
    </w:p>
    <w:p>
      <w:pPr>
        <w:ind w:left="-20" w:right="60" w:firstLine="656"/>
        <w:spacing w:after="0" w:line="258" w:lineRule="auto"/>
        <w:tabs>
          <w:tab w:leader="none" w:pos="923"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Compliance with the Sarbanes-Oxley Act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Solely to the extent that the Sarbanes-Oxley Act of 2002, as amended, and the rules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regulations promulgated by the Commission and Nasdaq thereunder (the “</w:t>
      </w:r>
      <w:r>
        <w:rPr>
          <w:rFonts w:ascii="Arial" w:cs="Arial" w:eastAsia="Arial" w:hAnsi="Arial"/>
          <w:sz w:val="18"/>
          <w:szCs w:val="18"/>
          <w:b w:val="1"/>
          <w:bCs w:val="1"/>
          <w:color w:val="auto"/>
        </w:rPr>
        <w:t>Sarbanes-Oxley Act</w:t>
      </w:r>
      <w:r>
        <w:rPr>
          <w:rFonts w:ascii="Arial" w:cs="Arial" w:eastAsia="Arial" w:hAnsi="Arial"/>
          <w:sz w:val="18"/>
          <w:szCs w:val="18"/>
          <w:color w:val="auto"/>
        </w:rPr>
        <w:t>”) have been applicable to the Company, there is and has been no failure on the part of the Company to comply in all material respects with any provision of the Sarbanes-Oxley Act. The Company has taken all necessary actions to ensure that it is in compliance with all provisions of the Sarbanes-Oxley Act that are in effect and with which the Company is required to comply.</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337" w:right="339" w:bottom="1440" w:gutter="0" w:footer="0" w:header="0"/>
        </w:sectPr>
      </w:pPr>
    </w:p>
    <w:bookmarkStart w:id="157" w:name="page158"/>
    <w:bookmarkEnd w:id="157"/>
    <w:p>
      <w:pPr>
        <w:ind w:left="-20" w:right="80" w:firstLine="656"/>
        <w:spacing w:after="0" w:line="274" w:lineRule="auto"/>
        <w:tabs>
          <w:tab w:leader="none" w:pos="883" w:val="left"/>
        </w:tabs>
        <w:numPr>
          <w:ilvl w:val="0"/>
          <w:numId w:val="102"/>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Compliance with Nasdaq Rules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There is and has been no failure on the part of the Company or, to the knowledge of the Company, any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Company’s officers or directors, in their capacities as such, to comply with (as and when applicable), and immediately following the Effective Date, the Company will be in compliance with, Nasdaq Marketplace Rule IM-5605. Further, there is and has been no failure on the part of the Company or, to the knowledge of the Company, any of the Company’s officers or directors, in their capacities as such, to comply with (as and when applicable), and immediately following the Effective Date, the Company will be in compliance with, the phase-in requirements and all other provisions of The Nasdaq Stock Market LLC corporate governance requirements set forth in the Nasdaq Marketplace Rules.</w:t>
      </w:r>
    </w:p>
    <w:p>
      <w:pPr>
        <w:spacing w:after="0" w:line="173" w:lineRule="exact"/>
        <w:rPr>
          <w:rFonts w:ascii="Arial" w:cs="Arial" w:eastAsia="Arial" w:hAnsi="Arial"/>
          <w:sz w:val="17"/>
          <w:szCs w:val="17"/>
          <w:b w:val="1"/>
          <w:bCs w:val="1"/>
          <w:color w:val="auto"/>
        </w:rPr>
      </w:pPr>
    </w:p>
    <w:p>
      <w:pPr>
        <w:ind w:left="-20" w:right="20" w:firstLine="656"/>
        <w:spacing w:after="0" w:line="261" w:lineRule="auto"/>
        <w:tabs>
          <w:tab w:leader="none" w:pos="883"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No Fees Related to this Agreement or the Offering of Offered Securities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There are no transfer, stamp, issue, registration, documentary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similar taxes, duties, fees or charges under U.S. federal law or the laws of any state, or any political subdivision thereof, or under the laws of any non-U.S. jurisdiction, required to be paid in connection with the execution and delivery of this Agreement or the issuance or sale by the Company of the Offered Securities.</w:t>
      </w:r>
    </w:p>
    <w:p>
      <w:pPr>
        <w:spacing w:after="0" w:line="179" w:lineRule="exact"/>
        <w:rPr>
          <w:rFonts w:ascii="Arial" w:cs="Arial" w:eastAsia="Arial" w:hAnsi="Arial"/>
          <w:sz w:val="18"/>
          <w:szCs w:val="18"/>
          <w:b w:val="1"/>
          <w:bCs w:val="1"/>
          <w:color w:val="auto"/>
        </w:rPr>
      </w:pPr>
    </w:p>
    <w:p>
      <w:pPr>
        <w:ind w:left="-20" w:right="20" w:firstLine="656"/>
        <w:spacing w:after="0" w:line="271" w:lineRule="auto"/>
        <w:tabs>
          <w:tab w:leader="none" w:pos="872" w:val="left"/>
        </w:tabs>
        <w:numPr>
          <w:ilvl w:val="0"/>
          <w:numId w:val="102"/>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Incorporation and Good Standing of the Company</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has been duly incorporated and is validly existing as a corporation in good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standing under the laws of the jurisdiction of its incorporation and has the corporate power and authority to own, lease and operate its properties and to conduct its business as described in the Registration Statement, the Time of Sale Prospectus and the Prospectus and to enter into and perform its obligations under this Agreement, the Trust Agreement, the Subscription Agreement, the Sponsor Shares Purchase Agreement, the Registration Rights Agreement, the Insider Letter and the Administrative Services Agreement and to carry out the transactions contemplated hereby and thereby. The Company is duly qualified as a foreign corporation to transact business and is in good standing in each jurisdiction in which such qualification is required, whether by reason of the ownership or leasing of property or the conduct of business, except where the failure to so qualify would not reasonably be expected to have a material adverse effect on the financial condition, earnings, business, properties, operations, assets, liabilities or prospects of the Company (a “</w:t>
      </w:r>
      <w:r>
        <w:rPr>
          <w:rFonts w:ascii="Arial" w:cs="Arial" w:eastAsia="Arial" w:hAnsi="Arial"/>
          <w:sz w:val="17"/>
          <w:szCs w:val="17"/>
          <w:b w:val="1"/>
          <w:bCs w:val="1"/>
          <w:color w:val="auto"/>
        </w:rPr>
        <w:t>Material</w:t>
      </w:r>
      <w:r>
        <w:rPr>
          <w:rFonts w:ascii="Arial" w:cs="Arial" w:eastAsia="Arial" w:hAnsi="Arial"/>
          <w:sz w:val="17"/>
          <w:szCs w:val="17"/>
          <w:color w:val="auto"/>
        </w:rPr>
        <w:t xml:space="preserve"> </w:t>
      </w:r>
      <w:r>
        <w:rPr>
          <w:rFonts w:ascii="Arial" w:cs="Arial" w:eastAsia="Arial" w:hAnsi="Arial"/>
          <w:sz w:val="17"/>
          <w:szCs w:val="17"/>
          <w:b w:val="1"/>
          <w:bCs w:val="1"/>
          <w:color w:val="auto"/>
        </w:rPr>
        <w:t>Adverse Effect</w:t>
      </w:r>
      <w:r>
        <w:rPr>
          <w:rFonts w:ascii="Arial" w:cs="Arial" w:eastAsia="Arial" w:hAnsi="Arial"/>
          <w:sz w:val="17"/>
          <w:szCs w:val="17"/>
          <w:color w:val="auto"/>
        </w:rPr>
        <w:t>”) on the Company.</w:t>
      </w:r>
    </w:p>
    <w:p>
      <w:pPr>
        <w:spacing w:after="0" w:line="174" w:lineRule="exact"/>
        <w:rPr>
          <w:sz w:val="20"/>
          <w:szCs w:val="20"/>
          <w:color w:val="auto"/>
        </w:rPr>
      </w:pPr>
    </w:p>
    <w:p>
      <w:pPr>
        <w:ind w:left="-20" w:right="200" w:firstLine="656"/>
        <w:spacing w:after="0" w:line="282" w:lineRule="auto"/>
        <w:tabs>
          <w:tab w:leader="none" w:pos="973"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Interests in Other Entities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does not own or control, directly or indirectly, an interest in any corporation, partnership, limited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liability company, joint venture, trust or other entity.</w:t>
      </w:r>
    </w:p>
    <w:p>
      <w:pPr>
        <w:spacing w:after="0" w:line="161" w:lineRule="exact"/>
        <w:rPr>
          <w:rFonts w:ascii="Arial" w:cs="Arial" w:eastAsia="Arial" w:hAnsi="Arial"/>
          <w:sz w:val="18"/>
          <w:szCs w:val="18"/>
          <w:b w:val="1"/>
          <w:bCs w:val="1"/>
          <w:color w:val="auto"/>
        </w:rPr>
      </w:pPr>
    </w:p>
    <w:p>
      <w:pPr>
        <w:ind w:left="-20" w:firstLine="656"/>
        <w:spacing w:after="0" w:line="289" w:lineRule="auto"/>
        <w:tabs>
          <w:tab w:leader="none" w:pos="993" w:val="left"/>
        </w:tabs>
        <w:numPr>
          <w:ilvl w:val="0"/>
          <w:numId w:val="103"/>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Capitalization and Other Capital Stock Matters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authorized, issued and outstanding capital stock of the Company is as set forth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Registration Statement, the Time of Sale Prospectus and the Prospectus under the caption “Capitalization” (other than for subsequent issuances, if any, pursuant to employee benefit plans, or upon the exercise of outstanding options or warrants, in each case described in the Registration Statement). The capital stock of the Company conforms in all material respects to the description thereof in the Time of Sale Prospectus, the Registration Statement and the Prospectus. All of the issued and outstanding securities of the Company have been duly authorized and validly issued, are fully paid and non-assessable and have been issued in compliance with all federal and state securities laws, based in part on the representations and warranties of the purchasers of such securities. None of the outstanding securities was issued in violation of any preemptive rights, rights of first refusal or other similar rights to subscribe for or purchase securities of the Company. There are no authorized or outstanding options, warrants, preemptive rights, rights of first refusal or other rights to purchase, or equity or debt securities convertible into or exchangeable or exercisable for, any capital stock of the Company other than those described in the Registration Statement, the Time of Sale Prospectus and the Prospectus.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337" w:right="339" w:bottom="1440" w:gutter="0" w:footer="0" w:header="0"/>
        </w:sectPr>
      </w:pPr>
    </w:p>
    <w:bookmarkStart w:id="158" w:name="page159"/>
    <w:bookmarkEnd w:id="158"/>
    <w:p>
      <w:pPr>
        <w:ind w:right="80" w:firstLine="656"/>
        <w:spacing w:after="0" w:line="289" w:lineRule="auto"/>
        <w:tabs>
          <w:tab w:leader="none" w:pos="972" w:val="left"/>
        </w:tabs>
        <w:numPr>
          <w:ilvl w:val="0"/>
          <w:numId w:val="104"/>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Sale of Securities of the Company</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 securities of the Company have been sold by the Company or by or on behalf of, or for the benefit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any person or persons controlling, controlled by, or under common control with the Company from its inception through and including the date hereof, except as disclosed in the Registration Statement, the Time of Sale Prospectus and the Prospectus.</w:t>
      </w:r>
    </w:p>
    <w:p>
      <w:pPr>
        <w:spacing w:after="0" w:line="157" w:lineRule="exact"/>
        <w:rPr>
          <w:rFonts w:ascii="Arial" w:cs="Arial" w:eastAsia="Arial" w:hAnsi="Arial"/>
          <w:sz w:val="17"/>
          <w:szCs w:val="17"/>
          <w:b w:val="1"/>
          <w:bCs w:val="1"/>
          <w:color w:val="auto"/>
        </w:rPr>
      </w:pPr>
    </w:p>
    <w:p>
      <w:pPr>
        <w:ind w:right="180" w:firstLine="656"/>
        <w:spacing w:after="0" w:line="266" w:lineRule="auto"/>
        <w:tabs>
          <w:tab w:leader="none" w:pos="1013"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“Penny Stock” Securities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Upon delivery and payment for the shares of Class A Common Stock on the First Closing Date and any Option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Closing Dates, the Company will not be subject to Rule 419 under the Securities Act and none of the Company’s outstanding securities will be deemed to be a “penny stock” as defined in Rule 3a51-1 under the Exchange Act.</w:t>
      </w:r>
    </w:p>
    <w:p>
      <w:pPr>
        <w:spacing w:after="0" w:line="175" w:lineRule="exact"/>
        <w:rPr>
          <w:rFonts w:ascii="Arial" w:cs="Arial" w:eastAsia="Arial" w:hAnsi="Arial"/>
          <w:sz w:val="18"/>
          <w:szCs w:val="18"/>
          <w:b w:val="1"/>
          <w:bCs w:val="1"/>
          <w:color w:val="auto"/>
        </w:rPr>
      </w:pPr>
    </w:p>
    <w:p>
      <w:pPr>
        <w:ind w:right="80" w:firstLine="656"/>
        <w:spacing w:after="0" w:line="285" w:lineRule="auto"/>
        <w:tabs>
          <w:tab w:leader="none" w:pos="972" w:val="left"/>
        </w:tabs>
        <w:numPr>
          <w:ilvl w:val="0"/>
          <w:numId w:val="10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Non-Contravention of Existing Instruments; No Further Authorizations or Approvals Required</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is not in violation of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certificate of incorporation and, as of the First Closing Date, will not be in violation of its amended and restated certificate of incorporation (as it may be amended from time to time, the “</w:t>
      </w:r>
      <w:r>
        <w:rPr>
          <w:rFonts w:ascii="Arial" w:cs="Arial" w:eastAsia="Arial" w:hAnsi="Arial"/>
          <w:sz w:val="16"/>
          <w:szCs w:val="16"/>
          <w:b w:val="1"/>
          <w:bCs w:val="1"/>
          <w:color w:val="auto"/>
        </w:rPr>
        <w:t>Amended and Restated Certificate of Incorporation</w:t>
      </w:r>
      <w:r>
        <w:rPr>
          <w:rFonts w:ascii="Arial" w:cs="Arial" w:eastAsia="Arial" w:hAnsi="Arial"/>
          <w:sz w:val="16"/>
          <w:szCs w:val="16"/>
          <w:color w:val="auto"/>
        </w:rPr>
        <w:t>”), and is not in default (or, with the giving of notice or lapse of time, would not be in default) (“</w:t>
      </w:r>
      <w:r>
        <w:rPr>
          <w:rFonts w:ascii="Arial" w:cs="Arial" w:eastAsia="Arial" w:hAnsi="Arial"/>
          <w:sz w:val="16"/>
          <w:szCs w:val="16"/>
          <w:b w:val="1"/>
          <w:bCs w:val="1"/>
          <w:color w:val="auto"/>
        </w:rPr>
        <w:t>Default</w:t>
      </w:r>
      <w:r>
        <w:rPr>
          <w:rFonts w:ascii="Arial" w:cs="Arial" w:eastAsia="Arial" w:hAnsi="Arial"/>
          <w:sz w:val="16"/>
          <w:szCs w:val="16"/>
          <w:color w:val="auto"/>
        </w:rPr>
        <w:t>”) under any indenture, loan, credit agreement, note, lease, license agreement, contract, franchise or other instrument (including, without limitation, any pledge agreement, security agreement, mortgage or other instrument or agreement evidencing, guaranteeing, securing or relating to indebtedness) to which the Company is a party or by which it may be bound, or to which any of the Company’s properties or assets are subject (each, an “</w:t>
      </w:r>
      <w:r>
        <w:rPr>
          <w:rFonts w:ascii="Arial" w:cs="Arial" w:eastAsia="Arial" w:hAnsi="Arial"/>
          <w:sz w:val="16"/>
          <w:szCs w:val="16"/>
          <w:b w:val="1"/>
          <w:bCs w:val="1"/>
          <w:color w:val="auto"/>
        </w:rPr>
        <w:t>Existing Instrument</w:t>
      </w:r>
      <w:r>
        <w:rPr>
          <w:rFonts w:ascii="Arial" w:cs="Arial" w:eastAsia="Arial" w:hAnsi="Arial"/>
          <w:sz w:val="16"/>
          <w:szCs w:val="16"/>
          <w:color w:val="auto"/>
        </w:rPr>
        <w:t>”), except for such Defaults as could not be reasonably expected, individually or in the aggregate, to have a Material Adverse Effect. The Company’s execution, delivery and performance of this Agreement, the Trust Agreement, the Subscription Agreement, the Sponsor Shares Purchase Agreement, the Registration Rights Agreement, the Insider Letter or the Administrative Services Agreement, consummation of the transactions contemplated hereby and thereby and by the Registration Statement, the Time of Sale Prospectus and the Prospectus and the issuance and sale of the Offered Securities (including the use of proceeds from the sale of the Offered Securities as described in the Registration Statement, the Time of Sale Prospectus and the Prospectus under the caption “Use of Proceeds”) (i) will not result in any violation of the provisions of the Amended and Restated Certificate of Incorporation of the Company, (ii) will not conflict with or constitute a breach of, or Default under, or result in the creation or imposition of any lien, charge or encumbrance upon any property or assets of the Company pursuant to, or require the consent of any other party to, any Existing Instrument and (iii) will not result in any violation of any law, administrative regulation or administrative or court decree applicable to the Company. No consent, approval, authorization or other order of, or registration or filing with, any court or other governmental or regulatory authority or agency, is required for, or in connection with, the Company’s execution, delivery and performance of this Agreement, the Trust Agreement, the Subscription Agreement, the Sponsor Shares Purchase Agreement, the Registration Rights Agreement, the Insider Letter or the Administrative Services Agreement and consummation of the transactions contemplated hereby and thereby and by the Registration Statement, the Time of Sale Prospectus and the Prospectus, except such as have been obtained or made by the Company and are in full force and effect under the Securities Act or Exchange Act and such as may be required under applicable state securities or blue sky laws or the Financial Industry Regulatory Authority, Inc. (the “</w:t>
      </w:r>
      <w:r>
        <w:rPr>
          <w:rFonts w:ascii="Arial" w:cs="Arial" w:eastAsia="Arial" w:hAnsi="Arial"/>
          <w:sz w:val="16"/>
          <w:szCs w:val="16"/>
          <w:b w:val="1"/>
          <w:bCs w:val="1"/>
          <w:color w:val="auto"/>
        </w:rPr>
        <w:t>FINRA</w:t>
      </w:r>
      <w:r>
        <w:rPr>
          <w:rFonts w:ascii="Arial" w:cs="Arial" w:eastAsia="Arial" w:hAnsi="Arial"/>
          <w:sz w:val="16"/>
          <w:szCs w:val="16"/>
          <w:color w:val="auto"/>
        </w:rPr>
        <w:t>”).</w:t>
      </w:r>
    </w:p>
    <w:p>
      <w:pPr>
        <w:spacing w:after="0" w:line="167" w:lineRule="exact"/>
        <w:rPr>
          <w:rFonts w:ascii="Arial" w:cs="Arial" w:eastAsia="Arial" w:hAnsi="Arial"/>
          <w:sz w:val="16"/>
          <w:szCs w:val="16"/>
          <w:b w:val="1"/>
          <w:bCs w:val="1"/>
          <w:color w:val="auto"/>
        </w:rPr>
      </w:pPr>
    </w:p>
    <w:p>
      <w:pPr>
        <w:ind w:firstLine="656"/>
        <w:spacing w:after="0" w:line="277" w:lineRule="auto"/>
        <w:tabs>
          <w:tab w:leader="none" w:pos="933"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Compliance with Laws. </w:t>
      </w:r>
      <w:r>
        <w:rPr>
          <w:rFonts w:ascii="Arial" w:cs="Arial" w:eastAsia="Arial" w:hAnsi="Arial"/>
          <w:sz w:val="18"/>
          <w:szCs w:val="18"/>
          <w:color w:val="auto"/>
        </w:rPr>
        <w:t>The Company has been and is in compliance with all applicable laws, rules and regulations, except where failure to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 in compliance could not be expected, individually or in the aggregate, to have a Material Adverse Effect.</w:t>
      </w:r>
    </w:p>
    <w:p>
      <w:pPr>
        <w:spacing w:after="0" w:line="166" w:lineRule="exact"/>
        <w:rPr>
          <w:rFonts w:ascii="Arial" w:cs="Arial" w:eastAsia="Arial" w:hAnsi="Arial"/>
          <w:sz w:val="18"/>
          <w:szCs w:val="18"/>
          <w:b w:val="1"/>
          <w:bCs w:val="1"/>
          <w:color w:val="auto"/>
        </w:rPr>
      </w:pPr>
    </w:p>
    <w:p>
      <w:pPr>
        <w:ind w:firstLine="656"/>
        <w:spacing w:after="0" w:line="298" w:lineRule="auto"/>
        <w:tabs>
          <w:tab w:leader="none" w:pos="993" w:val="left"/>
        </w:tabs>
        <w:numPr>
          <w:ilvl w:val="0"/>
          <w:numId w:val="10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No Material Actions or Proceedings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 is no action, suit, proceeding, inquiry or investigation brought by or before any governmental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entity now pending or, to the knowledge of the Company, threatened, against or affecting the Company or the Sponsor, which could be expected, individually or in the aggregate, to have a Material Adverse Effect or materially and adversely affect the consummation of the transactions contemplated by this Agreement, the Trust Agreement, the Subscription Agreement, the Sponsor Shares Purchase Agreement, the Registration Rights Agreement, the Insider Letter or the Administrative Services Agreement or the performance by the Company of its obligations hereunder and thereunder.</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9" w:name="page160"/>
    <w:bookmarkEnd w:id="159"/>
    <w:p>
      <w:pPr>
        <w:ind w:left="-20" w:right="40" w:firstLine="656"/>
        <w:spacing w:after="0" w:line="258" w:lineRule="auto"/>
        <w:tabs>
          <w:tab w:leader="none" w:pos="993"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All Necessary Permits, etc</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possesses such valid and current licenses, certificates, authorizations or permits required by state,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federal or foreign regulatory agencies or bodies to conduct its business as currently conducted and as described in the Registration Statement, the Time of Sale Prospectus or the Prospectus. The Company has not received any notice of proceedings relating to the revocation or modification of, or non-compliance with, any such license, certificate, authorization or permit that, individually or in the aggregate, if the subject of an unfavorable decision, ruling or finding, could reasonably be expected to have a Material Adverse Effect.</w:t>
      </w:r>
    </w:p>
    <w:p>
      <w:pPr>
        <w:spacing w:after="0" w:line="183" w:lineRule="exact"/>
        <w:rPr>
          <w:rFonts w:ascii="Arial" w:cs="Arial" w:eastAsia="Arial" w:hAnsi="Arial"/>
          <w:sz w:val="18"/>
          <w:szCs w:val="18"/>
          <w:b w:val="1"/>
          <w:bCs w:val="1"/>
          <w:color w:val="auto"/>
        </w:rPr>
      </w:pPr>
    </w:p>
    <w:p>
      <w:pPr>
        <w:ind w:left="900" w:hanging="264"/>
        <w:spacing w:after="0"/>
        <w:tabs>
          <w:tab w:leader="none" w:pos="900" w:val="left"/>
        </w:tabs>
        <w:numPr>
          <w:ilvl w:val="0"/>
          <w:numId w:val="10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Title to Properties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owns or leases all such properties as are necessary to the conduct of its operations as presently conducted.</w:t>
      </w:r>
    </w:p>
    <w:p>
      <w:pPr>
        <w:spacing w:after="0" w:line="248" w:lineRule="exact"/>
        <w:rPr>
          <w:rFonts w:ascii="Arial" w:cs="Arial" w:eastAsia="Arial" w:hAnsi="Arial"/>
          <w:sz w:val="16"/>
          <w:szCs w:val="16"/>
          <w:b w:val="1"/>
          <w:bCs w:val="1"/>
          <w:color w:val="auto"/>
        </w:rPr>
      </w:pPr>
    </w:p>
    <w:p>
      <w:pPr>
        <w:ind w:left="-20" w:right="20" w:firstLine="656"/>
        <w:spacing w:after="0" w:line="277" w:lineRule="auto"/>
        <w:tabs>
          <w:tab w:leader="none" w:pos="913" w:val="left"/>
        </w:tabs>
        <w:numPr>
          <w:ilvl w:val="0"/>
          <w:numId w:val="105"/>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Tax Law Compliance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has filed all necessary federal, state and foreign income and franchise tax returns or has properly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requested extensions thereof (except in any case in which the failure to so file would not have a Material Adverse Effect) and has paid all taxes required to be paid by it and, if due and payable, any related or similar assessment, fine or penalty levied against it, except for any such assessment, fine or penalty that is currently being contested in good faith and by appropriate proceedings and for which adequate reserves required by generally accepted accounting principles have been created with respect thereto or as would not have a Material Adverse Effect.</w:t>
      </w:r>
    </w:p>
    <w:p>
      <w:pPr>
        <w:spacing w:after="0" w:line="167" w:lineRule="exact"/>
        <w:rPr>
          <w:rFonts w:ascii="Arial" w:cs="Arial" w:eastAsia="Arial" w:hAnsi="Arial"/>
          <w:sz w:val="17"/>
          <w:szCs w:val="17"/>
          <w:b w:val="1"/>
          <w:bCs w:val="1"/>
          <w:color w:val="auto"/>
        </w:rPr>
      </w:pPr>
    </w:p>
    <w:p>
      <w:pPr>
        <w:ind w:left="-20" w:right="740" w:firstLine="656"/>
        <w:spacing w:after="0" w:line="282" w:lineRule="auto"/>
        <w:tabs>
          <w:tab w:leader="none" w:pos="993"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ERISA Compliance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has not established or maintained any “employee benefit plan” (as defined under the Employee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Retirement Income Security Act of 1974, as amended (“</w:t>
      </w:r>
      <w:r>
        <w:rPr>
          <w:rFonts w:ascii="Arial" w:cs="Arial" w:eastAsia="Arial" w:hAnsi="Arial"/>
          <w:sz w:val="18"/>
          <w:szCs w:val="18"/>
          <w:b w:val="1"/>
          <w:bCs w:val="1"/>
          <w:color w:val="auto"/>
        </w:rPr>
        <w:t>ERISA</w:t>
      </w:r>
      <w:r>
        <w:rPr>
          <w:rFonts w:ascii="Arial" w:cs="Arial" w:eastAsia="Arial" w:hAnsi="Arial"/>
          <w:sz w:val="18"/>
          <w:szCs w:val="18"/>
          <w:color w:val="auto"/>
        </w:rPr>
        <w:t>”)), and thus is not subject to ERISA.</w:t>
      </w:r>
    </w:p>
    <w:p>
      <w:pPr>
        <w:spacing w:after="0" w:line="165" w:lineRule="exact"/>
        <w:rPr>
          <w:rFonts w:ascii="Arial" w:cs="Arial" w:eastAsia="Arial" w:hAnsi="Arial"/>
          <w:sz w:val="18"/>
          <w:szCs w:val="18"/>
          <w:b w:val="1"/>
          <w:bCs w:val="1"/>
          <w:color w:val="auto"/>
        </w:rPr>
      </w:pPr>
    </w:p>
    <w:p>
      <w:pPr>
        <w:ind w:left="-20" w:right="100" w:firstLine="656"/>
        <w:spacing w:after="0" w:line="311" w:lineRule="auto"/>
        <w:tabs>
          <w:tab w:leader="none" w:pos="893" w:val="left"/>
        </w:tabs>
        <w:numPr>
          <w:ilvl w:val="0"/>
          <w:numId w:val="10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Company Not an “Investment Company.” </w:t>
      </w:r>
      <w:r>
        <w:rPr>
          <w:rFonts w:ascii="Arial" w:cs="Arial" w:eastAsia="Arial" w:hAnsi="Arial"/>
          <w:sz w:val="16"/>
          <w:szCs w:val="16"/>
          <w:color w:val="auto"/>
        </w:rPr>
        <w:t>The Company is not, and will not be, either after receipt of payment for the Offered Securities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after the application of the proceeds therefrom as described under “Use of Proceeds” in the Registration Statement, the Time of Sale Prospectus or the Prospectus, required to register as an “investment company” under the Investment Company Act of 1940, as amended (the </w:t>
      </w:r>
      <w:r>
        <w:rPr>
          <w:rFonts w:ascii="Arial" w:cs="Arial" w:eastAsia="Arial" w:hAnsi="Arial"/>
          <w:sz w:val="16"/>
          <w:szCs w:val="16"/>
          <w:b w:val="1"/>
          <w:bCs w:val="1"/>
          <w:color w:val="auto"/>
        </w:rPr>
        <w:t>“Investment Company Act”)</w:t>
      </w:r>
      <w:r>
        <w:rPr>
          <w:rFonts w:ascii="Arial" w:cs="Arial" w:eastAsia="Arial" w:hAnsi="Arial"/>
          <w:sz w:val="16"/>
          <w:szCs w:val="16"/>
          <w:color w:val="auto"/>
        </w:rPr>
        <w:t>.</w:t>
      </w:r>
    </w:p>
    <w:p>
      <w:pPr>
        <w:spacing w:after="0" w:line="144" w:lineRule="exact"/>
        <w:rPr>
          <w:rFonts w:ascii="Arial" w:cs="Arial" w:eastAsia="Arial" w:hAnsi="Arial"/>
          <w:sz w:val="16"/>
          <w:szCs w:val="16"/>
          <w:b w:val="1"/>
          <w:bCs w:val="1"/>
          <w:color w:val="auto"/>
        </w:rPr>
      </w:pPr>
    </w:p>
    <w:p>
      <w:pPr>
        <w:ind w:left="-20" w:firstLine="656"/>
        <w:spacing w:after="0" w:line="314" w:lineRule="auto"/>
        <w:tabs>
          <w:tab w:leader="none" w:pos="1362" w:val="left"/>
        </w:tabs>
        <w:numPr>
          <w:ilvl w:val="0"/>
          <w:numId w:val="10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No Price Stabilization or Manipulation; Compliance with Regulation M</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has not taken, directly or indirectly, any action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designed to or that might cause or result in stabilization or manipulation of the price of any security of the Company, whether to facilitate the sale or resale of the Offered Securities or otherwise, which would directly or indirectly violate Regulation M under the Exchange Act (“</w:t>
      </w:r>
      <w:r>
        <w:rPr>
          <w:rFonts w:ascii="Arial" w:cs="Arial" w:eastAsia="Arial" w:hAnsi="Arial"/>
          <w:sz w:val="16"/>
          <w:szCs w:val="16"/>
          <w:b w:val="1"/>
          <w:bCs w:val="1"/>
          <w:color w:val="auto"/>
        </w:rPr>
        <w:t>Regulation M</w:t>
      </w:r>
      <w:r>
        <w:rPr>
          <w:rFonts w:ascii="Arial" w:cs="Arial" w:eastAsia="Arial" w:hAnsi="Arial"/>
          <w:sz w:val="16"/>
          <w:szCs w:val="16"/>
          <w:color w:val="auto"/>
        </w:rPr>
        <w:t>”).</w:t>
      </w:r>
    </w:p>
    <w:p>
      <w:pPr>
        <w:spacing w:after="0" w:line="141" w:lineRule="exact"/>
        <w:rPr>
          <w:rFonts w:ascii="Arial" w:cs="Arial" w:eastAsia="Arial" w:hAnsi="Arial"/>
          <w:sz w:val="16"/>
          <w:szCs w:val="16"/>
          <w:b w:val="1"/>
          <w:bCs w:val="1"/>
          <w:color w:val="auto"/>
        </w:rPr>
      </w:pPr>
    </w:p>
    <w:p>
      <w:pPr>
        <w:ind w:left="-20" w:right="300" w:firstLine="656"/>
        <w:spacing w:after="0" w:line="347" w:lineRule="auto"/>
        <w:tabs>
          <w:tab w:leader="none" w:pos="993" w:val="left"/>
        </w:tabs>
        <w:numPr>
          <w:ilvl w:val="0"/>
          <w:numId w:val="10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Related-Party Transactions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 are no business relationships or related-party transactions involving the Company or any other person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required to be described in the Registration Statement, the Time of Sale Prospectus or the Prospectus that have not been described as required.</w:t>
      </w:r>
    </w:p>
    <w:p>
      <w:pPr>
        <w:spacing w:after="0" w:line="115" w:lineRule="exact"/>
        <w:rPr>
          <w:rFonts w:ascii="Arial" w:cs="Arial" w:eastAsia="Arial" w:hAnsi="Arial"/>
          <w:sz w:val="16"/>
          <w:szCs w:val="16"/>
          <w:b w:val="1"/>
          <w:bCs w:val="1"/>
          <w:color w:val="auto"/>
        </w:rPr>
      </w:pPr>
    </w:p>
    <w:p>
      <w:pPr>
        <w:ind w:left="-20" w:right="40" w:firstLine="656"/>
        <w:spacing w:after="0" w:line="303" w:lineRule="auto"/>
        <w:tabs>
          <w:tab w:leader="none" w:pos="973" w:val="left"/>
        </w:tabs>
        <w:numPr>
          <w:ilvl w:val="0"/>
          <w:numId w:val="10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FINRA Matters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All of the information provided to the Underwriters or to counsel for the Underwriters by the Sponsor, the Company and,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knowledge of the Company, its counsel, its officers, directors, director nominees and the other holders of any securities (debt or equity) or options to acquire any securities of the Company in connection with the Offering, is true, complete and correct in all material respects and the Company has not become aware of any other information that would cause such provided information to become inaccurate and incorrect in any material respect.</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337" w:right="359" w:bottom="1440" w:gutter="0" w:footer="0" w:header="0"/>
        </w:sectPr>
      </w:pPr>
    </w:p>
    <w:bookmarkStart w:id="160" w:name="page161"/>
    <w:bookmarkEnd w:id="160"/>
    <w:p>
      <w:pPr>
        <w:ind w:left="-40" w:firstLine="656"/>
        <w:spacing w:after="0" w:line="258" w:lineRule="auto"/>
        <w:tabs>
          <w:tab w:leader="none" w:pos="973"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FINRA Conflict of Interest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the Company’s knowledge, after reasonable inquiry, there are no affiliations or associations between (i)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member of FINRA and (ii) the Company or any of the Company’s officers, directors or 5% or greater security holders or any beneficial owner of the Company’s unregistered equity securities that were acquired at any time on or after the 180th day immediately preceding the date the Registration Statement was initially submitted or filed with the Commission, except as disclosed in the Registration Statement (excluding the exhibits thereto), the Time of Sale Prospectus and the Prospectus.</w:t>
      </w:r>
    </w:p>
    <w:p>
      <w:pPr>
        <w:spacing w:after="0" w:line="187" w:lineRule="exact"/>
        <w:rPr>
          <w:rFonts w:ascii="Arial" w:cs="Arial" w:eastAsia="Arial" w:hAnsi="Arial"/>
          <w:sz w:val="18"/>
          <w:szCs w:val="18"/>
          <w:b w:val="1"/>
          <w:bCs w:val="1"/>
          <w:color w:val="auto"/>
        </w:rPr>
      </w:pPr>
    </w:p>
    <w:p>
      <w:pPr>
        <w:ind w:left="-40" w:right="240" w:firstLine="656"/>
        <w:spacing w:after="0" w:line="259" w:lineRule="auto"/>
        <w:tabs>
          <w:tab w:leader="none" w:pos="973"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Non-Compete/Non-Solicit</w:t>
      </w:r>
      <w:r>
        <w:rPr>
          <w:rFonts w:ascii="Arial" w:cs="Arial" w:eastAsia="Arial" w:hAnsi="Arial"/>
          <w:sz w:val="18"/>
          <w:szCs w:val="18"/>
          <w:color w:val="auto"/>
        </w:rPr>
        <w:t>. Except as described in the Registration Statement, the Time of Sale Prospectus and the Prospectus,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knowledge, none of the Sponsor, officers, directors or director nominees of the Company is subject to a non-competition agreement or non-solicitation agreement with any employer or prior employer that could materially affect its, his or her ability to be and act in the capacity of stockholder, officer or director of the Company, as applicable.</w:t>
      </w:r>
    </w:p>
    <w:p>
      <w:pPr>
        <w:spacing w:after="0" w:line="182" w:lineRule="exact"/>
        <w:rPr>
          <w:rFonts w:ascii="Arial" w:cs="Arial" w:eastAsia="Arial" w:hAnsi="Arial"/>
          <w:sz w:val="18"/>
          <w:szCs w:val="18"/>
          <w:b w:val="1"/>
          <w:bCs w:val="1"/>
          <w:color w:val="auto"/>
        </w:rPr>
      </w:pPr>
    </w:p>
    <w:p>
      <w:pPr>
        <w:ind w:left="-40" w:firstLine="656"/>
        <w:spacing w:after="0" w:line="289" w:lineRule="auto"/>
        <w:tabs>
          <w:tab w:leader="none" w:pos="932" w:val="left"/>
        </w:tabs>
        <w:numPr>
          <w:ilvl w:val="0"/>
          <w:numId w:val="106"/>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Statistical and Market-Related Data</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All statistical, industry-related and market-related data included in the Registration Statement, the Time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Sale Prospectus or the Prospectus are based on or derived from sources that the Company reasonably and in good faith believes to be reliable and accurate. To the extent required, the Company has obtained the written consent to the use of such data from such sources.</w:t>
      </w:r>
    </w:p>
    <w:p>
      <w:pPr>
        <w:spacing w:after="0" w:line="157" w:lineRule="exact"/>
        <w:rPr>
          <w:rFonts w:ascii="Arial" w:cs="Arial" w:eastAsia="Arial" w:hAnsi="Arial"/>
          <w:sz w:val="17"/>
          <w:szCs w:val="17"/>
          <w:b w:val="1"/>
          <w:bCs w:val="1"/>
          <w:color w:val="auto"/>
        </w:rPr>
      </w:pPr>
    </w:p>
    <w:p>
      <w:pPr>
        <w:ind w:left="-40" w:right="60" w:firstLine="656"/>
        <w:spacing w:after="0" w:line="314" w:lineRule="auto"/>
        <w:tabs>
          <w:tab w:leader="none" w:pos="913" w:val="left"/>
        </w:tabs>
        <w:numPr>
          <w:ilvl w:val="0"/>
          <w:numId w:val="10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No Unlawful Contributions or Other Payments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None of the Company, the Sponsor, or, to the knowledge of the Company, any director,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 nominee, officer, agent, employee or affiliate of the Company, has made any contribution or other payment to any official of, or candidate for, any federal, state or foreign office in violation of the FCPA (as defined below).</w:t>
      </w:r>
    </w:p>
    <w:p>
      <w:pPr>
        <w:spacing w:after="0" w:line="141" w:lineRule="exact"/>
        <w:rPr>
          <w:rFonts w:ascii="Arial" w:cs="Arial" w:eastAsia="Arial" w:hAnsi="Arial"/>
          <w:sz w:val="16"/>
          <w:szCs w:val="16"/>
          <w:b w:val="1"/>
          <w:bCs w:val="1"/>
          <w:color w:val="auto"/>
        </w:rPr>
      </w:pPr>
    </w:p>
    <w:p>
      <w:pPr>
        <w:ind w:left="-40" w:right="40" w:firstLine="656"/>
        <w:spacing w:after="0" w:line="289" w:lineRule="auto"/>
        <w:tabs>
          <w:tab w:leader="none" w:pos="893" w:val="left"/>
        </w:tabs>
        <w:numPr>
          <w:ilvl w:val="0"/>
          <w:numId w:val="10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Foreign Corrupt Practices Act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None of the Company, the Sponsor, or, to the knowledge of the Company, any director, director nominee,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officer, agent, employee or affiliate of the Company, has, in the course of its, his or her actions for, or on behalf of, the Company (i) used any corporate funds for any unlawful contribution, gift, entertainment or other unlawful expenses relating to political activity; (ii) made any direct or indirect unlawful payment to any domestic government official, “foreign official” (as defined in the U.S. Foreign Corrupt Practices Act of 1977, as amended, and the rules and regulations thereunder (collectively, the “</w:t>
      </w:r>
      <w:r>
        <w:rPr>
          <w:rFonts w:ascii="Arial" w:cs="Arial" w:eastAsia="Arial" w:hAnsi="Arial"/>
          <w:sz w:val="16"/>
          <w:szCs w:val="16"/>
          <w:b w:val="1"/>
          <w:bCs w:val="1"/>
          <w:color w:val="auto"/>
        </w:rPr>
        <w:t>FCPA</w:t>
      </w:r>
      <w:r>
        <w:rPr>
          <w:rFonts w:ascii="Arial" w:cs="Arial" w:eastAsia="Arial" w:hAnsi="Arial"/>
          <w:sz w:val="16"/>
          <w:szCs w:val="16"/>
          <w:color w:val="auto"/>
        </w:rPr>
        <w:t>”)) or employee from corporate funds; (iii) violated or is in violation of any provision of the FCPA or the OECD Convention on Bribery of Foreign Public Officials in International Business Transactions; or (iv) made any unlawful bribe, rebate, payoff, influence payment, kickback or other unlawful payment to any domestic government official, such foreign official or employee; and the Company, the Sponsor, and, to the knowledge of the Company, the Company’s directors, director nominees, officers, agents, employees and affiliates have conducted the business of the Company and their respective businesses on behalf of the Company in compliance with the FCPA and have instituted and maintain policies and procedures designed to ensure, and which are reasonably expected to continue to ensure, continued compliance therewith.</w:t>
      </w:r>
    </w:p>
    <w:p>
      <w:pPr>
        <w:spacing w:after="0" w:line="160" w:lineRule="exact"/>
        <w:rPr>
          <w:rFonts w:ascii="Arial" w:cs="Arial" w:eastAsia="Arial" w:hAnsi="Arial"/>
          <w:sz w:val="16"/>
          <w:szCs w:val="16"/>
          <w:b w:val="1"/>
          <w:bCs w:val="1"/>
          <w:color w:val="auto"/>
        </w:rPr>
      </w:pPr>
    </w:p>
    <w:p>
      <w:pPr>
        <w:ind w:left="-40" w:right="40" w:firstLine="656"/>
        <w:spacing w:after="0" w:line="256" w:lineRule="auto"/>
        <w:tabs>
          <w:tab w:leader="none" w:pos="973"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Money Laundering Laws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operations of the Company and the Sponsor have been conducted at all times, in compliance with applicable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recordkeeping and reporting requirements of the Currency and Foreign Transactions Reporting Act of 1970, as amended, the money laundering statutes of all applicable jurisdictions, the rules and regulations thereunder and any related or similar applicable rules, regulations or guidelines, issued, administered or enforced by any governmental agency (collectively, the “</w:t>
      </w:r>
      <w:r>
        <w:rPr>
          <w:rFonts w:ascii="Arial" w:cs="Arial" w:eastAsia="Arial" w:hAnsi="Arial"/>
          <w:sz w:val="18"/>
          <w:szCs w:val="18"/>
          <w:b w:val="1"/>
          <w:bCs w:val="1"/>
          <w:color w:val="auto"/>
        </w:rPr>
        <w:t>Money Laundering Laws</w:t>
      </w:r>
      <w:r>
        <w:rPr>
          <w:rFonts w:ascii="Arial" w:cs="Arial" w:eastAsia="Arial" w:hAnsi="Arial"/>
          <w:sz w:val="18"/>
          <w:szCs w:val="18"/>
          <w:color w:val="auto"/>
        </w:rPr>
        <w:t>”) and no action, suit or proceeding by or before any court or governmental agency, authority or body or any arbitrator involving the Company with respect to the Money Laundering Laws is pending or, to the knowledge of the Company, threatened.</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6985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337" w:right="379" w:bottom="1440" w:gutter="0" w:footer="0" w:header="0"/>
        </w:sectPr>
      </w:pPr>
    </w:p>
    <w:bookmarkStart w:id="161" w:name="page162"/>
    <w:bookmarkEnd w:id="161"/>
    <w:p>
      <w:pPr>
        <w:ind w:left="-40" w:firstLine="656"/>
        <w:spacing w:after="0" w:line="272" w:lineRule="auto"/>
        <w:tabs>
          <w:tab w:leader="none" w:pos="953" w:val="left"/>
        </w:tabs>
        <w:numPr>
          <w:ilvl w:val="0"/>
          <w:numId w:val="10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OFAC</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None of the Company, the Sponsor, or, to the knowledge of the Company, any director, director nominee, officer, agent, employee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affiliate of the Company is currently subject to any U.S. sanctions administered by the Office of Foreign Assets Control of the U.S. Treasury Department (“</w:t>
      </w:r>
      <w:r>
        <w:rPr>
          <w:rFonts w:ascii="Arial" w:cs="Arial" w:eastAsia="Arial" w:hAnsi="Arial"/>
          <w:sz w:val="17"/>
          <w:szCs w:val="17"/>
          <w:b w:val="1"/>
          <w:bCs w:val="1"/>
          <w:color w:val="auto"/>
        </w:rPr>
        <w:t>OFAC</w:t>
      </w:r>
      <w:r>
        <w:rPr>
          <w:rFonts w:ascii="Arial" w:cs="Arial" w:eastAsia="Arial" w:hAnsi="Arial"/>
          <w:sz w:val="17"/>
          <w:szCs w:val="17"/>
          <w:color w:val="auto"/>
        </w:rPr>
        <w:t>”), the United Nations Security Council (“</w:t>
      </w:r>
      <w:r>
        <w:rPr>
          <w:rFonts w:ascii="Arial" w:cs="Arial" w:eastAsia="Arial" w:hAnsi="Arial"/>
          <w:sz w:val="17"/>
          <w:szCs w:val="17"/>
          <w:b w:val="1"/>
          <w:bCs w:val="1"/>
          <w:color w:val="auto"/>
        </w:rPr>
        <w:t>UNSC</w:t>
      </w:r>
      <w:r>
        <w:rPr>
          <w:rFonts w:ascii="Arial" w:cs="Arial" w:eastAsia="Arial" w:hAnsi="Arial"/>
          <w:sz w:val="17"/>
          <w:szCs w:val="17"/>
          <w:color w:val="auto"/>
        </w:rPr>
        <w:t>”), the European Union, Her Majesty’s Treasury (“</w:t>
      </w:r>
      <w:r>
        <w:rPr>
          <w:rFonts w:ascii="Arial" w:cs="Arial" w:eastAsia="Arial" w:hAnsi="Arial"/>
          <w:sz w:val="17"/>
          <w:szCs w:val="17"/>
          <w:b w:val="1"/>
          <w:bCs w:val="1"/>
          <w:color w:val="auto"/>
        </w:rPr>
        <w:t>HMT</w:t>
      </w:r>
      <w:r>
        <w:rPr>
          <w:rFonts w:ascii="Arial" w:cs="Arial" w:eastAsia="Arial" w:hAnsi="Arial"/>
          <w:sz w:val="17"/>
          <w:szCs w:val="17"/>
          <w:color w:val="auto"/>
        </w:rPr>
        <w:t>”), or other relevant sanctions authority (collectively, “</w:t>
      </w:r>
      <w:r>
        <w:rPr>
          <w:rFonts w:ascii="Arial" w:cs="Arial" w:eastAsia="Arial" w:hAnsi="Arial"/>
          <w:sz w:val="17"/>
          <w:szCs w:val="17"/>
          <w:b w:val="1"/>
          <w:bCs w:val="1"/>
          <w:color w:val="auto"/>
        </w:rPr>
        <w:t>Sanctions</w:t>
      </w:r>
      <w:r>
        <w:rPr>
          <w:rFonts w:ascii="Arial" w:cs="Arial" w:eastAsia="Arial" w:hAnsi="Arial"/>
          <w:sz w:val="17"/>
          <w:szCs w:val="17"/>
          <w:color w:val="auto"/>
        </w:rPr>
        <w:t>”), nor is the Company located, organized or resident in a country or territory that is the subject of Sanctions; and the Company will not directly or indirectly use the proceeds of this Offering, or lend, contribute or otherwise make available such proceeds to any subsidiary, or any joint venture partner or other person or entity, for the purpose of financing the activities of or business with any person, or in any country or territory, that currently is subject to any Sanctions or in any other manner that will result in a violation by any person (including any person participating in the transaction whether as underwriter, advisor, investor or otherwise) of such Sanctions.</w:t>
      </w:r>
    </w:p>
    <w:p>
      <w:pPr>
        <w:spacing w:after="0" w:line="171" w:lineRule="exact"/>
        <w:rPr>
          <w:rFonts w:ascii="Arial" w:cs="Arial" w:eastAsia="Arial" w:hAnsi="Arial"/>
          <w:sz w:val="17"/>
          <w:szCs w:val="17"/>
          <w:b w:val="1"/>
          <w:bCs w:val="1"/>
          <w:color w:val="auto"/>
        </w:rPr>
      </w:pPr>
    </w:p>
    <w:p>
      <w:pPr>
        <w:ind w:left="-40" w:right="320" w:firstLine="656"/>
        <w:spacing w:after="0" w:line="266" w:lineRule="auto"/>
        <w:tabs>
          <w:tab w:leader="none" w:pos="1033"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Brokers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Except as described in the Registration Statement, the Time of Sale Prospectus and the Prospectus, there is no broker, finder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party that is entitled to receive from the Company any brokerage or finder’s fee or other fee or commission as a result of any transactions contemplated by this Agreement.</w:t>
      </w:r>
    </w:p>
    <w:p>
      <w:pPr>
        <w:spacing w:after="0" w:line="179" w:lineRule="exact"/>
        <w:rPr>
          <w:rFonts w:ascii="Arial" w:cs="Arial" w:eastAsia="Arial" w:hAnsi="Arial"/>
          <w:sz w:val="18"/>
          <w:szCs w:val="18"/>
          <w:b w:val="1"/>
          <w:bCs w:val="1"/>
          <w:color w:val="auto"/>
        </w:rPr>
      </w:pPr>
    </w:p>
    <w:p>
      <w:pPr>
        <w:ind w:left="-40" w:right="40" w:firstLine="656"/>
        <w:spacing w:after="0" w:line="285" w:lineRule="auto"/>
        <w:tabs>
          <w:tab w:leader="none" w:pos="953" w:val="left"/>
        </w:tabs>
        <w:numPr>
          <w:ilvl w:val="0"/>
          <w:numId w:val="107"/>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Cybersecurity. </w:t>
      </w:r>
      <w:r>
        <w:rPr>
          <w:rFonts w:ascii="Arial" w:cs="Arial" w:eastAsia="Arial" w:hAnsi="Arial"/>
          <w:sz w:val="16"/>
          <w:szCs w:val="16"/>
          <w:color w:val="auto"/>
        </w:rPr>
        <w:t>The Company’s information technology assets and equipment, computers, systems, networks, hardware, software, websites,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applications, and databases (collectively, “</w:t>
      </w:r>
      <w:r>
        <w:rPr>
          <w:rFonts w:ascii="Arial" w:cs="Arial" w:eastAsia="Arial" w:hAnsi="Arial"/>
          <w:sz w:val="16"/>
          <w:szCs w:val="16"/>
          <w:b w:val="1"/>
          <w:bCs w:val="1"/>
          <w:color w:val="auto"/>
        </w:rPr>
        <w:t>IT Systems</w:t>
      </w:r>
      <w:r>
        <w:rPr>
          <w:rFonts w:ascii="Arial" w:cs="Arial" w:eastAsia="Arial" w:hAnsi="Arial"/>
          <w:sz w:val="16"/>
          <w:szCs w:val="16"/>
          <w:color w:val="auto"/>
        </w:rPr>
        <w:t>”) are adequate for, and operate and perform in all material respects as required in connection with the operation of the business of the Company as currently conducted, and is not known by the Company to contain any material bugs, errors, defects, Trojan horses, time bombs, malware and other corruptants. The Company has implemented and maintained commercially reasonable physical, technical and administrative controls, policies, procedures, and safeguards to maintain and protect its material confidential information and the integrity, continuous operation, redundancy and security of all IT Systems and data, including “Personal Data,” used in connection with their businesses. “</w:t>
      </w:r>
      <w:r>
        <w:rPr>
          <w:rFonts w:ascii="Arial" w:cs="Arial" w:eastAsia="Arial" w:hAnsi="Arial"/>
          <w:sz w:val="16"/>
          <w:szCs w:val="16"/>
          <w:b w:val="1"/>
          <w:bCs w:val="1"/>
          <w:color w:val="auto"/>
        </w:rPr>
        <w:t>Personal Data</w:t>
      </w:r>
      <w:r>
        <w:rPr>
          <w:rFonts w:ascii="Arial" w:cs="Arial" w:eastAsia="Arial" w:hAnsi="Arial"/>
          <w:sz w:val="16"/>
          <w:szCs w:val="16"/>
          <w:color w:val="auto"/>
        </w:rPr>
        <w:t>” means: (i) a natural person’s name, street address, telephone number, e-mail address, photograph, social security number or tax identification number, driver’s license number, passport number, credit card number, bank information, or customer or account number; (ii) any information which would qualify as “personally identifying information” under the Federal Trade Commission Act, as amended; (iii) “personal data” as defined by the European Union General Data Protection Regulation (EU 2016/679); and (iv) any other piece of information that allows the identification of such natural person, or his or her family, or permits the collection or analysis of any data related to an identified person’s health or sexual orientation. The Company is unaware of any breaches, violations, outages or unauthorized uses of or accesses to same, except for those that have been remedied without material cost or liability or the duty to notify any other person, nor any incidents under internal review or investigations relating to the same. The Company is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 and the Company has implemented backup and disaster recovery technology consistent with industry standards and practices.</w:t>
      </w:r>
    </w:p>
    <w:p>
      <w:pPr>
        <w:spacing w:after="0" w:line="173" w:lineRule="exact"/>
        <w:rPr>
          <w:rFonts w:ascii="Arial" w:cs="Arial" w:eastAsia="Arial" w:hAnsi="Arial"/>
          <w:sz w:val="16"/>
          <w:szCs w:val="16"/>
          <w:b w:val="1"/>
          <w:bCs w:val="1"/>
          <w:color w:val="auto"/>
        </w:rPr>
      </w:pPr>
    </w:p>
    <w:p>
      <w:pPr>
        <w:ind w:left="-40" w:right="60" w:firstLine="656"/>
        <w:spacing w:after="0" w:line="259" w:lineRule="auto"/>
        <w:tabs>
          <w:tab w:leader="none" w:pos="953"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Emerging Growth Company Status</w:t>
      </w:r>
      <w:r>
        <w:rPr>
          <w:rFonts w:ascii="Arial" w:cs="Arial" w:eastAsia="Arial" w:hAnsi="Arial"/>
          <w:sz w:val="18"/>
          <w:szCs w:val="18"/>
          <w:color w:val="auto"/>
        </w:rPr>
        <w:t>. From the time of the initial confidential submission of the Registration Statement to the Commission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if earlier, the first date on which the Company engaged in any Section 5(d) Written Communication or any Section 5(d) Oral Communication) through the date hereof, the Company has been and is an “emerging growth company,” as defined in Section 2(a) of the Securities Act (an “</w:t>
      </w:r>
      <w:r>
        <w:rPr>
          <w:rFonts w:ascii="Arial" w:cs="Arial" w:eastAsia="Arial" w:hAnsi="Arial"/>
          <w:sz w:val="18"/>
          <w:szCs w:val="18"/>
          <w:b w:val="1"/>
          <w:bCs w:val="1"/>
          <w:color w:val="auto"/>
        </w:rPr>
        <w:t>Emerging Growth</w:t>
      </w:r>
      <w:r>
        <w:rPr>
          <w:rFonts w:ascii="Arial" w:cs="Arial" w:eastAsia="Arial" w:hAnsi="Arial"/>
          <w:sz w:val="18"/>
          <w:szCs w:val="18"/>
          <w:color w:val="auto"/>
        </w:rPr>
        <w:t xml:space="preserv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6985</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337" w:right="379" w:bottom="1440" w:gutter="0" w:footer="0" w:header="0"/>
        </w:sectPr>
      </w:pPr>
    </w:p>
    <w:bookmarkStart w:id="162" w:name="page163"/>
    <w:bookmarkEnd w:id="162"/>
    <w:p>
      <w:pPr>
        <w:ind w:right="120" w:firstLine="656"/>
        <w:spacing w:after="0" w:line="266" w:lineRule="auto"/>
        <w:tabs>
          <w:tab w:leader="none" w:pos="972"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Communications with Potential Business Combination Targets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Prior to the date hereof, neither the Company nor anyone on its behalf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as of the First Closing Date, neither the Company nor anyone on its behalf will have selected any Business Combination target or initiated any substantive discussions, directly or indirectly, with any Business Combination target.</w:t>
      </w:r>
    </w:p>
    <w:p>
      <w:pPr>
        <w:spacing w:after="0" w:line="180" w:lineRule="exact"/>
        <w:rPr>
          <w:sz w:val="20"/>
          <w:szCs w:val="20"/>
          <w:color w:val="auto"/>
        </w:rPr>
      </w:pPr>
    </w:p>
    <w:p>
      <w:pPr>
        <w:ind w:right="20" w:firstLine="656"/>
        <w:spacing w:after="0" w:line="288" w:lineRule="auto"/>
        <w:tabs>
          <w:tab w:leader="none" w:pos="1083" w:val="left"/>
        </w:tabs>
        <w:numPr>
          <w:ilvl w:val="0"/>
          <w:numId w:val="10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Communications</w:t>
      </w:r>
      <w:r>
        <w:rPr>
          <w:rFonts w:ascii="Arial" w:cs="Arial" w:eastAsia="Arial" w:hAnsi="Arial"/>
          <w:sz w:val="16"/>
          <w:szCs w:val="16"/>
          <w:color w:val="auto"/>
        </w:rPr>
        <w:t>. The Company (i) has not alone engaged in communications with potential investors in reliance on Section 5(d)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Securities Act other than Permitted Section 5(d) Communications with the consent of the Representative with entities that are QIBs or IAIs and (ii) has not authorized anyone other than the Representative to engage in such communications; the Company reconfirms that the Representative has been authorized to act on its behalf in undertaking Marketing Materials, Section 5(d) Oral Communications and Section 5(d) Written Communications; as of the Applicable Time, each Permitted Section 5(d) Communication, when considered together with the Time of Sale Prospectus, did not, as of the Applicable Time, include an untrue statement of a material fact or omit to state a material fact necessary in order to make the statements therein, in the light of the circumstances under which they were made, not misleading; and each Permitted Section 5(d) Communication, if any, does not, as of the date hereof, conflict with the information contained in the Registration Statement, the Preliminary Prospectus and the Prospectus; and the Company has filed publicly on EDGAR at least 15 calendar days prior to any “road show” (as defined in Rule 433 under the Securities Act), any confidentially submitted registration statement and registration statement amendments relating to the offer and sale of the Offered Securities.</w:t>
      </w:r>
    </w:p>
    <w:p>
      <w:pPr>
        <w:spacing w:after="0" w:line="168"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Any certificate signed by any officer of the Company and delivered to the Representative, any Underwriters or to counsel for the Underwriters in connection with the Offering, or the purchase and sale, of the Offered Securities shall be deemed a representation and warranty by the Company to each Underwriter as to the matters covered thereby.</w:t>
      </w:r>
    </w:p>
    <w:p>
      <w:pPr>
        <w:spacing w:after="0" w:line="18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Company has a reasonable basis for making each of the representations set forth in this Section 1. For purposes of the representations set forth in this Section 1, “knowledge” refers to the knowledge of any officer of the Company, whether acquired in the course of such officer’s duties to the Company or otherwise. The Company acknowledges that the Underwriters and, for purposes of the opinions to be delivered pursuant to Section 5 hereof, counsel to the Company and counsel to the Underwriters, will rely upon the accuracy and truthfulness of the foregoing representations and hereby consents to such reliance.</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Section 2. Purchase, Sale and Delivery of the Offered Securities</w:t>
      </w:r>
      <w:r>
        <w:rPr>
          <w:rFonts w:ascii="Arial" w:cs="Arial" w:eastAsia="Arial" w:hAnsi="Arial"/>
          <w:sz w:val="18"/>
          <w:szCs w:val="18"/>
          <w:color w:val="auto"/>
        </w:rPr>
        <w:t>.</w:t>
      </w:r>
    </w:p>
    <w:p>
      <w:pPr>
        <w:spacing w:after="0" w:line="225" w:lineRule="exact"/>
        <w:rPr>
          <w:sz w:val="20"/>
          <w:szCs w:val="20"/>
          <w:color w:val="auto"/>
        </w:rPr>
      </w:pPr>
    </w:p>
    <w:p>
      <w:pPr>
        <w:ind w:right="120" w:firstLine="656"/>
        <w:spacing w:after="0" w:line="277" w:lineRule="auto"/>
        <w:tabs>
          <w:tab w:leader="none" w:pos="903" w:val="left"/>
        </w:tabs>
        <w:numPr>
          <w:ilvl w:val="0"/>
          <w:numId w:val="11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The Firm Securities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Upon the terms herein set forth, the Company agrees to issue and sell to the several Underwriters an aggregate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10,000,000 shares of Class A Common Stock. On the basis of the representations, warranties and agreements herein contained, and upon the terms but subject to the conditions herein set forth, the Underwriters agree, severally and not jointly, to purchase from the Company the respective number of Firm Securities set forth opposite their names on </w:t>
      </w:r>
      <w:r>
        <w:rPr>
          <w:rFonts w:ascii="Arial" w:cs="Arial" w:eastAsia="Arial" w:hAnsi="Arial"/>
          <w:sz w:val="17"/>
          <w:szCs w:val="17"/>
          <w:u w:val="single" w:color="auto"/>
          <w:color w:val="auto"/>
        </w:rPr>
        <w:t>Schedule A</w:t>
      </w:r>
      <w:r>
        <w:rPr>
          <w:rFonts w:ascii="Arial" w:cs="Arial" w:eastAsia="Arial" w:hAnsi="Arial"/>
          <w:sz w:val="17"/>
          <w:szCs w:val="17"/>
          <w:color w:val="auto"/>
        </w:rPr>
        <w:t>. The purchase price per share of Class A Common Stock to be paid by the several Underwriters to the Company shall be $9.80 per share of Class A Common Stock (the “</w:t>
      </w:r>
      <w:r>
        <w:rPr>
          <w:rFonts w:ascii="Arial" w:cs="Arial" w:eastAsia="Arial" w:hAnsi="Arial"/>
          <w:sz w:val="17"/>
          <w:szCs w:val="17"/>
          <w:b w:val="1"/>
          <w:bCs w:val="1"/>
          <w:color w:val="auto"/>
        </w:rPr>
        <w:t>Purchase Price</w:t>
      </w:r>
      <w:r>
        <w:rPr>
          <w:rFonts w:ascii="Arial" w:cs="Arial" w:eastAsia="Arial" w:hAnsi="Arial"/>
          <w:sz w:val="17"/>
          <w:szCs w:val="17"/>
          <w:color w:val="auto"/>
        </w:rPr>
        <w:t>”).</w:t>
      </w:r>
    </w:p>
    <w:p>
      <w:pPr>
        <w:spacing w:after="0" w:line="167" w:lineRule="exact"/>
        <w:rPr>
          <w:rFonts w:ascii="Arial" w:cs="Arial" w:eastAsia="Arial" w:hAnsi="Arial"/>
          <w:sz w:val="17"/>
          <w:szCs w:val="17"/>
          <w:b w:val="1"/>
          <w:bCs w:val="1"/>
          <w:color w:val="auto"/>
        </w:rPr>
      </w:pPr>
    </w:p>
    <w:p>
      <w:pPr>
        <w:ind w:right="100" w:firstLine="656"/>
        <w:spacing w:after="0" w:line="273" w:lineRule="auto"/>
        <w:tabs>
          <w:tab w:leader="none" w:pos="913" w:val="left"/>
        </w:tabs>
        <w:numPr>
          <w:ilvl w:val="0"/>
          <w:numId w:val="11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The First Closing Date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Delivery of the Firm Securities to be purchased by the Underwriters and payment therefor shall be made at 9:00 a.m.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New York City time, on August [●], 2020, or such other time and date not later than 1:30 p.m. New York City time on August [●], 2020 as the Representative shall designate by notice to the Company (the time and date of such closing are called the “</w:t>
      </w:r>
      <w:r>
        <w:rPr>
          <w:rFonts w:ascii="Arial" w:cs="Arial" w:eastAsia="Arial" w:hAnsi="Arial"/>
          <w:sz w:val="17"/>
          <w:szCs w:val="17"/>
          <w:b w:val="1"/>
          <w:bCs w:val="1"/>
          <w:color w:val="auto"/>
        </w:rPr>
        <w:t>First Closing Date</w:t>
      </w:r>
      <w:r>
        <w:rPr>
          <w:rFonts w:ascii="Arial" w:cs="Arial" w:eastAsia="Arial" w:hAnsi="Arial"/>
          <w:sz w:val="17"/>
          <w:szCs w:val="17"/>
          <w:color w:val="auto"/>
        </w:rPr>
        <w:t>”). The Company hereby acknowledges that circumstances under which the Representative may provide notice to postpone the First Closing Date as originally scheduled include, but are not limited to, any determination by the Company or the Representative to recirculate to the public copies of an amended or supplemented Prospectus or a delay as contemplated by the provisions of Section 10. Delivery of the Firm Securities shall be made through the facilities of The Depository Trust Company (“</w:t>
      </w:r>
      <w:r>
        <w:rPr>
          <w:rFonts w:ascii="Arial" w:cs="Arial" w:eastAsia="Arial" w:hAnsi="Arial"/>
          <w:sz w:val="17"/>
          <w:szCs w:val="17"/>
          <w:b w:val="1"/>
          <w:bCs w:val="1"/>
          <w:color w:val="auto"/>
        </w:rPr>
        <w:t>DTC</w:t>
      </w:r>
      <w:r>
        <w:rPr>
          <w:rFonts w:ascii="Arial" w:cs="Arial" w:eastAsia="Arial" w:hAnsi="Arial"/>
          <w:sz w:val="17"/>
          <w:szCs w:val="17"/>
          <w:color w:val="auto"/>
        </w:rPr>
        <w:t>”) unless the Representative shall otherwise instruct.</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63" w:name="page164"/>
    <w:bookmarkEnd w:id="163"/>
    <w:p>
      <w:pPr>
        <w:ind w:left="-20" w:right="60" w:firstLine="656"/>
        <w:spacing w:after="0" w:line="268" w:lineRule="auto"/>
        <w:tabs>
          <w:tab w:leader="none" w:pos="872" w:val="left"/>
        </w:tabs>
        <w:numPr>
          <w:ilvl w:val="0"/>
          <w:numId w:val="111"/>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The Optional Securities; Option Closing Date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addition, on the basis of the representations, warranties and agreements herein contained,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upon the terms but subject to the conditions herein set forth, the Company hereby grants an option to the several Underwriters to purchase, severally and not jointly, up to an aggregate of 1,500,000 shares of Class A Common Stock from the Company at the purchase price per share of Class A Common Stock to be paid by the Underwriters for the Firm Securities. The option granted hereunder may be exercised at any time and from time to time in whole or in part upon notice by the Representative to the Company, which notice may be given at any time within 45 days from the date of this Agreement. Such notice shall set forth (i) the aggregate number of Optional Securities as to which the Underwriters are exercising the option and (ii) the time, date and place at which the Optional Securities will be delivered (which time and date may be simultaneous with, but not earlier than, the First Closing Date; and in the event that such time and date are simultaneous with the First Closing Date, the term “</w:t>
      </w:r>
      <w:r>
        <w:rPr>
          <w:rFonts w:ascii="Arial" w:cs="Arial" w:eastAsia="Arial" w:hAnsi="Arial"/>
          <w:sz w:val="17"/>
          <w:szCs w:val="17"/>
          <w:b w:val="1"/>
          <w:bCs w:val="1"/>
          <w:color w:val="auto"/>
        </w:rPr>
        <w:t>First Closing Date</w:t>
      </w:r>
      <w:r>
        <w:rPr>
          <w:rFonts w:ascii="Arial" w:cs="Arial" w:eastAsia="Arial" w:hAnsi="Arial"/>
          <w:sz w:val="17"/>
          <w:szCs w:val="17"/>
          <w:color w:val="auto"/>
        </w:rPr>
        <w:t>” shall refer to the time and date of delivery of the Firm Securities and such Optional Securities). Any such time and date of delivery, if subsequent to the First Closing Date, is called an “</w:t>
      </w:r>
      <w:r>
        <w:rPr>
          <w:rFonts w:ascii="Arial" w:cs="Arial" w:eastAsia="Arial" w:hAnsi="Arial"/>
          <w:sz w:val="17"/>
          <w:szCs w:val="17"/>
          <w:b w:val="1"/>
          <w:bCs w:val="1"/>
          <w:color w:val="auto"/>
        </w:rPr>
        <w:t>Option Closing</w:t>
      </w:r>
      <w:r>
        <w:rPr>
          <w:rFonts w:ascii="Arial" w:cs="Arial" w:eastAsia="Arial" w:hAnsi="Arial"/>
          <w:sz w:val="17"/>
          <w:szCs w:val="17"/>
          <w:color w:val="auto"/>
        </w:rPr>
        <w:t xml:space="preserve"> </w:t>
      </w:r>
      <w:r>
        <w:rPr>
          <w:rFonts w:ascii="Arial" w:cs="Arial" w:eastAsia="Arial" w:hAnsi="Arial"/>
          <w:sz w:val="17"/>
          <w:szCs w:val="17"/>
          <w:b w:val="1"/>
          <w:bCs w:val="1"/>
          <w:color w:val="auto"/>
        </w:rPr>
        <w:t>Date</w:t>
      </w:r>
      <w:r>
        <w:rPr>
          <w:rFonts w:ascii="Arial" w:cs="Arial" w:eastAsia="Arial" w:hAnsi="Arial"/>
          <w:sz w:val="17"/>
          <w:szCs w:val="17"/>
          <w:color w:val="auto"/>
        </w:rPr>
        <w:t>,” and shall be determined by the Representative and shall not be earlier than two or later than five full business days after delivery of such notice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exercise. If any Optional Securities are to be purchased, each Underwriter agrees, severally and not jointly, to purchase the number of Optional Securities (subject to such adjustments to eliminate fractional shares as the Representative may determine) that bears the same proportion to the total number of Optional Securities to be purchased as the number of Firm Securities set forth on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opposite the name of such Underwriter bears to the total number of Firm Securities. The Representative may cancel the option at any time prior to its expiration by giving written notice of such cancellation to the Company.</w:t>
      </w:r>
    </w:p>
    <w:p>
      <w:pPr>
        <w:spacing w:after="0" w:line="181" w:lineRule="exact"/>
        <w:rPr>
          <w:rFonts w:ascii="Arial" w:cs="Arial" w:eastAsia="Arial" w:hAnsi="Arial"/>
          <w:sz w:val="17"/>
          <w:szCs w:val="17"/>
          <w:b w:val="1"/>
          <w:bCs w:val="1"/>
          <w:color w:val="auto"/>
        </w:rPr>
      </w:pPr>
    </w:p>
    <w:p>
      <w:pPr>
        <w:ind w:left="-20" w:right="20" w:firstLine="656"/>
        <w:spacing w:after="0" w:line="261" w:lineRule="auto"/>
        <w:tabs>
          <w:tab w:leader="none" w:pos="893"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Public Offering of the Offered Securities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Representative hereby advises the Company that the Underwriters intend to offer for sale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public, on the terms set forth in the Registration Statement, the Time of Sale Prospectus and the Prospectus, their respective portions of the Offered Securities as soon after this Agreement has been executed and the Registration Statement has been declared effective as the Representative, in its sole judgment, has determined is advisable and practicable.</w:t>
      </w:r>
    </w:p>
    <w:p>
      <w:pPr>
        <w:spacing w:after="0" w:line="179" w:lineRule="exact"/>
        <w:rPr>
          <w:rFonts w:ascii="Arial" w:cs="Arial" w:eastAsia="Arial" w:hAnsi="Arial"/>
          <w:sz w:val="18"/>
          <w:szCs w:val="18"/>
          <w:b w:val="1"/>
          <w:bCs w:val="1"/>
          <w:color w:val="auto"/>
        </w:rPr>
      </w:pPr>
    </w:p>
    <w:p>
      <w:pPr>
        <w:ind w:left="-20" w:firstLine="656"/>
        <w:spacing w:after="0" w:line="255" w:lineRule="auto"/>
        <w:tabs>
          <w:tab w:leader="none" w:pos="872"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Delivery and Payment for the Offered Securities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 In addition to the discount from the public offering price represented by the Purchase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Price set forth in the last sentence of Section 2(a) of this Agreement, the Company hereby agrees to pay to the Underwriters a deferred discount of $0.35 per share of Class A Common Stock (including both Firm Securities and Optional Securities) purchased hereunder (the “</w:t>
      </w:r>
      <w:r>
        <w:rPr>
          <w:rFonts w:ascii="Arial" w:cs="Arial" w:eastAsia="Arial" w:hAnsi="Arial"/>
          <w:sz w:val="18"/>
          <w:szCs w:val="18"/>
          <w:b w:val="1"/>
          <w:bCs w:val="1"/>
          <w:color w:val="auto"/>
        </w:rPr>
        <w:t>Deferred Discount</w:t>
      </w:r>
      <w:r>
        <w:rPr>
          <w:rFonts w:ascii="Arial" w:cs="Arial" w:eastAsia="Arial" w:hAnsi="Arial"/>
          <w:sz w:val="18"/>
          <w:szCs w:val="18"/>
          <w:color w:val="auto"/>
        </w:rPr>
        <w:t>”). The Underwriters hereby agree that if no Business Combination is consummated within the time period provided in the Trust Agreement and the funds held under the Trust Agreement are distributed to the holders of the Offered Securities sold pursuant to this Agreement (the “</w:t>
      </w:r>
      <w:r>
        <w:rPr>
          <w:rFonts w:ascii="Arial" w:cs="Arial" w:eastAsia="Arial" w:hAnsi="Arial"/>
          <w:sz w:val="18"/>
          <w:szCs w:val="18"/>
          <w:b w:val="1"/>
          <w:bCs w:val="1"/>
          <w:color w:val="auto"/>
        </w:rPr>
        <w:t>Public Stockholders</w:t>
      </w:r>
      <w:r>
        <w:rPr>
          <w:rFonts w:ascii="Arial" w:cs="Arial" w:eastAsia="Arial" w:hAnsi="Arial"/>
          <w:sz w:val="18"/>
          <w:szCs w:val="18"/>
          <w:color w:val="auto"/>
        </w:rPr>
        <w:t>”), (x) the Underwriters will forfeit any rights or claims to the Deferred Discount and (y) the trustee under the Trust Agreement is authorized to distribute the Deferred Discount to the Public Stockholders on a pro rata basis.</w:t>
      </w:r>
    </w:p>
    <w:p>
      <w:pPr>
        <w:spacing w:after="0" w:line="192" w:lineRule="exact"/>
        <w:rPr>
          <w:rFonts w:ascii="Arial" w:cs="Arial" w:eastAsia="Arial" w:hAnsi="Arial"/>
          <w:sz w:val="18"/>
          <w:szCs w:val="18"/>
          <w:b w:val="1"/>
          <w:bCs w:val="1"/>
          <w:color w:val="auto"/>
        </w:rPr>
      </w:pPr>
    </w:p>
    <w:p>
      <w:pPr>
        <w:ind w:left="-20" w:right="20" w:firstLine="1304"/>
        <w:spacing w:after="0" w:line="254" w:lineRule="auto"/>
        <w:tabs>
          <w:tab w:leader="none" w:pos="1541" w:val="left"/>
        </w:tabs>
        <w:numPr>
          <w:ilvl w:val="1"/>
          <w:numId w:val="111"/>
        </w:numPr>
        <w:rPr>
          <w:rFonts w:ascii="Arial" w:cs="Arial" w:eastAsia="Arial" w:hAnsi="Arial"/>
          <w:sz w:val="18"/>
          <w:szCs w:val="18"/>
          <w:color w:val="auto"/>
        </w:rPr>
      </w:pPr>
      <w:r>
        <w:rPr>
          <w:rFonts w:ascii="Arial" w:cs="Arial" w:eastAsia="Arial" w:hAnsi="Arial"/>
          <w:sz w:val="18"/>
          <w:szCs w:val="18"/>
          <w:color w:val="auto"/>
        </w:rPr>
        <w:t>It is understood that the Representative has been authorized, for its own account and the accounts of the several Underwriters, to accept delivery of and receipt for, and make payment by wire transfer payable in same-day funds to an account specified by the Company and to the Trust Account as described below in this Section of the purchase price for, the Firm Securities and any Optional Securities the Underwriters have agreed to purchase. The Representative, individually and not as the Representative of the Underwriters, may (but shall not be obligated to) make payment for any Offered Securities to be purchased by any Underwriter whose funds shall not have been received by the Representative by the First Closing Date or the applicable Option Closing Date, as the case may be, for the account of such Underwriter, but any such payment shall not relieve such Underwriter from any of its obligations under this Agreement.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337" w:right="339" w:bottom="1440" w:gutter="0" w:footer="0" w:header="0"/>
        </w:sectPr>
      </w:pPr>
    </w:p>
    <w:bookmarkStart w:id="164" w:name="page165"/>
    <w:bookmarkEnd w:id="164"/>
    <w:p>
      <w:pPr>
        <w:ind w:left="-20" w:right="20" w:firstLine="1304"/>
        <w:spacing w:after="0" w:line="287" w:lineRule="auto"/>
        <w:tabs>
          <w:tab w:leader="none" w:pos="1591" w:val="left"/>
        </w:tabs>
        <w:numPr>
          <w:ilvl w:val="0"/>
          <w:numId w:val="112"/>
        </w:numPr>
        <w:rPr>
          <w:rFonts w:ascii="Arial" w:cs="Arial" w:eastAsia="Arial" w:hAnsi="Arial"/>
          <w:sz w:val="16"/>
          <w:szCs w:val="16"/>
          <w:color w:val="auto"/>
        </w:rPr>
      </w:pPr>
      <w:r>
        <w:rPr>
          <w:rFonts w:ascii="Arial" w:cs="Arial" w:eastAsia="Arial" w:hAnsi="Arial"/>
          <w:sz w:val="16"/>
          <w:szCs w:val="16"/>
          <w:color w:val="auto"/>
        </w:rPr>
        <w:t>Payment for the Firm Securities shall be made as follows: The net proceeds for the Firm Securities (including the Deferred Discount) shall be deposited in the Trust Account pursuant to the terms of the Trust Agreement along with such portion of the proceeds of the sale of the Sponsor Shares in order for the Trust Account to equal the product of the number of shares of Class A Common Stock sold and the public offering price per share of Class A Common Stock as set forth on the cover of the Prospectus upon delivery to the Representative of the Firm Securities through the facilities of DTC or, if the Representative has otherwise instructed, upon delivery to the Representative of certificates (in form and substance satisfactory to the Representative) representing the Firm Securities, in each case for the account of the Underwriters. The Firm Securities shall be registered in such name or names and in such authorized denominations as the Representative may request in writing at least one business day prior to the First Closing Date. If delivery is not made through the facilities of DTC, the Company will permit the Representative to examine and package the Firm Securities for delivery, at least one business day prior to the First Closing Date at a location in New York City as the Representative may designate. The Company shall not be obligated to sell or deliver the Firm Securities except upon tender of payment by the Representative for all the Firm Securities. At least one business day prior to the Firm Securities settlement date, the Company shall deposit the proceeds from the sale of the applicable Sponsor Shares into the Trust Account.</w:t>
      </w:r>
    </w:p>
    <w:p>
      <w:pPr>
        <w:spacing w:after="0" w:line="171" w:lineRule="exact"/>
        <w:rPr>
          <w:rFonts w:ascii="Arial" w:cs="Arial" w:eastAsia="Arial" w:hAnsi="Arial"/>
          <w:sz w:val="16"/>
          <w:szCs w:val="16"/>
          <w:color w:val="auto"/>
        </w:rPr>
      </w:pPr>
    </w:p>
    <w:p>
      <w:pPr>
        <w:ind w:left="-20" w:right="80" w:firstLine="1304"/>
        <w:spacing w:after="0" w:line="253" w:lineRule="auto"/>
        <w:tabs>
          <w:tab w:leader="none" w:pos="1581"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Payment for the Optional Securities shall be made as follows: $9.80 per Optional Security (including any Deferred Discount attributable to the Optional Securities) shall be deposited in the Trust Account pursuant to the terms of the Trust Agreement upon delivery to the Representative of the Optional Securities through the facilities of DTC or, if the Representative has otherwise instructed, upon delivery to the Representative of certificates (in form and substance satisfactory to the Representative) representing the Optional Securities for the account of the Underwriters. The Optional Securities shall be registered in such name or names and in such authorized denominations as the Representative may request in writing at least two business days prior to the Option Closing Date. If delivery is not made through the facilities of DTC, the Company will permit the Representative to examine and package the Optional Securities for delivery, at least one business day prior to the Option Closing Date. The Company shall not be obligated to sell or deliver the Optional Securities except upon tender of payment by the Representative for all the Optional Securities. At least one business day prior to the Optional Securities settlement date, the Company shall deposit the proceeds from the sale of the applicable Sponsor Shares into the Trust Account.</w:t>
      </w:r>
    </w:p>
    <w:p>
      <w:pPr>
        <w:spacing w:after="0" w:line="190"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Section 3. Additional Covenants of the Company.</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further covenants and agrees with each Underwriter as follows:</w:t>
      </w:r>
    </w:p>
    <w:p>
      <w:pPr>
        <w:spacing w:after="0" w:line="225" w:lineRule="exact"/>
        <w:rPr>
          <w:sz w:val="20"/>
          <w:szCs w:val="20"/>
          <w:color w:val="auto"/>
        </w:rPr>
      </w:pPr>
    </w:p>
    <w:p>
      <w:pPr>
        <w:ind w:left="-20" w:firstLine="656"/>
        <w:spacing w:after="0" w:line="275" w:lineRule="auto"/>
        <w:tabs>
          <w:tab w:leader="none" w:pos="883" w:val="left"/>
        </w:tabs>
        <w:numPr>
          <w:ilvl w:val="0"/>
          <w:numId w:val="11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Delivery of Registration Statement, Time of Sale Prospectus and Prospectus. </w:t>
      </w:r>
      <w:r>
        <w:rPr>
          <w:rFonts w:ascii="Arial" w:cs="Arial" w:eastAsia="Arial" w:hAnsi="Arial"/>
          <w:sz w:val="17"/>
          <w:szCs w:val="17"/>
          <w:color w:val="auto"/>
        </w:rPr>
        <w:t>The Company shall furnish to you in New York City, without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charge, prior to 10:00 a.m. New York City time on the business day next succeeding the date of this Agreement and during the period when a prospectus relating to the Offered Securities is required by the Securities Act to be delivered (whether physically or through compliance with Rule 172 under the Securities Act or any similar rule) in connection with sales of the Offered Securities, as many copies of the Time of Sale Prospectus, the Prospectus and any supplements and amendments thereto or to the Registration Statement as you may reasonably request.</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341" w:right="339" w:bottom="1440" w:gutter="0" w:footer="0" w:header="0"/>
        </w:sectPr>
      </w:pPr>
    </w:p>
    <w:bookmarkStart w:id="165" w:name="page166"/>
    <w:bookmarkEnd w:id="165"/>
    <w:p>
      <w:pPr>
        <w:ind w:right="80" w:firstLine="656"/>
        <w:spacing w:after="0" w:line="289" w:lineRule="auto"/>
        <w:tabs>
          <w:tab w:leader="none" w:pos="913" w:val="left"/>
        </w:tabs>
        <w:numPr>
          <w:ilvl w:val="0"/>
          <w:numId w:val="11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Representative’s Review of Proposed Amendments and Supplements. </w:t>
      </w:r>
      <w:r>
        <w:rPr>
          <w:rFonts w:ascii="Arial" w:cs="Arial" w:eastAsia="Arial" w:hAnsi="Arial"/>
          <w:sz w:val="16"/>
          <w:szCs w:val="16"/>
          <w:color w:val="auto"/>
        </w:rPr>
        <w:t>During the period when a prospectus relating to the Offered Securities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 required by the Securities Act to be delivered (whether physically or through compliance with Rule 172 under the Securities Act or any similar rule), the Company (i) will furnish to the Representative for review, a reasonable period of time prior to the proposed time of filing of any proposed amendment or supplement to the Registration Statement, a copy of each such amendment or supplement and (ii) will not amend or supplement the Registration Statement without the Representative’s prior written consent. Prior to amending or supplementing any preliminary prospectus, the Time of Sale Prospectus or the Prospectus, the Company shall furnish to the Representative for review, a reasonable amount of time prior to the time of filing or use of the proposed amendment or supplement, a copy of each such proposed amendment or supplement. The Company shall not file or use any such proposed amendment or supplement without the Representative’s prior written consent. The Company shall file with the Commission within the applicable period specified in Rule 424(b) under the Securities Act any prospectus required to be filed pursuant to such rule.</w:t>
      </w:r>
    </w:p>
    <w:p>
      <w:pPr>
        <w:spacing w:after="0" w:line="166" w:lineRule="exact"/>
        <w:rPr>
          <w:rFonts w:ascii="Arial" w:cs="Arial" w:eastAsia="Arial" w:hAnsi="Arial"/>
          <w:sz w:val="16"/>
          <w:szCs w:val="16"/>
          <w:b w:val="1"/>
          <w:bCs w:val="1"/>
          <w:color w:val="auto"/>
        </w:rPr>
      </w:pPr>
    </w:p>
    <w:p>
      <w:pPr>
        <w:ind w:right="140" w:firstLine="656"/>
        <w:spacing w:after="0" w:line="263" w:lineRule="auto"/>
        <w:tabs>
          <w:tab w:leader="none" w:pos="892"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Free Writing Prospectuses. </w:t>
      </w:r>
      <w:r>
        <w:rPr>
          <w:rFonts w:ascii="Arial" w:cs="Arial" w:eastAsia="Arial" w:hAnsi="Arial"/>
          <w:sz w:val="18"/>
          <w:szCs w:val="18"/>
          <w:color w:val="auto"/>
        </w:rPr>
        <w:t>The Company will not make any offer relating to the shares of Class A Common Stock that constitutes or would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constitute a free writing prospectus or a portion thereof required to be filed by the Company with the Commission or retained by the Company under Rule 433 of the Securities Act.</w:t>
      </w:r>
    </w:p>
    <w:p>
      <w:pPr>
        <w:spacing w:after="0" w:line="183" w:lineRule="exact"/>
        <w:rPr>
          <w:rFonts w:ascii="Arial" w:cs="Arial" w:eastAsia="Arial" w:hAnsi="Arial"/>
          <w:sz w:val="18"/>
          <w:szCs w:val="18"/>
          <w:b w:val="1"/>
          <w:bCs w:val="1"/>
          <w:color w:val="auto"/>
        </w:rPr>
      </w:pPr>
    </w:p>
    <w:p>
      <w:pPr>
        <w:ind w:firstLine="656"/>
        <w:spacing w:after="0" w:line="287" w:lineRule="auto"/>
        <w:tabs>
          <w:tab w:leader="none" w:pos="913" w:val="left"/>
        </w:tabs>
        <w:numPr>
          <w:ilvl w:val="0"/>
          <w:numId w:val="11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Amendments and Supplements to Time of Sale Prospectus. </w:t>
      </w:r>
      <w:r>
        <w:rPr>
          <w:rFonts w:ascii="Arial" w:cs="Arial" w:eastAsia="Arial" w:hAnsi="Arial"/>
          <w:sz w:val="16"/>
          <w:szCs w:val="16"/>
          <w:color w:val="auto"/>
        </w:rPr>
        <w:t>If the Time of Sale Prospectus is being used to solicit offers to buy the Offered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Securities at a time when the Prospectus is not yet available to prospective purchasers, and any event shall occur or condition exist as a result of which it is necessary to amend or supplement the Time of Sale Prospectus so that the Time of Sale Prospectus does not include an untrue statement of a material fact or omit to state a material fact necessary in order to make the statements therein, in the light of the circumstances when delivered to a prospective purchaser, not misleading, or if any event shall occur or condition exist as a result of which the Time of Sale Prospectus conflicts with the information contained in the Registration Statement, or if it shall be necessary to amend or supplement the Time of Sale Prospectus to comply with the Securities Act or the rules thereunder, the Company shall (subject to Section 3(b) and Section 3(e) hereof) promptly prepare, file with the Commission and furnish, at its own expense, to the Underwriters and to any dealer upon request, either amendments or supplements to the Time of Sale Prospectus so that the statements in the Time of Sale Prospectus as so amended or supplemented will not include an untrue statement of a material fact or omit to state a material fact necessary in order to make the statements therein, in the light of the circumstances when delivered to a prospective purchaser, not misleading or so that the Time of Sale Prospectus, as amended or supplemented, will no longer conflict with the information contained in the Registration Statement or so that the Time of Sale Prospectus, as amended or supplemented, will comply with the Securities Act or the rules thereunder.</w:t>
      </w:r>
    </w:p>
    <w:p>
      <w:pPr>
        <w:spacing w:after="0" w:line="163" w:lineRule="exact"/>
        <w:rPr>
          <w:rFonts w:ascii="Arial" w:cs="Arial" w:eastAsia="Arial" w:hAnsi="Arial"/>
          <w:sz w:val="16"/>
          <w:szCs w:val="16"/>
          <w:b w:val="1"/>
          <w:bCs w:val="1"/>
          <w:color w:val="auto"/>
        </w:rPr>
      </w:pPr>
    </w:p>
    <w:p>
      <w:pPr>
        <w:ind w:left="900" w:hanging="244"/>
        <w:spacing w:after="0"/>
        <w:tabs>
          <w:tab w:leader="none" w:pos="900" w:val="left"/>
        </w:tabs>
        <w:numPr>
          <w:ilvl w:val="0"/>
          <w:numId w:val="11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Certain Notifications and Required Actions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After the date of this Agreement, the Company shall promptly advise the Representative in</w:t>
      </w:r>
    </w:p>
    <w:p>
      <w:pPr>
        <w:spacing w:after="0" w:line="50" w:lineRule="exact"/>
        <w:rPr>
          <w:rFonts w:ascii="Arial" w:cs="Arial" w:eastAsia="Arial" w:hAnsi="Arial"/>
          <w:sz w:val="16"/>
          <w:szCs w:val="16"/>
          <w:b w:val="1"/>
          <w:bCs w:val="1"/>
          <w:color w:val="auto"/>
        </w:rPr>
      </w:pPr>
    </w:p>
    <w:p>
      <w:pPr>
        <w:ind w:right="20"/>
        <w:spacing w:after="0" w:line="267" w:lineRule="auto"/>
        <w:rPr>
          <w:rFonts w:ascii="Arial" w:cs="Arial" w:eastAsia="Arial" w:hAnsi="Arial"/>
          <w:sz w:val="16"/>
          <w:szCs w:val="16"/>
          <w:b w:val="1"/>
          <w:bCs w:val="1"/>
          <w:color w:val="auto"/>
        </w:rPr>
      </w:pPr>
      <w:r>
        <w:rPr>
          <w:rFonts w:ascii="Arial" w:cs="Arial" w:eastAsia="Arial" w:hAnsi="Arial"/>
          <w:sz w:val="17"/>
          <w:szCs w:val="17"/>
          <w:color w:val="auto"/>
        </w:rPr>
        <w:t>writing of: (i) the receipt of any comments of, or requests for additional or supplemental information from, the Commission; (ii) the time and date of any filing of any post-effective amendment to the Registration Statement or any amendment or supplement to any preliminary prospectus, the Time of Sale Prospectus, the Prospectus or the Exchange Act Registration Statement; (iii) the time and date that any post-effective amendment to the Registration Statement becomes effective; and (iv) the issuance by the Commission of any stop order suspending the effectiveness of the Registration Statement or any post-effective amendment thereto or any amendment or supplement to any preliminary prospectus, the Time of Sale Prospectus, the Prospectus or the Exchange Act Registration Statement or of any order preventing or suspending the use of any preliminary prospectus, the Time of Sale Prospectus, or the Prospectus, or of any proceedings to remove, suspend or terminate from listing or quotation the shares of Class A Common Stock from any securities exchange upon which they are listed for trading or included or designated for quotation, or of the threatening or initiation of any proceedings for any of such purposes. If, at any time, the Commission shall enter any such stop order, the Company will use its best efforts to obtain the lifting of such order at the earliest possible moment. Additionally, the Company agrees that it shall comply in all material respects with all applicable provisions of Rule 424(b) and Rule 430A under the Securities Act and will use its reasonable efforts to confirm that any filings made by the Company under Rule 424(b) were received in a timely manner by the Commission.</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6" w:name="page167"/>
    <w:bookmarkEnd w:id="166"/>
    <w:p>
      <w:pPr>
        <w:ind w:left="-20" w:firstLine="656"/>
        <w:spacing w:after="0" w:line="287" w:lineRule="auto"/>
        <w:tabs>
          <w:tab w:leader="none" w:pos="853" w:val="left"/>
        </w:tabs>
        <w:numPr>
          <w:ilvl w:val="0"/>
          <w:numId w:val="11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Amendments and Supplements to the Prospectus and Other Securities Act Matters. </w:t>
      </w:r>
      <w:r>
        <w:rPr>
          <w:rFonts w:ascii="Arial" w:cs="Arial" w:eastAsia="Arial" w:hAnsi="Arial"/>
          <w:sz w:val="16"/>
          <w:szCs w:val="16"/>
          <w:color w:val="auto"/>
        </w:rPr>
        <w:t>If, at any time when a prospectus relating to the Offered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Securities is required to be delivered under the Securities Act, any event shall occur or condition exist as a result of which it is necessary to amend or supplement the Prospectus so that the Prospectus does not include an untrue statement of a material fact or omit to state a material fact necessary in order to make the statements therein, in the light of the circumstances when the Prospectus is delivered (whether physically or through compliance with Rule 172 under the Securities Act or any similar rule) to a purchaser, not misleading, or if it shall be necessary to amend the Registration Statement or supplement the Prospectus to comply with the Securities Act or rules thereunder, the Company agrees (subject to Section 3(b) and Section 3(c) hereof) to promptly prepare, file with the Commission and furnish, at its own expense, to the Underwriters and to any dealer upon request, amendments or supplements to the Prospectus so that the statements in the Prospectus as so amended or supplemented will not include an untrue statement of a material fact or omit to state a material fact necessary in order to make the statements therein, in the light of the circumstances when the Prospectus is delivered (whether physically or through compliance with Rule 172 under the Securities Act or any similar rule) to a purchaser, not misleading or so that the Prospectus, as amended or supplemented, will comply with the Securities Act or the rules thereunder. Neither the Representative’s consent to, nor delivery of, any such amendment or supplement shall constitute a waiver of any of the Company’s obligations under Section 3(b) or Section 3(e).</w:t>
      </w:r>
    </w:p>
    <w:p>
      <w:pPr>
        <w:spacing w:after="0" w:line="163" w:lineRule="exact"/>
        <w:rPr>
          <w:rFonts w:ascii="Arial" w:cs="Arial" w:eastAsia="Arial" w:hAnsi="Arial"/>
          <w:sz w:val="16"/>
          <w:szCs w:val="16"/>
          <w:b w:val="1"/>
          <w:bCs w:val="1"/>
          <w:color w:val="auto"/>
        </w:rPr>
      </w:pPr>
    </w:p>
    <w:p>
      <w:pPr>
        <w:ind w:left="-20" w:right="20" w:firstLine="656"/>
        <w:spacing w:after="0" w:line="271" w:lineRule="auto"/>
        <w:tabs>
          <w:tab w:leader="none" w:pos="883" w:val="left"/>
        </w:tabs>
        <w:numPr>
          <w:ilvl w:val="0"/>
          <w:numId w:val="115"/>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Blue Sky Compliance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shall cooperate with the Representative and counsel for the Underwriters to qualify or register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Offered Securities for sale under (or obtain exemptions from the application of) the state securities or blue sky laws or Canadian provincial securities laws of those jurisdictions designated by the Representative, shall comply with such laws and shall continue such qualifications, registrations and exemptions in effect so long as required for the distribution of the Offered Securities. The Company shall not be required to qualify as a foreign corporation or to take any action that would subject it to general service of process in any such jurisdiction where it is not presently qualified or where it would be subject to taxation as a foreign corporation. The Company will advise the Representative promptly of the suspension of the qualification or registration of (or any such exemption relating to) the Offered Securities for offering, sale or trading in any jurisdiction or any initiation or threat of any proceeding for any such purpose, and in the event of the issuance of any order suspending such qualification, registration or exemption, the Company shall use its best efforts to obtain the withdrawal thereof at the earliest possible moment.</w:t>
      </w:r>
    </w:p>
    <w:p>
      <w:pPr>
        <w:spacing w:after="0" w:line="173" w:lineRule="exact"/>
        <w:rPr>
          <w:rFonts w:ascii="Arial" w:cs="Arial" w:eastAsia="Arial" w:hAnsi="Arial"/>
          <w:sz w:val="17"/>
          <w:szCs w:val="17"/>
          <w:b w:val="1"/>
          <w:bCs w:val="1"/>
          <w:color w:val="auto"/>
        </w:rPr>
      </w:pPr>
    </w:p>
    <w:p>
      <w:pPr>
        <w:ind w:left="-20" w:right="240" w:firstLine="656"/>
        <w:spacing w:after="0" w:line="266" w:lineRule="auto"/>
        <w:tabs>
          <w:tab w:leader="none" w:pos="893"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Use of Proceeds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shall apply the net proceeds from the sale of the Offered Securities and the Sponsor Shares sold by it in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manner consistent in all material respects with the applications described under the caption “Use of Proceeds” in the Registration Statement, the Time of Sale Prospectus and the Prospectus.</w:t>
      </w:r>
    </w:p>
    <w:p>
      <w:pPr>
        <w:spacing w:after="0" w:line="175" w:lineRule="exact"/>
        <w:rPr>
          <w:rFonts w:ascii="Arial" w:cs="Arial" w:eastAsia="Arial" w:hAnsi="Arial"/>
          <w:sz w:val="18"/>
          <w:szCs w:val="18"/>
          <w:b w:val="1"/>
          <w:bCs w:val="1"/>
          <w:color w:val="auto"/>
        </w:rPr>
      </w:pPr>
    </w:p>
    <w:p>
      <w:pPr>
        <w:ind w:left="-20" w:right="240" w:firstLine="656"/>
        <w:spacing w:after="0" w:line="277" w:lineRule="auto"/>
        <w:tabs>
          <w:tab w:leader="none" w:pos="843" w:val="left"/>
        </w:tabs>
        <w:numPr>
          <w:ilvl w:val="0"/>
          <w:numId w:val="115"/>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Transfer Agent</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a period commencing on the Effective Date and ending at least five years from the date of the consummation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 Combination or until such earlier time at which the distributions of the Trust Account to the Public Stockholders in connection with the redemption of the shares of Class A Common Stock held by the Public Stockholders pursuant to the terms of the Company’s Amended and Restated Certificate of Incorporation, if the Company fails to consummate a Business Combination (the “</w:t>
      </w:r>
      <w:r>
        <w:rPr>
          <w:rFonts w:ascii="Arial" w:cs="Arial" w:eastAsia="Arial" w:hAnsi="Arial"/>
          <w:sz w:val="17"/>
          <w:szCs w:val="17"/>
          <w:b w:val="1"/>
          <w:bCs w:val="1"/>
          <w:color w:val="auto"/>
        </w:rPr>
        <w:t>Liquidation</w:t>
      </w:r>
      <w:r>
        <w:rPr>
          <w:rFonts w:ascii="Arial" w:cs="Arial" w:eastAsia="Arial" w:hAnsi="Arial"/>
          <w:sz w:val="17"/>
          <w:szCs w:val="17"/>
          <w:color w:val="auto"/>
        </w:rPr>
        <w:t>”) occurs or the shares of Class A Common Stock cease to be registered under the Exchange Act, the Company shall retain a transfer agent.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341" w:right="359" w:bottom="1440" w:gutter="0" w:footer="0" w:header="0"/>
        </w:sectPr>
      </w:pPr>
    </w:p>
    <w:bookmarkStart w:id="167" w:name="page168"/>
    <w:bookmarkEnd w:id="167"/>
    <w:p>
      <w:pPr>
        <w:ind w:right="80" w:firstLine="656"/>
        <w:spacing w:after="0" w:line="261" w:lineRule="auto"/>
        <w:tabs>
          <w:tab w:leader="none" w:pos="873"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Earnings Statement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will make generally available to its stockholders and to the Representative as soon as practicable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earnings statement (which need not be audited) covering a period of at least 12 months beginning with the first fiscal quarter of the Company commencing after the date of this Agreement that will satisfy the provisions of Section 11(a) of the Securities Act and the rules and regulations of the Commission thereunder.</w:t>
      </w:r>
    </w:p>
    <w:p>
      <w:pPr>
        <w:spacing w:after="0" w:line="179" w:lineRule="exact"/>
        <w:rPr>
          <w:rFonts w:ascii="Arial" w:cs="Arial" w:eastAsia="Arial" w:hAnsi="Arial"/>
          <w:sz w:val="18"/>
          <w:szCs w:val="18"/>
          <w:b w:val="1"/>
          <w:bCs w:val="1"/>
          <w:color w:val="auto"/>
        </w:rPr>
      </w:pPr>
    </w:p>
    <w:p>
      <w:pPr>
        <w:ind w:firstLine="656"/>
        <w:spacing w:after="0" w:line="294" w:lineRule="auto"/>
        <w:tabs>
          <w:tab w:leader="none" w:pos="913" w:val="left"/>
        </w:tabs>
        <w:numPr>
          <w:ilvl w:val="0"/>
          <w:numId w:val="11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Continued Compliance with Securities Laws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will comply with the Securities Act and the Exchange Act so as to permit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completion of the distribution of the Offered Securities as contemplated by this Agreement</w:t>
      </w:r>
      <w:r>
        <w:rPr>
          <w:rFonts w:ascii="Arial" w:cs="Arial" w:eastAsia="Arial" w:hAnsi="Arial"/>
          <w:sz w:val="16"/>
          <w:szCs w:val="16"/>
          <w:b w:val="1"/>
          <w:bCs w:val="1"/>
          <w:color w:val="auto"/>
        </w:rPr>
        <w:t>,</w:t>
      </w:r>
      <w:r>
        <w:rPr>
          <w:rFonts w:ascii="Arial" w:cs="Arial" w:eastAsia="Arial" w:hAnsi="Arial"/>
          <w:sz w:val="16"/>
          <w:szCs w:val="16"/>
          <w:color w:val="auto"/>
        </w:rPr>
        <w:t xml:space="preserve"> the Registration Statement, the Time of Sale Prospectus and the Prospectus. Without limiting the generality of the foregoing, the Company will, during the period when a prospectus relating to the Offered Securities is required by the Securities Act to be delivered (whether physically or through compliance with Rule 172 under the Securities Act or any similar rule), file on a timely basis with the Commission and Nasdaq all reports and documents required to be filed under the Exchange Act. Additionally, the Company shall report the use of proceeds from the issuance of the Offered Securities as may be required under Rule 463 under the Securities Act.</w:t>
      </w:r>
    </w:p>
    <w:p>
      <w:pPr>
        <w:spacing w:after="0" w:line="163" w:lineRule="exact"/>
        <w:rPr>
          <w:rFonts w:ascii="Arial" w:cs="Arial" w:eastAsia="Arial" w:hAnsi="Arial"/>
          <w:sz w:val="16"/>
          <w:szCs w:val="16"/>
          <w:b w:val="1"/>
          <w:bCs w:val="1"/>
          <w:color w:val="auto"/>
        </w:rPr>
      </w:pPr>
    </w:p>
    <w:p>
      <w:pPr>
        <w:ind w:right="120" w:firstLine="656"/>
        <w:spacing w:after="0" w:line="255" w:lineRule="auto"/>
        <w:tabs>
          <w:tab w:leader="none" w:pos="863"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Continued Registration of the Securities of the Company</w:t>
      </w:r>
      <w:r>
        <w:rPr>
          <w:rFonts w:ascii="Arial" w:cs="Arial" w:eastAsia="Arial" w:hAnsi="Arial"/>
          <w:sz w:val="18"/>
          <w:szCs w:val="18"/>
          <w:color w:val="auto"/>
        </w:rPr>
        <w:t>. For a period commencing on the Effective Date and ending at least five years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date of the consummation of the Business Combination or until such earlier time at which the Liquidation occurs, the Company will use its best efforts to maintain the registration of the shares of Class A Common Stock under the provisions of the Exchange Act, except after giving effect to a going private transaction after the completion of a Business Combination. The Company will not deregister the shares of Class A Common Stock under the Exchange Act (except in connection with a going private transaction after the completion of a Business Combination) without the prior written consent of the Representative.</w:t>
      </w:r>
    </w:p>
    <w:p>
      <w:pPr>
        <w:spacing w:after="0" w:line="188" w:lineRule="exact"/>
        <w:rPr>
          <w:rFonts w:ascii="Arial" w:cs="Arial" w:eastAsia="Arial" w:hAnsi="Arial"/>
          <w:sz w:val="18"/>
          <w:szCs w:val="18"/>
          <w:b w:val="1"/>
          <w:bCs w:val="1"/>
          <w:color w:val="auto"/>
        </w:rPr>
      </w:pPr>
    </w:p>
    <w:p>
      <w:pPr>
        <w:ind w:right="140" w:firstLine="656"/>
        <w:spacing w:after="0" w:line="314" w:lineRule="auto"/>
        <w:tabs>
          <w:tab w:leader="none" w:pos="963" w:val="left"/>
        </w:tabs>
        <w:numPr>
          <w:ilvl w:val="0"/>
          <w:numId w:val="11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Listing</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will use commercially reasonable efforts to effect and maintain the listing of the shares of Class A Common Stock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Nasdaq for a period commencing on the Effective Date and ending at least five years from the date of the consummation of the initial Business Combination or until such earlier time at which the Liquidation occurs or the shares of Class A Common Stock cease to be publicly traded.</w:t>
      </w:r>
    </w:p>
    <w:p>
      <w:pPr>
        <w:spacing w:after="0" w:line="145" w:lineRule="exact"/>
        <w:rPr>
          <w:rFonts w:ascii="Arial" w:cs="Arial" w:eastAsia="Arial" w:hAnsi="Arial"/>
          <w:sz w:val="16"/>
          <w:szCs w:val="16"/>
          <w:b w:val="1"/>
          <w:bCs w:val="1"/>
          <w:color w:val="auto"/>
        </w:rPr>
      </w:pPr>
    </w:p>
    <w:p>
      <w:pPr>
        <w:ind w:right="220" w:firstLine="656"/>
        <w:spacing w:after="0" w:line="277" w:lineRule="auto"/>
        <w:tabs>
          <w:tab w:leader="none" w:pos="913"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Reservation of Unissued Securities of the Company</w:t>
      </w:r>
      <w:r>
        <w:rPr>
          <w:rFonts w:ascii="Arial" w:cs="Arial" w:eastAsia="Arial" w:hAnsi="Arial"/>
          <w:sz w:val="18"/>
          <w:szCs w:val="18"/>
          <w:color w:val="auto"/>
        </w:rPr>
        <w:t>. The Company will reserve and keep available that maximum number of its authorized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but unissued securities that are issuable upon the conversion of the Founder Shares.</w:t>
      </w:r>
    </w:p>
    <w:p>
      <w:pPr>
        <w:spacing w:after="0" w:line="166" w:lineRule="exact"/>
        <w:rPr>
          <w:rFonts w:ascii="Arial" w:cs="Arial" w:eastAsia="Arial" w:hAnsi="Arial"/>
          <w:sz w:val="18"/>
          <w:szCs w:val="18"/>
          <w:b w:val="1"/>
          <w:bCs w:val="1"/>
          <w:color w:val="auto"/>
        </w:rPr>
      </w:pPr>
    </w:p>
    <w:p>
      <w:pPr>
        <w:ind w:right="20" w:firstLine="656"/>
        <w:spacing w:after="0" w:line="292" w:lineRule="auto"/>
        <w:tabs>
          <w:tab w:leader="none" w:pos="903" w:val="left"/>
        </w:tabs>
        <w:numPr>
          <w:ilvl w:val="0"/>
          <w:numId w:val="11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Agreement Not to Issue Additional Shares of Class A Common Stock</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Prior to the consummation of a Business Combination 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Liquidation, the Company shall not issue any shares of Class A Common Stock, or any options or other securities convertible into or exercisable or exchangeable for shares of Class A Common Stock, or any preferred shares, in each case, that would entitle the holders thereof to (i) receive funds from the Trust Account or (ii) vote as a class with the shares of Class A Common Stock (a) on a Business Combination or on any other proposal presented to the Public Stockholders prior to or in connection with the completion of a Business Combination or (b) to approve an amendment to the Amended and Restated Certificate of Incorporation to (x) extend the time the Company has to consummate a Business Combination beyond 24 months from the First Closing Date or (y) amend such other provisions as set forth in the Registration Statement, Time of Sale Prospectus or the Prospectus.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8" w:name="page169"/>
    <w:bookmarkEnd w:id="168"/>
    <w:p>
      <w:pPr>
        <w:ind w:left="-40" w:right="20" w:firstLine="656"/>
        <w:spacing w:after="0" w:line="286" w:lineRule="auto"/>
        <w:tabs>
          <w:tab w:leader="none" w:pos="866" w:val="left"/>
        </w:tabs>
        <w:numPr>
          <w:ilvl w:val="0"/>
          <w:numId w:val="117"/>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Agreement Not to Offer or Sell Additional Securities of the Company</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During the period commencing on and including the date hereof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continuing through and including the 180th day following the date of the Prospectus (such period, as extended as described below, being referred to herein as the “Lock-up Period”), the Company will not, without the prior written consent of the Representative, (x) offer, sell, contract to sell, pledge or otherwise dispose of (or enter into any transaction that is designed to, or might reasonably be expected to, result in the disposition (whether by actual disposition or effective economic disposition due to cash settlement or otherwise) by the Company or any affiliate of the Company or any person in privity with the Company or any affiliate of the Company), directly or indirectly, including the filing (or participation in the filing) of a registration statement with the Commission in respect of, or establish or increase a put equivalent position or liquidate or decrease a call equivalent position within the meaning of Section 16 of the Exchange Act and the rules and regulations of the Commission promulgated thereunder with respect to, any other shares of Class A Common Stock, or any securities convertible into, or exercisable or exchangeable for, shares of Class A Common Stock or publicly announce an intention to effect any such transaction;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Company may (1) issue and sell the Sponsor Shares, (2) issue and sell the Optional Securities on exercise of the option provided for in Section 2 hereof, (3) register with the Commission pursuant to the Registration Rights Agreement, in accordance with the terms of the Registration Rights Agreement, the resale of the Founder Shares, the Sponsor Shares, the Working Capital Shares or the shares of Class A Common Stock issuable upon conversion of such Founder Shares and, (4) issue securities in connection with a Business Combination, or (y) release the Sponsor or any officer, director or director nominee from the 180-day lock-up contained in the Insider Letter.</w:t>
      </w:r>
    </w:p>
    <w:p>
      <w:pPr>
        <w:spacing w:after="0" w:line="170" w:lineRule="exact"/>
        <w:rPr>
          <w:rFonts w:ascii="Arial" w:cs="Arial" w:eastAsia="Arial" w:hAnsi="Arial"/>
          <w:sz w:val="16"/>
          <w:szCs w:val="16"/>
          <w:b w:val="1"/>
          <w:bCs w:val="1"/>
          <w:color w:val="auto"/>
        </w:rPr>
      </w:pPr>
    </w:p>
    <w:p>
      <w:pPr>
        <w:ind w:left="-40" w:right="220" w:firstLine="656"/>
        <w:spacing w:after="0" w:line="266" w:lineRule="auto"/>
        <w:tabs>
          <w:tab w:leader="none" w:pos="873"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Investment Limitation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shall not invest or otherwise use the proceeds received by the Company from its sale of the Offered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and the Sponsor Shares in such a manner as would require the Company to register as an investment company under the Investment Company Act.</w:t>
      </w:r>
    </w:p>
    <w:p>
      <w:pPr>
        <w:spacing w:after="0" w:line="175" w:lineRule="exact"/>
        <w:rPr>
          <w:rFonts w:ascii="Arial" w:cs="Arial" w:eastAsia="Arial" w:hAnsi="Arial"/>
          <w:sz w:val="18"/>
          <w:szCs w:val="18"/>
          <w:b w:val="1"/>
          <w:bCs w:val="1"/>
          <w:color w:val="auto"/>
        </w:rPr>
      </w:pPr>
    </w:p>
    <w:p>
      <w:pPr>
        <w:ind w:left="-40" w:right="100" w:firstLine="656"/>
        <w:spacing w:after="0" w:line="314" w:lineRule="auto"/>
        <w:tabs>
          <w:tab w:leader="none" w:pos="852" w:val="left"/>
        </w:tabs>
        <w:numPr>
          <w:ilvl w:val="0"/>
          <w:numId w:val="117"/>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No Stabilization or Manipulation; Compliance with Regulation M</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will not take, directly or indirectly, any action designed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that might cause or result in stabilization or manipulation of the price of any security of the Company, whether to facilitate the sale or resale of the Offered Securities or otherwise in violation of Regulation M, and the Company will comply with all applicable provisions of Regulation M.</w:t>
      </w:r>
    </w:p>
    <w:p>
      <w:pPr>
        <w:spacing w:after="0" w:line="145" w:lineRule="exact"/>
        <w:rPr>
          <w:rFonts w:ascii="Arial" w:cs="Arial" w:eastAsia="Arial" w:hAnsi="Arial"/>
          <w:sz w:val="16"/>
          <w:szCs w:val="16"/>
          <w:b w:val="1"/>
          <w:bCs w:val="1"/>
          <w:color w:val="auto"/>
        </w:rPr>
      </w:pPr>
    </w:p>
    <w:p>
      <w:pPr>
        <w:ind w:left="-40" w:firstLine="656"/>
        <w:spacing w:after="0" w:line="253" w:lineRule="auto"/>
        <w:tabs>
          <w:tab w:leader="none" w:pos="843"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Company to File a Current Report on Form 8-K</w:t>
      </w:r>
      <w:r>
        <w:rPr>
          <w:rFonts w:ascii="Arial" w:cs="Arial" w:eastAsia="Arial" w:hAnsi="Arial"/>
          <w:sz w:val="18"/>
          <w:szCs w:val="18"/>
          <w:color w:val="auto"/>
        </w:rPr>
        <w:t>. The Company shall, on or prior to the date hereof, retain its independent registered public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accounting firm to audit the balance sheet of the Company as of the First Closing Date (the “</w:t>
      </w:r>
      <w:r>
        <w:rPr>
          <w:rFonts w:ascii="Arial" w:cs="Arial" w:eastAsia="Arial" w:hAnsi="Arial"/>
          <w:sz w:val="18"/>
          <w:szCs w:val="18"/>
          <w:b w:val="1"/>
          <w:bCs w:val="1"/>
          <w:color w:val="auto"/>
        </w:rPr>
        <w:t>Audited Balance Sheet</w:t>
      </w:r>
      <w:r>
        <w:rPr>
          <w:rFonts w:ascii="Arial" w:cs="Arial" w:eastAsia="Arial" w:hAnsi="Arial"/>
          <w:sz w:val="18"/>
          <w:szCs w:val="18"/>
          <w:color w:val="auto"/>
        </w:rPr>
        <w:t>”) reflecting the receipt by the Company of the proceeds of the sale of the Offered Securities as set forth in the Prospectus on the First Closing Date. As soon as the Audited Balance Sheet becomes available, the Company shall promptly, but not later than four business days after the First Closing Date, file a Current Report on Form 8-K with the Commission, which report shall contain the Audited Balance Sheet. Additionally, upon the Company’s receipt of the proceeds from the exercise of all or any portion of the option provided for in Section 2 hereof, the Company shall promptly, but not later than four business days after the receipt of such proceeds, file a Current Report on Form 8-K with the Commission, which report shall disclose the Company’s sale of the Optional Securities and its receipt of the proceeds therefrom, unless the receipt of such proceeds are reflected in the Current Report on Form 8-K referenced in the immediately prior sentence.</w:t>
      </w:r>
    </w:p>
    <w:p>
      <w:pPr>
        <w:spacing w:after="0" w:line="196" w:lineRule="exact"/>
        <w:rPr>
          <w:rFonts w:ascii="Arial" w:cs="Arial" w:eastAsia="Arial" w:hAnsi="Arial"/>
          <w:sz w:val="18"/>
          <w:szCs w:val="18"/>
          <w:b w:val="1"/>
          <w:bCs w:val="1"/>
          <w:color w:val="auto"/>
        </w:rPr>
      </w:pPr>
    </w:p>
    <w:p>
      <w:pPr>
        <w:ind w:left="-40" w:right="20" w:firstLine="656"/>
        <w:spacing w:after="0" w:line="255" w:lineRule="auto"/>
        <w:tabs>
          <w:tab w:leader="none" w:pos="833"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Company to Procure Review of Unaudited Quarterly Financial Statements</w:t>
      </w:r>
      <w:r>
        <w:rPr>
          <w:rFonts w:ascii="Arial" w:cs="Arial" w:eastAsia="Arial" w:hAnsi="Arial"/>
          <w:sz w:val="18"/>
          <w:szCs w:val="18"/>
          <w:color w:val="auto"/>
        </w:rPr>
        <w:t>. For a period commencing on the Effective Date and ending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least five years from the date of the consummation of the Business Combination or until such earlier time at which the Liquidation occurs or the shares of Class A Common Stock cease to be publicly traded, the Company, at its expense, shall cause its regularly engaged independent registered public accounting firm to review (but not audit) the Company’s financial statements for each of the first three fiscal quarters of the year prior to the announcement of quarterly financial information, the filing of the Company’s Quarterly Reports on Form 10-Q and the mailing, if any, of quarterly financial information to stockholders.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6985</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337" w:right="359" w:bottom="1440" w:gutter="0" w:footer="0" w:header="0"/>
        </w:sectPr>
      </w:pPr>
    </w:p>
    <w:bookmarkStart w:id="169" w:name="page170"/>
    <w:bookmarkEnd w:id="169"/>
    <w:p>
      <w:pPr>
        <w:ind w:left="-40" w:firstLine="656"/>
        <w:spacing w:after="0" w:line="287" w:lineRule="auto"/>
        <w:tabs>
          <w:tab w:leader="none" w:pos="873" w:val="left"/>
        </w:tabs>
        <w:numPr>
          <w:ilvl w:val="0"/>
          <w:numId w:val="11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Future Reports to the Representative. </w:t>
      </w:r>
      <w:r>
        <w:rPr>
          <w:rFonts w:ascii="Arial" w:cs="Arial" w:eastAsia="Arial" w:hAnsi="Arial"/>
          <w:sz w:val="16"/>
          <w:szCs w:val="16"/>
          <w:color w:val="auto"/>
        </w:rPr>
        <w:t>For a period commencing on the Effective Date and ending at least five years from the date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consummation of the Business Combination or until such earlier time at which the Liquidation occurs, the Company will furnish to the Representative, c/o Jefferies LLC, at 520 Madison Avenue, New York, New York 10022, Attention: Global Head of Syndicate: (i) as soon as practicable after the end of each fiscal year, copies of the Annual Report of the Company containing the balance sheet of the Company as of the close of such fiscal year and statements of income, stockholders’ equity and cash flows for the year then ended and the opinion thereon of the Company’s independent public or certified public accountants; (ii) as soon as practicable after the filing thereof, copies of each proxy statement, Annual Report on Form 10-K, Quarterly Report on Form 10-Q, Current Report on Form 8-K or other report filed by the Company with the Commission or any securities exchange; (iii) as soon as available, copies of any report or communication of the Company furnished or made available generally to holders of its share capital; and (iv) such additional documents and information with respect to the Company and the affairs of any future subsidiaries of the Company as the Representative may from time to time reasonably request;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requirements of this Section 3(u) shall be satisfied to the extent that such reports, statement, communications, financial statements or other documents are available on EDGAR.</w:t>
      </w:r>
    </w:p>
    <w:p>
      <w:pPr>
        <w:spacing w:after="0" w:line="171" w:lineRule="exact"/>
        <w:rPr>
          <w:rFonts w:ascii="Arial" w:cs="Arial" w:eastAsia="Arial" w:hAnsi="Arial"/>
          <w:sz w:val="16"/>
          <w:szCs w:val="16"/>
          <w:b w:val="1"/>
          <w:bCs w:val="1"/>
          <w:color w:val="auto"/>
        </w:rPr>
      </w:pPr>
    </w:p>
    <w:p>
      <w:pPr>
        <w:ind w:left="-40" w:firstLine="656"/>
        <w:spacing w:after="0" w:line="296" w:lineRule="auto"/>
        <w:tabs>
          <w:tab w:leader="none" w:pos="863" w:val="left"/>
        </w:tabs>
        <w:numPr>
          <w:ilvl w:val="0"/>
          <w:numId w:val="11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Amendments and Supplements to Permitted Section 5(d)Communications</w:t>
      </w:r>
      <w:r>
        <w:rPr>
          <w:rFonts w:ascii="Arial" w:cs="Arial" w:eastAsia="Arial" w:hAnsi="Arial"/>
          <w:sz w:val="16"/>
          <w:szCs w:val="16"/>
          <w:color w:val="auto"/>
        </w:rPr>
        <w:t>. If at any time following the distribution of any Permitted Section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5(d) Communication, there occurred or occurs an event or development as a result of which such Permitted Section 5(d)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 and will promptly amend or supplement, at its own expense, such Permitted Section 5(d) Communication to eliminate or correct such untrue statement or omission.</w:t>
      </w:r>
    </w:p>
    <w:p>
      <w:pPr>
        <w:spacing w:after="0" w:line="161" w:lineRule="exact"/>
        <w:rPr>
          <w:rFonts w:ascii="Arial" w:cs="Arial" w:eastAsia="Arial" w:hAnsi="Arial"/>
          <w:sz w:val="16"/>
          <w:szCs w:val="16"/>
          <w:b w:val="1"/>
          <w:bCs w:val="1"/>
          <w:color w:val="auto"/>
        </w:rPr>
      </w:pPr>
    </w:p>
    <w:p>
      <w:pPr>
        <w:ind w:left="-40" w:right="40" w:firstLine="656"/>
        <w:spacing w:after="0" w:line="259" w:lineRule="auto"/>
        <w:tabs>
          <w:tab w:leader="none" w:pos="903"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Emerging Growth Company Status</w:t>
      </w:r>
      <w:r>
        <w:rPr>
          <w:rFonts w:ascii="Arial" w:cs="Arial" w:eastAsia="Arial" w:hAnsi="Arial"/>
          <w:sz w:val="18"/>
          <w:szCs w:val="18"/>
          <w:color w:val="auto"/>
        </w:rPr>
        <w:t>. The Company will promptly notify the Representative if the Company ceases to be an Emerging Growth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at any time prior to the later of (i) the time when a prospectus relating to the Offered Securities is not required by the Securities Act to be delivered (whether physically or through compliance with Rule 172 under the Securities Act or any similar rule) and (ii) the expiration of the Lock-Up Period.</w:t>
      </w:r>
    </w:p>
    <w:p>
      <w:pPr>
        <w:spacing w:after="0" w:line="186" w:lineRule="exact"/>
        <w:rPr>
          <w:rFonts w:ascii="Arial" w:cs="Arial" w:eastAsia="Arial" w:hAnsi="Arial"/>
          <w:sz w:val="18"/>
          <w:szCs w:val="18"/>
          <w:b w:val="1"/>
          <w:bCs w:val="1"/>
          <w:color w:val="auto"/>
        </w:rPr>
      </w:pPr>
    </w:p>
    <w:p>
      <w:pPr>
        <w:ind w:left="-40" w:right="80" w:firstLine="656"/>
        <w:spacing w:after="0" w:line="254" w:lineRule="auto"/>
        <w:tabs>
          <w:tab w:leader="none" w:pos="863"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Announcement of Release or Waiver of the Transfer Restrictions. </w:t>
      </w:r>
      <w:r>
        <w:rPr>
          <w:rFonts w:ascii="Arial" w:cs="Arial" w:eastAsia="Arial" w:hAnsi="Arial"/>
          <w:sz w:val="18"/>
          <w:szCs w:val="18"/>
          <w:color w:val="auto"/>
        </w:rPr>
        <w:t>If the Representative, in its sole discretion, agrees to release or waive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transfer restrictions set forth in the Insider Letter for the Sponsor or an officer, director or director nominee of the Company and provides the Company with notice of the impending release or waiver at least three business days before the effective date of the release or waiver, the Company agrees to announce the impending release or waiver by a press release substantially in the form of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xml:space="preserve"> hereto through a major news service at least two business days before the effective date of the release or waiver;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such announcement by the Company shall be made of any release or waiver granted solely to permit a transfer of securities that is not for consideration and where the transferee has agreed in writing to be bound by the terms of the Insider Letter.</w:t>
      </w:r>
    </w:p>
    <w:p>
      <w:pPr>
        <w:spacing w:after="0" w:line="194" w:lineRule="exact"/>
        <w:rPr>
          <w:rFonts w:ascii="Arial" w:cs="Arial" w:eastAsia="Arial" w:hAnsi="Arial"/>
          <w:sz w:val="18"/>
          <w:szCs w:val="18"/>
          <w:b w:val="1"/>
          <w:bCs w:val="1"/>
          <w:color w:val="auto"/>
        </w:rPr>
      </w:pPr>
    </w:p>
    <w:p>
      <w:pPr>
        <w:ind w:left="-40" w:firstLine="656"/>
        <w:spacing w:after="0" w:line="253" w:lineRule="auto"/>
        <w:tabs>
          <w:tab w:leader="none" w:pos="863"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No Business Combination with Affiliates</w:t>
      </w:r>
      <w:r>
        <w:rPr>
          <w:rFonts w:ascii="Arial" w:cs="Arial" w:eastAsia="Arial" w:hAnsi="Arial"/>
          <w:sz w:val="18"/>
          <w:szCs w:val="18"/>
          <w:color w:val="auto"/>
        </w:rPr>
        <w:t>. The Company will not consummate a Business Combination with any entity that is affiliated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the Sponsor or any of the Company’s officers or directors unless it, or a committee of its independent directors, obtains an opinion from an independent investment banking firm which is a member of FINRA or an independent valuation or accounting firm that such Business Combination is fair to the Company from a financial point of view. Other than as set forth in this subsection, the Company shall not pay the Sponsor or its affiliates or any of the Company’s executive officers, directors or any of their respective affiliates any fees or compensation for services rendered to the Company prior to, or in connection with, the consummation of a Business Combination;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officers, directors and affiliates (i) may receive reimbursement for out-of-pocket expenses incurred by them related to identifying, investigating, negotiating and completing a Business Combination to the extent that such expenses do not exceed the amount of available proceeds not deposited in the Trust Account; (ii) may be repaid for loans as described in the Registration Statement; and (iii) may be paid $10,000 per month for office space, secretarial and administrative services pursuant to the Administrative Services Agreement.</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6985</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341" w:right="359" w:bottom="1440" w:gutter="0" w:footer="0" w:header="0"/>
        </w:sectPr>
      </w:pPr>
    </w:p>
    <w:bookmarkStart w:id="170" w:name="page171"/>
    <w:bookmarkEnd w:id="170"/>
    <w:p>
      <w:pPr>
        <w:ind w:left="-8" w:firstLine="656"/>
        <w:spacing w:after="0" w:line="282" w:lineRule="auto"/>
        <w:tabs>
          <w:tab w:leader="none" w:pos="884" w:val="left"/>
        </w:tabs>
        <w:numPr>
          <w:ilvl w:val="1"/>
          <w:numId w:val="11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Consummation of the Initial Business Combination</w:t>
      </w:r>
      <w:r>
        <w:rPr>
          <w:rFonts w:ascii="Arial" w:cs="Arial" w:eastAsia="Arial" w:hAnsi="Arial"/>
          <w:sz w:val="16"/>
          <w:szCs w:val="16"/>
          <w:color w:val="auto"/>
        </w:rPr>
        <w:t>. The Company may consummate the initial Business Combination and conduct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redemptions of the shares of Class A Common Stock for cash upon consummation of such Business Combination without a stockholder vote pursuant to Rule 13e-4 and Regulation 14E of the Exchange Act, including by means of the filing of tender offer documents with the Commission. Such tender offer documents will contain substantially the same financial and other information about the initial Business Combination and the redemption rights as is required under the Commission’s proxy rules and will provide each stockholder of the Company with the opportunity prior to the consummation of the initial Business Combination to redeem the shares of Class A Common Stock held by such stockholder for an amount of cash per share equal to (A) the aggregate amount then on deposit in the Trust Account calculated as of two business days prior to the consummation of the initial Business Combination representing (x) proceeds held in the Trust Account from the Offering and proceeds from the sale of the Sponsor Shares and (y) any interest earned on the funds held in the Trust Account and not previously released to the Company to pay its income taxes, divided by (B) the total number of Offered Securities then issued and outstanding. If, however, the Company elects not to file such tender offer documents, a stockholder vote is required by applicable law or stock exchange rule in connection with the initial Business Combination, or the Company decides to hold a stockholder vote for business or other legal reasons, the Company will submit such Business Combination to the Company’s stockholders for their approval (“</w:t>
      </w:r>
      <w:r>
        <w:rPr>
          <w:rFonts w:ascii="Arial" w:cs="Arial" w:eastAsia="Arial" w:hAnsi="Arial"/>
          <w:sz w:val="16"/>
          <w:szCs w:val="16"/>
          <w:b w:val="1"/>
          <w:bCs w:val="1"/>
          <w:color w:val="auto"/>
        </w:rPr>
        <w:t>Business Combination Vote</w:t>
      </w:r>
      <w:r>
        <w:rPr>
          <w:rFonts w:ascii="Arial" w:cs="Arial" w:eastAsia="Arial" w:hAnsi="Arial"/>
          <w:sz w:val="16"/>
          <w:szCs w:val="16"/>
          <w:color w:val="auto"/>
        </w:rPr>
        <w:t>”). With respect to the initial Business Combination Vote, if any, the Sponsor and each of the Company’s directors and officers party to the Insider Letter has agreed to vote all of his, her or its respective Founder Shares and any other shares of Class A Common Stock purchased by him, her or it during or after the Offering in favor of the Company’s initial Business Combination. If the Company seeks stockholder approval of the initial Business Combination, the Company will offer to each Public Stockholder holding shares of Class A Common Stock the right to have such Public Stockholders’ shares of Class A Common Stock redeemed in conjunction with a proxy solicitation pursuant to the proxy rules of the Commission at a per share redemption price (the “</w:t>
      </w:r>
      <w:r>
        <w:rPr>
          <w:rFonts w:ascii="Arial" w:cs="Arial" w:eastAsia="Arial" w:hAnsi="Arial"/>
          <w:sz w:val="16"/>
          <w:szCs w:val="16"/>
          <w:b w:val="1"/>
          <w:bCs w:val="1"/>
          <w:color w:val="auto"/>
        </w:rPr>
        <w:t>Redemption Price</w:t>
      </w:r>
      <w:r>
        <w:rPr>
          <w:rFonts w:ascii="Arial" w:cs="Arial" w:eastAsia="Arial" w:hAnsi="Arial"/>
          <w:sz w:val="16"/>
          <w:szCs w:val="16"/>
          <w:color w:val="auto"/>
        </w:rPr>
        <w:t>”) equal to (I) the aggregate amount then on deposit in the Trust Account calculated as of two business days prior to the consummation of the initial Business Combination representing (1) proceeds held in the Trust Account from the Offering and proceeds from the sale of the Sponsor Shares and (2) any interest earned on the funds held in the Trust Account and not previously released to the Company to pay its income taxes, divided by (II) the total number of Offered Securities then issued and outstanding. If the Company seeks stockholder approval of the initial Business Combination, the Company may proceed with such Business Combination only if a majority of the outstanding shares, represented in person or by proxy and entitled to vote thereon, voted by the stockholders at a duly held stockholders meeting are voted in favor of such Business Combination. If, after seeking and receiving such stockholder approval, the Company elects to so proceed, it will redeem the shares of Class A Common Stock, at the Redemption Price, from those Public Stockholders who affirmatively requested such redemption. Only Public Stockholders holding shares of Class A Common Stock who properly exercise their redemption rights in accordance with the applicable tender offer or proxy materials related to such Business Combination, shall be entitled to receive distributions from the Trust Account in connection with an initial Business Combination, and the Company shall pay no distributions with respect to any other holders or capital stock of the Company in connection therewith. In the event that the Company does not effect a Business Combination by 24 months from the closing of the Offering (or such later date as may be approved by the Company’s stockholders), the Company will (i) cease all operations except for the purpose of winding up, (ii) as promptly as reasonably possible but not more than 10 business days thereafter, redeem 100% of the Offered Securities, at a per-share price, payable in cash, equal to the aggregate amount then on deposit in the Trust Account, including interest earned on the funds held in the Trust Account and not previously released to the Company to pay income taxes, if any (less up to $100,000 of interest to pay the Company’s dissolution expenses), divided by the number of then-issued and outstanding Offered Securities,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Company’s remaining stockholders and the Company’s board of directors, liquidate and dissolve, subject in each case to the Company’s obligations under Delaware law to provide for claims of creditors and the requirements of other applicable law. Only Public Stockholders holding the Offered Securities shall be entitled to receive such redemption amounts and the Company shall pay no such redemption amounts or any distributions in liquidation with respect to any other holders or capital stock of the Company. The Sponsor, and the Company’s officers, directors and director nominees will not propose any amendment to the Company’s Amended and Restated Certificate of Incorporation</w:t>
      </w:r>
    </w:p>
    <w:p>
      <w:pPr>
        <w:spacing w:after="0" w:line="7" w:lineRule="exact"/>
        <w:rPr>
          <w:rFonts w:ascii="Arial" w:cs="Arial" w:eastAsia="Arial" w:hAnsi="Arial"/>
          <w:sz w:val="16"/>
          <w:szCs w:val="16"/>
          <w:b w:val="1"/>
          <w:bCs w:val="1"/>
          <w:color w:val="auto"/>
        </w:rPr>
      </w:pPr>
    </w:p>
    <w:p>
      <w:pPr>
        <w:ind w:left="-8" w:right="20" w:firstLine="8"/>
        <w:spacing w:after="0" w:line="281" w:lineRule="auto"/>
        <w:tabs>
          <w:tab w:leader="none" w:pos="287"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that would modify the substance or timing of the Company’s obligation to redeem 100% of the Offered Securities if the Company does not complete its initial Business Combination within 24 months from the closing of the Offering (or such later date as may be approved by the Company’s stockholders) or</w:t>
      </w:r>
    </w:p>
    <w:p>
      <w:pPr>
        <w:spacing w:after="0" w:line="1" w:lineRule="exact"/>
        <w:rPr>
          <w:rFonts w:ascii="Arial" w:cs="Arial" w:eastAsia="Arial" w:hAnsi="Arial"/>
          <w:sz w:val="16"/>
          <w:szCs w:val="16"/>
          <w:color w:val="auto"/>
        </w:rPr>
      </w:pPr>
    </w:p>
    <w:p>
      <w:pPr>
        <w:ind w:left="-8" w:right="240" w:firstLine="8"/>
        <w:spacing w:after="0" w:line="255" w:lineRule="auto"/>
        <w:tabs>
          <w:tab w:leader="none" w:pos="27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with respect to any other material provision relating to stockholders’ rights or pre-initial Business Combination activity, as described in Article IX of the Company’s Amended and Restated Certificate of Incorporation, unless the Company offers the opportunity to redeem the Offered Securities upon approval of any such amendment at the Redemption Price.</w:t>
      </w:r>
    </w:p>
    <w:p>
      <w:pPr>
        <w:spacing w:after="0" w:line="358"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341" w:right="339" w:bottom="1440" w:gutter="0" w:footer="0" w:header="0"/>
        </w:sectPr>
      </w:pPr>
    </w:p>
    <w:bookmarkStart w:id="171" w:name="page172"/>
    <w:bookmarkEnd w:id="171"/>
    <w:p>
      <w:pPr>
        <w:ind w:left="-40" w:firstLine="656"/>
        <w:spacing w:after="0" w:line="254" w:lineRule="auto"/>
        <w:tabs>
          <w:tab w:leader="none" w:pos="953"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Announcement of the Consummation of the Initial Business Combination</w:t>
      </w:r>
      <w:r>
        <w:rPr>
          <w:rFonts w:ascii="Arial" w:cs="Arial" w:eastAsia="Arial" w:hAnsi="Arial"/>
          <w:sz w:val="18"/>
          <w:szCs w:val="18"/>
          <w:color w:val="auto"/>
        </w:rPr>
        <w:t>. In the event that the Company desires or is required by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law or regulation to cause an announcement (“</w:t>
      </w:r>
      <w:r>
        <w:rPr>
          <w:rFonts w:ascii="Arial" w:cs="Arial" w:eastAsia="Arial" w:hAnsi="Arial"/>
          <w:sz w:val="18"/>
          <w:szCs w:val="18"/>
          <w:b w:val="1"/>
          <w:bCs w:val="1"/>
          <w:color w:val="auto"/>
        </w:rPr>
        <w:t>Business Combination Announcement</w:t>
      </w:r>
      <w:r>
        <w:rPr>
          <w:rFonts w:ascii="Arial" w:cs="Arial" w:eastAsia="Arial" w:hAnsi="Arial"/>
          <w:sz w:val="18"/>
          <w:szCs w:val="18"/>
          <w:color w:val="auto"/>
        </w:rPr>
        <w:t>”) to be placed in The Wall Street Journal, The New York Times or any other news or media publication or outlet or to be made via a public filing with the Commission announcing the consummation of the Business Combination that indicates that the Underwriters were the underwriters in the Offering, the Company shall supply the Representative with a draft of the Business Combination Announcement and provide the Representative with a reasonable advance opportunity to comment thereon, subject to the agreement of the Underwriters to keep confidential such draft announcement in accordance with the Representative’s standard policies regarding confidential information.</w:t>
      </w:r>
    </w:p>
    <w:p>
      <w:pPr>
        <w:spacing w:after="0" w:line="194" w:lineRule="exact"/>
        <w:rPr>
          <w:rFonts w:ascii="Arial" w:cs="Arial" w:eastAsia="Arial" w:hAnsi="Arial"/>
          <w:sz w:val="18"/>
          <w:szCs w:val="18"/>
          <w:b w:val="1"/>
          <w:bCs w:val="1"/>
          <w:color w:val="auto"/>
        </w:rPr>
      </w:pPr>
    </w:p>
    <w:p>
      <w:pPr>
        <w:ind w:left="-40" w:right="20" w:firstLine="656"/>
        <w:spacing w:after="0" w:line="290" w:lineRule="auto"/>
        <w:tabs>
          <w:tab w:leader="none" w:pos="973" w:val="left"/>
        </w:tabs>
        <w:numPr>
          <w:ilvl w:val="0"/>
          <w:numId w:val="12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Payment of Deferred Discount</w:t>
      </w:r>
      <w:r>
        <w:rPr>
          <w:rFonts w:ascii="Arial" w:cs="Arial" w:eastAsia="Arial" w:hAnsi="Arial"/>
          <w:sz w:val="16"/>
          <w:szCs w:val="16"/>
          <w:color w:val="auto"/>
        </w:rPr>
        <w:t>. Upon the consummation of the initial Business Combination, the Company will pay to the Representative,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behalf of the Underwriters, the Deferred Discount. Payment of the Deferred Discount will be made out of the proceeds of the Offering held in the Trust Account, and the Company will instruct CST to transfer the Deferred Discount to the Representative concurrent with any transfer of the funds held in the Trust Account to the Company or any other person. The Underwriters shall have no claim to payment of any interest earned on the portion of the proceeds held in the Trust Account representing the Deferred Discount. If the Company fails to consummate its initial Business Combination within 24 months from the closing of the Offering (or such later date as may be approved by the Company’s stockholders), the Deferred Discount will not be paid to the Representative and will, instead, be included in the Liquidation distribution of the proceeds held in the Trust Account made to the Public Stockholders. In connection with any such Liquidation, the Underwriters forfeit any rights or claims to the Deferred Discount.</w:t>
      </w:r>
    </w:p>
    <w:p>
      <w:pPr>
        <w:spacing w:after="0" w:line="165" w:lineRule="exact"/>
        <w:rPr>
          <w:rFonts w:ascii="Arial" w:cs="Arial" w:eastAsia="Arial" w:hAnsi="Arial"/>
          <w:sz w:val="16"/>
          <w:szCs w:val="16"/>
          <w:b w:val="1"/>
          <w:bCs w:val="1"/>
          <w:color w:val="auto"/>
        </w:rPr>
      </w:pPr>
    </w:p>
    <w:p>
      <w:pPr>
        <w:ind w:left="-40" w:right="540" w:firstLine="656"/>
        <w:spacing w:after="0" w:line="286" w:lineRule="auto"/>
        <w:tabs>
          <w:tab w:leader="none" w:pos="932" w:val="left"/>
        </w:tabs>
        <w:numPr>
          <w:ilvl w:val="0"/>
          <w:numId w:val="121"/>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Payment Pursuant to the Administrative Services Agreement</w:t>
      </w:r>
      <w:r>
        <w:rPr>
          <w:rFonts w:ascii="Arial" w:cs="Arial" w:eastAsia="Arial" w:hAnsi="Arial"/>
          <w:sz w:val="17"/>
          <w:szCs w:val="17"/>
          <w:color w:val="auto"/>
        </w:rPr>
        <w:t>. In no event will the amounts payable by the Company for office space,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secretarial and administrative services exceed $10,000 per month in the aggregate until the earlier of the date of the consummation of the Business Combination or the Liquidation.</w:t>
      </w:r>
    </w:p>
    <w:p>
      <w:pPr>
        <w:spacing w:after="0" w:line="165" w:lineRule="exact"/>
        <w:rPr>
          <w:rFonts w:ascii="Arial" w:cs="Arial" w:eastAsia="Arial" w:hAnsi="Arial"/>
          <w:sz w:val="17"/>
          <w:szCs w:val="17"/>
          <w:b w:val="1"/>
          <w:bCs w:val="1"/>
          <w:color w:val="auto"/>
        </w:rPr>
      </w:pPr>
    </w:p>
    <w:p>
      <w:pPr>
        <w:ind w:left="-40" w:firstLine="656"/>
        <w:spacing w:after="0" w:line="255" w:lineRule="auto"/>
        <w:tabs>
          <w:tab w:leader="none" w:pos="973"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Cancellation of Founder Shares</w:t>
      </w:r>
      <w:r>
        <w:rPr>
          <w:rFonts w:ascii="Arial" w:cs="Arial" w:eastAsia="Arial" w:hAnsi="Arial"/>
          <w:sz w:val="18"/>
          <w:szCs w:val="18"/>
          <w:color w:val="auto"/>
        </w:rPr>
        <w:t>. Upon the earlier to occur of the expiration or termination of the Underwriters’ over-allotment option,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shall cancel or otherwise effect the forfeiture of Founder Shares from the Sponsor in an aggregate amount equal to the number of Founder Shares determined by multiplying (a) 375,000 by (b) a fraction, (i) the numerator of which is 1,500,000 minus the number of Optional Securities purchased by the Underwriters upon the exercise of their over-allotment option, and (ii) the denominator of which is 1,500,000. For the avoidance of doubt, if the Underwriters exercise their over-allotment option in full, the Company shall not cancel or otherwise effect the forfeiture of any of the Founder Shares pursuant to this subsection.</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6985</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341" w:right="379" w:bottom="1440" w:gutter="0" w:footer="0" w:header="0"/>
        </w:sectPr>
      </w:pPr>
    </w:p>
    <w:bookmarkStart w:id="172" w:name="page173"/>
    <w:bookmarkEnd w:id="172"/>
    <w:p>
      <w:pPr>
        <w:ind w:left="-20" w:right="280" w:firstLine="656"/>
        <w:spacing w:after="0" w:line="286" w:lineRule="auto"/>
        <w:tabs>
          <w:tab w:leader="none" w:pos="952" w:val="left"/>
        </w:tabs>
        <w:numPr>
          <w:ilvl w:val="0"/>
          <w:numId w:val="122"/>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Review of All Payments to the Sponsor</w:t>
      </w:r>
      <w:r>
        <w:rPr>
          <w:rFonts w:ascii="Arial" w:cs="Arial" w:eastAsia="Arial" w:hAnsi="Arial"/>
          <w:sz w:val="17"/>
          <w:szCs w:val="17"/>
          <w:color w:val="auto"/>
        </w:rPr>
        <w:t>. Prior to the consummation of the initial Business Combination or the Liquidation, the Company’s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audit committee will review on a quarterly basis all payments made by the Company to the Sponsor, to the Company’s officers or directors, or to the Company’s or any of such other persons’ respective affiliates.</w:t>
      </w:r>
    </w:p>
    <w:p>
      <w:pPr>
        <w:spacing w:after="0" w:line="165" w:lineRule="exact"/>
        <w:rPr>
          <w:rFonts w:ascii="Arial" w:cs="Arial" w:eastAsia="Arial" w:hAnsi="Arial"/>
          <w:sz w:val="17"/>
          <w:szCs w:val="17"/>
          <w:b w:val="1"/>
          <w:bCs w:val="1"/>
          <w:color w:val="auto"/>
        </w:rPr>
      </w:pPr>
    </w:p>
    <w:p>
      <w:pPr>
        <w:ind w:left="-20" w:right="200" w:firstLine="656"/>
        <w:spacing w:after="0" w:line="259" w:lineRule="auto"/>
        <w:tabs>
          <w:tab w:leader="none" w:pos="913"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Compliance with the “Penny Stock” Laws</w:t>
      </w:r>
      <w:r>
        <w:rPr>
          <w:rFonts w:ascii="Arial" w:cs="Arial" w:eastAsia="Arial" w:hAnsi="Arial"/>
          <w:sz w:val="18"/>
          <w:szCs w:val="18"/>
          <w:color w:val="auto"/>
        </w:rPr>
        <w:t>. The Company agrees that it will use commercially reasonable efforts to prevent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becoming subject to Rule 419 under the Securities Act prior to the consummation of any Business Combination, including, but not limited to, using its best efforts to prevent any of the Company’s outstanding securities from being deemed to be a “penny stock” as defined in Rule 3a51-1 under the Exchange Act during such period.</w:t>
      </w:r>
    </w:p>
    <w:p>
      <w:pPr>
        <w:spacing w:after="0" w:line="186" w:lineRule="exact"/>
        <w:rPr>
          <w:rFonts w:ascii="Arial" w:cs="Arial" w:eastAsia="Arial" w:hAnsi="Arial"/>
          <w:sz w:val="18"/>
          <w:szCs w:val="18"/>
          <w:b w:val="1"/>
          <w:bCs w:val="1"/>
          <w:color w:val="auto"/>
        </w:rPr>
      </w:pPr>
    </w:p>
    <w:p>
      <w:pPr>
        <w:ind w:left="-20" w:right="40" w:firstLine="656"/>
        <w:spacing w:after="0" w:line="293" w:lineRule="auto"/>
        <w:tabs>
          <w:tab w:leader="none" w:pos="973" w:val="left"/>
        </w:tabs>
        <w:numPr>
          <w:ilvl w:val="0"/>
          <w:numId w:val="12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Maintenance of Disclosure Controls, Procedures and Internal Accounting Controls</w:t>
      </w:r>
      <w:r>
        <w:rPr>
          <w:rFonts w:ascii="Arial" w:cs="Arial" w:eastAsia="Arial" w:hAnsi="Arial"/>
          <w:sz w:val="16"/>
          <w:szCs w:val="16"/>
          <w:color w:val="auto"/>
        </w:rPr>
        <w:t>. To the extent required by Rule 13a-15(e) under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Exchange Act, the Company will maintain “disclosure controls and procedures” (as defined under Rule 13a-15(e) under the Exchange Act) and a system of internal accounting controls sufficient to provide reasonable assurances that (i) transactions are executed in accordance with management’s general or specific authorization, (ii) transactions are recorded as necessary in order to permit preparation of financial statements in accordance with GAAP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164" w:lineRule="exact"/>
        <w:rPr>
          <w:rFonts w:ascii="Arial" w:cs="Arial" w:eastAsia="Arial" w:hAnsi="Arial"/>
          <w:sz w:val="16"/>
          <w:szCs w:val="16"/>
          <w:b w:val="1"/>
          <w:bCs w:val="1"/>
          <w:color w:val="auto"/>
        </w:rPr>
      </w:pPr>
    </w:p>
    <w:p>
      <w:pPr>
        <w:ind w:left="-20" w:firstLine="656"/>
        <w:spacing w:after="0" w:line="263" w:lineRule="auto"/>
        <w:tabs>
          <w:tab w:leader="none" w:pos="993"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Compliance with the Sarbanes-Oxley Act</w:t>
      </w:r>
      <w:r>
        <w:rPr>
          <w:rFonts w:ascii="Arial" w:cs="Arial" w:eastAsia="Arial" w:hAnsi="Arial"/>
          <w:sz w:val="18"/>
          <w:szCs w:val="18"/>
          <w:color w:val="auto"/>
        </w:rPr>
        <w:t>. As soon as legally required to do so, the Company and its directors and officers, in their capacities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such, shall take all actions necessary to comply with any provision of the Sarbanes-Oxley Act, including Section 402 related to loans and Sections 302 and 906 related to certifications, and to comply with the Nasdaq Marketplace Rules.</w:t>
      </w:r>
    </w:p>
    <w:p>
      <w:pPr>
        <w:spacing w:after="0" w:line="183" w:lineRule="exact"/>
        <w:rPr>
          <w:rFonts w:ascii="Arial" w:cs="Arial" w:eastAsia="Arial" w:hAnsi="Arial"/>
          <w:sz w:val="18"/>
          <w:szCs w:val="18"/>
          <w:b w:val="1"/>
          <w:bCs w:val="1"/>
          <w:color w:val="auto"/>
        </w:rPr>
      </w:pPr>
    </w:p>
    <w:p>
      <w:pPr>
        <w:ind w:left="-20" w:right="420" w:firstLine="656"/>
        <w:spacing w:after="0" w:line="277" w:lineRule="auto"/>
        <w:tabs>
          <w:tab w:leader="none" w:pos="893"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Compliance with the Organizational Documents</w:t>
      </w:r>
      <w:r>
        <w:rPr>
          <w:rFonts w:ascii="Arial" w:cs="Arial" w:eastAsia="Arial" w:hAnsi="Arial"/>
          <w:sz w:val="18"/>
          <w:szCs w:val="18"/>
          <w:color w:val="auto"/>
        </w:rPr>
        <w:t>. The Company shall not take any action or omit to take any action that would cause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to be in breach or violation of the Amended and Restated Certificate of Incorporation.</w:t>
      </w:r>
    </w:p>
    <w:p>
      <w:pPr>
        <w:spacing w:after="0" w:line="170" w:lineRule="exact"/>
        <w:rPr>
          <w:rFonts w:ascii="Arial" w:cs="Arial" w:eastAsia="Arial" w:hAnsi="Arial"/>
          <w:sz w:val="18"/>
          <w:szCs w:val="18"/>
          <w:b w:val="1"/>
          <w:bCs w:val="1"/>
          <w:color w:val="auto"/>
        </w:rPr>
      </w:pPr>
    </w:p>
    <w:p>
      <w:pPr>
        <w:ind w:left="-20" w:right="100" w:firstLine="656"/>
        <w:spacing w:after="0" w:line="254" w:lineRule="auto"/>
        <w:tabs>
          <w:tab w:leader="none" w:pos="913"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Waiver of Interests to the Funds</w:t>
      </w:r>
      <w:r>
        <w:rPr>
          <w:rFonts w:ascii="Arial" w:cs="Arial" w:eastAsia="Arial" w:hAnsi="Arial"/>
          <w:sz w:val="18"/>
          <w:szCs w:val="18"/>
          <w:color w:val="auto"/>
        </w:rPr>
        <w:t>. Prior to the consummation of the initial Business Combination, the Company will seek to have all vendors,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 providers (other than the Company’s independent registered public accounting firm), prospective target businesses, and other entities with which it does business execute agreements with it waiving any right, title, interest or claim of any kind in or to any monies held in the Trust Account for the benefit of the Public Stockholders. If any third party refuses to execute an agreement waiving such claims to the monies held in the Trust Account, prior to the consummation of the initial Business Combination, the Company’s management will only enter into an agreement with a third party that has not executed such wavier if the Company’s management believes that such third party’s engagement would be significantly more beneficial to the Company than any alternative.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341" w:right="339" w:bottom="1440" w:gutter="0" w:footer="0" w:header="0"/>
        </w:sectPr>
      </w:pPr>
    </w:p>
    <w:bookmarkStart w:id="173" w:name="page174"/>
    <w:bookmarkEnd w:id="173"/>
    <w:p>
      <w:pPr>
        <w:ind w:right="40" w:firstLine="656"/>
        <w:spacing w:after="0" w:line="268" w:lineRule="auto"/>
        <w:tabs>
          <w:tab w:leader="none" w:pos="1013" w:val="left"/>
        </w:tabs>
        <w:numPr>
          <w:ilvl w:val="0"/>
          <w:numId w:val="12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Maintenance of Funds in the Trust Account</w:t>
      </w:r>
      <w:r>
        <w:rPr>
          <w:rFonts w:ascii="Arial" w:cs="Arial" w:eastAsia="Arial" w:hAnsi="Arial"/>
          <w:sz w:val="17"/>
          <w:szCs w:val="17"/>
          <w:color w:val="auto"/>
        </w:rPr>
        <w:t>. During the period prior to the Company’s initial Business Combination or Liquidation,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Company may instruct the trustee under the Trust Agreement to release from the Trust Account funds (i) solely from interest income earned on the funds held in the Trust Account, the amounts necessary to pay taxes and (ii) to Public Stockholders who properly redeem their Offered Securities in connection with a vote to approve an amendment to the Amended and Restated Certificate of Incorporation (A) that would modify the substance or timing of the Company’s obligation to redeem 100% of the Offered Securities if the Company does not complete its initial Business Combination within 24 months from the closing of the Offering (or such later date as may be approved by the Company’s stockholders) or (B) with respect to any other material provision relating to stockholders’ rights or pre-initial Business Combination activity, as described in Article IX of the Company’s Amended and Restated Certificate of Incorporation, unless the Company offers the opportunity to redeem the Offered Securities upon approval of any such amendment at the Redemption Price. Otherwise, all funds held in the Trust Account (including any interest income earned on the amounts held in the Trust Account (which interest shall be net of taxes payable)) will remain in the Trust Account until the earlier of the consummation of the Company’s initial Business Combination and the Liquidation;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in the event of the Liquidation, up to $100,000 of interest income may be released to the Company if the proceeds of the Offering held outside of the Trust Account are not sufficient to cover the costs and expenses associated with implementing the Company’s plan of dissolution.</w:t>
      </w:r>
    </w:p>
    <w:p>
      <w:pPr>
        <w:spacing w:after="0" w:line="186" w:lineRule="exact"/>
        <w:rPr>
          <w:rFonts w:ascii="Arial" w:cs="Arial" w:eastAsia="Arial" w:hAnsi="Arial"/>
          <w:sz w:val="17"/>
          <w:szCs w:val="17"/>
          <w:b w:val="1"/>
          <w:bCs w:val="1"/>
          <w:color w:val="auto"/>
        </w:rPr>
      </w:pPr>
    </w:p>
    <w:p>
      <w:pPr>
        <w:ind w:right="20" w:firstLine="656"/>
        <w:spacing w:after="0" w:line="269" w:lineRule="auto"/>
        <w:tabs>
          <w:tab w:leader="none" w:pos="913" w:val="left"/>
        </w:tabs>
        <w:numPr>
          <w:ilvl w:val="0"/>
          <w:numId w:val="12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Notification and Disclosure of Arrangements Relating to a Business Combination</w:t>
      </w:r>
      <w:r>
        <w:rPr>
          <w:rFonts w:ascii="Arial" w:cs="Arial" w:eastAsia="Arial" w:hAnsi="Arial"/>
          <w:sz w:val="17"/>
          <w:szCs w:val="17"/>
          <w:color w:val="auto"/>
        </w:rPr>
        <w:t>. For a period of 90 days following the Effective Date,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event any person or entity (regardless of any FINRA affiliation or association) is engaged to assist the Company in its search for a merger candidate or to provide any other merger and acquisition services, or has provided or will provide any investment banking, financial, advisory and/or consulting services to the Company, the Company agrees that it shall promptly provide to FINRA (via a FINRA submission), the Representative and its counsel a notification prior to entering into the agreement or transaction relating to a potential Business Combination: (i) the identity of the person or entity providing any such services; (ii) complete details of all such services and copies of all agreements governing such services prior to entering into the agreement or transaction; and (iii) justification as to why the value received by any person or entity for such services is not underwriting compensation for the Offering. The Company also agrees that proper disclosure of such arrangement or potential arrangement will be made in the tender offer materials or proxy statement, as applicable, which the Company may file in connection with the Business Combination for purposes of offering redemption of shares held by its stockholders or for soliciting stockholder approval, as applicable.</w:t>
      </w:r>
    </w:p>
    <w:p>
      <w:pPr>
        <w:spacing w:after="0" w:line="185" w:lineRule="exact"/>
        <w:rPr>
          <w:rFonts w:ascii="Arial" w:cs="Arial" w:eastAsia="Arial" w:hAnsi="Arial"/>
          <w:sz w:val="17"/>
          <w:szCs w:val="17"/>
          <w:b w:val="1"/>
          <w:bCs w:val="1"/>
          <w:color w:val="auto"/>
        </w:rPr>
      </w:pPr>
    </w:p>
    <w:p>
      <w:pPr>
        <w:ind w:right="320" w:firstLine="656"/>
        <w:spacing w:after="0" w:line="342" w:lineRule="auto"/>
        <w:tabs>
          <w:tab w:leader="none" w:pos="1112" w:val="left"/>
        </w:tabs>
        <w:numPr>
          <w:ilvl w:val="0"/>
          <w:numId w:val="123"/>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FINRA Conflict of Interest</w:t>
      </w:r>
      <w:r>
        <w:rPr>
          <w:rFonts w:ascii="Arial" w:cs="Arial" w:eastAsia="Arial" w:hAnsi="Arial"/>
          <w:sz w:val="16"/>
          <w:szCs w:val="16"/>
          <w:color w:val="auto"/>
        </w:rPr>
        <w:t>. The Company shall advise FINRA, the Representative and its counsel if it is aware that any 5% or greater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stockholder of the Company becomes an affiliate or associated person of a member of FINRA participating in the distribution of the Offered Securities.</w:t>
      </w:r>
    </w:p>
    <w:p>
      <w:pPr>
        <w:spacing w:after="0" w:line="12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Representative, on behalf of the several Underwriters, may, in its sole discretion, waive in writing the performance by the Company of any one or more of the foregoing covenants or extend the time for their performance.</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4" w:name="page175"/>
    <w:bookmarkEnd w:id="174"/>
    <w:p>
      <w:pPr>
        <w:ind w:firstLine="1296"/>
        <w:spacing w:after="0" w:line="284" w:lineRule="auto"/>
        <w:rPr>
          <w:sz w:val="20"/>
          <w:szCs w:val="20"/>
          <w:color w:val="auto"/>
        </w:rPr>
      </w:pPr>
      <w:r>
        <w:rPr>
          <w:rFonts w:ascii="Arial" w:cs="Arial" w:eastAsia="Arial" w:hAnsi="Arial"/>
          <w:sz w:val="16"/>
          <w:szCs w:val="16"/>
          <w:b w:val="1"/>
          <w:bCs w:val="1"/>
          <w:color w:val="auto"/>
        </w:rPr>
        <w:t xml:space="preserve">Section 4. Payment of Expenses. </w:t>
      </w:r>
      <w:r>
        <w:rPr>
          <w:rFonts w:ascii="Arial" w:cs="Arial" w:eastAsia="Arial" w:hAnsi="Arial"/>
          <w:sz w:val="16"/>
          <w:szCs w:val="16"/>
          <w:color w:val="auto"/>
        </w:rPr>
        <w:t>The Company agrees to pay all costs, fees and expenses incurred in connection with the performance</w:t>
      </w:r>
      <w:r>
        <w:rPr>
          <w:rFonts w:ascii="Arial" w:cs="Arial" w:eastAsia="Arial" w:hAnsi="Arial"/>
          <w:sz w:val="16"/>
          <w:szCs w:val="16"/>
          <w:b w:val="1"/>
          <w:bCs w:val="1"/>
          <w:color w:val="auto"/>
        </w:rPr>
        <w:t xml:space="preserve"> </w:t>
      </w:r>
      <w:r>
        <w:rPr>
          <w:rFonts w:ascii="Arial" w:cs="Arial" w:eastAsia="Arial" w:hAnsi="Arial"/>
          <w:sz w:val="16"/>
          <w:szCs w:val="16"/>
          <w:color w:val="auto"/>
        </w:rPr>
        <w:t>of its obligations hereunder and in connection with the transactions contemplated hereby, including without limitation (i) all expenses incident to the issuance and delivery of the Offered Securities (including all printing and engraving costs), (ii) all fees and expenses of the registrar and transfer agent of the Offered Securities, (iii) all necessary issue, transfer and other stamp taxes in connection with the issuance and sale of the Offered Securities to the Underwriters, (iv) all fees and expenses of the Company’s counsel, independent registered public accounting firm and other advisors, (v) all costs and expenses incurred in connection with the preparation, printing, filing, shipping and distribution of the Exchange Act Registration Statement and the Registration Statement (including financial statements, exhibits, schedules, consents and certificates of experts), the Time of Sale Prospectus, the Prospectus and each preliminary prospectus, each Permitted Section 5(d) Communication, and all amendments and supplements thereto, and this Agreement, (vi) all filing fees, attorneys’ fees and expenses incurred by the Company or the Underwriters in connection with qualifying or registering (or obtaining exemptions from the qualification or registration of) all or any part of the Offered Securities for offer and sale under the state securities or blue sky laws or the provincial securities laws of Canada, and, if requested by the Representative, preparing and printing a “Blue Sky Survey” or memorandum and a “Canadian wrapper”, and any supplements thereto, advising the Underwriters of such qualifications, registrations and exemptions, in each case, to the extent reasonably requested, (vii) the fees and disbursements of counsel for the Underwriters in an amount not to exceed $25,000 in connection with, the required review by FINRA, (viii) the costs and expenses of the Company (and not the Representative) relating to investor presentations on any Road Show, any Permitted Section 5(d) Communication or any Section 5(d) Oral Communication undertaken in connection with the Offering,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employees and officers of the Company (and not the Representative) and any such consultants, and half of the costs and expenses related to any aircraft and any other transportation chartered in connection with the Road Show, (ix) the fees and expenses associated with listing the Offered Securities on Nasdaq, and (x) all other fees, costs and expenses of the nature referred to in Item 13 of Part II of the Registration Statement. Except as provided in this Section 4 or in Section 6, Section 8 or Section 9 hereof, the Underwriters shall pay their own expenses, including the fees and disbursements of their counsel.</w:t>
      </w:r>
    </w:p>
    <w:p>
      <w:pPr>
        <w:spacing w:after="0" w:line="396" w:lineRule="exact"/>
        <w:rPr>
          <w:sz w:val="20"/>
          <w:szCs w:val="20"/>
          <w:color w:val="auto"/>
        </w:rPr>
      </w:pPr>
    </w:p>
    <w:p>
      <w:pPr>
        <w:ind w:right="140" w:firstLine="1296"/>
        <w:spacing w:after="0" w:line="298" w:lineRule="auto"/>
        <w:rPr>
          <w:sz w:val="20"/>
          <w:szCs w:val="20"/>
          <w:color w:val="auto"/>
        </w:rPr>
      </w:pPr>
      <w:r>
        <w:rPr>
          <w:rFonts w:ascii="Arial" w:cs="Arial" w:eastAsia="Arial" w:hAnsi="Arial"/>
          <w:sz w:val="16"/>
          <w:szCs w:val="16"/>
          <w:b w:val="1"/>
          <w:bCs w:val="1"/>
          <w:color w:val="auto"/>
        </w:rPr>
        <w:t xml:space="preserve">Section 5. Conditions of the Obligations of the Underwriters. </w:t>
      </w:r>
      <w:r>
        <w:rPr>
          <w:rFonts w:ascii="Arial" w:cs="Arial" w:eastAsia="Arial" w:hAnsi="Arial"/>
          <w:sz w:val="16"/>
          <w:szCs w:val="16"/>
          <w:color w:val="auto"/>
        </w:rPr>
        <w:t>The respective obligations of the several Underwriters hereunder to</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 and pay for the Offered Securities as provided herein on the First Closing Date and, with respect to the Optional Securities, each Option Closing Date, shall be subject to the accuracy of the representations and warranties on the part of the Company set forth in Section 1 hereof as of the date hereof and as of the First Closing Date as though then made and, with respect to the Optional Securities, as of each Option Closing Date as though then made, to the timely performance by the Company of its covenants and other obligations hereunder, and to each of the following additional conditions:</w:t>
      </w:r>
    </w:p>
    <w:p>
      <w:pPr>
        <w:spacing w:after="0" w:line="154" w:lineRule="exact"/>
        <w:rPr>
          <w:sz w:val="20"/>
          <w:szCs w:val="20"/>
          <w:color w:val="auto"/>
        </w:rPr>
      </w:pPr>
    </w:p>
    <w:p>
      <w:pPr>
        <w:ind w:right="20" w:firstLine="656"/>
        <w:spacing w:after="0" w:line="277" w:lineRule="auto"/>
        <w:tabs>
          <w:tab w:leader="none" w:pos="903" w:val="left"/>
        </w:tabs>
        <w:numPr>
          <w:ilvl w:val="0"/>
          <w:numId w:val="124"/>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Comfort Letter</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the date hereof, the Representative shall have received from Withum, independent registered public accountants for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a letter dated the date hereof addressed to the Underwriters, in form and substance satisfactory to the Representative, containing statements and information of the type ordinarily included in accountant’s “comfort letters” to underwriters, delivered according to Statement of Auditing Standards No. 72 (or any successor bulletin), with respect to the audited and unaudited financial statements and certain financial information contained in the Registration Statement, the Time of Sale Prospectus and the Prospectus.</w:t>
      </w:r>
    </w:p>
    <w:p>
      <w:pPr>
        <w:spacing w:after="0" w:line="171" w:lineRule="exact"/>
        <w:rPr>
          <w:rFonts w:ascii="Arial" w:cs="Arial" w:eastAsia="Arial" w:hAnsi="Arial"/>
          <w:sz w:val="17"/>
          <w:szCs w:val="17"/>
          <w:b w:val="1"/>
          <w:bCs w:val="1"/>
          <w:color w:val="auto"/>
        </w:rPr>
      </w:pPr>
    </w:p>
    <w:p>
      <w:pPr>
        <w:ind w:left="920" w:hanging="264"/>
        <w:spacing w:after="0"/>
        <w:tabs>
          <w:tab w:leader="none" w:pos="92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Compliance with Registration Requirements; No Stop Order; No Objection from FINRA.</w:t>
      </w:r>
    </w:p>
    <w:p>
      <w:pPr>
        <w:spacing w:after="0" w:line="225" w:lineRule="exact"/>
        <w:rPr>
          <w:rFonts w:ascii="Arial" w:cs="Arial" w:eastAsia="Arial" w:hAnsi="Arial"/>
          <w:sz w:val="18"/>
          <w:szCs w:val="18"/>
          <w:b w:val="1"/>
          <w:bCs w:val="1"/>
          <w:color w:val="auto"/>
        </w:rPr>
      </w:pPr>
    </w:p>
    <w:p>
      <w:pPr>
        <w:ind w:right="500" w:firstLine="1304"/>
        <w:spacing w:after="0" w:line="277" w:lineRule="auto"/>
        <w:tabs>
          <w:tab w:leader="none" w:pos="1511" w:val="left"/>
        </w:tabs>
        <w:numPr>
          <w:ilvl w:val="1"/>
          <w:numId w:val="124"/>
        </w:numPr>
        <w:rPr>
          <w:rFonts w:ascii="Arial" w:cs="Arial" w:eastAsia="Arial" w:hAnsi="Arial"/>
          <w:sz w:val="18"/>
          <w:szCs w:val="18"/>
          <w:color w:val="auto"/>
        </w:rPr>
      </w:pPr>
      <w:r>
        <w:rPr>
          <w:rFonts w:ascii="Arial" w:cs="Arial" w:eastAsia="Arial" w:hAnsi="Arial"/>
          <w:sz w:val="18"/>
          <w:szCs w:val="18"/>
          <w:color w:val="auto"/>
        </w:rPr>
        <w:t>The Company shall have filed the Prospectus with the Commission (including the information required by Rule 430A under the Securities Act) in the manner and within the time period required by Rule 424(b) under the Securities Act.</w:t>
      </w:r>
    </w:p>
    <w:p>
      <w:pPr>
        <w:spacing w:after="0" w:line="170" w:lineRule="exact"/>
        <w:rPr>
          <w:rFonts w:ascii="Arial" w:cs="Arial" w:eastAsia="Arial" w:hAnsi="Arial"/>
          <w:sz w:val="18"/>
          <w:szCs w:val="18"/>
          <w:color w:val="auto"/>
        </w:rPr>
      </w:pPr>
    </w:p>
    <w:p>
      <w:pPr>
        <w:ind w:right="620" w:firstLine="1304"/>
        <w:spacing w:after="0" w:line="308" w:lineRule="auto"/>
        <w:tabs>
          <w:tab w:leader="none" w:pos="1561" w:val="left"/>
        </w:tabs>
        <w:numPr>
          <w:ilvl w:val="1"/>
          <w:numId w:val="124"/>
        </w:numPr>
        <w:rPr>
          <w:rFonts w:ascii="Arial" w:cs="Arial" w:eastAsia="Arial" w:hAnsi="Arial"/>
          <w:sz w:val="17"/>
          <w:szCs w:val="17"/>
          <w:color w:val="auto"/>
        </w:rPr>
      </w:pPr>
      <w:r>
        <w:rPr>
          <w:rFonts w:ascii="Arial" w:cs="Arial" w:eastAsia="Arial" w:hAnsi="Arial"/>
          <w:sz w:val="17"/>
          <w:szCs w:val="17"/>
          <w:color w:val="auto"/>
        </w:rPr>
        <w:t>No stop order suspending the effectiveness of the Registration Statement or any post-effective amendment to the Registration Statement shall be in effect, and no proceedings for such purpose shall have been instituted or threatened by the Commission.</w:t>
      </w:r>
    </w:p>
    <w:p>
      <w:pPr>
        <w:spacing w:after="0" w:line="146" w:lineRule="exact"/>
        <w:rPr>
          <w:rFonts w:ascii="Arial" w:cs="Arial" w:eastAsia="Arial" w:hAnsi="Arial"/>
          <w:sz w:val="17"/>
          <w:szCs w:val="17"/>
          <w:color w:val="auto"/>
        </w:rPr>
      </w:pPr>
    </w:p>
    <w:p>
      <w:pPr>
        <w:ind w:left="1620" w:hanging="316"/>
        <w:spacing w:after="0"/>
        <w:tabs>
          <w:tab w:leader="none" w:pos="162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FINRA shall have raised no objection to the fairness and reasonableness of the underwriting terms and arrangements.</w:t>
      </w:r>
    </w:p>
    <w:p>
      <w:pPr>
        <w:spacing w:after="0" w:line="225" w:lineRule="exact"/>
        <w:rPr>
          <w:rFonts w:ascii="Arial" w:cs="Arial" w:eastAsia="Arial" w:hAnsi="Arial"/>
          <w:sz w:val="18"/>
          <w:szCs w:val="18"/>
          <w:color w:val="auto"/>
        </w:rPr>
      </w:pPr>
    </w:p>
    <w:p>
      <w:pPr>
        <w:ind w:right="100" w:firstLine="656"/>
        <w:spacing w:after="0" w:line="263" w:lineRule="auto"/>
        <w:tabs>
          <w:tab w:leader="none" w:pos="892"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No Prevention or Suspension. </w:t>
      </w:r>
      <w:r>
        <w:rPr>
          <w:rFonts w:ascii="Arial" w:cs="Arial" w:eastAsia="Arial" w:hAnsi="Arial"/>
          <w:sz w:val="18"/>
          <w:szCs w:val="18"/>
          <w:color w:val="auto"/>
        </w:rPr>
        <w:t>No order preventing or suspending the sale of the shares of Class A Common Stock in any jurisdiction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designated by the Representative pursuant to Section 3(g) hereof shall have been issued as of the First Closing Date and each Option Closing Date, and no proceedings for that purpose shall have been instituted or shall have been threatened.</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75" w:name="page176"/>
    <w:bookmarkEnd w:id="175"/>
    <w:p>
      <w:pPr>
        <w:ind w:right="60" w:firstLine="656"/>
        <w:spacing w:after="0" w:line="263" w:lineRule="auto"/>
        <w:tabs>
          <w:tab w:leader="none" w:pos="913"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No Material Adverse Effect. </w:t>
      </w:r>
      <w:r>
        <w:rPr>
          <w:rFonts w:ascii="Arial" w:cs="Arial" w:eastAsia="Arial" w:hAnsi="Arial"/>
          <w:sz w:val="18"/>
          <w:szCs w:val="18"/>
          <w:color w:val="auto"/>
        </w:rPr>
        <w:t>For the period from and after the date of this Agreement and through and including the First Closing Date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respect to any Optional Securities purchased after the First Closing Date, each Option Closing Date, in the judgment of the Representative, there shall not have been any Material Adverse Effect.</w:t>
      </w:r>
    </w:p>
    <w:p>
      <w:pPr>
        <w:spacing w:after="0" w:line="179" w:lineRule="exact"/>
        <w:rPr>
          <w:rFonts w:ascii="Arial" w:cs="Arial" w:eastAsia="Arial" w:hAnsi="Arial"/>
          <w:sz w:val="18"/>
          <w:szCs w:val="18"/>
          <w:b w:val="1"/>
          <w:bCs w:val="1"/>
          <w:color w:val="auto"/>
        </w:rPr>
      </w:pPr>
    </w:p>
    <w:p>
      <w:pPr>
        <w:ind w:firstLine="656"/>
        <w:spacing w:after="0" w:line="347" w:lineRule="auto"/>
        <w:tabs>
          <w:tab w:leader="none" w:pos="892" w:val="left"/>
        </w:tabs>
        <w:numPr>
          <w:ilvl w:val="0"/>
          <w:numId w:val="12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Opinion of Counsel for the Company</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each of the First Closing Date and each Option Closing Date, the Representative shall have received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opinion of White &amp; Case LLP, U.S. counsel for the Company, dated as of such date, in form and substance satisfactory to the Representative.</w:t>
      </w:r>
    </w:p>
    <w:p>
      <w:pPr>
        <w:spacing w:after="0" w:line="115" w:lineRule="exact"/>
        <w:rPr>
          <w:rFonts w:ascii="Arial" w:cs="Arial" w:eastAsia="Arial" w:hAnsi="Arial"/>
          <w:sz w:val="16"/>
          <w:szCs w:val="16"/>
          <w:b w:val="1"/>
          <w:bCs w:val="1"/>
          <w:color w:val="auto"/>
        </w:rPr>
      </w:pPr>
    </w:p>
    <w:p>
      <w:pPr>
        <w:jc w:val="both"/>
        <w:ind w:right="180" w:firstLine="656"/>
        <w:spacing w:after="0" w:line="261" w:lineRule="auto"/>
        <w:tabs>
          <w:tab w:leader="none" w:pos="873"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Opinion of Counsel for the Underwriters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each of the First Closing Date and each Option Closing Date, the Representative shall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received the opinion of Skadden, Arps, Slate, Meagher &amp; Flom LLP, counsel for the Underwriters in connection with the offer and sale of the Offered Securities, in form and substance satisfactory to the Representative, dated as of such date, with executed copies for each of the other Underwriters named on the Prospectus cover page.</w:t>
      </w:r>
    </w:p>
    <w:p>
      <w:pPr>
        <w:spacing w:after="0" w:line="179" w:lineRule="exact"/>
        <w:rPr>
          <w:rFonts w:ascii="Arial" w:cs="Arial" w:eastAsia="Arial" w:hAnsi="Arial"/>
          <w:sz w:val="18"/>
          <w:szCs w:val="18"/>
          <w:b w:val="1"/>
          <w:bCs w:val="1"/>
          <w:color w:val="auto"/>
        </w:rPr>
      </w:pPr>
    </w:p>
    <w:p>
      <w:pPr>
        <w:ind w:right="20" w:firstLine="656"/>
        <w:spacing w:after="0" w:line="266" w:lineRule="auto"/>
        <w:tabs>
          <w:tab w:leader="none" w:pos="903"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Officers’ Certificate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each of the First Closing Date and each Option Closing Date, the Representative shall have received a certificate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executed by the Chief Executive Officer and the Chief Financial Officer of the Company, dated as of such date, to the effect set forth in Section 5(b)(ii) and further to the effect that:</w:t>
      </w:r>
    </w:p>
    <w:p>
      <w:pPr>
        <w:spacing w:after="0" w:line="179" w:lineRule="exact"/>
        <w:rPr>
          <w:rFonts w:ascii="Arial" w:cs="Arial" w:eastAsia="Arial" w:hAnsi="Arial"/>
          <w:sz w:val="18"/>
          <w:szCs w:val="18"/>
          <w:b w:val="1"/>
          <w:bCs w:val="1"/>
          <w:color w:val="auto"/>
        </w:rPr>
      </w:pPr>
    </w:p>
    <w:p>
      <w:pPr>
        <w:ind w:left="1520" w:hanging="216"/>
        <w:spacing w:after="0"/>
        <w:tabs>
          <w:tab w:leader="none" w:pos="1520" w:val="left"/>
        </w:tabs>
        <w:numPr>
          <w:ilvl w:val="1"/>
          <w:numId w:val="125"/>
        </w:numPr>
        <w:rPr>
          <w:rFonts w:ascii="Arial" w:cs="Arial" w:eastAsia="Arial" w:hAnsi="Arial"/>
          <w:sz w:val="16"/>
          <w:szCs w:val="16"/>
          <w:color w:val="auto"/>
        </w:rPr>
      </w:pPr>
      <w:r>
        <w:rPr>
          <w:rFonts w:ascii="Arial" w:cs="Arial" w:eastAsia="Arial" w:hAnsi="Arial"/>
          <w:sz w:val="16"/>
          <w:szCs w:val="16"/>
          <w:color w:val="auto"/>
        </w:rPr>
        <w:t>for the period from and including the date of this Agreement through and including such date, there has been no Material Adverse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Effect;</w:t>
      </w:r>
    </w:p>
    <w:p>
      <w:pPr>
        <w:spacing w:after="0" w:line="210" w:lineRule="exact"/>
        <w:rPr>
          <w:rFonts w:ascii="Arial" w:cs="Arial" w:eastAsia="Arial" w:hAnsi="Arial"/>
          <w:sz w:val="16"/>
          <w:szCs w:val="16"/>
          <w:color w:val="auto"/>
        </w:rPr>
      </w:pPr>
    </w:p>
    <w:p>
      <w:pPr>
        <w:ind w:right="180" w:firstLine="1304"/>
        <w:spacing w:after="0" w:line="277" w:lineRule="auto"/>
        <w:tabs>
          <w:tab w:leader="none" w:pos="1561"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the representations, warranties, and covenants of the Company set forth in Section 1 of this Agreement are true and correct with the same force and effect as though expressly made on and as of such date; and</w:t>
      </w:r>
    </w:p>
    <w:p>
      <w:pPr>
        <w:spacing w:after="0" w:line="170" w:lineRule="exact"/>
        <w:rPr>
          <w:rFonts w:ascii="Arial" w:cs="Arial" w:eastAsia="Arial" w:hAnsi="Arial"/>
          <w:sz w:val="18"/>
          <w:szCs w:val="18"/>
          <w:color w:val="auto"/>
        </w:rPr>
      </w:pPr>
    </w:p>
    <w:p>
      <w:pPr>
        <w:ind w:right="120" w:firstLine="1304"/>
        <w:spacing w:after="0" w:line="277" w:lineRule="auto"/>
        <w:tabs>
          <w:tab w:leader="none" w:pos="1611"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the Company has complied with all the agreements hereunder and satisfied all the conditions on its part to be performed or satisfied hereunder at or prior to such date.</w:t>
      </w:r>
    </w:p>
    <w:p>
      <w:pPr>
        <w:spacing w:after="0" w:line="170" w:lineRule="exact"/>
        <w:rPr>
          <w:rFonts w:ascii="Arial" w:cs="Arial" w:eastAsia="Arial" w:hAnsi="Arial"/>
          <w:sz w:val="18"/>
          <w:szCs w:val="18"/>
          <w:color w:val="auto"/>
        </w:rPr>
      </w:pPr>
    </w:p>
    <w:p>
      <w:pPr>
        <w:ind w:right="60" w:firstLine="656"/>
        <w:spacing w:after="0" w:line="296" w:lineRule="auto"/>
        <w:tabs>
          <w:tab w:leader="none" w:pos="913" w:val="left"/>
        </w:tabs>
        <w:numPr>
          <w:ilvl w:val="0"/>
          <w:numId w:val="12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Secretary’s Certificate</w:t>
      </w:r>
      <w:r>
        <w:rPr>
          <w:rFonts w:ascii="Arial" w:cs="Arial" w:eastAsia="Arial" w:hAnsi="Arial"/>
          <w:sz w:val="16"/>
          <w:szCs w:val="16"/>
          <w:color w:val="auto"/>
        </w:rPr>
        <w:t>. The Company shall have furnished to the Representative a certificate signed by the Secretary or Assistant Secretary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dated the First Closing Date and each Option Closing Date, certifying (i) that the Amended and Restated Certificate of Incorporation is true and complete, has not been modified and is in full force and effect, (ii) that the resolutions relating to the Offering contemplated by this Agreement are in full force and effect and have not been modified, (iii) copies of all correspondence between the Company or its counsel and the Commission, and (iv) as to the incumbency of the officers of the Company. The documents referred to in such certificate shall be attached to such certificate.</w:t>
      </w:r>
    </w:p>
    <w:p>
      <w:pPr>
        <w:spacing w:after="0" w:line="161" w:lineRule="exact"/>
        <w:rPr>
          <w:rFonts w:ascii="Arial" w:cs="Arial" w:eastAsia="Arial" w:hAnsi="Arial"/>
          <w:sz w:val="16"/>
          <w:szCs w:val="16"/>
          <w:b w:val="1"/>
          <w:bCs w:val="1"/>
          <w:color w:val="auto"/>
        </w:rPr>
      </w:pPr>
    </w:p>
    <w:p>
      <w:pPr>
        <w:ind w:right="60" w:firstLine="656"/>
        <w:spacing w:after="0" w:line="275" w:lineRule="auto"/>
        <w:tabs>
          <w:tab w:leader="none" w:pos="863" w:val="left"/>
        </w:tabs>
        <w:numPr>
          <w:ilvl w:val="0"/>
          <w:numId w:val="125"/>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Bring-down Comfort Letter. </w:t>
      </w:r>
      <w:r>
        <w:rPr>
          <w:rFonts w:ascii="Arial" w:cs="Arial" w:eastAsia="Arial" w:hAnsi="Arial"/>
          <w:sz w:val="17"/>
          <w:szCs w:val="17"/>
          <w:color w:val="auto"/>
        </w:rPr>
        <w:t>On each of the First Closing Date and each Option Closing Date, the Representative shall have received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Withum, independent registered public accountants for the Company, a letter dated such date, in form and substance satisfactory to the Representative, which letter shall: (i) reaffirm the statements made in the letter furnished by them pursuant to Section 5(a), except that the specified date referred to therein for the carrying out of procedures shall be no more than three business days prior to the First Closing Date or the applicable Option Closing Date, as the case may be; and (ii) cover certain financial information contained in the Prospectus.</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76" w:name="page177"/>
    <w:bookmarkEnd w:id="176"/>
    <w:p>
      <w:pPr>
        <w:ind w:firstLine="656"/>
        <w:spacing w:after="0" w:line="273" w:lineRule="auto"/>
        <w:tabs>
          <w:tab w:leader="none" w:pos="873" w:val="left"/>
        </w:tabs>
        <w:numPr>
          <w:ilvl w:val="0"/>
          <w:numId w:val="126"/>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Transactional Documents</w:t>
      </w:r>
      <w:r>
        <w:rPr>
          <w:rFonts w:ascii="Arial" w:cs="Arial" w:eastAsia="Arial" w:hAnsi="Arial"/>
          <w:sz w:val="17"/>
          <w:szCs w:val="17"/>
          <w:color w:val="auto"/>
        </w:rPr>
        <w:t>. As of the date hereof, the Company shall have delivered to the Representative executed copies of the Trust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Agreement, the Subscription Agreement, the Sponsor Shares Purchase Agreement, the Insider Letter, the Registration Rights Agreement and the Administrative Services Agreement, and each such agreement shall be in full force and effect on each of the First Closing Date and each Option Closing Date. With regard to the Insider Letter, if any additional persons shall become executive officers, directors or director nominees of the Company prior to the end of the Lock-up Period, the Company shall cause each such person, prior to or contemporaneously with their appointment or election as an executive officer, director or director nominee to execute a joinder to the Insider Letter.</w:t>
      </w:r>
    </w:p>
    <w:p>
      <w:pPr>
        <w:spacing w:after="0" w:line="177" w:lineRule="exact"/>
        <w:rPr>
          <w:rFonts w:ascii="Arial" w:cs="Arial" w:eastAsia="Arial" w:hAnsi="Arial"/>
          <w:sz w:val="17"/>
          <w:szCs w:val="17"/>
          <w:b w:val="1"/>
          <w:bCs w:val="1"/>
          <w:color w:val="auto"/>
        </w:rPr>
      </w:pPr>
    </w:p>
    <w:p>
      <w:pPr>
        <w:ind w:right="20" w:firstLine="656"/>
        <w:spacing w:after="0" w:line="275" w:lineRule="auto"/>
        <w:tabs>
          <w:tab w:leader="none" w:pos="913" w:val="left"/>
        </w:tabs>
        <w:numPr>
          <w:ilvl w:val="0"/>
          <w:numId w:val="126"/>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Deposit to the Trust Account</w:t>
      </w:r>
      <w:r>
        <w:rPr>
          <w:rFonts w:ascii="Arial" w:cs="Arial" w:eastAsia="Arial" w:hAnsi="Arial"/>
          <w:sz w:val="17"/>
          <w:szCs w:val="17"/>
          <w:color w:val="auto"/>
        </w:rPr>
        <w:t>. The Sponsor (at least one business day prior to the First Closing Date and each Option Closing Date) shall have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caused proceeds from the sale of the Sponsor Shares to be deposited into the Trust Account so that together with proceeds for the Firm Securities (including the Deferred Discount), or with respect to the Optional Securities, proceeds from the Optional Securities (including the Deferred Discount), the aggregate amount of money deposited into the Trust Account would equal the product of the number of shares of Class A Common Stock issued and the public offering price per share of Class A Common Stock as set forth on the cover of the Prospectus.</w:t>
      </w:r>
    </w:p>
    <w:p>
      <w:pPr>
        <w:spacing w:after="0" w:line="172" w:lineRule="exact"/>
        <w:rPr>
          <w:rFonts w:ascii="Arial" w:cs="Arial" w:eastAsia="Arial" w:hAnsi="Arial"/>
          <w:sz w:val="17"/>
          <w:szCs w:val="17"/>
          <w:b w:val="1"/>
          <w:bCs w:val="1"/>
          <w:color w:val="auto"/>
        </w:rPr>
      </w:pPr>
    </w:p>
    <w:p>
      <w:pPr>
        <w:ind w:right="280" w:firstLine="656"/>
        <w:spacing w:after="0" w:line="266" w:lineRule="auto"/>
        <w:tabs>
          <w:tab w:leader="none" w:pos="863"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Rule 462(b) Registration Statement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event that a Rule 462(b) Registration Statement is filed in connection with the Offering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contemplated by this Agreement, such Rule 462(b) Registration Statement shall have been filed with the Commission on the date of this Agreement and shall have become effective automatically upon such filing.</w:t>
      </w:r>
    </w:p>
    <w:p>
      <w:pPr>
        <w:spacing w:after="0" w:line="179" w:lineRule="exact"/>
        <w:rPr>
          <w:rFonts w:ascii="Arial" w:cs="Arial" w:eastAsia="Arial" w:hAnsi="Arial"/>
          <w:sz w:val="18"/>
          <w:szCs w:val="18"/>
          <w:b w:val="1"/>
          <w:bCs w:val="1"/>
          <w:color w:val="auto"/>
        </w:rPr>
      </w:pPr>
    </w:p>
    <w:p>
      <w:pPr>
        <w:ind w:right="120" w:firstLine="656"/>
        <w:spacing w:after="0" w:line="277" w:lineRule="auto"/>
        <w:tabs>
          <w:tab w:leader="none" w:pos="963"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Approval of Listing</w:t>
      </w:r>
      <w:r>
        <w:rPr>
          <w:rFonts w:ascii="Arial" w:cs="Arial" w:eastAsia="Arial" w:hAnsi="Arial"/>
          <w:sz w:val="18"/>
          <w:szCs w:val="18"/>
          <w:color w:val="auto"/>
        </w:rPr>
        <w:t>. At the First Closing Date, the Offered Securities shall have been approved for listing on Nasdaq, subject only to official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notice of issuance.</w:t>
      </w:r>
    </w:p>
    <w:p>
      <w:pPr>
        <w:spacing w:after="0" w:line="170" w:lineRule="exact"/>
        <w:rPr>
          <w:rFonts w:ascii="Arial" w:cs="Arial" w:eastAsia="Arial" w:hAnsi="Arial"/>
          <w:sz w:val="18"/>
          <w:szCs w:val="18"/>
          <w:b w:val="1"/>
          <w:bCs w:val="1"/>
          <w:color w:val="auto"/>
        </w:rPr>
      </w:pPr>
    </w:p>
    <w:p>
      <w:pPr>
        <w:ind w:right="40" w:firstLine="656"/>
        <w:spacing w:after="0" w:line="273" w:lineRule="auto"/>
        <w:tabs>
          <w:tab w:leader="none" w:pos="913" w:val="left"/>
        </w:tabs>
        <w:numPr>
          <w:ilvl w:val="0"/>
          <w:numId w:val="126"/>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Additional Documents</w:t>
      </w:r>
      <w:r>
        <w:rPr>
          <w:rFonts w:ascii="Arial" w:cs="Arial" w:eastAsia="Arial" w:hAnsi="Arial"/>
          <w:sz w:val="17"/>
          <w:szCs w:val="17"/>
          <w:color w:val="auto"/>
        </w:rPr>
        <w:t>. On or before each of the First Closing Date and each Option Closing Date, the Representative and counsel for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Underwriters shall have received such information, documents and opinions as they may reasonably request for the purposes of enabling them to pass upon the issuance and sale of the Offered Securities as contemplated herein, or in order to evidence the accuracy of any of the representations and warranties, or the satisfaction of any of the conditions or agreements, herein contained; and all proceedings taken by the Company in connection with the issuance and sale of the Offered Securities as contemplated herein and in connection with the other transactions contemplated by this Agreement shall be satisfactory in form and substance to the Representative and counsel for the Underwriters.</w:t>
      </w:r>
    </w:p>
    <w:p>
      <w:pPr>
        <w:spacing w:after="0" w:line="178"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If any condition specified in this Section 5 is not satisfied when and as required to be satisfied, this Agreement may be terminated by the Representative by notice from the Representative to the Company at any time on or prior to the First Closing Date and, with respect to the Optional Securities, at any time on or prior to the applicable Option Closing Date, which termination shall be without liability on the part of any party to any other party, except that Section 4, Section 6, Section 8 and Section 9 shall at all times be effective and shall survive such termination.</w:t>
      </w:r>
    </w:p>
    <w:p>
      <w:pPr>
        <w:spacing w:after="0" w:line="167" w:lineRule="exact"/>
        <w:rPr>
          <w:sz w:val="20"/>
          <w:szCs w:val="20"/>
          <w:color w:val="auto"/>
        </w:rPr>
      </w:pPr>
    </w:p>
    <w:p>
      <w:pPr>
        <w:ind w:firstLine="1296"/>
        <w:spacing w:after="0" w:line="273" w:lineRule="auto"/>
        <w:rPr>
          <w:sz w:val="20"/>
          <w:szCs w:val="20"/>
          <w:color w:val="auto"/>
        </w:rPr>
      </w:pPr>
      <w:r>
        <w:rPr>
          <w:rFonts w:ascii="Arial" w:cs="Arial" w:eastAsia="Arial" w:hAnsi="Arial"/>
          <w:sz w:val="17"/>
          <w:szCs w:val="17"/>
          <w:b w:val="1"/>
          <w:bCs w:val="1"/>
          <w:color w:val="auto"/>
        </w:rPr>
        <w:t>Section 6. Reimbursement of Underwriters’ Expenses</w:t>
      </w:r>
      <w:r>
        <w:rPr>
          <w:rFonts w:ascii="Arial" w:cs="Arial" w:eastAsia="Arial" w:hAnsi="Arial"/>
          <w:sz w:val="17"/>
          <w:szCs w:val="17"/>
          <w:color w:val="auto"/>
        </w:rPr>
        <w:t>. If this Agreement is terminated by the Representative pursuant to Section 5,</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10 or Section 11, or if the sale to the Underwriters of the Offered Securities on the First Closing Date is not consummated because of any refusal, inability or failure on the part of the Company to perform any agreement herein or to comply with any provision hereof, the Company agrees to reimburse the Representative and the other Underwriters (or such Underwriters as have terminated this Agreement with respect to themselves), severally, upon demand for all out-of-pocket expenses that shall have been reasonably incurred by the Representative and the Underwriters in connection with the proposed purchase and the Offering and sale of the Offered Securities, including, but not limited to, reasonable fees and disbursements of counsel, printing expenses, travel expenses, postage, facsimile and telephone charges.</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7" w:name="page178"/>
    <w:bookmarkEnd w:id="177"/>
    <w:p>
      <w:pPr>
        <w:ind w:left="1300"/>
        <w:spacing w:after="0"/>
        <w:rPr>
          <w:sz w:val="20"/>
          <w:szCs w:val="20"/>
          <w:color w:val="auto"/>
        </w:rPr>
      </w:pPr>
      <w:r>
        <w:rPr>
          <w:rFonts w:ascii="Arial" w:cs="Arial" w:eastAsia="Arial" w:hAnsi="Arial"/>
          <w:sz w:val="16"/>
          <w:szCs w:val="16"/>
          <w:b w:val="1"/>
          <w:bCs w:val="1"/>
          <w:color w:val="auto"/>
        </w:rPr>
        <w:t>Section 7. Effectiveness of this Agreement</w:t>
      </w:r>
      <w:r>
        <w:rPr>
          <w:rFonts w:ascii="Arial" w:cs="Arial" w:eastAsia="Arial" w:hAnsi="Arial"/>
          <w:sz w:val="16"/>
          <w:szCs w:val="16"/>
          <w:color w:val="auto"/>
        </w:rPr>
        <w:t>. This Agreement shall become effective upon the execution and delivery hereof by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parties hereto.</w:t>
      </w:r>
    </w:p>
    <w:p>
      <w:pPr>
        <w:spacing w:after="0" w:line="207"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Section 8. Indemnification</w:t>
      </w:r>
      <w:r>
        <w:rPr>
          <w:rFonts w:ascii="Arial" w:cs="Arial" w:eastAsia="Arial" w:hAnsi="Arial"/>
          <w:sz w:val="18"/>
          <w:szCs w:val="18"/>
          <w:color w:val="auto"/>
        </w:rPr>
        <w:t>.</w:t>
      </w:r>
    </w:p>
    <w:p>
      <w:pPr>
        <w:spacing w:after="0" w:line="225" w:lineRule="exact"/>
        <w:rPr>
          <w:sz w:val="20"/>
          <w:szCs w:val="20"/>
          <w:color w:val="auto"/>
        </w:rPr>
      </w:pPr>
    </w:p>
    <w:p>
      <w:pPr>
        <w:ind w:firstLine="656"/>
        <w:spacing w:after="0" w:line="284" w:lineRule="auto"/>
        <w:tabs>
          <w:tab w:leader="none" w:pos="903" w:val="left"/>
        </w:tabs>
        <w:numPr>
          <w:ilvl w:val="0"/>
          <w:numId w:val="127"/>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Indemnification of the Underwriters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agrees to indemnify and hold harmless each Underwriter, its affiliates, directors, officers,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employees and agents, and each person, if any, who controls any Underwriter within the meaning of the Securities Act or the Exchange Act against any loss, claim, damage, liability or expense, as incurred, to which such Underwriter or such affiliate, director, officer, employee, agent or controlling person may become subject, under the Securities Act, the Exchange Act, other federal or state statutory law or regulation, or the laws or regulations of foreign jurisdictions where Offered Securities have been offered or sold or at common law or otherwise (including in settlement of any litigation, if such settlement is effected with the written consent of the Company), insofar as such loss, claim, damage, liability or expense (or actions in respect thereof as contemplated below) arises out of or is based upon (i) any untrue statement or alleged untrue statement of a material fact contained in the Registration Statement, or any amendment thereto, or the omission or alleged omission to state therein a material fact required to be stated therein or necessary to make the statements therein not misleading; or (ii) any untrue statement or alleged untrue statement of a material fact included in any preliminary prospectus, the Time of Sale Prospectus, any Marketing Material, any Section 5(d) Written Communication or the Prospectus (or any amendment or supplement to the foregoing), or the omission or alleged omission to state therein a material fact necessary in order to make the statements, in the light of the circumstances under which they were made, not misleading; or (iii) any act or failure to act or any alleged act or failure to act by any Underwriter in connection with, or relating in any manner to, the securities of the Company or the Offering contemplated hereby, and which is included as part of or referred to in any loss, claim, damage, liability or action arising out of or based upon any matter covered by clause (i) or (ii) above; and to reimburse each Underwriter and each such affiliate, director, officer, employee, agent and controlling person for any and all expenses (including the fees and disbursements of counsel) as such expenses are incurred by such Underwriter or such affiliate, director, officer, employee, agent or controlling person in connection with investigating, defending, settling, compromising or paying any such loss, claim, damage, liability, expense or 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information relating to any Underwriter furnished to the Company by the Representative in writing expressly for use in the Registration Statement, any preliminary prospectus, the Time of Sale Prospectus, any Marketing Material, any Section 5(d) Written Communication or the Prospectus (or any amendment or supplement thereto), it being understood and agreed that the only such information consists of the information described in Section 8(b) below. The indemnity agreement set forth in this Section 8(a) shall be in addition to any liabilities that the Company may otherwise have.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8" w:name="page179"/>
    <w:bookmarkEnd w:id="178"/>
    <w:p>
      <w:pPr>
        <w:ind w:firstLine="656"/>
        <w:spacing w:after="0" w:line="284" w:lineRule="auto"/>
        <w:tabs>
          <w:tab w:leader="none" w:pos="913" w:val="left"/>
        </w:tabs>
        <w:numPr>
          <w:ilvl w:val="0"/>
          <w:numId w:val="12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Indemnification of the Company, its Directors and Officers</w:t>
      </w:r>
      <w:r>
        <w:rPr>
          <w:rFonts w:ascii="Arial" w:cs="Arial" w:eastAsia="Arial" w:hAnsi="Arial"/>
          <w:sz w:val="16"/>
          <w:szCs w:val="16"/>
          <w:color w:val="auto"/>
        </w:rPr>
        <w:t>. Each Underwriter agrees, severally and not jointly, to indemnify and hold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harmless the Company, each of its directors, each of its officers who signed the Registration Statement and each person, if any, who controls the Company within the meaning of the Securities Act or the Exchange Act, against any loss, claim, damage, liability or expense, as incurred, to which the Company, or any such director, officer or controlling person may become subject, under the Securities Act, the Exchange Act, or other federal or state statutory law or regulation, or the laws or regulations of foreign jurisdictions where the offered securities have been offered or sold or at common law or otherwise (including in settlement of any litigation, if such settlement is effected with the written consent of such Underwriter), insofar as such loss, claim, damage, liability or expense (or actions in respect thereof as contemplated below) arises out of or is based upon (i) any untrue statement or alleged untrue statement of a material fact contained in the Registration Statement, or any amendment thereto, or any omission or alleged omission to state therein a material fact required to be stated therein or necessary to make the statements therein not misleading or (ii) any untrue statement or alleged untrue statement of a material fact included in any preliminary prospectus, the Time of Sale Prospectus, any Marketing Material, any Section 5(d) Written Communication or the Prospectus (or any such amendment or supplement) or the omission or alleged omission to state therein a material fact necessary in order to make the statements, in the light of the circumstances under which they were made, not misleading, in each case to the extent, but only to the extent, that such untrue statement or alleged untrue statement or omission or alleged omission was made in the Registration Statement, such preliminary prospectus, the Time of Sale Prospectus, such Marketing Material, such Section 5(d) Written Communication or the Prospectus (or any such amendment or supplement), in reliance upon and in conformity with information relating to such Underwriter furnished to the Company by the Representative in writing expressly for use therein; and to reimburse the Company, or any such director, officer or controlling person for any and all expenses (including the fees and disbursements of counsel) as such expenses are incurred by the Company, or any such director, officer or controlling person in connection with investigating, defending, settling, compromising or paying any such loss, claim, damage, liability, expense or action. The Company hereby acknowledges that the only information that the Representative has furnished to the Company expressly for use in the Registration Statement, any preliminary prospectus, the Time of Sale Prospectus, any Marketing Material, any Section 5(d) Written Communication or the Prospectus (or any amendment or supplement to the foregoing) are the following statements set forth under the heading “Underwriting”: (x) the list of Underwriters and their respective roles and participation in the sale of the Offered Securities, (y) the first sentence in the third paragraph, the third sentence in the fourth paragraph, the fifth paragraph (except for the last sentence therein), and (z) the first sentence in the first paragraph, the third sentence in the second paragraph and the first sentence in the sixth paragraph under the heading “Stabilization”, in the Preliminary Prospectus and the Prospectus. The indemnity agreement set forth in this Section 8(b) shall be in addition to any liabilities that each Underwriter may otherwise have.</w:t>
      </w:r>
    </w:p>
    <w:p>
      <w:pPr>
        <w:spacing w:after="0" w:line="386" w:lineRule="exact"/>
        <w:rPr>
          <w:rFonts w:ascii="Arial" w:cs="Arial" w:eastAsia="Arial" w:hAnsi="Arial"/>
          <w:sz w:val="16"/>
          <w:szCs w:val="16"/>
          <w:b w:val="1"/>
          <w:bCs w:val="1"/>
          <w:color w:val="auto"/>
        </w:rPr>
      </w:pPr>
    </w:p>
    <w:p>
      <w:pPr>
        <w:ind w:firstLine="656"/>
        <w:spacing w:after="0" w:line="284" w:lineRule="auto"/>
        <w:tabs>
          <w:tab w:leader="none" w:pos="892" w:val="left"/>
        </w:tabs>
        <w:numPr>
          <w:ilvl w:val="0"/>
          <w:numId w:val="12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Notifications and Other Indemnification Procedures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Promptly after receipt by an indemnified party under this Section 8 of notice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commencement of any action, such indemnified party will, if a claim in respect thereof is to be made against an indemnifying party under this Section 8, notify the indemnifying party in writing of the commencement thereof, but the omission to so notify the indemnifying party will not relieve the indemnifying party from any liability which it may have to any indemnified party to the extent the indemnifying party is not materially prejudiced as a proximate result of such failure and shall not in any event relieve the indemnifying party from any liability that it may have otherwise than on account of this indemnity agreement.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the defendants in any such action include both the indemnified party and the indemnifying party and the indemnified party shall have reasonably concluded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so to assume the defense of such action and approval by the indemnified party of counsel, the indemnifying party will not be liable to such indemnified party under this Section 8 for any legal or other expenses subsequently incurred by such indemnified party in connection with the defense thereof unless (i) the indemnified party shall have employed separate counsel in accordance with the proviso to the preceding sentence (it being understood, however, that the indemnifying party shall not be liable for the fees and expenses of more than one separate counsel (together with local counsel), representing the indemnified parties who are parties to such action), which counsel (together with any local counsel) for the indemnified parties shall be selected by the Representative (in the case of counsel for the indemnified parties referred to in Section 8(a) above) or by the Company (in the case of counsel for the indemnified parties referred to in Section 8(b) above) or (ii) the indemnifying party shall not have employed counsel satisfactory to the indemnified party to represent the indemnified party within a reasonable time after notice of commencement of the action or (iii) the indemnifying party has authorized in writing the employment of counsel for the indemnified party at the expense of the indemnifying party, in each of which cases the fees and expenses of counsel shall be at the expense of the indemnifying party and shall be paid as they are incurred.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9" w:name="page180"/>
    <w:bookmarkEnd w:id="179"/>
    <w:p>
      <w:pPr>
        <w:ind w:firstLine="656"/>
        <w:spacing w:after="0" w:line="287" w:lineRule="auto"/>
        <w:tabs>
          <w:tab w:leader="none" w:pos="913" w:val="left"/>
        </w:tabs>
        <w:numPr>
          <w:ilvl w:val="0"/>
          <w:numId w:val="12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Settlements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indemnifying party under this Section 8 shall not be liable for any settlement of any proceeding effected without its written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fees and expenses of counsel as contemplated by Section 8(c) hereof, the indemnifying party shall be liable for any settlement of any proceeding effected without its written consent if (i) such settlement is entered into more than 60 days after receipt by such indemnifying party of the aforesaid request, (ii) such indemnifying party shall have reasonable notice of the terms of such settlement at least 30 days prior to such settlement being entered into and (iii) 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includes an unconditional release of such indemnified party from all liability on claims that are the subject matter of such action, suit or proceeding and does not include an admission of fault or culpability or a failure to act by or on behalf of such indemnified party.</w:t>
      </w:r>
    </w:p>
    <w:p>
      <w:pPr>
        <w:spacing w:after="0" w:line="168" w:lineRule="exact"/>
        <w:rPr>
          <w:sz w:val="20"/>
          <w:szCs w:val="20"/>
          <w:color w:val="auto"/>
        </w:rPr>
      </w:pPr>
    </w:p>
    <w:p>
      <w:pPr>
        <w:ind w:right="20" w:firstLine="1296"/>
        <w:spacing w:after="0" w:line="286" w:lineRule="auto"/>
        <w:rPr>
          <w:sz w:val="20"/>
          <w:szCs w:val="20"/>
          <w:color w:val="auto"/>
        </w:rPr>
      </w:pPr>
      <w:r>
        <w:rPr>
          <w:rFonts w:ascii="Arial" w:cs="Arial" w:eastAsia="Arial" w:hAnsi="Arial"/>
          <w:sz w:val="16"/>
          <w:szCs w:val="16"/>
          <w:b w:val="1"/>
          <w:bCs w:val="1"/>
          <w:color w:val="auto"/>
        </w:rPr>
        <w:t>Section 9. Contribution</w:t>
      </w:r>
      <w:r>
        <w:rPr>
          <w:rFonts w:ascii="Arial" w:cs="Arial" w:eastAsia="Arial" w:hAnsi="Arial"/>
          <w:sz w:val="16"/>
          <w:szCs w:val="16"/>
          <w:color w:val="auto"/>
        </w:rPr>
        <w:t>. If the indemnification provided for in Section 8 is for any reason held to be unavailable to or otherwise</w:t>
      </w:r>
      <w:r>
        <w:rPr>
          <w:rFonts w:ascii="Arial" w:cs="Arial" w:eastAsia="Arial" w:hAnsi="Arial"/>
          <w:sz w:val="16"/>
          <w:szCs w:val="16"/>
          <w:b w:val="1"/>
          <w:bCs w:val="1"/>
          <w:color w:val="auto"/>
        </w:rPr>
        <w:t xml:space="preserve"> </w:t>
      </w:r>
      <w:r>
        <w:rPr>
          <w:rFonts w:ascii="Arial" w:cs="Arial" w:eastAsia="Arial" w:hAnsi="Arial"/>
          <w:sz w:val="16"/>
          <w:szCs w:val="16"/>
          <w:color w:val="auto"/>
        </w:rPr>
        <w:t>insufficient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the Underwriters, on the other hand, from the Offering pursuant to this Agreement or (ii) if the allocation provided by clause (i) above is not permitted by applicable law, in such proportion as is appropriate to reflect not only the relative benefits referred to in clause (i) above but also the relative fault of the Company, on the one hand, and the Underwriters, on the other hand, in connection with the statements or omissions which resulted in such losses, claims, damages, liabilities or expenses, as well as any other relevant equitable considerations. The relative benefits received by the Company, on the one hand, and the Underwriters, on the other hand, in connection with the Offering pursuant to this Agreement shall be deemed to be in the same respective proportions as the total net proceeds from the Offering pursuant to this Agreement (before deducting expenses) received by the Company, and the total underwriting discounts and commissions received by the Underwriters, in each case as set forth on the front cover page of the Prospectus, bear to the aggregate initial public offering price of the Offered Securities as set forth on such cover. The relative fault of the Company,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on the one hand, or the Underwriters, on the other hand, and the parties’ relative intent, knowledge, access to information and opportunity to correct or prevent such statement or omission.</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80" w:name="page181"/>
    <w:bookmarkEnd w:id="180"/>
    <w:p>
      <w:pPr>
        <w:ind w:right="40" w:firstLine="648"/>
        <w:spacing w:after="0" w:line="257" w:lineRule="auto"/>
        <w:rPr>
          <w:sz w:val="20"/>
          <w:szCs w:val="20"/>
          <w:color w:val="auto"/>
        </w:rPr>
      </w:pPr>
      <w:r>
        <w:rPr>
          <w:rFonts w:ascii="Arial" w:cs="Arial" w:eastAsia="Arial" w:hAnsi="Arial"/>
          <w:sz w:val="18"/>
          <w:szCs w:val="18"/>
          <w:color w:val="auto"/>
        </w:rPr>
        <w:t xml:space="preserve">The amount paid or payable by a party as a result of the losses, claims, damages, liabilities and expenses referred to above shall be deemed to include, subject to the limitations set forth in Section 8(c), any legal or other fees or expenses reasonably incurred by such party in connection with investigating or defending any action or claim. The provisions set forth in Section 8(c) with respect to notice of commencement of any action shall apply if a claim for contribution is to be made under this Section 9;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additional notice shall be required with respect to any action for which notice has been given under Section 8(c) for purposes of indemnification.</w:t>
      </w:r>
    </w:p>
    <w:p>
      <w:pPr>
        <w:spacing w:after="0" w:line="188"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The Company and the Underwriters agree that it would not be just and equitable if contribution pursuant to this Section 9 were determined by pro rata allocation (even if the Underwriters were treated as one entity for such purpose) or by any other method of allocation which does not take account of the equitable considerations referred to in this Section 9.</w:t>
      </w:r>
    </w:p>
    <w:p>
      <w:pPr>
        <w:spacing w:after="0" w:line="184"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Notwithstanding the provisions of this Section 9, no Underwriter shall be required to contribute any amount in excess of the underwriting discounts and commissions received by such Underwriter in connection with the Offered Securities underwritten by it and distributed to the public. No person guilty of fraudulent misrepresentation (within the meaning of Section 11(f) of the Securities Act) shall be entitled to contribution from any person who was not guilty of such fraudulent misrepresentation. The Underwriters’ obligations to contribute pursuant to this Section 9 are several, and not joint, in proportion to their respective underwriting commitments as set forth opposite their respective names on </w:t>
      </w:r>
      <w:r>
        <w:rPr>
          <w:rFonts w:ascii="Arial" w:cs="Arial" w:eastAsia="Arial" w:hAnsi="Arial"/>
          <w:sz w:val="17"/>
          <w:szCs w:val="17"/>
          <w:u w:val="single" w:color="auto"/>
          <w:color w:val="auto"/>
        </w:rPr>
        <w:t>Schedule A</w:t>
      </w:r>
      <w:r>
        <w:rPr>
          <w:rFonts w:ascii="Arial" w:cs="Arial" w:eastAsia="Arial" w:hAnsi="Arial"/>
          <w:sz w:val="17"/>
          <w:szCs w:val="17"/>
          <w:color w:val="auto"/>
        </w:rPr>
        <w:t>. For purposes of this Section 9, each affiliate, director, officer, employee and agent of an Underwriter and each person, if any, who controls an Underwriter within the meaning of the Securities Act or the Exchange Act shall have the same rights to contribution as such Underwriter, and each director of the Company, each officer of the Company who signed the Registration Statement, and each person, if any, who controls the Company within the meaning of the Securities Act and the Exchange Act shall have the same rights to contribution as the Company.</w:t>
      </w:r>
    </w:p>
    <w:p>
      <w:pPr>
        <w:spacing w:after="0" w:line="177" w:lineRule="exact"/>
        <w:rPr>
          <w:sz w:val="20"/>
          <w:szCs w:val="20"/>
          <w:color w:val="auto"/>
        </w:rPr>
      </w:pPr>
    </w:p>
    <w:p>
      <w:pPr>
        <w:ind w:right="20" w:firstLine="1296"/>
        <w:spacing w:after="0" w:line="286" w:lineRule="auto"/>
        <w:rPr>
          <w:sz w:val="20"/>
          <w:szCs w:val="20"/>
          <w:color w:val="auto"/>
        </w:rPr>
      </w:pPr>
      <w:r>
        <w:rPr>
          <w:rFonts w:ascii="Arial" w:cs="Arial" w:eastAsia="Arial" w:hAnsi="Arial"/>
          <w:sz w:val="16"/>
          <w:szCs w:val="16"/>
          <w:b w:val="1"/>
          <w:bCs w:val="1"/>
          <w:color w:val="auto"/>
        </w:rPr>
        <w:t>Section 10. Default of One or More of the Several Underwriters</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If, on the First Closing Date or any Option Closing Date any one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more of the several Underwriters shall fail or refuse to purchase Offered Securities that it has or they have agreed to purchase hereunder on such date, and the aggregate number of Offered Securities which such defaulting Underwriter or Underwriters agreed but failed or refused to purchase does not exceed 10% of the aggregate number of the Offered Securities to be purchased on such date, the Representative may make arrangements satisfactory to the Company for the purchase of such Offered Securities by other persons, including any of the Underwriters, but if no such arrangements are made by such date, the other Underwriters shall be obligated, severally and not jointly, in the proportions that the number of Firm Securities set forth opposite their respective names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bears to the aggregate number of Firm Securities set forth opposite the names of all such non-defaulting Underwriters, or in such other proportions as may be specified by the Representative with the consent of the non-defaulting Underwriters, to purchase the Offered Securities which such defaulting Underwriter or Underwriters agreed but failed or refused to purchase on such date. If, on the First Closing Date or any Option Closing Date any one or more of the Underwriters shall fail or refuse to purchase Offered Securities and the aggregate number of Offered Securities with respect to which such default occurs exceeds 10% of the aggregate number of Offered Securities to be purchased on such date, and arrangements satisfactory to the Representative and the Company for the purchase of such Offered Securities are not made within 48 hours after such default, this Agreement shall terminate without liability of any party to any other party except that the provisions of Section 4, Section 6, Section 8 and Section 9 shall at all times be effective and shall survive such termination. In any such case either the Representative or the Company shall have the right to postpone the First Closing Date or the applicable Option Closing Date, as the case may be, but in no event for longer than seven days in order that the required changes, if any, to the Registration Statement and the Prospectus or any other documents or arrangements may be effected.</w:t>
      </w: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81" w:name="page182"/>
    <w:bookmarkEnd w:id="181"/>
    <w:p>
      <w:pPr>
        <w:ind w:right="80" w:firstLine="648"/>
        <w:spacing w:after="0" w:line="266" w:lineRule="auto"/>
        <w:rPr>
          <w:sz w:val="20"/>
          <w:szCs w:val="20"/>
          <w:color w:val="auto"/>
        </w:rPr>
      </w:pPr>
      <w:r>
        <w:rPr>
          <w:rFonts w:ascii="Arial" w:cs="Arial" w:eastAsia="Arial" w:hAnsi="Arial"/>
          <w:sz w:val="18"/>
          <w:szCs w:val="18"/>
          <w:color w:val="auto"/>
        </w:rPr>
        <w:t>As used in this Agreement, the term “</w:t>
      </w:r>
      <w:r>
        <w:rPr>
          <w:rFonts w:ascii="Arial" w:cs="Arial" w:eastAsia="Arial" w:hAnsi="Arial"/>
          <w:sz w:val="18"/>
          <w:szCs w:val="18"/>
          <w:b w:val="1"/>
          <w:bCs w:val="1"/>
          <w:color w:val="auto"/>
        </w:rPr>
        <w:t>Underwriter</w:t>
      </w:r>
      <w:r>
        <w:rPr>
          <w:rFonts w:ascii="Arial" w:cs="Arial" w:eastAsia="Arial" w:hAnsi="Arial"/>
          <w:sz w:val="18"/>
          <w:szCs w:val="18"/>
          <w:color w:val="auto"/>
        </w:rPr>
        <w:t>” shall be deemed to include any person substituted for a defaulting Underwriter under this Section 10. Any action taken under this Section 10 shall not relieve any defaulting Underwriter from liability in respect of any default of such Underwriter under this Agreement.</w:t>
      </w:r>
    </w:p>
    <w:p>
      <w:pPr>
        <w:spacing w:after="0" w:line="176" w:lineRule="exact"/>
        <w:rPr>
          <w:sz w:val="20"/>
          <w:szCs w:val="20"/>
          <w:color w:val="auto"/>
        </w:rPr>
      </w:pPr>
    </w:p>
    <w:p>
      <w:pPr>
        <w:ind w:firstLine="1296"/>
        <w:spacing w:after="0" w:line="286" w:lineRule="auto"/>
        <w:rPr>
          <w:sz w:val="20"/>
          <w:szCs w:val="20"/>
          <w:color w:val="auto"/>
        </w:rPr>
      </w:pPr>
      <w:r>
        <w:rPr>
          <w:rFonts w:ascii="Arial" w:cs="Arial" w:eastAsia="Arial" w:hAnsi="Arial"/>
          <w:sz w:val="16"/>
          <w:szCs w:val="16"/>
          <w:b w:val="1"/>
          <w:bCs w:val="1"/>
          <w:color w:val="auto"/>
        </w:rPr>
        <w:t>Section 11. Termination of this Agreement</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Prior to the purchase of the Firm Securities by the Underwriters on the First Closing Date,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this Agreement may be terminated by the Representative by notice given to the Company if at any time: (i) trading or quotation in any of the Company’s securities shall have been suspended or limited by the Commission or by Nasdaq, or trading in securities generally on either Nasdaq or the NYSE shall have been suspended or limited, or minimum or maximum prices shall have been generally established on any of such stock exchanges; (ii) a general banking moratorium shall have been declared by either U.S. federal or New York state authorities; (iii)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as in the judgment of the Representative is material and adverse and makes it impracticable to proceed with the offering or delivery of the Offered Securities in the manner and on the terms described in the Time of Sale Prospectus or the Prospectus or to enforce contracts for the sale of securities; (iv) in the judgment of the Representative there shall have been any Material Adverse Effect; or (v) the Company shall have sustained a loss by strike, fire, flood, earthquake, accident or other calamity of such character as in the judgment of the Representative may interfere materially with the conduct of the business and operations of the Company regardless of whether or not such loss shall have been insured. Any termination pursuant to this Section 11 shall be without liability on the part of (a) the Company to any Underwriter, except that the Company shall be obligated to reimburse the expenses of the Representative and the Underwriters pursuant to Section 4 or Section 6 hereof or (b) any Underwriter to the Company;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provisions of Section 8 and Section 9 shall at all times be effective and shall survive such termination.</w:t>
      </w:r>
    </w:p>
    <w:p>
      <w:pPr>
        <w:spacing w:after="0" w:line="167" w:lineRule="exact"/>
        <w:rPr>
          <w:sz w:val="20"/>
          <w:szCs w:val="20"/>
          <w:color w:val="auto"/>
        </w:rPr>
      </w:pPr>
    </w:p>
    <w:p>
      <w:pPr>
        <w:ind w:firstLine="1296"/>
        <w:spacing w:after="0" w:line="269" w:lineRule="auto"/>
        <w:rPr>
          <w:sz w:val="20"/>
          <w:szCs w:val="20"/>
          <w:color w:val="auto"/>
        </w:rPr>
      </w:pPr>
      <w:r>
        <w:rPr>
          <w:rFonts w:ascii="Arial" w:cs="Arial" w:eastAsia="Arial" w:hAnsi="Arial"/>
          <w:sz w:val="17"/>
          <w:szCs w:val="17"/>
          <w:b w:val="1"/>
          <w:bCs w:val="1"/>
          <w:color w:val="auto"/>
        </w:rPr>
        <w:t xml:space="preserve">Section 12. No Advisory or Fiduciary Relationship. </w:t>
      </w:r>
      <w:r>
        <w:rPr>
          <w:rFonts w:ascii="Arial" w:cs="Arial" w:eastAsia="Arial" w:hAnsi="Arial"/>
          <w:sz w:val="17"/>
          <w:szCs w:val="17"/>
          <w:color w:val="auto"/>
        </w:rPr>
        <w:t>The Company acknowledges and agrees that (a) the purchase and sale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Offered Securities pursuant to this Agreement, including the determination of the public offering price of the Offered Securities and any related discounts and commissions, is an arm’s-length commercial transaction between the Company, on the one hand, and the several Underwriters, on the other hand, (b) in connection with the Offering contemplated hereby and the process leading to such transaction, each Underwriter is and has been acting solely as a principal and is not the agent or fiduciary of the Company, or its stockholders, its creditors, employees or any other party, (c) no Underwriter has assumed or will assume an advisory or fiduciary responsibility in favor of the Company with respect to the Offering contemplated hereby or the process leading thereto (irrespective of whether such Underwriter has advised or is currently advising the Company on other matters) and no Underwriter has any obligation to the Company with respect to the Offering contemplated hereby except the obligations expressly set forth in this Agreement, (d) the Underwriters and their respective affiliates may be engaged in a broad range of transactions that involve interests that differ from those of the Company, and (e) the Underwriters have not provided any legal, accounting, regulatory or tax advice with respect to the Offering contemplated hereby and the Company has consulted its own legal, accounting, regulatory and tax advisors to the extent it deemed appropriate.</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82" w:name="page183"/>
    <w:bookmarkEnd w:id="182"/>
    <w:p>
      <w:pPr>
        <w:ind w:right="20" w:firstLine="1296"/>
        <w:spacing w:after="0" w:line="277" w:lineRule="auto"/>
        <w:rPr>
          <w:sz w:val="20"/>
          <w:szCs w:val="20"/>
          <w:color w:val="auto"/>
        </w:rPr>
      </w:pPr>
      <w:r>
        <w:rPr>
          <w:rFonts w:ascii="Arial" w:cs="Arial" w:eastAsia="Arial" w:hAnsi="Arial"/>
          <w:sz w:val="17"/>
          <w:szCs w:val="17"/>
          <w:b w:val="1"/>
          <w:bCs w:val="1"/>
          <w:color w:val="auto"/>
        </w:rPr>
        <w:t xml:space="preserve">Section 13. </w:t>
      </w:r>
      <w:r>
        <w:rPr>
          <w:rFonts w:ascii="Arial" w:cs="Arial" w:eastAsia="Arial" w:hAnsi="Arial"/>
          <w:sz w:val="17"/>
          <w:szCs w:val="17"/>
          <w:color w:val="auto"/>
        </w:rPr>
        <w:t>Representations and Indemnities to Survive Delivery</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The respective indemnities, agreements, representations, warranties</w:t>
      </w:r>
      <w:r>
        <w:rPr>
          <w:rFonts w:ascii="Arial" w:cs="Arial" w:eastAsia="Arial" w:hAnsi="Arial"/>
          <w:sz w:val="17"/>
          <w:szCs w:val="17"/>
          <w:b w:val="1"/>
          <w:bCs w:val="1"/>
          <w:color w:val="auto"/>
        </w:rPr>
        <w:t xml:space="preserve"> </w:t>
      </w:r>
      <w:r>
        <w:rPr>
          <w:rFonts w:ascii="Arial" w:cs="Arial" w:eastAsia="Arial" w:hAnsi="Arial"/>
          <w:sz w:val="17"/>
          <w:szCs w:val="17"/>
          <w:color w:val="auto"/>
        </w:rPr>
        <w:t>and other statements of the Company, of its officers and of the several Underwriters set forth in or made pursuant to this Agreement will remain in full force and effect, regardless of any investigation made by or on behalf of any Underwriter or the Company or any of its or their partners, officers, directors, employees, agents or any controlling person, as the case may be, and, anything herein to the contrary notwithstanding, will survive delivery of and payment for the Offered Securities sold hereunder and any termination of this Agreement.</w:t>
      </w:r>
    </w:p>
    <w:p>
      <w:pPr>
        <w:spacing w:after="0" w:line="168" w:lineRule="exact"/>
        <w:rPr>
          <w:sz w:val="20"/>
          <w:szCs w:val="20"/>
          <w:color w:val="auto"/>
        </w:rPr>
      </w:pPr>
    </w:p>
    <w:p>
      <w:pPr>
        <w:ind w:right="180" w:firstLine="1296"/>
        <w:spacing w:after="0" w:line="282" w:lineRule="auto"/>
        <w:rPr>
          <w:sz w:val="20"/>
          <w:szCs w:val="20"/>
          <w:color w:val="auto"/>
        </w:rPr>
      </w:pPr>
      <w:r>
        <w:rPr>
          <w:rFonts w:ascii="Arial" w:cs="Arial" w:eastAsia="Arial" w:hAnsi="Arial"/>
          <w:sz w:val="18"/>
          <w:szCs w:val="18"/>
          <w:b w:val="1"/>
          <w:bCs w:val="1"/>
          <w:color w:val="auto"/>
        </w:rPr>
        <w:t>Section 14. Notices</w:t>
      </w:r>
      <w:r>
        <w:rPr>
          <w:rFonts w:ascii="Arial" w:cs="Arial" w:eastAsia="Arial" w:hAnsi="Arial"/>
          <w:sz w:val="18"/>
          <w:szCs w:val="18"/>
          <w:color w:val="auto"/>
        </w:rPr>
        <w:t>. All communications hereunder shall be in writing and shall be mailed, hand delivered or telecopied and confirmed</w:t>
      </w:r>
      <w:r>
        <w:rPr>
          <w:rFonts w:ascii="Arial" w:cs="Arial" w:eastAsia="Arial" w:hAnsi="Arial"/>
          <w:sz w:val="18"/>
          <w:szCs w:val="18"/>
          <w:b w:val="1"/>
          <w:bCs w:val="1"/>
          <w:color w:val="auto"/>
        </w:rPr>
        <w:t xml:space="preserve"> </w:t>
      </w:r>
      <w:r>
        <w:rPr>
          <w:rFonts w:ascii="Arial" w:cs="Arial" w:eastAsia="Arial" w:hAnsi="Arial"/>
          <w:sz w:val="18"/>
          <w:szCs w:val="18"/>
          <w:color w:val="auto"/>
        </w:rPr>
        <w:t>to the parties hereto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If to the Representative:</w:t>
            </w:r>
          </w:p>
        </w:tc>
        <w:tc>
          <w:tcPr>
            <w:tcW w:w="768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Jefferies LLC</w:t>
            </w:r>
          </w:p>
        </w:tc>
      </w:tr>
      <w:tr>
        <w:trPr>
          <w:trHeight w:val="216"/>
        </w:trPr>
        <w:tc>
          <w:tcPr>
            <w:tcW w:w="3560" w:type="dxa"/>
            <w:vAlign w:val="bottom"/>
          </w:tcPr>
          <w:p>
            <w:pPr>
              <w:spacing w:after="0"/>
              <w:rPr>
                <w:sz w:val="18"/>
                <w:szCs w:val="18"/>
                <w:color w:val="auto"/>
              </w:rPr>
            </w:pPr>
          </w:p>
        </w:tc>
        <w:tc>
          <w:tcPr>
            <w:tcW w:w="7680" w:type="dxa"/>
            <w:vAlign w:val="bottom"/>
          </w:tcPr>
          <w:p>
            <w:pPr>
              <w:ind w:left="1180"/>
              <w:spacing w:after="0"/>
              <w:rPr>
                <w:sz w:val="20"/>
                <w:szCs w:val="20"/>
                <w:color w:val="auto"/>
              </w:rPr>
            </w:pPr>
            <w:r>
              <w:rPr>
                <w:rFonts w:ascii="Arial" w:cs="Arial" w:eastAsia="Arial" w:hAnsi="Arial"/>
                <w:sz w:val="18"/>
                <w:szCs w:val="18"/>
                <w:color w:val="auto"/>
              </w:rPr>
              <w:t>520 Madison Avenue</w:t>
            </w:r>
          </w:p>
        </w:tc>
      </w:tr>
      <w:tr>
        <w:trPr>
          <w:trHeight w:val="216"/>
        </w:trPr>
        <w:tc>
          <w:tcPr>
            <w:tcW w:w="3560" w:type="dxa"/>
            <w:vAlign w:val="bottom"/>
            <w:shd w:val="clear" w:color="auto" w:fill="CCEEFF"/>
          </w:tcPr>
          <w:p>
            <w:pPr>
              <w:spacing w:after="0"/>
              <w:rPr>
                <w:sz w:val="18"/>
                <w:szCs w:val="18"/>
                <w:color w:val="auto"/>
              </w:rPr>
            </w:pPr>
          </w:p>
        </w:tc>
        <w:tc>
          <w:tcPr>
            <w:tcW w:w="768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New York, New York 10022</w:t>
            </w:r>
          </w:p>
        </w:tc>
      </w:tr>
      <w:tr>
        <w:trPr>
          <w:trHeight w:val="216"/>
        </w:trPr>
        <w:tc>
          <w:tcPr>
            <w:tcW w:w="3560" w:type="dxa"/>
            <w:vAlign w:val="bottom"/>
          </w:tcPr>
          <w:p>
            <w:pPr>
              <w:spacing w:after="0"/>
              <w:rPr>
                <w:sz w:val="18"/>
                <w:szCs w:val="18"/>
                <w:color w:val="auto"/>
              </w:rPr>
            </w:pPr>
          </w:p>
        </w:tc>
        <w:tc>
          <w:tcPr>
            <w:tcW w:w="7680" w:type="dxa"/>
            <w:vAlign w:val="bottom"/>
          </w:tcPr>
          <w:p>
            <w:pPr>
              <w:ind w:left="1180"/>
              <w:spacing w:after="0"/>
              <w:rPr>
                <w:sz w:val="20"/>
                <w:szCs w:val="20"/>
                <w:color w:val="auto"/>
              </w:rPr>
            </w:pPr>
            <w:r>
              <w:rPr>
                <w:rFonts w:ascii="Arial" w:cs="Arial" w:eastAsia="Arial" w:hAnsi="Arial"/>
                <w:sz w:val="18"/>
                <w:szCs w:val="18"/>
                <w:color w:val="auto"/>
              </w:rPr>
              <w:t>Facsimile: (646) 619-4437</w:t>
            </w:r>
          </w:p>
        </w:tc>
      </w:tr>
      <w:tr>
        <w:trPr>
          <w:trHeight w:val="216"/>
        </w:trPr>
        <w:tc>
          <w:tcPr>
            <w:tcW w:w="3560" w:type="dxa"/>
            <w:vAlign w:val="bottom"/>
            <w:shd w:val="clear" w:color="auto" w:fill="CCEEFF"/>
          </w:tcPr>
          <w:p>
            <w:pPr>
              <w:spacing w:after="0"/>
              <w:rPr>
                <w:sz w:val="18"/>
                <w:szCs w:val="18"/>
                <w:color w:val="auto"/>
              </w:rPr>
            </w:pPr>
          </w:p>
        </w:tc>
        <w:tc>
          <w:tcPr>
            <w:tcW w:w="768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Attention: General Counsel</w:t>
            </w:r>
          </w:p>
        </w:tc>
      </w:tr>
      <w:tr>
        <w:trPr>
          <w:trHeight w:val="216"/>
        </w:trPr>
        <w:tc>
          <w:tcPr>
            <w:tcW w:w="3560" w:type="dxa"/>
            <w:vAlign w:val="bottom"/>
          </w:tcPr>
          <w:p>
            <w:pPr>
              <w:spacing w:after="0"/>
              <w:rPr>
                <w:sz w:val="18"/>
                <w:szCs w:val="18"/>
                <w:color w:val="auto"/>
              </w:rPr>
            </w:pPr>
          </w:p>
        </w:tc>
        <w:tc>
          <w:tcPr>
            <w:tcW w:w="7680" w:type="dxa"/>
            <w:vAlign w:val="bottom"/>
          </w:tcPr>
          <w:p>
            <w:pPr>
              <w:spacing w:after="0"/>
              <w:rPr>
                <w:sz w:val="18"/>
                <w:szCs w:val="18"/>
                <w:color w:val="auto"/>
              </w:rPr>
            </w:pPr>
          </w:p>
        </w:tc>
      </w:tr>
      <w:tr>
        <w:trPr>
          <w:trHeight w:val="216"/>
        </w:trPr>
        <w:tc>
          <w:tcPr>
            <w:tcW w:w="3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with a copy to:</w:t>
            </w:r>
          </w:p>
        </w:tc>
        <w:tc>
          <w:tcPr>
            <w:tcW w:w="768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Skadden, Arps, Slate, Meagher &amp; Flom LLP</w:t>
            </w:r>
          </w:p>
        </w:tc>
      </w:tr>
      <w:tr>
        <w:trPr>
          <w:trHeight w:val="216"/>
        </w:trPr>
        <w:tc>
          <w:tcPr>
            <w:tcW w:w="3560" w:type="dxa"/>
            <w:vAlign w:val="bottom"/>
          </w:tcPr>
          <w:p>
            <w:pPr>
              <w:spacing w:after="0"/>
              <w:rPr>
                <w:sz w:val="18"/>
                <w:szCs w:val="18"/>
                <w:color w:val="auto"/>
              </w:rPr>
            </w:pPr>
          </w:p>
        </w:tc>
        <w:tc>
          <w:tcPr>
            <w:tcW w:w="7680" w:type="dxa"/>
            <w:vAlign w:val="bottom"/>
          </w:tcPr>
          <w:p>
            <w:pPr>
              <w:ind w:left="1180"/>
              <w:spacing w:after="0"/>
              <w:rPr>
                <w:sz w:val="20"/>
                <w:szCs w:val="20"/>
                <w:color w:val="auto"/>
              </w:rPr>
            </w:pPr>
            <w:r>
              <w:rPr>
                <w:rFonts w:ascii="Arial" w:cs="Arial" w:eastAsia="Arial" w:hAnsi="Arial"/>
                <w:sz w:val="18"/>
                <w:szCs w:val="18"/>
                <w:color w:val="auto"/>
              </w:rPr>
              <w:t>525 University Avenue, Suite 1400</w:t>
            </w:r>
          </w:p>
        </w:tc>
      </w:tr>
      <w:tr>
        <w:trPr>
          <w:trHeight w:val="216"/>
        </w:trPr>
        <w:tc>
          <w:tcPr>
            <w:tcW w:w="3560" w:type="dxa"/>
            <w:vAlign w:val="bottom"/>
            <w:shd w:val="clear" w:color="auto" w:fill="CCEEFF"/>
          </w:tcPr>
          <w:p>
            <w:pPr>
              <w:spacing w:after="0"/>
              <w:rPr>
                <w:sz w:val="18"/>
                <w:szCs w:val="18"/>
                <w:color w:val="auto"/>
              </w:rPr>
            </w:pPr>
          </w:p>
        </w:tc>
        <w:tc>
          <w:tcPr>
            <w:tcW w:w="768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Palo Alto, California 94301</w:t>
            </w:r>
          </w:p>
        </w:tc>
      </w:tr>
      <w:tr>
        <w:trPr>
          <w:trHeight w:val="216"/>
        </w:trPr>
        <w:tc>
          <w:tcPr>
            <w:tcW w:w="3560" w:type="dxa"/>
            <w:vAlign w:val="bottom"/>
          </w:tcPr>
          <w:p>
            <w:pPr>
              <w:spacing w:after="0"/>
              <w:rPr>
                <w:sz w:val="18"/>
                <w:szCs w:val="18"/>
                <w:color w:val="auto"/>
              </w:rPr>
            </w:pPr>
          </w:p>
        </w:tc>
        <w:tc>
          <w:tcPr>
            <w:tcW w:w="7680" w:type="dxa"/>
            <w:vAlign w:val="bottom"/>
          </w:tcPr>
          <w:p>
            <w:pPr>
              <w:ind w:left="1180"/>
              <w:spacing w:after="0"/>
              <w:rPr>
                <w:sz w:val="20"/>
                <w:szCs w:val="20"/>
                <w:color w:val="auto"/>
              </w:rPr>
            </w:pPr>
            <w:r>
              <w:rPr>
                <w:rFonts w:ascii="Arial" w:cs="Arial" w:eastAsia="Arial" w:hAnsi="Arial"/>
                <w:sz w:val="18"/>
                <w:szCs w:val="18"/>
                <w:color w:val="auto"/>
              </w:rPr>
              <w:t>Facsimile: (650) 470-4570</w:t>
            </w:r>
          </w:p>
        </w:tc>
      </w:tr>
      <w:tr>
        <w:trPr>
          <w:trHeight w:val="216"/>
        </w:trPr>
        <w:tc>
          <w:tcPr>
            <w:tcW w:w="3560" w:type="dxa"/>
            <w:vAlign w:val="bottom"/>
            <w:shd w:val="clear" w:color="auto" w:fill="CCEEFF"/>
          </w:tcPr>
          <w:p>
            <w:pPr>
              <w:spacing w:after="0"/>
              <w:rPr>
                <w:sz w:val="18"/>
                <w:szCs w:val="18"/>
                <w:color w:val="auto"/>
              </w:rPr>
            </w:pPr>
          </w:p>
        </w:tc>
        <w:tc>
          <w:tcPr>
            <w:tcW w:w="768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Attention: Gregg A. Noel and Michael J. Mies</w:t>
            </w:r>
          </w:p>
        </w:tc>
      </w:tr>
      <w:tr>
        <w:trPr>
          <w:trHeight w:val="216"/>
        </w:trPr>
        <w:tc>
          <w:tcPr>
            <w:tcW w:w="3560" w:type="dxa"/>
            <w:vAlign w:val="bottom"/>
          </w:tcPr>
          <w:p>
            <w:pPr>
              <w:spacing w:after="0"/>
              <w:rPr>
                <w:sz w:val="18"/>
                <w:szCs w:val="18"/>
                <w:color w:val="auto"/>
              </w:rPr>
            </w:pPr>
          </w:p>
        </w:tc>
        <w:tc>
          <w:tcPr>
            <w:tcW w:w="7680" w:type="dxa"/>
            <w:vAlign w:val="bottom"/>
          </w:tcPr>
          <w:p>
            <w:pPr>
              <w:spacing w:after="0"/>
              <w:rPr>
                <w:sz w:val="18"/>
                <w:szCs w:val="18"/>
                <w:color w:val="auto"/>
              </w:rPr>
            </w:pPr>
          </w:p>
        </w:tc>
      </w:tr>
      <w:tr>
        <w:trPr>
          <w:trHeight w:val="216"/>
        </w:trPr>
        <w:tc>
          <w:tcPr>
            <w:tcW w:w="3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If to the Company:</w:t>
            </w:r>
          </w:p>
        </w:tc>
        <w:tc>
          <w:tcPr>
            <w:tcW w:w="768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FS Development Corp.</w:t>
            </w:r>
          </w:p>
        </w:tc>
      </w:tr>
      <w:tr>
        <w:trPr>
          <w:trHeight w:val="216"/>
        </w:trPr>
        <w:tc>
          <w:tcPr>
            <w:tcW w:w="3560" w:type="dxa"/>
            <w:vAlign w:val="bottom"/>
          </w:tcPr>
          <w:p>
            <w:pPr>
              <w:spacing w:after="0"/>
              <w:rPr>
                <w:sz w:val="18"/>
                <w:szCs w:val="18"/>
                <w:color w:val="auto"/>
              </w:rPr>
            </w:pPr>
          </w:p>
        </w:tc>
        <w:tc>
          <w:tcPr>
            <w:tcW w:w="7680" w:type="dxa"/>
            <w:vAlign w:val="bottom"/>
          </w:tcPr>
          <w:p>
            <w:pPr>
              <w:ind w:left="1180"/>
              <w:spacing w:after="0"/>
              <w:rPr>
                <w:sz w:val="20"/>
                <w:szCs w:val="20"/>
                <w:color w:val="auto"/>
              </w:rPr>
            </w:pPr>
            <w:r>
              <w:rPr>
                <w:rFonts w:ascii="Arial" w:cs="Arial" w:eastAsia="Arial" w:hAnsi="Arial"/>
                <w:sz w:val="18"/>
                <w:szCs w:val="18"/>
                <w:color w:val="auto"/>
              </w:rPr>
              <w:t>600 Montgomery Street, 4500</w:t>
            </w:r>
          </w:p>
        </w:tc>
      </w:tr>
      <w:tr>
        <w:trPr>
          <w:trHeight w:val="216"/>
        </w:trPr>
        <w:tc>
          <w:tcPr>
            <w:tcW w:w="3560" w:type="dxa"/>
            <w:vAlign w:val="bottom"/>
            <w:shd w:val="clear" w:color="auto" w:fill="CCEEFF"/>
          </w:tcPr>
          <w:p>
            <w:pPr>
              <w:spacing w:after="0"/>
              <w:rPr>
                <w:sz w:val="18"/>
                <w:szCs w:val="18"/>
                <w:color w:val="auto"/>
              </w:rPr>
            </w:pPr>
          </w:p>
        </w:tc>
        <w:tc>
          <w:tcPr>
            <w:tcW w:w="768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Facsimile: [●]</w:t>
            </w:r>
          </w:p>
        </w:tc>
      </w:tr>
      <w:tr>
        <w:trPr>
          <w:trHeight w:val="216"/>
        </w:trPr>
        <w:tc>
          <w:tcPr>
            <w:tcW w:w="3560" w:type="dxa"/>
            <w:vAlign w:val="bottom"/>
          </w:tcPr>
          <w:p>
            <w:pPr>
              <w:spacing w:after="0"/>
              <w:rPr>
                <w:sz w:val="18"/>
                <w:szCs w:val="18"/>
                <w:color w:val="auto"/>
              </w:rPr>
            </w:pPr>
          </w:p>
        </w:tc>
        <w:tc>
          <w:tcPr>
            <w:tcW w:w="7680" w:type="dxa"/>
            <w:vAlign w:val="bottom"/>
          </w:tcPr>
          <w:p>
            <w:pPr>
              <w:ind w:left="1180"/>
              <w:spacing w:after="0"/>
              <w:rPr>
                <w:sz w:val="20"/>
                <w:szCs w:val="20"/>
                <w:color w:val="auto"/>
              </w:rPr>
            </w:pPr>
            <w:r>
              <w:rPr>
                <w:rFonts w:ascii="Arial" w:cs="Arial" w:eastAsia="Arial" w:hAnsi="Arial"/>
                <w:sz w:val="18"/>
                <w:szCs w:val="18"/>
                <w:color w:val="auto"/>
              </w:rPr>
              <w:t>Attention: Dennis Ryan</w:t>
            </w:r>
          </w:p>
        </w:tc>
      </w:tr>
      <w:tr>
        <w:trPr>
          <w:trHeight w:val="216"/>
        </w:trPr>
        <w:tc>
          <w:tcPr>
            <w:tcW w:w="356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18"/>
                <w:szCs w:val="18"/>
                <w:color w:val="auto"/>
              </w:rPr>
            </w:pPr>
          </w:p>
        </w:tc>
      </w:tr>
      <w:tr>
        <w:trPr>
          <w:trHeight w:val="216"/>
        </w:trPr>
        <w:tc>
          <w:tcPr>
            <w:tcW w:w="3560" w:type="dxa"/>
            <w:vAlign w:val="bottom"/>
          </w:tcPr>
          <w:p>
            <w:pPr>
              <w:ind w:left="660"/>
              <w:spacing w:after="0"/>
              <w:rPr>
                <w:sz w:val="20"/>
                <w:szCs w:val="20"/>
                <w:color w:val="auto"/>
              </w:rPr>
            </w:pPr>
            <w:r>
              <w:rPr>
                <w:rFonts w:ascii="Arial" w:cs="Arial" w:eastAsia="Arial" w:hAnsi="Arial"/>
                <w:sz w:val="18"/>
                <w:szCs w:val="18"/>
                <w:color w:val="auto"/>
              </w:rPr>
              <w:t>with a copy to:</w:t>
            </w:r>
          </w:p>
        </w:tc>
        <w:tc>
          <w:tcPr>
            <w:tcW w:w="7680" w:type="dxa"/>
            <w:vAlign w:val="bottom"/>
          </w:tcPr>
          <w:p>
            <w:pPr>
              <w:ind w:left="1180"/>
              <w:spacing w:after="0"/>
              <w:rPr>
                <w:sz w:val="20"/>
                <w:szCs w:val="20"/>
                <w:color w:val="auto"/>
              </w:rPr>
            </w:pPr>
            <w:r>
              <w:rPr>
                <w:rFonts w:ascii="Arial" w:cs="Arial" w:eastAsia="Arial" w:hAnsi="Arial"/>
                <w:sz w:val="18"/>
                <w:szCs w:val="18"/>
                <w:color w:val="auto"/>
              </w:rPr>
              <w:t>White &amp; Case LLP</w:t>
            </w:r>
          </w:p>
        </w:tc>
      </w:tr>
      <w:tr>
        <w:trPr>
          <w:trHeight w:val="216"/>
        </w:trPr>
        <w:tc>
          <w:tcPr>
            <w:tcW w:w="3560" w:type="dxa"/>
            <w:vAlign w:val="bottom"/>
            <w:shd w:val="clear" w:color="auto" w:fill="CCEEFF"/>
          </w:tcPr>
          <w:p>
            <w:pPr>
              <w:spacing w:after="0"/>
              <w:rPr>
                <w:sz w:val="18"/>
                <w:szCs w:val="18"/>
                <w:color w:val="auto"/>
              </w:rPr>
            </w:pPr>
          </w:p>
        </w:tc>
        <w:tc>
          <w:tcPr>
            <w:tcW w:w="768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1221 Avenue of the Americas</w:t>
            </w:r>
          </w:p>
        </w:tc>
      </w:tr>
      <w:tr>
        <w:trPr>
          <w:trHeight w:val="216"/>
        </w:trPr>
        <w:tc>
          <w:tcPr>
            <w:tcW w:w="3560" w:type="dxa"/>
            <w:vAlign w:val="bottom"/>
          </w:tcPr>
          <w:p>
            <w:pPr>
              <w:spacing w:after="0"/>
              <w:rPr>
                <w:sz w:val="18"/>
                <w:szCs w:val="18"/>
                <w:color w:val="auto"/>
              </w:rPr>
            </w:pPr>
          </w:p>
        </w:tc>
        <w:tc>
          <w:tcPr>
            <w:tcW w:w="7680" w:type="dxa"/>
            <w:vAlign w:val="bottom"/>
          </w:tcPr>
          <w:p>
            <w:pPr>
              <w:ind w:left="1180"/>
              <w:spacing w:after="0"/>
              <w:rPr>
                <w:sz w:val="20"/>
                <w:szCs w:val="20"/>
                <w:color w:val="auto"/>
              </w:rPr>
            </w:pPr>
            <w:r>
              <w:rPr>
                <w:rFonts w:ascii="Arial" w:cs="Arial" w:eastAsia="Arial" w:hAnsi="Arial"/>
                <w:sz w:val="18"/>
                <w:szCs w:val="18"/>
                <w:color w:val="auto"/>
              </w:rPr>
              <w:t>New York, New York 10020</w:t>
            </w:r>
          </w:p>
        </w:tc>
      </w:tr>
      <w:tr>
        <w:trPr>
          <w:trHeight w:val="216"/>
        </w:trPr>
        <w:tc>
          <w:tcPr>
            <w:tcW w:w="3560" w:type="dxa"/>
            <w:vAlign w:val="bottom"/>
            <w:shd w:val="clear" w:color="auto" w:fill="CCEEFF"/>
          </w:tcPr>
          <w:p>
            <w:pPr>
              <w:spacing w:after="0"/>
              <w:rPr>
                <w:sz w:val="18"/>
                <w:szCs w:val="18"/>
                <w:color w:val="auto"/>
              </w:rPr>
            </w:pPr>
          </w:p>
        </w:tc>
        <w:tc>
          <w:tcPr>
            <w:tcW w:w="768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Facsimile: (212) 354-8113</w:t>
            </w:r>
          </w:p>
        </w:tc>
      </w:tr>
      <w:tr>
        <w:trPr>
          <w:trHeight w:val="230"/>
        </w:trPr>
        <w:tc>
          <w:tcPr>
            <w:tcW w:w="3560" w:type="dxa"/>
            <w:vAlign w:val="bottom"/>
          </w:tcPr>
          <w:p>
            <w:pPr>
              <w:spacing w:after="0"/>
              <w:rPr>
                <w:sz w:val="20"/>
                <w:szCs w:val="20"/>
                <w:color w:val="auto"/>
              </w:rPr>
            </w:pPr>
          </w:p>
        </w:tc>
        <w:tc>
          <w:tcPr>
            <w:tcW w:w="7680" w:type="dxa"/>
            <w:vAlign w:val="bottom"/>
          </w:tcPr>
          <w:p>
            <w:pPr>
              <w:ind w:left="1180"/>
              <w:spacing w:after="0"/>
              <w:rPr>
                <w:sz w:val="20"/>
                <w:szCs w:val="20"/>
                <w:color w:val="auto"/>
              </w:rPr>
            </w:pPr>
            <w:r>
              <w:rPr>
                <w:rFonts w:ascii="Arial" w:cs="Arial" w:eastAsia="Arial" w:hAnsi="Arial"/>
                <w:sz w:val="18"/>
                <w:szCs w:val="18"/>
                <w:color w:val="auto"/>
              </w:rPr>
              <w:t>Attention: Joel L. Rubenstein and Colin J. Diamond</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Any party hereto may change the address for receipt of communications by giving written notice to the others.</w:t>
      </w:r>
    </w:p>
    <w:p>
      <w:pPr>
        <w:spacing w:after="0" w:line="221" w:lineRule="exact"/>
        <w:rPr>
          <w:sz w:val="20"/>
          <w:szCs w:val="20"/>
          <w:color w:val="auto"/>
        </w:rPr>
      </w:pPr>
    </w:p>
    <w:p>
      <w:pPr>
        <w:ind w:right="100" w:firstLine="1296"/>
        <w:spacing w:after="0" w:line="258" w:lineRule="auto"/>
        <w:rPr>
          <w:sz w:val="20"/>
          <w:szCs w:val="20"/>
          <w:color w:val="auto"/>
        </w:rPr>
      </w:pPr>
      <w:r>
        <w:rPr>
          <w:rFonts w:ascii="Arial" w:cs="Arial" w:eastAsia="Arial" w:hAnsi="Arial"/>
          <w:sz w:val="18"/>
          <w:szCs w:val="18"/>
          <w:b w:val="1"/>
          <w:bCs w:val="1"/>
          <w:color w:val="auto"/>
        </w:rPr>
        <w:t>Section 15. Successors</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will inure to the benefit of and be binding upon the parties hereto, including any substitute</w:t>
      </w:r>
      <w:r>
        <w:rPr>
          <w:rFonts w:ascii="Arial" w:cs="Arial" w:eastAsia="Arial" w:hAnsi="Arial"/>
          <w:sz w:val="18"/>
          <w:szCs w:val="18"/>
          <w:b w:val="1"/>
          <w:bCs w:val="1"/>
          <w:color w:val="auto"/>
        </w:rPr>
        <w:t xml:space="preserve"> </w:t>
      </w:r>
      <w:r>
        <w:rPr>
          <w:rFonts w:ascii="Arial" w:cs="Arial" w:eastAsia="Arial" w:hAnsi="Arial"/>
          <w:sz w:val="18"/>
          <w:szCs w:val="18"/>
          <w:color w:val="auto"/>
        </w:rPr>
        <w:t>Underwriters pursuant to Section 10 hereof, and to the benefit of the affiliates, directors, officers, employees, agents and controlling persons referred to in Section 8 and Section 9, and in each case their respective successors, and personal representatives, and no other person will have any right or obligation hereunder. The term “</w:t>
      </w:r>
      <w:r>
        <w:rPr>
          <w:rFonts w:ascii="Arial" w:cs="Arial" w:eastAsia="Arial" w:hAnsi="Arial"/>
          <w:sz w:val="18"/>
          <w:szCs w:val="18"/>
          <w:b w:val="1"/>
          <w:bCs w:val="1"/>
          <w:color w:val="auto"/>
        </w:rPr>
        <w:t>successors</w:t>
      </w:r>
      <w:r>
        <w:rPr>
          <w:rFonts w:ascii="Arial" w:cs="Arial" w:eastAsia="Arial" w:hAnsi="Arial"/>
          <w:sz w:val="18"/>
          <w:szCs w:val="18"/>
          <w:color w:val="auto"/>
        </w:rPr>
        <w:t>” shall not include any purchaser of the Offered Securities as such from any of the Underwriters merely by reason of such purchase.</w:t>
      </w:r>
    </w:p>
    <w:p>
      <w:pPr>
        <w:spacing w:after="0" w:line="183" w:lineRule="exact"/>
        <w:rPr>
          <w:sz w:val="20"/>
          <w:szCs w:val="20"/>
          <w:color w:val="auto"/>
        </w:rPr>
      </w:pPr>
    </w:p>
    <w:p>
      <w:pPr>
        <w:ind w:right="160" w:firstLine="1296"/>
        <w:spacing w:after="0" w:line="261" w:lineRule="auto"/>
        <w:rPr>
          <w:sz w:val="20"/>
          <w:szCs w:val="20"/>
          <w:color w:val="auto"/>
        </w:rPr>
      </w:pPr>
      <w:r>
        <w:rPr>
          <w:rFonts w:ascii="Arial" w:cs="Arial" w:eastAsia="Arial" w:hAnsi="Arial"/>
          <w:sz w:val="18"/>
          <w:szCs w:val="18"/>
          <w:b w:val="1"/>
          <w:bCs w:val="1"/>
          <w:color w:val="auto"/>
        </w:rPr>
        <w:t>Section 16. Partial Unenforceability</w:t>
      </w:r>
      <w:r>
        <w:rPr>
          <w:rFonts w:ascii="Arial" w:cs="Arial" w:eastAsia="Arial" w:hAnsi="Arial"/>
          <w:sz w:val="18"/>
          <w:szCs w:val="18"/>
          <w:color w:val="auto"/>
        </w:rPr>
        <w:t>. The invalidity or unenforceability of any section, paragraph or provision of this Agreement shall</w:t>
      </w:r>
      <w:r>
        <w:rPr>
          <w:rFonts w:ascii="Arial" w:cs="Arial" w:eastAsia="Arial" w:hAnsi="Arial"/>
          <w:sz w:val="18"/>
          <w:szCs w:val="18"/>
          <w:b w:val="1"/>
          <w:bCs w:val="1"/>
          <w:color w:val="auto"/>
        </w:rPr>
        <w:t xml:space="preserve"> </w:t>
      </w:r>
      <w:r>
        <w:rPr>
          <w:rFonts w:ascii="Arial" w:cs="Arial" w:eastAsia="Arial" w:hAnsi="Arial"/>
          <w:sz w:val="18"/>
          <w:szCs w:val="18"/>
          <w:color w:val="auto"/>
        </w:rPr>
        <w:t>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3" w:name="page184"/>
    <w:bookmarkEnd w:id="183"/>
    <w:p>
      <w:pPr>
        <w:ind w:left="1300"/>
        <w:spacing w:after="0"/>
        <w:rPr>
          <w:sz w:val="20"/>
          <w:szCs w:val="20"/>
          <w:color w:val="auto"/>
        </w:rPr>
      </w:pPr>
      <w:r>
        <w:rPr>
          <w:rFonts w:ascii="Arial" w:cs="Arial" w:eastAsia="Arial" w:hAnsi="Arial"/>
          <w:sz w:val="18"/>
          <w:szCs w:val="18"/>
          <w:b w:val="1"/>
          <w:bCs w:val="1"/>
          <w:color w:val="auto"/>
        </w:rPr>
        <w:t>Section 17. Recognition of the U.S. Special Resolution Regimes</w:t>
      </w:r>
    </w:p>
    <w:p>
      <w:pPr>
        <w:spacing w:after="0" w:line="229" w:lineRule="exact"/>
        <w:rPr>
          <w:sz w:val="20"/>
          <w:szCs w:val="20"/>
          <w:color w:val="auto"/>
        </w:rPr>
      </w:pPr>
    </w:p>
    <w:p>
      <w:pPr>
        <w:ind w:right="320" w:firstLine="648"/>
        <w:spacing w:after="0" w:line="279" w:lineRule="auto"/>
        <w:rPr>
          <w:sz w:val="20"/>
          <w:szCs w:val="20"/>
          <w:color w:val="auto"/>
        </w:rPr>
      </w:pPr>
      <w:r>
        <w:rPr>
          <w:rFonts w:ascii="Arial" w:cs="Arial" w:eastAsia="Arial" w:hAnsi="Arial"/>
          <w:sz w:val="17"/>
          <w:szCs w:val="17"/>
          <w:color w:val="auto"/>
        </w:rPr>
        <w:t>In the event that any Underwriter that is a Covered Entity (as defined below) becomes subject to a proceeding under a U.S. Special Resolution Regime (as defined below), the transfer from such Underwriter of this Agreement, and any interest and obligation in or under this Agreement, will be effective to the same extent as the transfer would be effective under the U.S. Special Resolution Regime if this Agreement, and any such interest and obligation herein, were governed by the laws of the United States or a state of the United States.</w:t>
      </w:r>
    </w:p>
    <w:p>
      <w:pPr>
        <w:spacing w:after="0" w:line="17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the event that any Underwriter that is a Covered Entity or a BHC Act Affiliate (as defined below) of such Underwriter becomes subject to a proceeding under a U.S. Special Resolution Regime, Default Rights (as defined below)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87"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For purposes of this Agreement, (A) “BHC Act Affiliate” has the meaning assigned to the term “affiliate” in, and shall be interpreted in accordance with, 12 U.S.C. § 1841(k); (B)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(C) “Default Right” has the meaning assigned to that term in, and shall be interpreted in accordance with, 12 C.F.R. §§ 252.81, 47.2 or 382.1, as applicable; and (D) “U.S.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191" w:lineRule="exact"/>
        <w:rPr>
          <w:sz w:val="20"/>
          <w:szCs w:val="20"/>
          <w:color w:val="auto"/>
        </w:rPr>
      </w:pPr>
    </w:p>
    <w:p>
      <w:pPr>
        <w:ind w:right="60" w:firstLine="1296"/>
        <w:spacing w:after="0" w:line="270" w:lineRule="auto"/>
        <w:rPr>
          <w:sz w:val="20"/>
          <w:szCs w:val="20"/>
          <w:color w:val="auto"/>
        </w:rPr>
      </w:pPr>
      <w:r>
        <w:rPr>
          <w:rFonts w:ascii="Arial" w:cs="Arial" w:eastAsia="Arial" w:hAnsi="Arial"/>
          <w:sz w:val="17"/>
          <w:szCs w:val="17"/>
          <w:b w:val="1"/>
          <w:bCs w:val="1"/>
          <w:color w:val="auto"/>
        </w:rPr>
        <w:t>Section 18. Governing Law Provisions</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shall be governed by and construed in accordance with the internal laws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State of New York applicable to agreements made and to be performed in such state. Any legal suit, action or proceeding arising out of or based upon this Agreement or the transactions contemplated hereby may be instituted in the federal courts of the United States of America located in the Borough of Manhattan in the City of New York or the courts of the State of New York in each case located in the Borough of Manhattan in the City of New York (collectively, the “</w:t>
      </w:r>
      <w:r>
        <w:rPr>
          <w:rFonts w:ascii="Arial" w:cs="Arial" w:eastAsia="Arial" w:hAnsi="Arial"/>
          <w:sz w:val="17"/>
          <w:szCs w:val="17"/>
          <w:b w:val="1"/>
          <w:bCs w:val="1"/>
          <w:color w:val="auto"/>
        </w:rPr>
        <w:t>Specified Courts</w:t>
      </w:r>
      <w:r>
        <w:rPr>
          <w:rFonts w:ascii="Arial" w:cs="Arial" w:eastAsia="Arial" w:hAnsi="Arial"/>
          <w:sz w:val="17"/>
          <w:szCs w:val="17"/>
          <w:color w:val="auto"/>
        </w:rPr>
        <w:t>”), and each party irrevocably submits to the exclusive jurisdiction (except for proceedings instituted in regard to the enforcement of a judgment of any such court,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177" w:lineRule="exact"/>
        <w:rPr>
          <w:sz w:val="20"/>
          <w:szCs w:val="20"/>
          <w:color w:val="auto"/>
        </w:rPr>
      </w:pPr>
    </w:p>
    <w:p>
      <w:pPr>
        <w:ind w:right="60" w:firstLine="1296"/>
        <w:spacing w:after="0" w:line="294" w:lineRule="auto"/>
        <w:rPr>
          <w:sz w:val="20"/>
          <w:szCs w:val="20"/>
          <w:color w:val="auto"/>
        </w:rPr>
      </w:pPr>
      <w:r>
        <w:rPr>
          <w:rFonts w:ascii="Arial" w:cs="Arial" w:eastAsia="Arial" w:hAnsi="Arial"/>
          <w:sz w:val="16"/>
          <w:szCs w:val="16"/>
          <w:b w:val="1"/>
          <w:bCs w:val="1"/>
          <w:color w:val="auto"/>
        </w:rPr>
        <w:t xml:space="preserve">Section 19. General Provisions. </w:t>
      </w:r>
      <w:r>
        <w:rPr>
          <w:rFonts w:ascii="Arial" w:cs="Arial" w:eastAsia="Arial" w:hAnsi="Arial"/>
          <w:sz w:val="16"/>
          <w:szCs w:val="16"/>
          <w:color w:val="auto"/>
        </w:rPr>
        <w:t>This Agreement constitutes the entire agreement of the parties to this Agreement and supersedes all</w:t>
      </w:r>
      <w:r>
        <w:rPr>
          <w:rFonts w:ascii="Arial" w:cs="Arial" w:eastAsia="Arial" w:hAnsi="Arial"/>
          <w:sz w:val="16"/>
          <w:szCs w:val="16"/>
          <w:b w:val="1"/>
          <w:bCs w:val="1"/>
          <w:color w:val="auto"/>
        </w:rPr>
        <w:t xml:space="preserve"> </w:t>
      </w:r>
      <w:r>
        <w:rPr>
          <w:rFonts w:ascii="Arial" w:cs="Arial" w:eastAsia="Arial" w:hAnsi="Arial"/>
          <w:sz w:val="16"/>
          <w:szCs w:val="16"/>
          <w:color w:val="auto"/>
        </w:rPr>
        <w:t>prior 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This Agreement may not be amended or modified unless in writing by all of the parties hereto, and no condition herein (express or implied) may be waived unless waived in writing by each party whom the condition is meant to benefit. The section headings herein are for the convenience of the parties only and shall not affect the construction or interpretation of this Agreement.</w:t>
      </w:r>
    </w:p>
    <w:p>
      <w:pPr>
        <w:spacing w:after="0" w:line="164"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Each of the parties hereto acknowledges that it is a sophisticated business person who was adequately represented by counsel during negotiations regarding the provisions hereof, including, without limitation, the indemnification provisions of Section 8 and the contribution provisions of Section 9, and is fully informed regarding said provisions. Each of the parties hereto further acknowledges that the provisions of Section 8 and Section 9 hereof fairly allocate the risks in light of the ability of the parties to investigate the Company, its affairs and its business in order to assure that adequate disclosure has been made in the Registration Statement, any preliminary prospectus, the Time of Sale Prospectus and the Prospectus (and any amendments and supplements to the foregoing), as contemplated by the Securities Act and the Exchange Act.</w:t>
      </w: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84" w:name="page185"/>
    <w:bookmarkEnd w:id="184"/>
    <w:p>
      <w:pPr>
        <w:ind w:right="280" w:firstLine="648"/>
        <w:spacing w:after="0" w:line="308" w:lineRule="auto"/>
        <w:rPr>
          <w:sz w:val="20"/>
          <w:szCs w:val="20"/>
          <w:color w:val="auto"/>
        </w:rPr>
      </w:pPr>
      <w:r>
        <w:rPr>
          <w:rFonts w:ascii="Arial" w:cs="Arial" w:eastAsia="Arial" w:hAnsi="Arial"/>
          <w:sz w:val="17"/>
          <w:szCs w:val="17"/>
          <w:color w:val="auto"/>
        </w:rPr>
        <w:t>If the foregoing is in accordance with your understanding of our agreement, kindly sign and return to the Company the enclosed copies hereof, whereupon this instrument, along with all counterparts hereof, shall become a binding agreement in accordance with its terms.</w:t>
      </w:r>
    </w:p>
    <w:p>
      <w:pPr>
        <w:spacing w:after="0" w:line="14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FS DEVELOPMENT CORP.</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Dennis Ryan</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foregoing Underwriting Agreement is hereby confirmed and accepted by the Representative in New York, New York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JEFFERIES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Acting individually and as Representative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the several Underwriters named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attached </w:t>
      </w:r>
      <w:r>
        <w:rPr>
          <w:rFonts w:ascii="Arial" w:cs="Arial" w:eastAsia="Arial" w:hAnsi="Arial"/>
          <w:sz w:val="18"/>
          <w:szCs w:val="18"/>
          <w:u w:val="single" w:color="auto"/>
          <w:color w:val="auto"/>
        </w:rPr>
        <w:t>Schedule A</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JEFFERIES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56286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185" w:name="page186"/>
    <w:bookmarkEnd w:id="185"/>
    <w:p>
      <w:pPr>
        <w:jc w:val="right"/>
        <w:spacing w:after="0"/>
        <w:rPr>
          <w:sz w:val="20"/>
          <w:szCs w:val="20"/>
          <w:color w:val="auto"/>
        </w:rPr>
      </w:pPr>
      <w:r>
        <w:rPr>
          <w:rFonts w:ascii="Arial" w:cs="Arial" w:eastAsia="Arial" w:hAnsi="Arial"/>
          <w:sz w:val="18"/>
          <w:szCs w:val="18"/>
          <w:b w:val="1"/>
          <w:bCs w:val="1"/>
          <w:color w:val="auto"/>
        </w:rPr>
        <w:t>Schedule A</w:t>
      </w:r>
    </w:p>
    <w:p>
      <w:pPr>
        <w:spacing w:after="0" w:line="200" w:lineRule="exact"/>
        <w:rPr>
          <w:sz w:val="20"/>
          <w:szCs w:val="20"/>
          <w:color w:val="auto"/>
        </w:rPr>
      </w:pPr>
    </w:p>
    <w:p>
      <w:pPr>
        <w:spacing w:after="0" w:line="241" w:lineRule="exact"/>
        <w:rPr>
          <w:sz w:val="20"/>
          <w:szCs w:val="20"/>
          <w:color w:val="auto"/>
        </w:rPr>
      </w:pPr>
    </w:p>
    <w:p>
      <w:pPr>
        <w:ind w:left="9820"/>
        <w:spacing w:after="0"/>
        <w:rPr>
          <w:sz w:val="20"/>
          <w:szCs w:val="20"/>
          <w:color w:val="auto"/>
        </w:rPr>
      </w:pPr>
      <w:r>
        <w:rPr>
          <w:rFonts w:ascii="Arial" w:cs="Arial" w:eastAsia="Arial" w:hAnsi="Arial"/>
          <w:sz w:val="18"/>
          <w:szCs w:val="18"/>
          <w:b w:val="1"/>
          <w:bCs w:val="1"/>
          <w:color w:val="auto"/>
        </w:rPr>
        <w:t>Number of</w:t>
      </w:r>
    </w:p>
    <w:p>
      <w:pPr>
        <w:spacing w:after="0" w:line="27" w:lineRule="exact"/>
        <w:rPr>
          <w:sz w:val="20"/>
          <w:szCs w:val="20"/>
          <w:color w:val="auto"/>
        </w:rPr>
      </w:pPr>
    </w:p>
    <w:p>
      <w:pPr>
        <w:spacing w:after="0"/>
        <w:tabs>
          <w:tab w:leader="none" w:pos="9620" w:val="left"/>
        </w:tabs>
        <w:rPr>
          <w:sz w:val="20"/>
          <w:szCs w:val="20"/>
          <w:color w:val="auto"/>
        </w:rPr>
      </w:pPr>
      <w:r>
        <w:rPr>
          <w:rFonts w:ascii="Arial" w:cs="Arial" w:eastAsia="Arial" w:hAnsi="Arial"/>
          <w:sz w:val="18"/>
          <w:szCs w:val="18"/>
          <w:b w:val="1"/>
          <w:bCs w:val="1"/>
          <w:color w:val="auto"/>
        </w:rPr>
        <w:t>Underwriters</w:t>
      </w:r>
      <w:r>
        <w:rPr>
          <w:sz w:val="20"/>
          <w:szCs w:val="20"/>
          <w:color w:val="auto"/>
        </w:rPr>
        <w:tab/>
      </w:r>
      <w:r>
        <w:rPr>
          <w:rFonts w:ascii="Arial" w:cs="Arial" w:eastAsia="Arial" w:hAnsi="Arial"/>
          <w:sz w:val="18"/>
          <w:szCs w:val="18"/>
          <w:b w:val="1"/>
          <w:bCs w:val="1"/>
          <w:color w:val="auto"/>
        </w:rPr>
        <w:t>Firm Securities</w:t>
      </w:r>
    </w:p>
    <w:p>
      <w:pPr>
        <w:spacing w:after="0" w:line="9" w:lineRule="exact"/>
        <w:rPr>
          <w:sz w:val="20"/>
          <w:szCs w:val="20"/>
          <w:color w:val="auto"/>
        </w:rPr>
      </w:pPr>
    </w:p>
    <w:p>
      <w:pPr>
        <w:ind w:left="9620"/>
        <w:spacing w:after="0"/>
        <w:rPr>
          <w:sz w:val="20"/>
          <w:szCs w:val="20"/>
          <w:color w:val="auto"/>
        </w:rPr>
      </w:pPr>
      <w:r>
        <w:rPr>
          <w:rFonts w:ascii="Arial" w:cs="Arial" w:eastAsia="Arial" w:hAnsi="Arial"/>
          <w:sz w:val="18"/>
          <w:szCs w:val="18"/>
          <w:b w:val="1"/>
          <w:bCs w:val="1"/>
          <w:color w:val="auto"/>
        </w:rPr>
        <w:t>to be Purchased</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Jefferies LLC</w:t>
            </w:r>
          </w:p>
        </w:tc>
        <w:tc>
          <w:tcPr>
            <w:tcW w:w="1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r>
      <w:tr>
        <w:trPr>
          <w:trHeight w:val="236"/>
        </w:trPr>
        <w:tc>
          <w:tcPr>
            <w:tcW w:w="9340" w:type="dxa"/>
            <w:vAlign w:val="bottom"/>
            <w:tcBorders>
              <w:bottom w:val="single" w:sz="8" w:color="CCEEFF"/>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r>
      <w:tr>
        <w:trPr>
          <w:trHeight w:val="250"/>
        </w:trPr>
        <w:tc>
          <w:tcPr>
            <w:tcW w:w="9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10,000,000</w:t>
            </w:r>
          </w:p>
        </w:tc>
      </w:tr>
      <w:tr>
        <w:trPr>
          <w:trHeight w:val="21"/>
        </w:trPr>
        <w:tc>
          <w:tcPr>
            <w:tcW w:w="934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642"/>
        </w:trPr>
        <w:tc>
          <w:tcPr>
            <w:tcW w:w="93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186" w:name="page187"/>
    <w:bookmarkEnd w:id="186"/>
    <w:p>
      <w:pPr>
        <w:jc w:val="right"/>
        <w:spacing w:after="0"/>
        <w:rPr>
          <w:sz w:val="20"/>
          <w:szCs w:val="20"/>
          <w:color w:val="auto"/>
        </w:rPr>
      </w:pPr>
      <w:r>
        <w:rPr>
          <w:rFonts w:ascii="Arial" w:cs="Arial" w:eastAsia="Arial" w:hAnsi="Arial"/>
          <w:sz w:val="18"/>
          <w:szCs w:val="18"/>
          <w:b w:val="1"/>
          <w:bCs w:val="1"/>
          <w:color w:val="auto"/>
        </w:rPr>
        <w:t>Schedule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Time of Delivery Information</w:t>
      </w:r>
    </w:p>
    <w:p>
      <w:pPr>
        <w:spacing w:after="0" w:line="229" w:lineRule="exact"/>
        <w:rPr>
          <w:sz w:val="20"/>
          <w:szCs w:val="20"/>
          <w:color w:val="auto"/>
        </w:rPr>
      </w:pPr>
    </w:p>
    <w:p>
      <w:pPr>
        <w:ind w:left="180" w:hanging="172"/>
        <w:spacing w:after="0"/>
        <w:tabs>
          <w:tab w:leader="none" w:pos="1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Public offering price per share of Class A common stock: $10.00</w:t>
      </w:r>
    </w:p>
    <w:p>
      <w:pPr>
        <w:spacing w:after="0" w:line="225" w:lineRule="exact"/>
        <w:rPr>
          <w:rFonts w:ascii="Arial" w:cs="Arial" w:eastAsia="Arial" w:hAnsi="Arial"/>
          <w:sz w:val="18"/>
          <w:szCs w:val="18"/>
          <w:color w:val="auto"/>
        </w:rPr>
      </w:pPr>
    </w:p>
    <w:p>
      <w:pPr>
        <w:ind w:right="860" w:firstLine="8"/>
        <w:spacing w:after="0" w:line="277" w:lineRule="auto"/>
        <w:tabs>
          <w:tab w:leader="none" w:pos="1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Number of shares of Class A common stock offered: 10,000,000 (plus an additional 1,500,000 shares of Class A common stock subject to the underwriters’ over-allotment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7" w:name="page188"/>
    <w:bookmarkEnd w:id="187"/>
    <w:p>
      <w:pPr>
        <w:jc w:val="right"/>
        <w:spacing w:after="0"/>
        <w:rPr>
          <w:sz w:val="20"/>
          <w:szCs w:val="20"/>
          <w:color w:val="auto"/>
        </w:rPr>
      </w:pPr>
      <w:r>
        <w:rPr>
          <w:rFonts w:ascii="Arial" w:cs="Arial" w:eastAsia="Arial" w:hAnsi="Arial"/>
          <w:sz w:val="18"/>
          <w:szCs w:val="18"/>
          <w:b w:val="1"/>
          <w:bCs w:val="1"/>
          <w:color w:val="auto"/>
        </w:rPr>
        <w:t>Schedule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Permitted Section 5(d) Communications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Reference is made to the materials used in the testing the waters presentation made to potential investors by the Company, to the extent such materials are deemed to be a “written communication” within the meaning of Rule 405 under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8" w:name="page189"/>
    <w:bookmarkEnd w:id="188"/>
    <w:p>
      <w:pPr>
        <w:jc w:val="right"/>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Press Release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FS Development Corp.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FS Development Corp. (the “Company”) announced today that Jefferies LLC, the sole book-running manager and Representative of the underwriters in the Company’s recent public sale of 10,000,000 shares of Class A common stock, is [waiving] [releasing] a lock-up restriction with respect to the Company’s shares of Class A common stock held by [FS Development Holdings, LLC, a Delaware limited liability company, the sponsor] [certain officers or directors] [an officer or director] of the Company. The [waiver] [release] will take effect on [Date], and the securities may be sold or otherwise disposed of on or after such date.</w:t>
      </w:r>
    </w:p>
    <w:p>
      <w:pPr>
        <w:spacing w:after="0" w:line="184" w:lineRule="exact"/>
        <w:rPr>
          <w:sz w:val="20"/>
          <w:szCs w:val="20"/>
          <w:color w:val="auto"/>
        </w:rPr>
      </w:pPr>
    </w:p>
    <w:p>
      <w:pPr>
        <w:jc w:val="both"/>
        <w:ind w:right="120"/>
        <w:spacing w:after="0" w:line="266" w:lineRule="auto"/>
        <w:rPr>
          <w:sz w:val="20"/>
          <w:szCs w:val="20"/>
          <w:color w:val="auto"/>
        </w:rPr>
      </w:pPr>
      <w:r>
        <w:rPr>
          <w:rFonts w:ascii="Arial" w:cs="Arial" w:eastAsia="Arial" w:hAnsi="Arial"/>
          <w:sz w:val="18"/>
          <w:szCs w:val="18"/>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9" w:name="page190"/>
    <w:bookmarkEnd w:id="189"/>
    <w:p>
      <w:pPr>
        <w:jc w:val="right"/>
        <w:spacing w:after="0"/>
        <w:rPr>
          <w:sz w:val="20"/>
          <w:szCs w:val="20"/>
          <w:color w:val="auto"/>
        </w:rPr>
      </w:pPr>
      <w:r>
        <w:rPr>
          <w:rFonts w:ascii="Arial" w:cs="Arial" w:eastAsia="Arial" w:hAnsi="Arial"/>
          <w:sz w:val="22"/>
          <w:szCs w:val="22"/>
          <w:b w:val="1"/>
          <w:bCs w:val="1"/>
          <w:color w:val="auto"/>
        </w:rPr>
        <w:t>Exhibit 3.1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HINDSITE ACQUISITION CORP.</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24, 2020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undersigned, for the purposes of forming a corporation under the laws of the State of Delaware, does make, file, and record this Certificate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Incorporation (the “</w:t>
      </w:r>
      <w:r>
        <w:rPr>
          <w:rFonts w:ascii="Arial" w:cs="Arial" w:eastAsia="Arial" w:hAnsi="Arial"/>
          <w:sz w:val="18"/>
          <w:szCs w:val="18"/>
          <w:b w:val="1"/>
          <w:bCs w:val="1"/>
          <w:i w:val="1"/>
          <w:iCs w:val="1"/>
          <w:color w:val="auto"/>
        </w:rPr>
        <w:t>Certificate</w:t>
      </w:r>
      <w:r>
        <w:rPr>
          <w:rFonts w:ascii="Arial" w:cs="Arial" w:eastAsia="Arial" w:hAnsi="Arial"/>
          <w:sz w:val="18"/>
          <w:szCs w:val="18"/>
          <w:color w:val="auto"/>
        </w:rPr>
        <w:t>”), and does hereby certify as follows: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NAME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name of the corporation is Hindsite Acquisition Corp.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PURPOSE</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purpose of the Corporation is to engage in any lawful act or activity for which corporations may be organized under the General Corporation Law of the State of Delaware, as amended from time to time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 In addition to the powers and privileges conferred upon the Corporation by law and those incidental thereto, the Corporation shall possess and may exercise all the powers and privileges that are necessary or convenient to the conduct, promotion or attainment of the business or purposes of the Corporation, including, but not limited to, effecting a merger, capital stock exchange, asset acquisition, stock purchase, reorganization or similar business combination involving the Corporation and one or more businesses (a “</w:t>
      </w:r>
      <w:r>
        <w:rPr>
          <w:rFonts w:ascii="Arial" w:cs="Arial" w:eastAsia="Arial" w:hAnsi="Arial"/>
          <w:sz w:val="18"/>
          <w:szCs w:val="18"/>
          <w:b w:val="1"/>
          <w:bCs w:val="1"/>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Combination</w:t>
      </w:r>
      <w:r>
        <w:rPr>
          <w:rFonts w:ascii="Arial" w:cs="Arial" w:eastAsia="Arial" w:hAnsi="Arial"/>
          <w:sz w:val="18"/>
          <w:szCs w:val="18"/>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AGENT</w:t>
      </w:r>
    </w:p>
    <w:p>
      <w:pPr>
        <w:spacing w:after="0" w:line="21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address of the Corporation’s registered office in the State of Delaware is 251 Little Falls Drive, in the City of Wilmington, County of New Castle, State of Delaware, 19808, and the name of the Corporation’s registered agent at such address is Corporation Service Company.</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1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Section 4.1 </w:t>
      </w:r>
      <w:r>
        <w:rPr>
          <w:rFonts w:ascii="Arial" w:cs="Arial" w:eastAsia="Arial" w:hAnsi="Arial"/>
          <w:sz w:val="16"/>
          <w:szCs w:val="16"/>
          <w:u w:val="single" w:color="auto"/>
          <w:color w:val="auto"/>
        </w:rPr>
        <w:t>Authorized Capital Stock</w:t>
      </w:r>
      <w:r>
        <w:rPr>
          <w:rFonts w:ascii="Arial" w:cs="Arial" w:eastAsia="Arial" w:hAnsi="Arial"/>
          <w:sz w:val="16"/>
          <w:szCs w:val="16"/>
          <w:color w:val="auto"/>
        </w:rPr>
        <w:t>. The total number of shares of all classes of capital stock, each with a par value of $0.0001 per share, which the Corporation is authorized to issue is 111,000,000 shares, consisting of (a) 110,000,000 shares of common stock (the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including</w:t>
      </w:r>
    </w:p>
    <w:p>
      <w:pPr>
        <w:ind w:firstLine="8"/>
        <w:spacing w:after="0" w:line="260" w:lineRule="auto"/>
        <w:tabs>
          <w:tab w:leader="none" w:pos="236" w:val="left"/>
        </w:tabs>
        <w:numPr>
          <w:ilvl w:val="0"/>
          <w:numId w:val="131"/>
        </w:numPr>
        <w:rPr>
          <w:rFonts w:ascii="Arial" w:cs="Arial" w:eastAsia="Arial" w:hAnsi="Arial"/>
          <w:sz w:val="18"/>
          <w:szCs w:val="18"/>
          <w:color w:val="auto"/>
        </w:rPr>
      </w:pPr>
      <w:r>
        <w:rPr>
          <w:rFonts w:ascii="Arial" w:cs="Arial" w:eastAsia="Arial" w:hAnsi="Arial"/>
          <w:sz w:val="18"/>
          <w:szCs w:val="18"/>
          <w:color w:val="auto"/>
        </w:rPr>
        <w:t>100,000,000 shares of Class A common stock (the “</w:t>
      </w:r>
      <w:r>
        <w:rPr>
          <w:rFonts w:ascii="Arial" w:cs="Arial" w:eastAsia="Arial" w:hAnsi="Arial"/>
          <w:sz w:val="18"/>
          <w:szCs w:val="18"/>
          <w:b w:val="1"/>
          <w:bCs w:val="1"/>
          <w:i w:val="1"/>
          <w:iCs w:val="1"/>
          <w:color w:val="auto"/>
        </w:rPr>
        <w:t>Class A Common Stock</w:t>
      </w:r>
      <w:r>
        <w:rPr>
          <w:rFonts w:ascii="Arial" w:cs="Arial" w:eastAsia="Arial" w:hAnsi="Arial"/>
          <w:sz w:val="18"/>
          <w:szCs w:val="18"/>
          <w:color w:val="auto"/>
        </w:rPr>
        <w:t>”), and (ii) 10,000,000 shares of Class B common stock (the “</w:t>
      </w:r>
      <w:r>
        <w:rPr>
          <w:rFonts w:ascii="Arial" w:cs="Arial" w:eastAsia="Arial" w:hAnsi="Arial"/>
          <w:sz w:val="18"/>
          <w:szCs w:val="18"/>
          <w:b w:val="1"/>
          <w:bCs w:val="1"/>
          <w:i w:val="1"/>
          <w:iCs w:val="1"/>
          <w:color w:val="auto"/>
        </w:rPr>
        <w:t>Class B</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and (b) 1,000,000 shares of preferred stock (the “</w:t>
      </w: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90" w:name="page191"/>
    <w:bookmarkEnd w:id="190"/>
    <w:p>
      <w:pPr>
        <w:jc w:val="both"/>
        <w:ind w:firstLine="648"/>
        <w:spacing w:after="0" w:line="293" w:lineRule="auto"/>
        <w:rPr>
          <w:sz w:val="20"/>
          <w:szCs w:val="20"/>
          <w:color w:val="auto"/>
        </w:rPr>
      </w:pPr>
      <w:r>
        <w:rPr>
          <w:rFonts w:ascii="Arial" w:cs="Arial" w:eastAsia="Arial" w:hAnsi="Arial"/>
          <w:sz w:val="16"/>
          <w:szCs w:val="16"/>
          <w:color w:val="auto"/>
        </w:rPr>
        <w:t xml:space="preserve">Section 4.2 </w:t>
      </w:r>
      <w:r>
        <w:rPr>
          <w:rFonts w:ascii="Arial" w:cs="Arial" w:eastAsia="Arial" w:hAnsi="Arial"/>
          <w:sz w:val="16"/>
          <w:szCs w:val="16"/>
          <w:u w:val="single" w:color="auto"/>
          <w:color w:val="auto"/>
        </w:rPr>
        <w:t>Preferred Stock</w:t>
      </w:r>
      <w:r>
        <w:rPr>
          <w:rFonts w:ascii="Arial" w:cs="Arial" w:eastAsia="Arial" w:hAnsi="Arial"/>
          <w:sz w:val="16"/>
          <w:szCs w:val="16"/>
          <w:color w:val="auto"/>
        </w:rPr>
        <w:t>. The board of directors of the Corporation (the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is hereby expressly authorized to provide, out of the unissued shares of the Preferred Stock, one or more series of Preferred Stock, and to establish from time to time the number of shares to be included in each such series and to fix the voting rights, if any, designations, powers, preferences and relative, participating, optional, special and other rights, if any, of each such series and any qualifications, limitations and restrictions thereof, as shall be stated in the resolution or resolutions adopted by the Board providing for the issuance of such series and included in a certificate of designation (a “</w:t>
      </w:r>
      <w:r>
        <w:rPr>
          <w:rFonts w:ascii="Arial" w:cs="Arial" w:eastAsia="Arial" w:hAnsi="Arial"/>
          <w:sz w:val="16"/>
          <w:szCs w:val="16"/>
          <w:b w:val="1"/>
          <w:bCs w:val="1"/>
          <w:i w:val="1"/>
          <w:iCs w:val="1"/>
          <w:color w:val="auto"/>
        </w:rPr>
        <w:t>Preferred Stock Designation</w:t>
      </w:r>
      <w:r>
        <w:rPr>
          <w:rFonts w:ascii="Arial" w:cs="Arial" w:eastAsia="Arial" w:hAnsi="Arial"/>
          <w:sz w:val="16"/>
          <w:szCs w:val="16"/>
          <w:color w:val="auto"/>
        </w:rPr>
        <w:t>”) filed pursuant to the DGCL, and the Board is hereby expressly vested with the authority to the full extent provided by law, now or hereafter, to adopt any such resolution or resolutions.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Common Stock</w:t>
      </w:r>
      <w:r>
        <w:rPr>
          <w:rFonts w:ascii="Arial" w:cs="Arial" w:eastAsia="Arial" w:hAnsi="Arial"/>
          <w:sz w:val="18"/>
          <w:szCs w:val="18"/>
          <w:color w:val="auto"/>
        </w:rPr>
        <w:t>.</w:t>
      </w:r>
    </w:p>
    <w:p>
      <w:pPr>
        <w:spacing w:after="0" w:line="225" w:lineRule="exact"/>
        <w:rPr>
          <w:sz w:val="20"/>
          <w:szCs w:val="20"/>
          <w:color w:val="auto"/>
        </w:rPr>
      </w:pPr>
    </w:p>
    <w:p>
      <w:pPr>
        <w:ind w:left="1680" w:hanging="240"/>
        <w:spacing w:after="0"/>
        <w:tabs>
          <w:tab w:leader="none" w:pos="1680" w:val="left"/>
        </w:tabs>
        <w:numPr>
          <w:ilvl w:val="0"/>
          <w:numId w:val="132"/>
        </w:numPr>
        <w:rPr>
          <w:rFonts w:ascii="Arial" w:cs="Arial" w:eastAsia="Arial" w:hAnsi="Arial"/>
          <w:sz w:val="18"/>
          <w:szCs w:val="18"/>
          <w:color w:val="auto"/>
        </w:rPr>
      </w:pPr>
      <w:r>
        <w:rPr>
          <w:rFonts w:ascii="Arial" w:cs="Arial" w:eastAsia="Arial" w:hAnsi="Arial"/>
          <w:sz w:val="18"/>
          <w:szCs w:val="18"/>
          <w:i w:val="1"/>
          <w:iCs w:val="1"/>
          <w:color w:val="auto"/>
        </w:rPr>
        <w:t>Voting.</w:t>
      </w:r>
    </w:p>
    <w:p>
      <w:pPr>
        <w:spacing w:after="0" w:line="225" w:lineRule="exact"/>
        <w:rPr>
          <w:rFonts w:ascii="Arial" w:cs="Arial" w:eastAsia="Arial" w:hAnsi="Arial"/>
          <w:sz w:val="18"/>
          <w:szCs w:val="18"/>
          <w:color w:val="auto"/>
        </w:rPr>
      </w:pPr>
    </w:p>
    <w:p>
      <w:pPr>
        <w:ind w:left="1440" w:right="20" w:firstLine="660"/>
        <w:spacing w:after="0" w:line="277" w:lineRule="auto"/>
        <w:tabs>
          <w:tab w:leader="none" w:pos="2339" w:val="left"/>
        </w:tabs>
        <w:numPr>
          <w:ilvl w:val="1"/>
          <w:numId w:val="132"/>
        </w:numPr>
        <w:rPr>
          <w:rFonts w:ascii="Arial" w:cs="Arial" w:eastAsia="Arial" w:hAnsi="Arial"/>
          <w:sz w:val="18"/>
          <w:szCs w:val="18"/>
          <w:color w:val="auto"/>
        </w:rPr>
      </w:pPr>
      <w:r>
        <w:rPr>
          <w:rFonts w:ascii="Arial" w:cs="Arial" w:eastAsia="Arial" w:hAnsi="Arial"/>
          <w:sz w:val="18"/>
          <w:szCs w:val="18"/>
          <w:color w:val="auto"/>
        </w:rPr>
        <w:t>Except as otherwise required by law or this Certificate (including any Preferred Stock Designation), the holders of the Common Stock shall exclusively possess all voting power with respect to the Corporation.</w:t>
      </w:r>
    </w:p>
    <w:p>
      <w:pPr>
        <w:spacing w:after="0" w:line="170" w:lineRule="exact"/>
        <w:rPr>
          <w:rFonts w:ascii="Arial" w:cs="Arial" w:eastAsia="Arial" w:hAnsi="Arial"/>
          <w:sz w:val="18"/>
          <w:szCs w:val="18"/>
          <w:color w:val="auto"/>
        </w:rPr>
      </w:pPr>
    </w:p>
    <w:p>
      <w:pPr>
        <w:jc w:val="both"/>
        <w:ind w:left="1440" w:firstLine="660"/>
        <w:spacing w:after="0" w:line="263" w:lineRule="auto"/>
        <w:tabs>
          <w:tab w:leader="none" w:pos="2374" w:val="left"/>
        </w:tabs>
        <w:numPr>
          <w:ilvl w:val="1"/>
          <w:numId w:val="132"/>
        </w:numPr>
        <w:rPr>
          <w:rFonts w:ascii="Arial" w:cs="Arial" w:eastAsia="Arial" w:hAnsi="Arial"/>
          <w:sz w:val="18"/>
          <w:szCs w:val="18"/>
          <w:color w:val="auto"/>
        </w:rPr>
      </w:pPr>
      <w:r>
        <w:rPr>
          <w:rFonts w:ascii="Arial" w:cs="Arial" w:eastAsia="Arial" w:hAnsi="Arial"/>
          <w:sz w:val="18"/>
          <w:szCs w:val="18"/>
          <w:color w:val="auto"/>
        </w:rPr>
        <w:t>Except as otherwise required by law or this Certificate (including any Preferred Stock Designation), the holders of shares of Common Stock shall be entitled to one vote for each such share on each matter properly submitted to the stockholders on which the holders of the Common Stock are entitled to vote.</w:t>
      </w:r>
    </w:p>
    <w:p>
      <w:pPr>
        <w:spacing w:after="0" w:line="183" w:lineRule="exact"/>
        <w:rPr>
          <w:rFonts w:ascii="Arial" w:cs="Arial" w:eastAsia="Arial" w:hAnsi="Arial"/>
          <w:sz w:val="18"/>
          <w:szCs w:val="18"/>
          <w:color w:val="auto"/>
        </w:rPr>
      </w:pPr>
    </w:p>
    <w:p>
      <w:pPr>
        <w:jc w:val="both"/>
        <w:ind w:left="1440" w:firstLine="660"/>
        <w:spacing w:after="0" w:line="289" w:lineRule="auto"/>
        <w:tabs>
          <w:tab w:leader="none" w:pos="2439" w:val="left"/>
        </w:tabs>
        <w:numPr>
          <w:ilvl w:val="1"/>
          <w:numId w:val="132"/>
        </w:numPr>
        <w:rPr>
          <w:rFonts w:ascii="Arial" w:cs="Arial" w:eastAsia="Arial" w:hAnsi="Arial"/>
          <w:sz w:val="16"/>
          <w:szCs w:val="16"/>
          <w:color w:val="auto"/>
        </w:rPr>
      </w:pPr>
      <w:r>
        <w:rPr>
          <w:rFonts w:ascii="Arial" w:cs="Arial" w:eastAsia="Arial" w:hAnsi="Arial"/>
          <w:sz w:val="16"/>
          <w:szCs w:val="16"/>
          <w:color w:val="auto"/>
        </w:rPr>
        <w:t>Except as otherwise required by law or this Certificate (including any Preferred Stock Designation), at any annual or special meeting of the stockholders of the Corporation, holders of the Class A Common Stock and holders of the Class B Common Stock, voting together as a single class, shall have the exclusive right to vote for the election of directors and on all other matters properly submitted to a vote of the stockholders. Notwithstanding the foregoing, except as otherwise required by law or this Certificate (including any Preferred Stock Designation), holders of shares of any series of Common Stock shall not be entitled to vote on any amendment to this Certificate (including any amendment to any Preferred Stock Designation) that relates solely to the terms of one or more outstanding series of Preferred Stock or other series of Common Stock if the holders of such affected series of Preferred Stock or Common Stock, as applicable, are entitled exclusively, either separately or together with the holders of one or more other such series, to vote thereon pursuant to this Certificate (including any Preferred Stock Designation) or the DGCL.</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1" w:name="page192"/>
    <w:bookmarkEnd w:id="191"/>
    <w:p>
      <w:pPr>
        <w:ind w:left="580" w:hanging="260"/>
        <w:spacing w:after="0"/>
        <w:tabs>
          <w:tab w:leader="none" w:pos="580" w:val="left"/>
        </w:tabs>
        <w:numPr>
          <w:ilvl w:val="0"/>
          <w:numId w:val="133"/>
        </w:numPr>
        <w:rPr>
          <w:rFonts w:ascii="Arial" w:cs="Arial" w:eastAsia="Arial" w:hAnsi="Arial"/>
          <w:sz w:val="18"/>
          <w:szCs w:val="18"/>
          <w:color w:val="auto"/>
        </w:rPr>
      </w:pPr>
      <w:r>
        <w:rPr>
          <w:rFonts w:ascii="Arial" w:cs="Arial" w:eastAsia="Arial" w:hAnsi="Arial"/>
          <w:sz w:val="18"/>
          <w:szCs w:val="18"/>
          <w:i w:val="1"/>
          <w:iCs w:val="1"/>
          <w:color w:val="auto"/>
        </w:rPr>
        <w:t>Class B Common Stock.</w:t>
      </w:r>
    </w:p>
    <w:p>
      <w:pPr>
        <w:spacing w:after="0" w:line="225" w:lineRule="exact"/>
        <w:rPr>
          <w:rFonts w:ascii="Arial" w:cs="Arial" w:eastAsia="Arial" w:hAnsi="Arial"/>
          <w:sz w:val="18"/>
          <w:szCs w:val="18"/>
          <w:color w:val="auto"/>
        </w:rPr>
      </w:pPr>
    </w:p>
    <w:p>
      <w:pPr>
        <w:jc w:val="both"/>
        <w:ind w:left="320" w:firstLine="660"/>
        <w:spacing w:after="0" w:line="263" w:lineRule="auto"/>
        <w:tabs>
          <w:tab w:leader="none" w:pos="1208" w:val="left"/>
        </w:tabs>
        <w:numPr>
          <w:ilvl w:val="1"/>
          <w:numId w:val="133"/>
        </w:numPr>
        <w:rPr>
          <w:rFonts w:ascii="Arial" w:cs="Arial" w:eastAsia="Arial" w:hAnsi="Arial"/>
          <w:sz w:val="18"/>
          <w:szCs w:val="18"/>
          <w:color w:val="auto"/>
        </w:rPr>
      </w:pPr>
      <w:r>
        <w:rPr>
          <w:rFonts w:ascii="Arial" w:cs="Arial" w:eastAsia="Arial" w:hAnsi="Arial"/>
          <w:sz w:val="18"/>
          <w:szCs w:val="18"/>
          <w:color w:val="auto"/>
        </w:rPr>
        <w:t>Shares of Class B Common Stock shall be convertible into shares of Class A Common Stock on a one-for-one basis (the “</w:t>
      </w:r>
      <w:r>
        <w:rPr>
          <w:rFonts w:ascii="Arial" w:cs="Arial" w:eastAsia="Arial" w:hAnsi="Arial"/>
          <w:sz w:val="18"/>
          <w:szCs w:val="18"/>
          <w:b w:val="1"/>
          <w:bCs w:val="1"/>
          <w:i w:val="1"/>
          <w:iCs w:val="1"/>
          <w:color w:val="auto"/>
        </w:rPr>
        <w:t>Initial Conversion Ratio</w:t>
      </w:r>
      <w:r>
        <w:rPr>
          <w:rFonts w:ascii="Arial" w:cs="Arial" w:eastAsia="Arial" w:hAnsi="Arial"/>
          <w:sz w:val="18"/>
          <w:szCs w:val="18"/>
          <w:color w:val="auto"/>
        </w:rPr>
        <w:t>”) automatically concurrently with or immediately following the closing of the Business Combination (as defined below).</w:t>
      </w:r>
    </w:p>
    <w:p>
      <w:pPr>
        <w:spacing w:after="0" w:line="183" w:lineRule="exact"/>
        <w:rPr>
          <w:rFonts w:ascii="Arial" w:cs="Arial" w:eastAsia="Arial" w:hAnsi="Arial"/>
          <w:sz w:val="18"/>
          <w:szCs w:val="18"/>
          <w:color w:val="auto"/>
        </w:rPr>
      </w:pPr>
    </w:p>
    <w:p>
      <w:pPr>
        <w:jc w:val="both"/>
        <w:ind w:left="320" w:firstLine="660"/>
        <w:spacing w:after="0" w:line="284" w:lineRule="auto"/>
        <w:tabs>
          <w:tab w:leader="none" w:pos="1269" w:val="left"/>
        </w:tabs>
        <w:numPr>
          <w:ilvl w:val="1"/>
          <w:numId w:val="133"/>
        </w:numPr>
        <w:rPr>
          <w:rFonts w:ascii="Arial" w:cs="Arial" w:eastAsia="Arial" w:hAnsi="Arial"/>
          <w:sz w:val="16"/>
          <w:szCs w:val="16"/>
          <w:color w:val="auto"/>
        </w:rPr>
      </w:pPr>
      <w:r>
        <w:rPr>
          <w:rFonts w:ascii="Arial" w:cs="Arial" w:eastAsia="Arial" w:hAnsi="Arial"/>
          <w:sz w:val="16"/>
          <w:szCs w:val="16"/>
          <w:color w:val="auto"/>
        </w:rPr>
        <w:t>Notwithstanding the Initial Conversion Ratio, in the case that additional shares of Class A Common Stock, or equity-linked securities, are issued or deemed issued in excess of the amounts sold in the Corporation’s initial public offering of securities (the “</w:t>
      </w:r>
      <w:r>
        <w:rPr>
          <w:rFonts w:ascii="Arial" w:cs="Arial" w:eastAsia="Arial" w:hAnsi="Arial"/>
          <w:sz w:val="16"/>
          <w:szCs w:val="16"/>
          <w:b w:val="1"/>
          <w:bCs w:val="1"/>
          <w:i w:val="1"/>
          <w:iCs w:val="1"/>
          <w:color w:val="auto"/>
        </w:rPr>
        <w:t>Offering</w:t>
      </w:r>
      <w:r>
        <w:rPr>
          <w:rFonts w:ascii="Arial" w:cs="Arial" w:eastAsia="Arial" w:hAnsi="Arial"/>
          <w:sz w:val="16"/>
          <w:szCs w:val="16"/>
          <w:color w:val="auto"/>
        </w:rPr>
        <w:t>”) and related to or in connection with the closing of the initial Business Combination, all issued and outstanding shares of Class B Common Stock shall automatically convert into shares of Class A Common Stock at the time of the closing of the Corporation’s initial Business Combination, the ratio for which the shares of Class B Common Stock shall convert into shares of Class A Common Stock will be adjusted so that the number of shares of Class A Common Stock issuable upon conversion of all shares of Class B Common Stock will equal, in the aggregate, 25% of the sum of (a) the total number of all shares of Class A Common Stock issued in the Offering (including any shares of Class A Common Stock issued pursuant to the underwriters’ over-allotment option) plus</w:t>
      </w:r>
    </w:p>
    <w:p>
      <w:pPr>
        <w:jc w:val="both"/>
        <w:ind w:left="320"/>
        <w:spacing w:after="0" w:line="287" w:lineRule="auto"/>
        <w:tabs>
          <w:tab w:leader="none" w:pos="58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 sum of (i) all shares of Class A Common Stock issued or deemed issued or issuable upon conversion or exercise of any equity-linked securities or rights issued or deemed issued in connection with or in relation to the consummation of a Business Combination (including any shares of Class A Common Stock issued pursuant to a forward purchase agreement), excluding any shares of Class A Common Stock or equity-linked securities or rights issued, or to be issued, to any seller in a Business Combination, any private placement warrants issued to Hindsite Acquisition Holdings, LLC (the “</w:t>
      </w:r>
      <w:r>
        <w:rPr>
          <w:rFonts w:ascii="Arial" w:cs="Arial" w:eastAsia="Arial" w:hAnsi="Arial"/>
          <w:sz w:val="16"/>
          <w:szCs w:val="16"/>
          <w:b w:val="1"/>
          <w:bCs w:val="1"/>
          <w:i w:val="1"/>
          <w:iCs w:val="1"/>
          <w:color w:val="auto"/>
        </w:rPr>
        <w:t>Sponsor</w:t>
      </w:r>
      <w:r>
        <w:rPr>
          <w:rFonts w:ascii="Arial" w:cs="Arial" w:eastAsia="Arial" w:hAnsi="Arial"/>
          <w:sz w:val="16"/>
          <w:szCs w:val="16"/>
          <w:color w:val="auto"/>
        </w:rPr>
        <w:t>”), or an affiliate of the Sponsor or the Corporation’s officers and directors upon the conversion of working capital loans made to the Corporation and any warrants issued pursuant to a forward purchase agreement, minus (ii) the number of shares of Class A Common Stock redeemed in connection with a Business Combination, provided that such conversion of shares of Class B Common Stock shall never be less than the Initial Conversion Ratio.</w:t>
      </w:r>
    </w:p>
    <w:p>
      <w:pPr>
        <w:spacing w:after="0" w:line="170" w:lineRule="exact"/>
        <w:rPr>
          <w:sz w:val="20"/>
          <w:szCs w:val="20"/>
          <w:color w:val="auto"/>
        </w:rPr>
      </w:pPr>
    </w:p>
    <w:p>
      <w:pPr>
        <w:jc w:val="both"/>
        <w:ind w:left="320" w:firstLine="660"/>
        <w:spacing w:after="0" w:line="275" w:lineRule="auto"/>
        <w:rPr>
          <w:sz w:val="20"/>
          <w:szCs w:val="20"/>
          <w:color w:val="auto"/>
        </w:rPr>
      </w:pPr>
      <w:r>
        <w:rPr>
          <w:rFonts w:ascii="Arial" w:cs="Arial" w:eastAsia="Arial" w:hAnsi="Arial"/>
          <w:sz w:val="17"/>
          <w:szCs w:val="17"/>
          <w:color w:val="auto"/>
        </w:rPr>
        <w:t xml:space="preserve">Notwithstanding anything to the contrary contained herein, (i) the foregoing adjustment to the Initial Conversion Ratio may be waived as to any particular issuance or deemed issuance of additional shares of Class A Common Stock or equity-linked securities by the written consent or agreement of holders of a majority of the shares of Class B Common Stock then outstanding consenting or agreeing separately as a single class in the manner provided in </w:t>
      </w:r>
      <w:r>
        <w:rPr>
          <w:rFonts w:ascii="Arial" w:cs="Arial" w:eastAsia="Arial" w:hAnsi="Arial"/>
          <w:sz w:val="17"/>
          <w:szCs w:val="17"/>
          <w:u w:val="single" w:color="auto"/>
          <w:color w:val="auto"/>
        </w:rPr>
        <w:t>Section 4.3(b)(iii)</w:t>
      </w:r>
      <w:r>
        <w:rPr>
          <w:rFonts w:ascii="Arial" w:cs="Arial" w:eastAsia="Arial" w:hAnsi="Arial"/>
          <w:sz w:val="17"/>
          <w:szCs w:val="17"/>
          <w:color w:val="auto"/>
        </w:rPr>
        <w:t>, and (ii) in no event shall the Class B Common Stock convert into Class A Common Stock at a ratio that is less than one-for-one.</w:t>
      </w:r>
    </w:p>
    <w:p>
      <w:pPr>
        <w:spacing w:after="0" w:line="385"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92" w:name="page193"/>
    <w:bookmarkEnd w:id="192"/>
    <w:p>
      <w:pPr>
        <w:jc w:val="both"/>
        <w:ind w:left="320" w:firstLine="660"/>
        <w:spacing w:after="0" w:line="296" w:lineRule="auto"/>
        <w:rPr>
          <w:sz w:val="20"/>
          <w:szCs w:val="20"/>
          <w:color w:val="auto"/>
        </w:rPr>
      </w:pPr>
      <w:r>
        <w:rPr>
          <w:rFonts w:ascii="Arial" w:cs="Arial" w:eastAsia="Arial" w:hAnsi="Arial"/>
          <w:sz w:val="16"/>
          <w:szCs w:val="16"/>
          <w:color w:val="auto"/>
        </w:rPr>
        <w:t>The foregoing conversion ratio shall also be adjusted to account for any subdivision (by stock split, subdivision, exchange, stock dividend, reclassification, recapitalization or otherwise) or combination (by reverse stock split, exchange, reclassification, recapitalization or otherwise) or similar reclassification or recapitalization of the outstanding shares of Class A Common Stock into a greater or lesser number of shares occurring after the original filing of this Certificate without a proportionate and corresponding subdivision, combination or similar reclassification or recapitalization of the outstanding shares of Class B Common Stock.</w:t>
      </w:r>
    </w:p>
    <w:p>
      <w:pPr>
        <w:spacing w:after="0" w:line="161" w:lineRule="exact"/>
        <w:rPr>
          <w:sz w:val="20"/>
          <w:szCs w:val="20"/>
          <w:color w:val="auto"/>
        </w:rPr>
      </w:pPr>
    </w:p>
    <w:p>
      <w:pPr>
        <w:jc w:val="both"/>
        <w:ind w:left="320" w:firstLine="660"/>
        <w:spacing w:after="0" w:line="293" w:lineRule="auto"/>
        <w:rPr>
          <w:sz w:val="20"/>
          <w:szCs w:val="20"/>
          <w:color w:val="auto"/>
        </w:rPr>
      </w:pPr>
      <w:r>
        <w:rPr>
          <w:rFonts w:ascii="Arial" w:cs="Arial" w:eastAsia="Arial" w:hAnsi="Arial"/>
          <w:sz w:val="16"/>
          <w:szCs w:val="16"/>
          <w:color w:val="auto"/>
        </w:rPr>
        <w:t xml:space="preserve">Each share of Class B Common Stock shall convert into its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number of shares of Class A Common Stock pursuant to this </w:t>
      </w:r>
      <w:r>
        <w:rPr>
          <w:rFonts w:ascii="Arial" w:cs="Arial" w:eastAsia="Arial" w:hAnsi="Arial"/>
          <w:sz w:val="16"/>
          <w:szCs w:val="16"/>
          <w:u w:val="single" w:color="auto"/>
          <w:color w:val="auto"/>
        </w:rPr>
        <w:t>Section 4.3(b)</w:t>
      </w:r>
      <w:r>
        <w:rPr>
          <w:rFonts w:ascii="Arial" w:cs="Arial" w:eastAsia="Arial" w:hAnsi="Arial"/>
          <w:sz w:val="16"/>
          <w:szCs w:val="16"/>
          <w:color w:val="auto"/>
        </w:rPr>
        <w:t xml:space="preserve">. The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 for each holder of Class B Common Stock will be determined as follows: Each share of Class B Common Stock shall convert into such number of shares of Class A Common Stock as is equal to the product of one (1) multiplied by a fraction, the numerator of which shall be the total number of shares of Class A Common Stock into which all of the issued and outstanding shares of Class B Common Stock shall be converted pursuant to this </w:t>
      </w:r>
      <w:r>
        <w:rPr>
          <w:rFonts w:ascii="Arial" w:cs="Arial" w:eastAsia="Arial" w:hAnsi="Arial"/>
          <w:sz w:val="16"/>
          <w:szCs w:val="16"/>
          <w:u w:val="single" w:color="auto"/>
          <w:color w:val="auto"/>
        </w:rPr>
        <w:t>Section 4.3(b)</w:t>
      </w:r>
      <w:r>
        <w:rPr>
          <w:rFonts w:ascii="Arial" w:cs="Arial" w:eastAsia="Arial" w:hAnsi="Arial"/>
          <w:sz w:val="16"/>
          <w:szCs w:val="16"/>
          <w:color w:val="auto"/>
        </w:rPr>
        <w:t xml:space="preserve"> and the denominator of which shall be the total number of issued and outstanding shares of Class B Common Stock at the time of conversion.</w:t>
      </w:r>
    </w:p>
    <w:p>
      <w:pPr>
        <w:spacing w:after="0" w:line="164" w:lineRule="exact"/>
        <w:rPr>
          <w:sz w:val="20"/>
          <w:szCs w:val="20"/>
          <w:color w:val="auto"/>
        </w:rPr>
      </w:pPr>
    </w:p>
    <w:p>
      <w:pPr>
        <w:jc w:val="both"/>
        <w:ind w:left="320" w:firstLine="660"/>
        <w:spacing w:after="0" w:line="267" w:lineRule="auto"/>
        <w:tabs>
          <w:tab w:leader="none" w:pos="1295" w:val="left"/>
        </w:tabs>
        <w:numPr>
          <w:ilvl w:val="0"/>
          <w:numId w:val="135"/>
        </w:numPr>
        <w:rPr>
          <w:rFonts w:ascii="Arial" w:cs="Arial" w:eastAsia="Arial" w:hAnsi="Arial"/>
          <w:sz w:val="17"/>
          <w:szCs w:val="17"/>
          <w:color w:val="auto"/>
        </w:rPr>
      </w:pPr>
      <w:r>
        <w:rPr>
          <w:rFonts w:ascii="Arial" w:cs="Arial" w:eastAsia="Arial" w:hAnsi="Arial"/>
          <w:sz w:val="17"/>
          <w:szCs w:val="17"/>
          <w:i w:val="1"/>
          <w:iCs w:val="1"/>
          <w:color w:val="auto"/>
        </w:rPr>
        <w:t xml:space="preserve">Voting. </w:t>
      </w:r>
      <w:r>
        <w:rPr>
          <w:rFonts w:ascii="Arial" w:cs="Arial" w:eastAsia="Arial" w:hAnsi="Arial"/>
          <w:sz w:val="17"/>
          <w:szCs w:val="17"/>
          <w:color w:val="auto"/>
        </w:rPr>
        <w:t>Except as otherwise required by law or this Certificate (including any Preferred Stock Designation), for so long as</w:t>
      </w:r>
      <w:r>
        <w:rPr>
          <w:rFonts w:ascii="Arial" w:cs="Arial" w:eastAsia="Arial" w:hAnsi="Arial"/>
          <w:sz w:val="17"/>
          <w:szCs w:val="17"/>
          <w:i w:val="1"/>
          <w:iCs w:val="1"/>
          <w:color w:val="auto"/>
        </w:rPr>
        <w:t xml:space="preserve"> </w:t>
      </w:r>
      <w:r>
        <w:rPr>
          <w:rFonts w:ascii="Arial" w:cs="Arial" w:eastAsia="Arial" w:hAnsi="Arial"/>
          <w:sz w:val="17"/>
          <w:szCs w:val="17"/>
          <w:color w:val="auto"/>
        </w:rPr>
        <w:t>any shares of Class B Common Stock shall remain outstanding, the Corporation shall not, without the prior vote or written consent of the holders of a majority of the shares of Class B Common Stock then outstanding, voting separately as a single class, amend, alter or repeal any provision of this Certificate, whether by merger, consolidation or otherwise, if such amendment, alteration or repeal would alter or change the powers, preferences or relative, participating, optional or other or special rights of the Class B Common Stock. Any action required or permitted to be taken at any meeting of the holders of Class B Common Stock may be taken without a meeting, without prior notice and without a vote, if a consent or consents in writing, setting forth the action so taken, shall be signed by the holders of the outstanding Class B Common Stock having not less than the minimum number of votes that would be necessary to authorize or take such action at a meeting at which all shares of Class B Common Stock were present and voted and shall be delivered to the Corporation by delivery to its registered office in the State of Delaware, its principal place of business, or an officer or agent of the Corporation having custody of the book in which minutes of proceedings of stockholders are recorded. Delivery made to the Corporation’s registered office shall be by hand or by certified or registered mail, return receipt requested. Prompt written notice of the taking of corporate action without a meeting by less than unanimous written consent of the holders of Class B Common Stock shall, to the extent required by law, be given to those holders of Class B Common Stock who have not consented in writing and who, if the action had been taken at a meeting, would have been entitled to notice of the meeting if the record date for notice of such meeting had been the date that written consents signed by a sufficient number of holders of Class B Common Stock to take the action were delivered to the Corporation.</w:t>
      </w:r>
    </w:p>
    <w:p>
      <w:pPr>
        <w:spacing w:after="0" w:line="400"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93" w:name="page194"/>
    <w:bookmarkEnd w:id="193"/>
    <w:p>
      <w:pPr>
        <w:jc w:val="both"/>
        <w:ind w:firstLine="1440"/>
        <w:spacing w:after="0" w:line="259" w:lineRule="auto"/>
        <w:tabs>
          <w:tab w:leader="none" w:pos="1676" w:val="left"/>
        </w:tabs>
        <w:numPr>
          <w:ilvl w:val="0"/>
          <w:numId w:val="136"/>
        </w:numPr>
        <w:rPr>
          <w:rFonts w:ascii="Arial" w:cs="Arial" w:eastAsia="Arial" w:hAnsi="Arial"/>
          <w:sz w:val="18"/>
          <w:szCs w:val="18"/>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Subject to applicable law, the rights, if any, of the holders of any outstanding series of the Preferred Stock, the holders of</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Common Stock shall be entitled to receive such dividends and other distributions (payable in cash, property or capital stock of the Corporation) when, as and if declared thereon by the Board from time to time out of any assets or funds of the Corporation legally available therefor and shall share equally on a per share basis in such dividends and distributions.</w:t>
      </w:r>
    </w:p>
    <w:p>
      <w:pPr>
        <w:spacing w:after="0" w:line="186" w:lineRule="exact"/>
        <w:rPr>
          <w:rFonts w:ascii="Arial" w:cs="Arial" w:eastAsia="Arial" w:hAnsi="Arial"/>
          <w:sz w:val="18"/>
          <w:szCs w:val="18"/>
          <w:color w:val="auto"/>
        </w:rPr>
      </w:pPr>
    </w:p>
    <w:p>
      <w:pPr>
        <w:jc w:val="both"/>
        <w:ind w:firstLine="1440"/>
        <w:spacing w:after="0" w:line="257" w:lineRule="auto"/>
        <w:tabs>
          <w:tab w:leader="none" w:pos="1700" w:val="left"/>
        </w:tabs>
        <w:numPr>
          <w:ilvl w:val="0"/>
          <w:numId w:val="136"/>
        </w:numPr>
        <w:rPr>
          <w:rFonts w:ascii="Arial" w:cs="Arial" w:eastAsia="Arial" w:hAnsi="Arial"/>
          <w:sz w:val="18"/>
          <w:szCs w:val="18"/>
          <w:color w:val="auto"/>
        </w:rPr>
      </w:pPr>
      <w:r>
        <w:rPr>
          <w:rFonts w:ascii="Arial" w:cs="Arial" w:eastAsia="Arial" w:hAnsi="Arial"/>
          <w:sz w:val="18"/>
          <w:szCs w:val="18"/>
          <w:i w:val="1"/>
          <w:iCs w:val="1"/>
          <w:color w:val="auto"/>
        </w:rPr>
        <w:t xml:space="preserve">Liquidation, Dissolution or Winding Up of the Corporation. </w:t>
      </w:r>
      <w:r>
        <w:rPr>
          <w:rFonts w:ascii="Arial" w:cs="Arial" w:eastAsia="Arial" w:hAnsi="Arial"/>
          <w:sz w:val="18"/>
          <w:szCs w:val="18"/>
          <w:color w:val="auto"/>
        </w:rPr>
        <w:t>Subject to applicable law, the rights, if any, of the holders of any</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series of the Preferred Stock, in the event of any voluntary or involuntary liquidation, dissolution or winding up of the Corporation, after payment or provision for payment of the debts and other liabilities of the Corporation, the holders of shares of Common Stock shall be entitled to receive all the remaining assets of the Corporation available for distribution to its stockholders, ratably in proportion to the number of shares of Common Stock held by them.</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Rights and Options</w:t>
      </w:r>
      <w:r>
        <w:rPr>
          <w:rFonts w:ascii="Arial" w:cs="Arial" w:eastAsia="Arial" w:hAnsi="Arial"/>
          <w:sz w:val="18"/>
          <w:szCs w:val="18"/>
          <w:color w:val="auto"/>
        </w:rPr>
        <w:t>. The Corporation has the authority to create and issue rights, warrants and options entitling the holders thereof to acquire from the Corporation any shares of its capital stock of any class or classes, with such rights, warrants and options to be evidenced by or in instrument(s) approved by the Board. The Board is empowered to set the exercise price, duration, times for exercise and other terms and conditions of such rights, warrants or options; provided, however, that the consideration to be received for any shares of capital stock issuable upon exercise thereof may not be less than the par value thereof.</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80" w:type="dxa"/>
            <w:vAlign w:val="bottom"/>
          </w:tcPr>
          <w:p>
            <w:pPr>
              <w:spacing w:after="0"/>
              <w:rPr>
                <w:sz w:val="18"/>
                <w:szCs w:val="18"/>
                <w:color w:val="auto"/>
              </w:rPr>
            </w:pPr>
          </w:p>
        </w:tc>
        <w:tc>
          <w:tcPr>
            <w:tcW w:w="8160" w:type="dxa"/>
            <w:vAlign w:val="bottom"/>
            <w:gridSpan w:val="3"/>
          </w:tcPr>
          <w:p>
            <w:pPr>
              <w:jc w:val="center"/>
              <w:ind w:right="2970"/>
              <w:spacing w:after="0"/>
              <w:rPr>
                <w:sz w:val="20"/>
                <w:szCs w:val="20"/>
                <w:color w:val="auto"/>
              </w:rPr>
            </w:pPr>
            <w:r>
              <w:rPr>
                <w:rFonts w:ascii="Arial" w:cs="Arial" w:eastAsia="Arial" w:hAnsi="Arial"/>
                <w:sz w:val="18"/>
                <w:szCs w:val="18"/>
                <w:b w:val="1"/>
                <w:bCs w:val="1"/>
                <w:color w:val="auto"/>
              </w:rPr>
              <w:t>ARTICLE V</w:t>
            </w:r>
          </w:p>
        </w:tc>
      </w:tr>
      <w:tr>
        <w:trPr>
          <w:trHeight w:val="234"/>
        </w:trPr>
        <w:tc>
          <w:tcPr>
            <w:tcW w:w="3080" w:type="dxa"/>
            <w:vAlign w:val="bottom"/>
          </w:tcPr>
          <w:p>
            <w:pPr>
              <w:spacing w:after="0"/>
              <w:rPr>
                <w:sz w:val="20"/>
                <w:szCs w:val="20"/>
                <w:color w:val="auto"/>
              </w:rPr>
            </w:pPr>
          </w:p>
        </w:tc>
        <w:tc>
          <w:tcPr>
            <w:tcW w:w="8160" w:type="dxa"/>
            <w:vAlign w:val="bottom"/>
            <w:gridSpan w:val="3"/>
          </w:tcPr>
          <w:p>
            <w:pPr>
              <w:jc w:val="center"/>
              <w:ind w:right="2990"/>
              <w:spacing w:after="0"/>
              <w:rPr>
                <w:sz w:val="20"/>
                <w:szCs w:val="20"/>
                <w:color w:val="auto"/>
              </w:rPr>
            </w:pPr>
            <w:r>
              <w:rPr>
                <w:rFonts w:ascii="Arial" w:cs="Arial" w:eastAsia="Arial" w:hAnsi="Arial"/>
                <w:sz w:val="18"/>
                <w:szCs w:val="18"/>
                <w:b w:val="1"/>
                <w:bCs w:val="1"/>
                <w:color w:val="auto"/>
                <w:w w:val="99"/>
              </w:rPr>
              <w:t>INCORPORATOR</w:t>
            </w:r>
          </w:p>
        </w:tc>
      </w:tr>
      <w:tr>
        <w:trPr>
          <w:trHeight w:val="432"/>
        </w:trPr>
        <w:tc>
          <w:tcPr>
            <w:tcW w:w="11240" w:type="dxa"/>
            <w:vAlign w:val="bottom"/>
            <w:gridSpan w:val="4"/>
          </w:tcPr>
          <w:p>
            <w:pPr>
              <w:ind w:left="660"/>
              <w:spacing w:after="0"/>
              <w:rPr>
                <w:sz w:val="20"/>
                <w:szCs w:val="20"/>
                <w:color w:val="auto"/>
              </w:rPr>
            </w:pPr>
            <w:r>
              <w:rPr>
                <w:rFonts w:ascii="Arial" w:cs="Arial" w:eastAsia="Arial" w:hAnsi="Arial"/>
                <w:sz w:val="18"/>
                <w:szCs w:val="18"/>
                <w:color w:val="auto"/>
              </w:rPr>
              <w:t>The name and mailing address of the sole incorporator of the Corporation are as follows:</w:t>
            </w:r>
          </w:p>
        </w:tc>
      </w:tr>
      <w:tr>
        <w:trPr>
          <w:trHeight w:val="439"/>
        </w:trPr>
        <w:tc>
          <w:tcPr>
            <w:tcW w:w="3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24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Borders>
              <w:bottom w:val="single" w:sz="8" w:color="auto"/>
            </w:tcBorders>
          </w:tcPr>
          <w:p>
            <w:pPr>
              <w:ind w:left="2440"/>
              <w:spacing w:after="0"/>
              <w:rPr>
                <w:sz w:val="20"/>
                <w:szCs w:val="20"/>
                <w:color w:val="auto"/>
              </w:rPr>
            </w:pPr>
            <w:r>
              <w:rPr>
                <w:rFonts w:ascii="Arial" w:cs="Arial" w:eastAsia="Arial" w:hAnsi="Arial"/>
                <w:sz w:val="18"/>
                <w:szCs w:val="18"/>
                <w:b w:val="1"/>
                <w:bCs w:val="1"/>
                <w:color w:val="auto"/>
              </w:rPr>
              <w:t>Address</w:t>
            </w:r>
          </w:p>
        </w:tc>
      </w:tr>
      <w:tr>
        <w:trPr>
          <w:trHeight w:val="202"/>
        </w:trPr>
        <w:tc>
          <w:tcPr>
            <w:tcW w:w="3080" w:type="dxa"/>
            <w:vAlign w:val="bottom"/>
          </w:tcPr>
          <w:p>
            <w:pPr>
              <w:spacing w:after="0" w:line="201" w:lineRule="exact"/>
              <w:rPr>
                <w:sz w:val="20"/>
                <w:szCs w:val="20"/>
                <w:color w:val="auto"/>
              </w:rPr>
            </w:pPr>
            <w:r>
              <w:rPr>
                <w:rFonts w:ascii="Arial" w:cs="Arial" w:eastAsia="Arial" w:hAnsi="Arial"/>
                <w:sz w:val="18"/>
                <w:szCs w:val="18"/>
                <w:color w:val="auto"/>
              </w:rPr>
              <w:t>Colin J. Diamond</w:t>
            </w:r>
          </w:p>
        </w:tc>
        <w:tc>
          <w:tcPr>
            <w:tcW w:w="2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500" w:type="dxa"/>
            <w:vAlign w:val="bottom"/>
          </w:tcPr>
          <w:p>
            <w:pPr>
              <w:spacing w:after="0" w:line="201" w:lineRule="exact"/>
              <w:rPr>
                <w:sz w:val="20"/>
                <w:szCs w:val="20"/>
                <w:color w:val="auto"/>
              </w:rPr>
            </w:pPr>
            <w:r>
              <w:rPr>
                <w:rFonts w:ascii="Arial" w:cs="Arial" w:eastAsia="Arial" w:hAnsi="Arial"/>
                <w:sz w:val="18"/>
                <w:szCs w:val="18"/>
                <w:color w:val="auto"/>
              </w:rPr>
              <w:t>White &amp; Case LLP</w:t>
            </w:r>
          </w:p>
        </w:tc>
      </w:tr>
      <w:tr>
        <w:trPr>
          <w:trHeight w:val="216"/>
        </w:trPr>
        <w:tc>
          <w:tcPr>
            <w:tcW w:w="30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1221 Avenue of the Americas</w:t>
            </w:r>
          </w:p>
        </w:tc>
      </w:tr>
      <w:tr>
        <w:trPr>
          <w:trHeight w:val="230"/>
        </w:trPr>
        <w:tc>
          <w:tcPr>
            <w:tcW w:w="30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New York, NY 10020</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OF DIRECTORS</w:t>
      </w:r>
    </w:p>
    <w:p>
      <w:pPr>
        <w:spacing w:after="0" w:line="21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Section 6.1 </w:t>
      </w:r>
      <w:r>
        <w:rPr>
          <w:rFonts w:ascii="Arial" w:cs="Arial" w:eastAsia="Arial" w:hAnsi="Arial"/>
          <w:sz w:val="17"/>
          <w:szCs w:val="17"/>
          <w:u w:val="single" w:color="auto"/>
          <w:color w:val="auto"/>
        </w:rPr>
        <w:t>Board Powers.</w:t>
      </w:r>
      <w:r>
        <w:rPr>
          <w:rFonts w:ascii="Arial" w:cs="Arial" w:eastAsia="Arial" w:hAnsi="Arial"/>
          <w:sz w:val="17"/>
          <w:szCs w:val="17"/>
          <w:color w:val="auto"/>
        </w:rPr>
        <w:t xml:space="preserve"> The business and affairs of the Corporation shall be managed by, or under the direction of, the Board. In addition to the powers and authority expressly conferred upon the Board by statute, this Certificate or the Bylaws (the “</w:t>
      </w:r>
      <w:r>
        <w:rPr>
          <w:rFonts w:ascii="Arial" w:cs="Arial" w:eastAsia="Arial" w:hAnsi="Arial"/>
          <w:sz w:val="17"/>
          <w:szCs w:val="17"/>
          <w:b w:val="1"/>
          <w:bCs w:val="1"/>
          <w:i w:val="1"/>
          <w:iCs w:val="1"/>
          <w:color w:val="auto"/>
        </w:rPr>
        <w:t>Bylaws</w:t>
      </w:r>
      <w:r>
        <w:rPr>
          <w:rFonts w:ascii="Arial" w:cs="Arial" w:eastAsia="Arial" w:hAnsi="Arial"/>
          <w:sz w:val="17"/>
          <w:szCs w:val="17"/>
          <w:color w:val="auto"/>
        </w:rPr>
        <w:t>”) of the Corporation, the Board is hereby empowered to exercise all such powers and do all such acts and things as may be exercised or done by the Corporation, subject, nevertheless, to the provisions of the DGCL, this Certificate and any Bylaws adopted by the stockholders; provided, however, that no Bylaws hereafter adopted by the stockholders shall invalidate any prior act of the Board that would have been valid if such Bylaws had not been adopted.</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4" w:name="page195"/>
    <w:bookmarkEnd w:id="194"/>
    <w:p>
      <w:pPr>
        <w:ind w:left="660"/>
        <w:spacing w:after="0"/>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Number, Election and Term.</w:t>
      </w:r>
    </w:p>
    <w:p>
      <w:pPr>
        <w:spacing w:after="0" w:line="225" w:lineRule="exact"/>
        <w:rPr>
          <w:sz w:val="20"/>
          <w:szCs w:val="20"/>
          <w:color w:val="auto"/>
        </w:rPr>
      </w:pPr>
    </w:p>
    <w:p>
      <w:pPr>
        <w:jc w:val="both"/>
        <w:ind w:firstLine="1304"/>
        <w:spacing w:after="0" w:line="263" w:lineRule="auto"/>
        <w:tabs>
          <w:tab w:leader="none" w:pos="15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number of directors of the Corporation, other than those who may be elected by the holders of one or more series of the Preferred Stock voting separately by class or series, shall be fixed from time to time exclusively by the Board pursuant to a resolution adopted by a majority of the Board.</w:t>
      </w:r>
    </w:p>
    <w:p>
      <w:pPr>
        <w:spacing w:after="0" w:line="183" w:lineRule="exact"/>
        <w:rPr>
          <w:rFonts w:ascii="Arial" w:cs="Arial" w:eastAsia="Arial" w:hAnsi="Arial"/>
          <w:sz w:val="18"/>
          <w:szCs w:val="18"/>
          <w:color w:val="auto"/>
        </w:rPr>
      </w:pPr>
    </w:p>
    <w:p>
      <w:pPr>
        <w:ind w:right="20" w:firstLine="1304"/>
        <w:spacing w:after="0" w:line="308" w:lineRule="auto"/>
        <w:tabs>
          <w:tab w:leader="none" w:pos="1553" w:val="left"/>
        </w:tabs>
        <w:numPr>
          <w:ilvl w:val="0"/>
          <w:numId w:val="137"/>
        </w:numPr>
        <w:rPr>
          <w:rFonts w:ascii="Arial" w:cs="Arial" w:eastAsia="Arial" w:hAnsi="Arial"/>
          <w:sz w:val="17"/>
          <w:szCs w:val="17"/>
          <w:color w:val="auto"/>
        </w:rPr>
      </w:pPr>
      <w:r>
        <w:rPr>
          <w:rFonts w:ascii="Arial" w:cs="Arial" w:eastAsia="Arial" w:hAnsi="Arial"/>
          <w:sz w:val="17"/>
          <w:szCs w:val="17"/>
          <w:color w:val="auto"/>
        </w:rPr>
        <w:t>A director shall hold office until the annual meeting for the year in which his or her term expires and until his or her successor has been elected and qualified, subject, however, to such director’s earlier death, resignation, retirement, disqualification or removal.</w:t>
      </w:r>
    </w:p>
    <w:p>
      <w:pPr>
        <w:spacing w:after="0" w:line="146" w:lineRule="exact"/>
        <w:rPr>
          <w:rFonts w:ascii="Arial" w:cs="Arial" w:eastAsia="Arial" w:hAnsi="Arial"/>
          <w:sz w:val="17"/>
          <w:szCs w:val="17"/>
          <w:color w:val="auto"/>
        </w:rPr>
      </w:pPr>
    </w:p>
    <w:p>
      <w:pPr>
        <w:ind w:left="1540" w:hanging="236"/>
        <w:spacing w:after="0"/>
        <w:tabs>
          <w:tab w:leader="none" w:pos="15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Unless and except to the extent that the Bylaws shall so require, the election of directors need not be by written ballot.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Newly Created Directorships and Vacancies</w:t>
      </w:r>
      <w:r>
        <w:rPr>
          <w:rFonts w:ascii="Arial" w:cs="Arial" w:eastAsia="Arial" w:hAnsi="Arial"/>
          <w:sz w:val="18"/>
          <w:szCs w:val="18"/>
          <w:color w:val="auto"/>
        </w:rPr>
        <w:t>. Newly created directorships resulting from an increase in the number of directors and any vacancies on the Board resulting from death, resignation, retirement, disqualification, removal or other cause may be filled solely and exclusively by a majority vote of the remaining directors then in office, even if less than a quorum or by a sole remaining director (and not by stockholders), and any director so chosen shall hold office for the remainder of the full term of the class of directors to which the new directorship was added or in which the vacancy occurred and until his or her successor has been elected and qualified, subject, however, to such director’s earlier death, resignation, retirement, disqualification or removal.</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Removal</w:t>
      </w:r>
      <w:r>
        <w:rPr>
          <w:rFonts w:ascii="Arial" w:cs="Arial" w:eastAsia="Arial" w:hAnsi="Arial"/>
          <w:sz w:val="18"/>
          <w:szCs w:val="18"/>
          <w:color w:val="auto"/>
        </w:rPr>
        <w:t>. Any or all of the directors may be removed from office at any time, but only for cause and only by the affirmative vote of holders of a majority of the voting power of all then outstanding shares of capital stock of the Corporation entitled to vote generally in the election of directors, voting together as a single class.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u w:val="single" w:color="auto"/>
          <w:color w:val="auto"/>
        </w:rPr>
        <w:t>Quorum</w:t>
      </w:r>
      <w:r>
        <w:rPr>
          <w:rFonts w:ascii="Arial" w:cs="Arial" w:eastAsia="Arial" w:hAnsi="Arial"/>
          <w:sz w:val="18"/>
          <w:szCs w:val="18"/>
          <w:color w:val="auto"/>
        </w:rPr>
        <w:t>. A quorum for the transaction of business by the directors shall be set forth in the Bylaws.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w:t>
      </w:r>
    </w:p>
    <w:p>
      <w:pPr>
        <w:spacing w:after="0" w:line="2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furtherance and not in limitation of the powers conferred upon it by law, the Board shall have the power and is expressly authorized to adopt, amend, alter or repeal the Bylaws. The affirmative vote of a majority of the Board shall be required to adopt, amend, alter or repeal the Bylaws. The Bylaws also may be adopted, amended, altered or repealed by the stockholders; provided, however, that in addition to any vote of the holders of any class or series of capital stock of the Corporation required by law or by this Certificate (including any Preferred Stock Designation), the affirmative vote of the holders of at least a majority of the voting power of all then outstanding shares of capital stock of the Corporation entitled to vote generally in the election of directors, voting together as a single class, shall be required for the stockholders to adopt, amend, alter or repeal the Bylaws; and provided further, however, that no Bylaws hereafter adopted by the stockholders shall invalidate any prior act of the Board that would have been valid if such Bylaws had not been adopted.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5" w:name="page196"/>
    <w:bookmarkEnd w:id="195"/>
    <w:p>
      <w:pPr>
        <w:jc w:val="center"/>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LIMITED LIABILITY; INDEMNIFICATION</w:t>
      </w:r>
    </w:p>
    <w:p>
      <w:pPr>
        <w:spacing w:after="0" w:line="2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Limitation of Director Liability</w:t>
      </w:r>
      <w:r>
        <w:rPr>
          <w:rFonts w:ascii="Arial" w:cs="Arial" w:eastAsia="Arial" w:hAnsi="Arial"/>
          <w:sz w:val="18"/>
          <w:szCs w:val="18"/>
          <w:color w:val="auto"/>
        </w:rPr>
        <w:t>. A director of the Corporation shall not be personally liable to the Corporation or its stockholders for monetary damages for breach of fiduciary duty as a director, except to the extent such exemption from liability or limitation thereof is not permitted under the DGCL as the same exists or may hereafter be amended unless a director violated his or her duty of loyalty to the Corporation or its stockholders, acted in bad faith, knowingly or intentionally violated the law, authorized unlawful payments of dividends, unlawful stock purchases or unlawful redemptions, or derived improper personal benefit from his or her actions as a director. Any amendment, modification or repeal of the foregoing sentence shall not adversely affect any right or protection of a director of the Corporation hereunder in respect of any act or omission occurring prior to the time of such amendment, modification or repeal.</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Indemnification and Advancement of Expenses.</w:t>
      </w:r>
    </w:p>
    <w:p>
      <w:pPr>
        <w:spacing w:after="0" w:line="225" w:lineRule="exact"/>
        <w:rPr>
          <w:sz w:val="20"/>
          <w:szCs w:val="20"/>
          <w:color w:val="auto"/>
        </w:rPr>
      </w:pPr>
    </w:p>
    <w:p>
      <w:pPr>
        <w:jc w:val="both"/>
        <w:ind w:firstLine="656"/>
        <w:spacing w:after="0" w:line="285" w:lineRule="auto"/>
        <w:tabs>
          <w:tab w:leader="none" w:pos="902"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To the fullest extent permitted by applicable law, as the same exists or may hereafter be amended, the Corporation shall indemnify and hold harmless each person who is or was made a party or is threatened to be made a party to or is otherwise involved in any threatened, pending or completed action, suit or proceeding, whether civil, criminal, administrative or investigative (a “</w:t>
      </w:r>
      <w:r>
        <w:rPr>
          <w:rFonts w:ascii="Arial" w:cs="Arial" w:eastAsia="Arial" w:hAnsi="Arial"/>
          <w:sz w:val="16"/>
          <w:szCs w:val="16"/>
          <w:b w:val="1"/>
          <w:bCs w:val="1"/>
          <w:i w:val="1"/>
          <w:iCs w:val="1"/>
          <w:color w:val="auto"/>
        </w:rPr>
        <w:t>proceeding</w:t>
      </w:r>
      <w:r>
        <w:rPr>
          <w:rFonts w:ascii="Arial" w:cs="Arial" w:eastAsia="Arial" w:hAnsi="Arial"/>
          <w:sz w:val="16"/>
          <w:szCs w:val="16"/>
          <w:color w:val="auto"/>
        </w:rPr>
        <w:t>”) by reason of the fact that he or she is or was a director or officer of the Corporation or, while a director or officer of the Corporation, is or was serving at the request of the Corporation as a director, officer, employee or agent of another corporation or of a partnership, joint venture, trust, other enterprise or nonprofit entity, including service with respect to an employee benefit plan (an “</w:t>
      </w:r>
      <w:r>
        <w:rPr>
          <w:rFonts w:ascii="Arial" w:cs="Arial" w:eastAsia="Arial" w:hAnsi="Arial"/>
          <w:sz w:val="16"/>
          <w:szCs w:val="16"/>
          <w:b w:val="1"/>
          <w:bCs w:val="1"/>
          <w:i w:val="1"/>
          <w:iCs w:val="1"/>
          <w:color w:val="auto"/>
        </w:rPr>
        <w:t>indemnitee</w:t>
      </w:r>
      <w:r>
        <w:rPr>
          <w:rFonts w:ascii="Arial" w:cs="Arial" w:eastAsia="Arial" w:hAnsi="Arial"/>
          <w:sz w:val="16"/>
          <w:szCs w:val="16"/>
          <w:color w:val="auto"/>
        </w:rPr>
        <w:t xml:space="preserve">”), whether the basis of such proceeding is alleged action in an official capacity as a director, officer, employee or agent, or in any other capacity while serving as a director, officer, employee or agent, against all liability and loss suffered and expenses (including, without limitation, attorneys’ fees, judgments, fines, ERISA excise taxes and penalties and amounts paid in settlement) reasonably incurred by such indemnitee in connection with such proceeding. The Corporation shall to the fullest extent not prohibited by applicable law pay the expenses (including attorneys’ fees) incurred by an indemnitee in defending or otherwise participating in any proceeding in advance of its final disposition; provided, however, that, to the extent required by applicable law, such payment of expenses in advance of the final disposition of the proceeding shall be made only upon receipt of an undertaking, by or on behalf of the indemnitee, to repay all amounts so advanced if it shall ultimately be determined that the indemnitee is not entitled to be indemnified under this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or otherwise. The rights to indemnification and advancement of expenses conferred by this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shall be contract rights and such rights shall continue as to an indemnitee who has ceased to be a director, officer, employee or agent and shall inure to the benefit of his or her heirs, executors and administrators. Notwithstanding the foregoing provisions of this </w:t>
      </w:r>
      <w:r>
        <w:rPr>
          <w:rFonts w:ascii="Arial" w:cs="Arial" w:eastAsia="Arial" w:hAnsi="Arial"/>
          <w:sz w:val="16"/>
          <w:szCs w:val="16"/>
          <w:u w:val="single" w:color="auto"/>
          <w:color w:val="auto"/>
        </w:rPr>
        <w:t>Section 8.2(a)</w:t>
      </w:r>
      <w:r>
        <w:rPr>
          <w:rFonts w:ascii="Arial" w:cs="Arial" w:eastAsia="Arial" w:hAnsi="Arial"/>
          <w:sz w:val="16"/>
          <w:szCs w:val="16"/>
          <w:color w:val="auto"/>
        </w:rPr>
        <w:t>, except for proceedings to enforce rights to indemnification and advancement of expenses, the Corporation shall indemnify and advance expenses to an indemnitee in connection with a proceeding (or part thereof) initiated by such indemnitee only if such proceeding (or part thereof) was authorized by the Board.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6" w:name="page197"/>
    <w:bookmarkEnd w:id="196"/>
    <w:p>
      <w:pPr>
        <w:jc w:val="both"/>
        <w:ind w:firstLine="656"/>
        <w:spacing w:after="0" w:line="263" w:lineRule="auto"/>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xml:space="preserve">The rights to indemnification and advancement of expenses conferred on any indemnitee by this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shall not be exclusive of any other rights that any indemnitee may have or hereafter acquire under law, this Certificate, the Bylaws, an agreement, vote of stockholders or disinterested directors, or otherwise.</w:t>
      </w:r>
    </w:p>
    <w:p>
      <w:pPr>
        <w:spacing w:after="0" w:line="183" w:lineRule="exact"/>
        <w:rPr>
          <w:rFonts w:ascii="Arial" w:cs="Arial" w:eastAsia="Arial" w:hAnsi="Arial"/>
          <w:sz w:val="18"/>
          <w:szCs w:val="18"/>
          <w:color w:val="auto"/>
        </w:rPr>
      </w:pPr>
    </w:p>
    <w:p>
      <w:pPr>
        <w:jc w:val="both"/>
        <w:ind w:firstLine="656"/>
        <w:spacing w:after="0" w:line="273" w:lineRule="auto"/>
        <w:tabs>
          <w:tab w:leader="none" w:pos="91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 xml:space="preserve">Any repeal or amendment of this </w:t>
      </w:r>
      <w:r>
        <w:rPr>
          <w:rFonts w:ascii="Arial" w:cs="Arial" w:eastAsia="Arial" w:hAnsi="Arial"/>
          <w:sz w:val="17"/>
          <w:szCs w:val="17"/>
          <w:u w:val="single" w:color="auto"/>
          <w:color w:val="auto"/>
        </w:rPr>
        <w:t>Section 8.2</w:t>
      </w:r>
      <w:r>
        <w:rPr>
          <w:rFonts w:ascii="Arial" w:cs="Arial" w:eastAsia="Arial" w:hAnsi="Arial"/>
          <w:sz w:val="17"/>
          <w:szCs w:val="17"/>
          <w:color w:val="auto"/>
        </w:rPr>
        <w:t xml:space="preserve"> by the stockholders of the Corporation or by changes in law, or the adoption of any other provision of this Certificate inconsistent with this </w:t>
      </w:r>
      <w:r>
        <w:rPr>
          <w:rFonts w:ascii="Arial" w:cs="Arial" w:eastAsia="Arial" w:hAnsi="Arial"/>
          <w:sz w:val="17"/>
          <w:szCs w:val="17"/>
          <w:u w:val="single" w:color="auto"/>
          <w:color w:val="auto"/>
        </w:rPr>
        <w:t>Section 8.2</w:t>
      </w:r>
      <w:r>
        <w:rPr>
          <w:rFonts w:ascii="Arial" w:cs="Arial" w:eastAsia="Arial" w:hAnsi="Arial"/>
          <w:sz w:val="17"/>
          <w:szCs w:val="17"/>
          <w:color w:val="auto"/>
        </w:rPr>
        <w:t>, shall, unless otherwise required by law, be prospective only (except to the extent such amendment or change in law permits the Corporation to provide broader indemnification rights on a retroactive basis than permitted prior thereto), and shall not in any way diminish or adversely affect any right or protection existing at the time of such repeal or amendment or adoption of such inconsistent provision in respect of any proceeding (regardless of when such proceeding is first threatened, commenced or completed) arising out of, or related to, any act or omission occurring prior to such repeal or amendment or adoption of such inconsistent provision.</w:t>
      </w:r>
    </w:p>
    <w:p>
      <w:pPr>
        <w:spacing w:after="0" w:line="177" w:lineRule="exact"/>
        <w:rPr>
          <w:rFonts w:ascii="Arial" w:cs="Arial" w:eastAsia="Arial" w:hAnsi="Arial"/>
          <w:sz w:val="17"/>
          <w:szCs w:val="17"/>
          <w:color w:val="auto"/>
        </w:rPr>
      </w:pPr>
    </w:p>
    <w:p>
      <w:pPr>
        <w:ind w:firstLine="656"/>
        <w:spacing w:after="0" w:line="277" w:lineRule="auto"/>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shall not limit the right of the Corporation, to the extent and in the manner authorized or permitted by law, to indemnify and to advance expenses to persons other than indemnitees.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OPPORTUNITY</w:t>
      </w:r>
    </w:p>
    <w:p>
      <w:pPr>
        <w:spacing w:after="0" w:line="21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To the extent allowed by law, the doctrine of corporate opportunity, or any other analogous doctrine, shall not apply with respect to the Corporation or any of its officers or directors, or any of their respective affiliates, in circumstances where the application of any such doctrine would conflict with any fiduciary duties or contractual obligations they may have as of the date of this Certificate or in the future, and the Corporation renounces any expectancy that any of the directors or officers of the Corporation will offer any such corporate opportunity of which he or she may become aware to the Corporation, except, the doctrine of corporate opportunity shall apply with respect to any of the directors or officers of the Corporation with respect to a corporate opportunity that was offered to such person solely in his or her capacity as a director or officer of the Corporation and (i) such opportunity is one the Corporation is legally and contractually permitted to undertake and would otherwise be reasonable for the Corporation to pursue and (ii) the director or officer is permitted to refer that opportunity to the Corporation without violating any legal obligation.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7" w:name="page198"/>
    <w:bookmarkEnd w:id="197"/>
    <w:p>
      <w:pPr>
        <w:jc w:val="center"/>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EXCLUSIVE FORUM FOR CERTAIN LAWSUITS</w:t>
      </w:r>
    </w:p>
    <w:p>
      <w:pPr>
        <w:spacing w:after="0" w:line="21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Section 10.1 </w:t>
      </w:r>
      <w:r>
        <w:rPr>
          <w:rFonts w:ascii="Arial" w:cs="Arial" w:eastAsia="Arial" w:hAnsi="Arial"/>
          <w:sz w:val="17"/>
          <w:szCs w:val="17"/>
          <w:u w:val="single" w:color="auto"/>
          <w:color w:val="auto"/>
        </w:rPr>
        <w:t>Forum</w:t>
      </w:r>
      <w:r>
        <w:rPr>
          <w:rFonts w:ascii="Arial" w:cs="Arial" w:eastAsia="Arial" w:hAnsi="Arial"/>
          <w:sz w:val="17"/>
          <w:szCs w:val="17"/>
          <w:color w:val="auto"/>
        </w:rPr>
        <w:t>. Unless the Corporation consents in writing to the selection of an alternative forum, the Court of Chancery of the State of Delaware (the “</w:t>
      </w:r>
      <w:r>
        <w:rPr>
          <w:rFonts w:ascii="Arial" w:cs="Arial" w:eastAsia="Arial" w:hAnsi="Arial"/>
          <w:sz w:val="17"/>
          <w:szCs w:val="17"/>
          <w:b w:val="1"/>
          <w:bCs w:val="1"/>
          <w:i w:val="1"/>
          <w:iCs w:val="1"/>
          <w:color w:val="auto"/>
        </w:rPr>
        <w:t>Court of Chancery</w:t>
      </w:r>
      <w:r>
        <w:rPr>
          <w:rFonts w:ascii="Arial" w:cs="Arial" w:eastAsia="Arial" w:hAnsi="Arial"/>
          <w:sz w:val="17"/>
          <w:szCs w:val="17"/>
          <w:color w:val="auto"/>
        </w:rPr>
        <w:t xml:space="preserve">”) shall be the sole and exclusive forum for any stockholder (including a beneficial owner) to bring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against the Corporation, its directors, officers or employees arising pursuant to any provision of the DGCL or this Certificate or the Bylaws, or (iv) any action asserting a claim against the Corporation, its directors, officers or employees governed by the internal affairs doctrine and, if brought outside of Delaware, the stockholder bringing the suit will be deemed to have consented to service of process on such stockholder’s counsel, except for, as to each of (i) through (iv) above, any claim (A)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(C) for which the Court of Chancery does not have subject matter jurisdiction, or (D) any action arising under the Securities Act of 1933, as amended, as to which the Court of Chancery and the federal district court for the District of Delaware shall have concurrent jurisdiction. Notwithstanding the foregoing, the provisions of this </w:t>
      </w:r>
      <w:r>
        <w:rPr>
          <w:rFonts w:ascii="Arial" w:cs="Arial" w:eastAsia="Arial" w:hAnsi="Arial"/>
          <w:sz w:val="17"/>
          <w:szCs w:val="17"/>
          <w:u w:val="single" w:color="auto"/>
          <w:color w:val="auto"/>
        </w:rPr>
        <w:t>Section 10.1</w:t>
      </w:r>
      <w:r>
        <w:rPr>
          <w:rFonts w:ascii="Arial" w:cs="Arial" w:eastAsia="Arial" w:hAnsi="Arial"/>
          <w:sz w:val="17"/>
          <w:szCs w:val="17"/>
          <w:color w:val="auto"/>
        </w:rPr>
        <w:t xml:space="preserve"> will not apply to suits brought to enforce a duty or liability created by the Exchange Act or any other claim for which the federal courts have exclusive jurisdiction. Any person or entity purchasing or otherwise acquiring any interest in any security of the Corporation shall be deemed to have notice of and consented to the provisions of this </w:t>
      </w:r>
      <w:r>
        <w:rPr>
          <w:rFonts w:ascii="Arial" w:cs="Arial" w:eastAsia="Arial" w:hAnsi="Arial"/>
          <w:sz w:val="17"/>
          <w:szCs w:val="17"/>
          <w:u w:val="single" w:color="auto"/>
          <w:color w:val="auto"/>
        </w:rPr>
        <w:t>Section 10.1</w:t>
      </w:r>
      <w:r>
        <w:rPr>
          <w:rFonts w:ascii="Arial" w:cs="Arial" w:eastAsia="Arial" w:hAnsi="Arial"/>
          <w:sz w:val="17"/>
          <w:szCs w:val="17"/>
          <w:color w:val="auto"/>
        </w:rPr>
        <w:t>.</w:t>
      </w:r>
    </w:p>
    <w:p>
      <w:pPr>
        <w:spacing w:after="0" w:line="18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Section 10.2 </w:t>
      </w:r>
      <w:r>
        <w:rPr>
          <w:rFonts w:ascii="Arial" w:cs="Arial" w:eastAsia="Arial" w:hAnsi="Arial"/>
          <w:sz w:val="16"/>
          <w:szCs w:val="16"/>
          <w:u w:val="single" w:color="auto"/>
          <w:color w:val="auto"/>
        </w:rPr>
        <w:t>Consent to Jurisdiction</w:t>
      </w:r>
      <w:r>
        <w:rPr>
          <w:rFonts w:ascii="Arial" w:cs="Arial" w:eastAsia="Arial" w:hAnsi="Arial"/>
          <w:sz w:val="16"/>
          <w:szCs w:val="16"/>
          <w:color w:val="auto"/>
        </w:rPr>
        <w:t xml:space="preserve">. If any action the subject matter of which is within the scope of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immediately above is filed in a court other than a court located within the State of Delaware (a “</w:t>
      </w:r>
      <w:r>
        <w:rPr>
          <w:rFonts w:ascii="Arial" w:cs="Arial" w:eastAsia="Arial" w:hAnsi="Arial"/>
          <w:sz w:val="16"/>
          <w:szCs w:val="16"/>
          <w:b w:val="1"/>
          <w:bCs w:val="1"/>
          <w:i w:val="1"/>
          <w:iCs w:val="1"/>
          <w:color w:val="auto"/>
        </w:rPr>
        <w:t>Foreign Action</w:t>
      </w:r>
      <w:r>
        <w:rPr>
          <w:rFonts w:ascii="Arial" w:cs="Arial" w:eastAsia="Arial" w:hAnsi="Arial"/>
          <w:sz w:val="16"/>
          <w:szCs w:val="16"/>
          <w:color w:val="auto"/>
        </w:rPr>
        <w:t xml:space="preserve">”) in the name of any stockholder, such stockholder shall be deemed to have consented to (i) the personal jurisdiction of the state and federal courts located within the State of Delaware in connection with any action brought in any such court to enforce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immediately above (an “</w:t>
      </w:r>
      <w:r>
        <w:rPr>
          <w:rFonts w:ascii="Arial" w:cs="Arial" w:eastAsia="Arial" w:hAnsi="Arial"/>
          <w:sz w:val="16"/>
          <w:szCs w:val="16"/>
          <w:b w:val="1"/>
          <w:bCs w:val="1"/>
          <w:i w:val="1"/>
          <w:iCs w:val="1"/>
          <w:color w:val="auto"/>
        </w:rPr>
        <w:t>FSC Enforcement Action</w:t>
      </w:r>
      <w:r>
        <w:rPr>
          <w:rFonts w:ascii="Arial" w:cs="Arial" w:eastAsia="Arial" w:hAnsi="Arial"/>
          <w:sz w:val="16"/>
          <w:szCs w:val="16"/>
          <w:color w:val="auto"/>
        </w:rPr>
        <w:t>”) and (ii) having service of process made upon such stockholder in any such FSC Enforcement Action by service upon such stockholder’s counsel in the Foreign Action as agent for such stockholder.</w:t>
      </w:r>
    </w:p>
    <w:p>
      <w:pPr>
        <w:spacing w:after="0" w:line="16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If any provision or provisions of this </w:t>
      </w:r>
      <w:r>
        <w:rPr>
          <w:rFonts w:ascii="Arial" w:cs="Arial" w:eastAsia="Arial" w:hAnsi="Arial"/>
          <w:sz w:val="18"/>
          <w:szCs w:val="18"/>
          <w:i w:val="1"/>
          <w:iCs w:val="1"/>
          <w:color w:val="auto"/>
        </w:rPr>
        <w:t>Article X</w:t>
      </w:r>
      <w:r>
        <w:rPr>
          <w:rFonts w:ascii="Arial" w:cs="Arial" w:eastAsia="Arial" w:hAnsi="Arial"/>
          <w:sz w:val="18"/>
          <w:szCs w:val="18"/>
          <w:color w:val="auto"/>
        </w:rPr>
        <w:t xml:space="preserve">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w:t>
      </w:r>
      <w:r>
        <w:rPr>
          <w:rFonts w:ascii="Arial" w:cs="Arial" w:eastAsia="Arial" w:hAnsi="Arial"/>
          <w:sz w:val="18"/>
          <w:szCs w:val="18"/>
          <w:i w:val="1"/>
          <w:iCs w:val="1"/>
          <w:color w:val="auto"/>
        </w:rPr>
        <w:t>Article X</w:t>
      </w:r>
      <w:r>
        <w:rPr>
          <w:rFonts w:ascii="Arial" w:cs="Arial" w:eastAsia="Arial" w:hAnsi="Arial"/>
          <w:sz w:val="18"/>
          <w:szCs w:val="18"/>
          <w:color w:val="auto"/>
        </w:rPr>
        <w:t xml:space="preserve"> (including, without limitation, each portion of any sentence of this </w:t>
      </w:r>
      <w:r>
        <w:rPr>
          <w:rFonts w:ascii="Arial" w:cs="Arial" w:eastAsia="Arial" w:hAnsi="Arial"/>
          <w:sz w:val="18"/>
          <w:szCs w:val="18"/>
          <w:i w:val="1"/>
          <w:iCs w:val="1"/>
          <w:color w:val="auto"/>
        </w:rPr>
        <w:t xml:space="preserve">Article X </w:t>
      </w:r>
      <w:r>
        <w:rPr>
          <w:rFonts w:ascii="Arial" w:cs="Arial" w:eastAsia="Arial" w:hAnsi="Arial"/>
          <w:sz w:val="18"/>
          <w:szCs w:val="18"/>
          <w:color w:val="auto"/>
        </w:rPr>
        <w:t>containing any such provision held to be invalid, illegal or unenforceable that is not itself held to be invalid, illegal or unenforceable)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application of such provision to other persons or entities and circumstances shall not in any way be affected or impaired thereby. Any person or entity purchasing or otherwise acquiring any interest in shares of capital stock of the Corporation shall be deemed to have notice of and consented to the provisions of this </w:t>
      </w:r>
      <w:r>
        <w:rPr>
          <w:rFonts w:ascii="Arial" w:cs="Arial" w:eastAsia="Arial" w:hAnsi="Arial"/>
          <w:sz w:val="18"/>
          <w:szCs w:val="18"/>
          <w:i w:val="1"/>
          <w:iCs w:val="1"/>
          <w:color w:val="auto"/>
        </w:rPr>
        <w:t>Article X</w:t>
      </w:r>
      <w:r>
        <w:rPr>
          <w:rFonts w:ascii="Arial" w:cs="Arial" w:eastAsia="Arial" w:hAnsi="Arial"/>
          <w:sz w:val="18"/>
          <w:szCs w:val="18"/>
          <w:color w:val="auto"/>
        </w:rPr>
        <w: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OF CERTIFICATE OF INCORPORATION</w:t>
      </w:r>
    </w:p>
    <w:p>
      <w:pPr>
        <w:spacing w:after="0" w:line="21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The Corporation reserves the right at any time and from time to time to amend, alter, change, add or repeal any provision contained in this Certificate (including any Preferred Stock Designation), and other provisions authorized by the laws of the State of Delaware at the time in force that may be added or inserted, in the manner now or hereafter prescribed by this Certificate and the DGCL; and except as set forth in </w:t>
      </w:r>
      <w:r>
        <w:rPr>
          <w:rFonts w:ascii="Arial" w:cs="Arial" w:eastAsia="Arial" w:hAnsi="Arial"/>
          <w:sz w:val="17"/>
          <w:szCs w:val="17"/>
          <w:i w:val="1"/>
          <w:iCs w:val="1"/>
          <w:color w:val="auto"/>
        </w:rPr>
        <w:t>Article VIII</w:t>
      </w:r>
      <w:r>
        <w:rPr>
          <w:rFonts w:ascii="Arial" w:cs="Arial" w:eastAsia="Arial" w:hAnsi="Arial"/>
          <w:sz w:val="17"/>
          <w:szCs w:val="17"/>
          <w:color w:val="auto"/>
        </w:rPr>
        <w:t xml:space="preserve">, all rights, preferences and privileges of whatever nature herein conferred upon stockholders, directors or any other persons by and pursuant to this Certificate in its present form or as hereafter amended are granted subject to the right reserved in this </w:t>
      </w:r>
      <w:r>
        <w:rPr>
          <w:rFonts w:ascii="Arial" w:cs="Arial" w:eastAsia="Arial" w:hAnsi="Arial"/>
          <w:sz w:val="17"/>
          <w:szCs w:val="17"/>
          <w:i w:val="1"/>
          <w:iCs w:val="1"/>
          <w:color w:val="auto"/>
        </w:rPr>
        <w:t>Article XI</w:t>
      </w:r>
      <w:r>
        <w:rPr>
          <w:rFonts w:ascii="Arial" w:cs="Arial" w:eastAsia="Arial" w:hAnsi="Arial"/>
          <w:sz w:val="17"/>
          <w:szCs w:val="17"/>
          <w:color w:val="auto"/>
        </w:rPr>
        <w: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8" w:name="page199"/>
    <w:bookmarkEnd w:id="198"/>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10660" w:type="dxa"/>
            <w:vAlign w:val="bottom"/>
            <w:gridSpan w:val="2"/>
          </w:tcPr>
          <w:p>
            <w:pPr>
              <w:ind w:left="80"/>
              <w:spacing w:after="0"/>
              <w:rPr>
                <w:sz w:val="20"/>
                <w:szCs w:val="20"/>
                <w:color w:val="auto"/>
              </w:rPr>
            </w:pPr>
            <w:r>
              <w:rPr>
                <w:rFonts w:ascii="Arial" w:cs="Arial" w:eastAsia="Arial" w:hAnsi="Arial"/>
                <w:sz w:val="18"/>
                <w:szCs w:val="18"/>
                <w:color w:val="auto"/>
              </w:rPr>
              <w:t>IN WITNESS WHEREOF, the undersigned incorporator has executed this Certificate as of the date first set forth above.</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10660" w:type="dxa"/>
            <w:vAlign w:val="bottom"/>
            <w:gridSpan w:val="2"/>
          </w:tcPr>
          <w:p>
            <w:pPr>
              <w:spacing w:after="0"/>
              <w:rPr>
                <w:sz w:val="20"/>
                <w:szCs w:val="20"/>
                <w:color w:val="auto"/>
              </w:rPr>
            </w:pPr>
            <w:r>
              <w:rPr>
                <w:rFonts w:ascii="Arial" w:cs="Arial" w:eastAsia="Arial" w:hAnsi="Arial"/>
                <w:sz w:val="18"/>
                <w:szCs w:val="18"/>
                <w:color w:val="auto"/>
              </w:rPr>
              <w:t>/s/ Colin J. Diamond</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Colin J. Diamond</w:t>
            </w:r>
          </w:p>
        </w:tc>
        <w:tc>
          <w:tcPr>
            <w:tcW w:w="6740" w:type="dxa"/>
            <w:vAlign w:val="bottom"/>
          </w:tcPr>
          <w:p>
            <w:pPr>
              <w:spacing w:after="0"/>
              <w:rPr>
                <w:sz w:val="17"/>
                <w:szCs w:val="17"/>
                <w:color w:val="auto"/>
              </w:rPr>
            </w:pP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10660" w:type="dxa"/>
            <w:vAlign w:val="bottom"/>
            <w:gridSpan w:val="2"/>
          </w:tcPr>
          <w:p>
            <w:pPr>
              <w:spacing w:after="0"/>
              <w:rPr>
                <w:sz w:val="20"/>
                <w:szCs w:val="20"/>
                <w:color w:val="auto"/>
              </w:rPr>
            </w:pPr>
            <w:r>
              <w:rPr>
                <w:rFonts w:ascii="Arial" w:cs="Arial" w:eastAsia="Arial" w:hAnsi="Arial"/>
                <w:sz w:val="18"/>
                <w:szCs w:val="18"/>
                <w:color w:val="auto"/>
              </w:rPr>
              <w:t>Sole Incorporator</w:t>
            </w:r>
          </w:p>
        </w:tc>
      </w:tr>
      <w:tr>
        <w:trPr>
          <w:trHeight w:val="648"/>
        </w:trPr>
        <w:tc>
          <w:tcPr>
            <w:tcW w:w="580" w:type="dxa"/>
            <w:vAlign w:val="bottom"/>
          </w:tcPr>
          <w:p>
            <w:pPr>
              <w:spacing w:after="0"/>
              <w:rPr>
                <w:sz w:val="24"/>
                <w:szCs w:val="24"/>
                <w:color w:val="auto"/>
              </w:rPr>
            </w:pPr>
          </w:p>
        </w:tc>
        <w:tc>
          <w:tcPr>
            <w:tcW w:w="10660" w:type="dxa"/>
            <w:vAlign w:val="bottom"/>
            <w:gridSpan w:val="2"/>
          </w:tcPr>
          <w:p>
            <w:pPr>
              <w:jc w:val="center"/>
              <w:ind w:right="56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i w:val="1"/>
                <w:iCs w:val="1"/>
                <w:color w:val="auto"/>
                <w:w w:val="93"/>
              </w:rPr>
              <w:t>Signature Page to Certificate of Incorporation</w:t>
            </w:r>
            <w:r>
              <w:rPr>
                <w:rFonts w:ascii="Arial" w:cs="Arial" w:eastAsia="Arial" w:hAnsi="Arial"/>
                <w:sz w:val="18"/>
                <w:szCs w:val="18"/>
                <w:color w:val="auto"/>
                <w:w w:val="93"/>
              </w:rPr>
              <w:t>]</w:t>
            </w:r>
          </w:p>
        </w:tc>
      </w:tr>
      <w:tr>
        <w:trPr>
          <w:trHeight w:val="655"/>
        </w:trPr>
        <w:tc>
          <w:tcPr>
            <w:tcW w:w="580" w:type="dxa"/>
            <w:vAlign w:val="bottom"/>
            <w:tcBorders>
              <w:bottom w:val="single" w:sz="8" w:color="auto"/>
            </w:tcBorders>
          </w:tcPr>
          <w:p>
            <w:pPr>
              <w:spacing w:after="0"/>
              <w:rPr>
                <w:sz w:val="24"/>
                <w:szCs w:val="24"/>
                <w:color w:val="auto"/>
              </w:rPr>
            </w:pPr>
          </w:p>
        </w:tc>
        <w:tc>
          <w:tcPr>
            <w:tcW w:w="10660" w:type="dxa"/>
            <w:vAlign w:val="bottom"/>
            <w:tcBorders>
              <w:bottom w:val="single" w:sz="8" w:color="auto"/>
            </w:tcBorders>
            <w:gridSpan w:val="2"/>
          </w:tcPr>
          <w:p>
            <w:pPr>
              <w:jc w:val="right"/>
              <w:ind w:right="5520"/>
              <w:spacing w:after="0"/>
              <w:rPr>
                <w:sz w:val="20"/>
                <w:szCs w:val="20"/>
                <w:color w:val="auto"/>
              </w:rPr>
            </w:pPr>
            <w:r>
              <w:rPr>
                <w:rFonts w:ascii="Arial" w:cs="Arial" w:eastAsia="Arial" w:hAnsi="Arial"/>
                <w:sz w:val="18"/>
                <w:szCs w:val="18"/>
                <w:color w:val="auto"/>
              </w:rPr>
              <w:t>10</w:t>
            </w:r>
          </w:p>
        </w:tc>
      </w:tr>
    </w:tbl>
    <w:p>
      <w:pPr>
        <w:sectPr>
          <w:pgSz w:w="11900" w:h="16838" w:orient="portrait"/>
          <w:cols w:equalWidth="0" w:num="1">
            <w:col w:w="11240"/>
          </w:cols>
          <w:pgMar w:left="320" w:top="908" w:right="339" w:bottom="1440" w:gutter="0" w:footer="0" w:header="0"/>
        </w:sectPr>
      </w:pPr>
    </w:p>
    <w:bookmarkStart w:id="199" w:name="page200"/>
    <w:bookmarkEnd w:id="199"/>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 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HINDSITE ACQUISITION CORP.</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29, 2020</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undersigned, being the sole incorporator of Hindsite Acquisition Corp., a corporation organized and existing under the General Corporation Law of the State of Delaware (the “</w:t>
      </w:r>
      <w:r>
        <w:rPr>
          <w:rFonts w:ascii="Arial" w:cs="Arial" w:eastAsia="Arial" w:hAnsi="Arial"/>
          <w:sz w:val="18"/>
          <w:szCs w:val="18"/>
          <w:b w:val="1"/>
          <w:bCs w:val="1"/>
          <w:color w:val="auto"/>
        </w:rPr>
        <w:t>Corporation</w:t>
      </w:r>
      <w:r>
        <w:rPr>
          <w:rFonts w:ascii="Arial" w:cs="Arial" w:eastAsia="Arial" w:hAnsi="Arial"/>
          <w:sz w:val="18"/>
          <w:szCs w:val="18"/>
          <w:color w:val="auto"/>
        </w:rPr>
        <w:t>”), does hereby certify as follows:</w:t>
      </w:r>
    </w:p>
    <w:p>
      <w:pPr>
        <w:spacing w:after="0" w:line="170" w:lineRule="exact"/>
        <w:rPr>
          <w:sz w:val="20"/>
          <w:szCs w:val="20"/>
          <w:color w:val="auto"/>
        </w:rPr>
      </w:pPr>
    </w:p>
    <w:p>
      <w:pPr>
        <w:ind w:left="80" w:right="20" w:firstLine="576"/>
        <w:spacing w:after="0" w:line="277" w:lineRule="auto"/>
        <w:tabs>
          <w:tab w:leader="none" w:pos="827"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That ARTICLE I of the Certificate of Incorporation of the Corporation be amended by deleting ARTICLE I thereof in its entirety and inserting in its place ARTICLE I to read as follows (the “</w:t>
      </w:r>
      <w:r>
        <w:rPr>
          <w:rFonts w:ascii="Arial" w:cs="Arial" w:eastAsia="Arial" w:hAnsi="Arial"/>
          <w:sz w:val="18"/>
          <w:szCs w:val="18"/>
          <w:b w:val="1"/>
          <w:bCs w:val="1"/>
          <w:color w:val="auto"/>
        </w:rPr>
        <w:t>Amendment</w:t>
      </w:r>
      <w:r>
        <w:rPr>
          <w:rFonts w:ascii="Arial" w:cs="Arial" w:eastAsia="Arial" w:hAnsi="Arial"/>
          <w:sz w:val="18"/>
          <w:szCs w:val="18"/>
          <w:color w:val="auto"/>
        </w:rPr>
        <w: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“ARTICLE I. The name of the corporation is FS Development Corp. (the “</w:t>
      </w:r>
      <w:r>
        <w:rPr>
          <w:rFonts w:ascii="Arial" w:cs="Arial" w:eastAsia="Arial" w:hAnsi="Arial"/>
          <w:sz w:val="18"/>
          <w:szCs w:val="18"/>
          <w:b w:val="1"/>
          <w:bCs w:val="1"/>
          <w:color w:val="auto"/>
        </w:rPr>
        <w:t>Corporation</w:t>
      </w:r>
      <w:r>
        <w:rPr>
          <w:rFonts w:ascii="Arial" w:cs="Arial" w:eastAsia="Arial" w:hAnsi="Arial"/>
          <w:sz w:val="18"/>
          <w:szCs w:val="18"/>
          <w:color w:val="auto"/>
        </w:rPr>
        <w:t>”).”</w:t>
      </w:r>
    </w:p>
    <w:p>
      <w:pPr>
        <w:spacing w:after="0" w:line="229" w:lineRule="exact"/>
        <w:rPr>
          <w:sz w:val="20"/>
          <w:szCs w:val="20"/>
          <w:color w:val="auto"/>
        </w:rPr>
      </w:pPr>
    </w:p>
    <w:p>
      <w:pPr>
        <w:ind w:left="840" w:hanging="184"/>
        <w:spacing w:after="0"/>
        <w:tabs>
          <w:tab w:leader="none" w:pos="8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That the Corporation has not received payment for any of its stock.</w:t>
      </w:r>
    </w:p>
    <w:p>
      <w:pPr>
        <w:spacing w:after="0" w:line="225" w:lineRule="exact"/>
        <w:rPr>
          <w:rFonts w:ascii="Arial" w:cs="Arial" w:eastAsia="Arial" w:hAnsi="Arial"/>
          <w:sz w:val="18"/>
          <w:szCs w:val="18"/>
          <w:color w:val="auto"/>
        </w:rPr>
      </w:pPr>
    </w:p>
    <w:p>
      <w:pPr>
        <w:ind w:left="80" w:firstLine="576"/>
        <w:spacing w:after="0" w:line="277" w:lineRule="auto"/>
        <w:tabs>
          <w:tab w:leader="none" w:pos="8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foregoing Amendment has been duly adopted pursuant to the provisions of Section 241 of the General Corporation Law of the State of Delaware, by the sole incorporator of the Corporation.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0" w:name="page201"/>
    <w:bookmarkEnd w:id="200"/>
    <w:p>
      <w:pPr>
        <w:ind w:firstLine="648"/>
        <w:spacing w:after="0" w:line="277" w:lineRule="auto"/>
        <w:rPr>
          <w:sz w:val="20"/>
          <w:szCs w:val="20"/>
          <w:color w:val="auto"/>
        </w:rPr>
      </w:pPr>
      <w:r>
        <w:rPr>
          <w:rFonts w:ascii="Arial" w:cs="Arial" w:eastAsia="Arial" w:hAnsi="Arial"/>
          <w:sz w:val="18"/>
          <w:szCs w:val="18"/>
          <w:color w:val="auto"/>
        </w:rPr>
        <w:t>IN WITNESS WHEREOF, the undersigned incorporator has executed this Certificate of Amendment to the Certificate of Incorporation of the Corporation as of the date first set forth above.</w:t>
      </w:r>
    </w:p>
    <w:p>
      <w:pPr>
        <w:spacing w:after="0" w:line="170" w:lineRule="exact"/>
        <w:rPr>
          <w:sz w:val="20"/>
          <w:szCs w:val="20"/>
          <w:color w:val="auto"/>
        </w:rPr>
      </w:pPr>
    </w:p>
    <w:tbl>
      <w:tblPr>
        <w:tblLayout w:type="fixed"/>
        <w:tblInd w:w="696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Colin J. Diamond</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700" w:type="dxa"/>
            <w:vAlign w:val="bottom"/>
          </w:tcPr>
          <w:p>
            <w:pPr>
              <w:spacing w:after="0" w:line="201" w:lineRule="exact"/>
              <w:rPr>
                <w:sz w:val="20"/>
                <w:szCs w:val="20"/>
                <w:color w:val="auto"/>
              </w:rPr>
            </w:pPr>
            <w:r>
              <w:rPr>
                <w:rFonts w:ascii="Arial" w:cs="Arial" w:eastAsia="Arial" w:hAnsi="Arial"/>
                <w:sz w:val="18"/>
                <w:szCs w:val="18"/>
                <w:color w:val="auto"/>
              </w:rPr>
              <w:t>Colin J. Diamond</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700" w:type="dxa"/>
            <w:vAlign w:val="bottom"/>
          </w:tcPr>
          <w:p>
            <w:pPr>
              <w:spacing w:after="0"/>
              <w:rPr>
                <w:sz w:val="20"/>
                <w:szCs w:val="20"/>
                <w:color w:val="auto"/>
              </w:rPr>
            </w:pPr>
            <w:r>
              <w:rPr>
                <w:rFonts w:ascii="Arial" w:cs="Arial" w:eastAsia="Arial" w:hAnsi="Arial"/>
                <w:sz w:val="18"/>
                <w:szCs w:val="18"/>
                <w:color w:val="auto"/>
              </w:rPr>
              <w:t>Sole Incorporator</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Certificate of Amendment to the Certificate of Incorporation</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1" w:name="page202"/>
    <w:bookmarkEnd w:id="201"/>
    <w:p>
      <w:pPr>
        <w:jc w:val="right"/>
        <w:spacing w:after="0"/>
        <w:rPr>
          <w:sz w:val="20"/>
          <w:szCs w:val="20"/>
          <w:color w:val="auto"/>
        </w:rPr>
      </w:pPr>
      <w:r>
        <w:rPr>
          <w:rFonts w:ascii="Arial" w:cs="Arial" w:eastAsia="Arial" w:hAnsi="Arial"/>
          <w:sz w:val="18"/>
          <w:szCs w:val="18"/>
          <w:b w:val="1"/>
          <w:bCs w:val="1"/>
          <w:color w:val="auto"/>
        </w:rPr>
        <w:t>Exhibit 3.3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FS DEVELOPMENT CORP.</w:t>
      </w:r>
    </w:p>
    <w:p>
      <w:pPr>
        <w:spacing w:after="0" w:line="211" w:lineRule="exact"/>
        <w:rPr>
          <w:sz w:val="20"/>
          <w:szCs w:val="20"/>
          <w:color w:val="auto"/>
        </w:rPr>
      </w:pPr>
    </w:p>
    <w:p>
      <w:pPr>
        <w:jc w:val="center"/>
        <w:ind w:left="640"/>
        <w:spacing w:after="0"/>
        <w:rPr>
          <w:sz w:val="20"/>
          <w:szCs w:val="20"/>
          <w:color w:val="auto"/>
        </w:rPr>
      </w:pPr>
      <w:r>
        <w:rPr>
          <w:rFonts w:ascii="Arial" w:cs="Arial" w:eastAsia="Arial" w:hAnsi="Arial"/>
          <w:sz w:val="18"/>
          <w:szCs w:val="18"/>
          <w:color w:val="auto"/>
        </w:rPr>
        <w:t>, 2020</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FS Development Corp., a corporation organized and existing under the laws of the State of Delaware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 DOES HEREBY CERTIFY AS FOLLOWS:</w:t>
      </w:r>
    </w:p>
    <w:p>
      <w:pPr>
        <w:spacing w:after="0" w:line="170" w:lineRule="exact"/>
        <w:rPr>
          <w:sz w:val="20"/>
          <w:szCs w:val="20"/>
          <w:color w:val="auto"/>
        </w:rPr>
      </w:pPr>
    </w:p>
    <w:p>
      <w:pPr>
        <w:jc w:val="both"/>
        <w:ind w:firstLine="656"/>
        <w:spacing w:after="0" w:line="263" w:lineRule="auto"/>
        <w:tabs>
          <w:tab w:leader="none" w:pos="839"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name of the Corporation is “FS Development Corp.” The original certificate of incorporation was filed with the Secretary of State of the State of Delaware on June 25, 2020 (the “</w:t>
      </w:r>
      <w:r>
        <w:rPr>
          <w:rFonts w:ascii="Arial" w:cs="Arial" w:eastAsia="Arial" w:hAnsi="Arial"/>
          <w:sz w:val="18"/>
          <w:szCs w:val="18"/>
          <w:b w:val="1"/>
          <w:bCs w:val="1"/>
          <w:i w:val="1"/>
          <w:iCs w:val="1"/>
          <w:color w:val="auto"/>
        </w:rPr>
        <w:t>Original Certificate</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The First Amendment to the Original Certificate was filed with the Secretary of State of the State of Delaware on June 30, 2020 (the “</w:t>
      </w:r>
      <w:r>
        <w:rPr>
          <w:rFonts w:ascii="Arial" w:cs="Arial" w:eastAsia="Arial" w:hAnsi="Arial"/>
          <w:sz w:val="18"/>
          <w:szCs w:val="18"/>
          <w:b w:val="1"/>
          <w:bCs w:val="1"/>
          <w:i w:val="1"/>
          <w:iCs w:val="1"/>
          <w:color w:val="auto"/>
        </w:rPr>
        <w:t>First Amendment</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right="20" w:firstLine="656"/>
        <w:spacing w:after="0" w:line="263" w:lineRule="auto"/>
        <w:tabs>
          <w:tab w:leader="none" w:pos="859"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This Amended and Restated Certificate of Incorporation (the “</w:t>
      </w:r>
      <w:r>
        <w:rPr>
          <w:rFonts w:ascii="Arial" w:cs="Arial" w:eastAsia="Arial" w:hAnsi="Arial"/>
          <w:sz w:val="18"/>
          <w:szCs w:val="18"/>
          <w:b w:val="1"/>
          <w:bCs w:val="1"/>
          <w:i w:val="1"/>
          <w:iCs w:val="1"/>
          <w:color w:val="auto"/>
        </w:rPr>
        <w:t>Amended and Restated Certificate</w:t>
      </w:r>
      <w:r>
        <w:rPr>
          <w:rFonts w:ascii="Arial" w:cs="Arial" w:eastAsia="Arial" w:hAnsi="Arial"/>
          <w:sz w:val="18"/>
          <w:szCs w:val="18"/>
          <w:color w:val="auto"/>
        </w:rPr>
        <w:t>”), which both restates and amends the provisions of the Original Certificate, as amended by the First Amendment, was duly adopted in accordance with Sections 228, 242 and 245 of the General Corporation Law of the State of Delaware, as amended from time to time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840" w:hanging="184"/>
        <w:spacing w:after="0"/>
        <w:tabs>
          <w:tab w:leader="none" w:pos="8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This Amended and Restated Certificate shall become effective on the date of filing with the Secretary of State of Delaware.</w:t>
      </w:r>
    </w:p>
    <w:p>
      <w:pPr>
        <w:spacing w:after="0" w:line="225" w:lineRule="exact"/>
        <w:rPr>
          <w:rFonts w:ascii="Arial" w:cs="Arial" w:eastAsia="Arial" w:hAnsi="Arial"/>
          <w:sz w:val="18"/>
          <w:szCs w:val="18"/>
          <w:color w:val="auto"/>
        </w:rPr>
      </w:pPr>
    </w:p>
    <w:p>
      <w:pPr>
        <w:ind w:left="840" w:hanging="184"/>
        <w:spacing w:after="0"/>
        <w:tabs>
          <w:tab w:leader="none" w:pos="8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Certain capitalized terms used in this Amended and Restated Certificate are defined where appropriate herein.</w:t>
      </w:r>
    </w:p>
    <w:p>
      <w:pPr>
        <w:spacing w:after="0" w:line="225" w:lineRule="exact"/>
        <w:rPr>
          <w:rFonts w:ascii="Arial" w:cs="Arial" w:eastAsia="Arial" w:hAnsi="Arial"/>
          <w:sz w:val="18"/>
          <w:szCs w:val="18"/>
          <w:color w:val="auto"/>
        </w:rPr>
      </w:pPr>
    </w:p>
    <w:p>
      <w:pPr>
        <w:ind w:left="840" w:hanging="184"/>
        <w:spacing w:after="0"/>
        <w:tabs>
          <w:tab w:leader="none" w:pos="84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The text of the Original Certificate, as amended by the First Amendment, is hereby restated and amended in its entirety to read as follows:</w:t>
      </w:r>
    </w:p>
    <w:p>
      <w:pPr>
        <w:spacing w:after="0" w:line="233"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NAME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name of the corporation is FS Development Corp.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w:t>
      </w:r>
    </w:p>
    <w:p>
      <w:pPr>
        <w:spacing w:after="0" w:line="22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PURPOSE</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purpose of the Corporation is to engage in any lawful act or activity for which corporations may be organized under the DGCL. In addition to the powers and privileges conferred upon the Corporation by law and those incidental thereto, the Corporation shall possess and may exercise all the powers and privileges that are necessary or convenient to the conduct, promotion or attainment of the business or purposes of the Corporation, including, but not limited to, effecting a merger, capital stock exchange, asset acquisition, stock purchase, reorganization or similar business combination involving the Corporation and one or more businesses (a “</w:t>
      </w:r>
      <w:r>
        <w:rPr>
          <w:rFonts w:ascii="Arial" w:cs="Arial" w:eastAsia="Arial" w:hAnsi="Arial"/>
          <w:sz w:val="18"/>
          <w:szCs w:val="18"/>
          <w:b w:val="1"/>
          <w:bCs w:val="1"/>
          <w:i w:val="1"/>
          <w:iCs w:val="1"/>
          <w:color w:val="auto"/>
        </w:rPr>
        <w:t>Business Combination</w:t>
      </w:r>
      <w:r>
        <w:rPr>
          <w:rFonts w:ascii="Arial" w:cs="Arial" w:eastAsia="Arial" w:hAnsi="Arial"/>
          <w:sz w:val="18"/>
          <w:szCs w:val="18"/>
          <w:color w:val="auto"/>
        </w:rPr>
        <w: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AGENT</w:t>
      </w:r>
    </w:p>
    <w:p>
      <w:pPr>
        <w:spacing w:after="0" w:line="21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address of the Corporation’s registered office in the State of Delaware is 251 Little Falls Drive, in the City of Wilmington, County of New Castle, State of Delaware, 19808, and the name of the Corporation’s registered agent at such address is Corporation Service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376555</wp:posOffset>
            </wp:positionV>
            <wp:extent cx="71323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2" w:name="page203"/>
    <w:bookmarkEnd w:id="202"/>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11"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 xml:space="preserve">Section 4.1 </w:t>
      </w:r>
      <w:r>
        <w:rPr>
          <w:rFonts w:ascii="Arial" w:cs="Arial" w:eastAsia="Arial" w:hAnsi="Arial"/>
          <w:sz w:val="17"/>
          <w:szCs w:val="17"/>
          <w:u w:val="single" w:color="auto"/>
          <w:color w:val="auto"/>
        </w:rPr>
        <w:t>Authorized Capital Stock</w:t>
      </w:r>
      <w:r>
        <w:rPr>
          <w:rFonts w:ascii="Arial" w:cs="Arial" w:eastAsia="Arial" w:hAnsi="Arial"/>
          <w:sz w:val="17"/>
          <w:szCs w:val="17"/>
          <w:color w:val="auto"/>
        </w:rPr>
        <w:t>. The total number of shares of all classes of capital stock, each with a par value of $0.0001 per share, which the Corporation is authorized to issue is 111,000,000 shares, consisting of (a) 110,000,000 shares of common stock (the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including (i) 100,000,000 shares of Class A common stock (the “</w:t>
      </w:r>
      <w:r>
        <w:rPr>
          <w:rFonts w:ascii="Arial" w:cs="Arial" w:eastAsia="Arial" w:hAnsi="Arial"/>
          <w:sz w:val="17"/>
          <w:szCs w:val="17"/>
          <w:b w:val="1"/>
          <w:bCs w:val="1"/>
          <w:i w:val="1"/>
          <w:iCs w:val="1"/>
          <w:color w:val="auto"/>
        </w:rPr>
        <w:t>Class A Common Stock</w:t>
      </w:r>
      <w:r>
        <w:rPr>
          <w:rFonts w:ascii="Arial" w:cs="Arial" w:eastAsia="Arial" w:hAnsi="Arial"/>
          <w:sz w:val="17"/>
          <w:szCs w:val="17"/>
          <w:color w:val="auto"/>
        </w:rPr>
        <w:t>”), and (ii) 10,000,000 shares of Class B common stock (the “</w:t>
      </w:r>
      <w:r>
        <w:rPr>
          <w:rFonts w:ascii="Arial" w:cs="Arial" w:eastAsia="Arial" w:hAnsi="Arial"/>
          <w:sz w:val="17"/>
          <w:szCs w:val="17"/>
          <w:b w:val="1"/>
          <w:bCs w:val="1"/>
          <w:i w:val="1"/>
          <w:iCs w:val="1"/>
          <w:color w:val="auto"/>
        </w:rPr>
        <w:t>Class B Common Stock</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and (b) 1,000,000 shares of preferred stock (the “</w:t>
      </w:r>
      <w:r>
        <w:rPr>
          <w:rFonts w:ascii="Arial" w:cs="Arial" w:eastAsia="Arial" w:hAnsi="Arial"/>
          <w:sz w:val="17"/>
          <w:szCs w:val="17"/>
          <w:b w:val="1"/>
          <w:bCs w:val="1"/>
          <w:i w:val="1"/>
          <w:iCs w:val="1"/>
          <w:color w:val="auto"/>
        </w:rPr>
        <w:t>Preferred Stock</w:t>
      </w:r>
      <w:r>
        <w:rPr>
          <w:rFonts w:ascii="Arial" w:cs="Arial" w:eastAsia="Arial" w:hAnsi="Arial"/>
          <w:sz w:val="17"/>
          <w:szCs w:val="17"/>
          <w:color w:val="auto"/>
        </w:rPr>
        <w:t>”).</w:t>
      </w:r>
    </w:p>
    <w:p>
      <w:pPr>
        <w:spacing w:after="0" w:line="171"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 xml:space="preserve">Section 4.2 </w:t>
      </w:r>
      <w:r>
        <w:rPr>
          <w:rFonts w:ascii="Arial" w:cs="Arial" w:eastAsia="Arial" w:hAnsi="Arial"/>
          <w:sz w:val="17"/>
          <w:szCs w:val="17"/>
          <w:u w:val="single" w:color="auto"/>
          <w:color w:val="auto"/>
        </w:rPr>
        <w:t>Preferred Stock</w:t>
      </w:r>
      <w:r>
        <w:rPr>
          <w:rFonts w:ascii="Arial" w:cs="Arial" w:eastAsia="Arial" w:hAnsi="Arial"/>
          <w:sz w:val="17"/>
          <w:szCs w:val="17"/>
          <w:color w:val="auto"/>
        </w:rPr>
        <w:t xml:space="preserve">. Subject to </w:t>
      </w:r>
      <w:r>
        <w:rPr>
          <w:rFonts w:ascii="Arial" w:cs="Arial" w:eastAsia="Arial" w:hAnsi="Arial"/>
          <w:sz w:val="17"/>
          <w:szCs w:val="17"/>
          <w:i w:val="1"/>
          <w:iCs w:val="1"/>
          <w:color w:val="auto"/>
        </w:rPr>
        <w:t>Article IX</w:t>
      </w:r>
      <w:r>
        <w:rPr>
          <w:rFonts w:ascii="Arial" w:cs="Arial" w:eastAsia="Arial" w:hAnsi="Arial"/>
          <w:sz w:val="17"/>
          <w:szCs w:val="17"/>
          <w:color w:val="auto"/>
        </w:rPr>
        <w:t xml:space="preserve"> of this Amended and Restated Certificate, the Board of Directors of the Corporation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is hereby expressly authorized to provide out of the unissued shares of the Preferred Stock for one or more series of Preferred Stock and to establish from time to time the number of shares to be included in each such series and to fix the voting rights, if any, designations, powers, preferences and relative, participating, optional, special and other rights, if any, of each such series and any qualifications, limitations and restrictions thereof, as shall be stated in the resolution or resolutions adopted by the Board providing for the issuance of such series and included in a certificate of designation (a “</w:t>
      </w:r>
      <w:r>
        <w:rPr>
          <w:rFonts w:ascii="Arial" w:cs="Arial" w:eastAsia="Arial" w:hAnsi="Arial"/>
          <w:sz w:val="17"/>
          <w:szCs w:val="17"/>
          <w:b w:val="1"/>
          <w:bCs w:val="1"/>
          <w:i w:val="1"/>
          <w:iCs w:val="1"/>
          <w:color w:val="auto"/>
        </w:rPr>
        <w:t>Preferred Stock Designation</w:t>
      </w:r>
      <w:r>
        <w:rPr>
          <w:rFonts w:ascii="Arial" w:cs="Arial" w:eastAsia="Arial" w:hAnsi="Arial"/>
          <w:sz w:val="17"/>
          <w:szCs w:val="17"/>
          <w:color w:val="auto"/>
        </w:rPr>
        <w:t>”) filed pursuant to the DGCL, and the Board is hereby expressly vested with the authority to the full extent provided by law, now or hereafter, to adopt any such resolution or resolutions.</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Common Stock</w:t>
      </w:r>
      <w:r>
        <w:rPr>
          <w:rFonts w:ascii="Arial" w:cs="Arial" w:eastAsia="Arial" w:hAnsi="Arial"/>
          <w:sz w:val="18"/>
          <w:szCs w:val="18"/>
          <w:color w:val="auto"/>
        </w:rPr>
        <w:t>.</w:t>
      </w:r>
    </w:p>
    <w:p>
      <w:pPr>
        <w:spacing w:after="0" w:line="225" w:lineRule="exact"/>
        <w:rPr>
          <w:sz w:val="20"/>
          <w:szCs w:val="20"/>
          <w:color w:val="auto"/>
        </w:rPr>
      </w:pPr>
    </w:p>
    <w:p>
      <w:pPr>
        <w:ind w:left="1540" w:hanging="236"/>
        <w:spacing w:after="0"/>
        <w:tabs>
          <w:tab w:leader="none" w:pos="15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Voting.</w:t>
      </w:r>
    </w:p>
    <w:p>
      <w:pPr>
        <w:spacing w:after="0" w:line="225" w:lineRule="exact"/>
        <w:rPr>
          <w:rFonts w:ascii="Arial" w:cs="Arial" w:eastAsia="Arial" w:hAnsi="Arial"/>
          <w:sz w:val="18"/>
          <w:szCs w:val="18"/>
          <w:color w:val="auto"/>
        </w:rPr>
      </w:pPr>
    </w:p>
    <w:p>
      <w:pPr>
        <w:ind w:left="660" w:firstLine="1292"/>
        <w:spacing w:after="0" w:line="277" w:lineRule="auto"/>
        <w:tabs>
          <w:tab w:leader="none" w:pos="218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Except as otherwise required by law or this Amended and Restated Certificate (including any Preferred Stock Designation), the holders of the Common Stock shall exclusively possess all voting power with respect to the Corporation.</w:t>
      </w:r>
    </w:p>
    <w:p>
      <w:pPr>
        <w:spacing w:after="0" w:line="170" w:lineRule="exact"/>
        <w:rPr>
          <w:rFonts w:ascii="Arial" w:cs="Arial" w:eastAsia="Arial" w:hAnsi="Arial"/>
          <w:sz w:val="18"/>
          <w:szCs w:val="18"/>
          <w:color w:val="auto"/>
        </w:rPr>
      </w:pPr>
    </w:p>
    <w:p>
      <w:pPr>
        <w:jc w:val="both"/>
        <w:ind w:left="660" w:firstLine="1292"/>
        <w:spacing w:after="0" w:line="263" w:lineRule="auto"/>
        <w:tabs>
          <w:tab w:leader="none" w:pos="2227" w:val="left"/>
        </w:tabs>
        <w:numPr>
          <w:ilvl w:val="1"/>
          <w:numId w:val="143"/>
        </w:numPr>
        <w:rPr>
          <w:rFonts w:ascii="Arial" w:cs="Arial" w:eastAsia="Arial" w:hAnsi="Arial"/>
          <w:sz w:val="18"/>
          <w:szCs w:val="18"/>
          <w:color w:val="auto"/>
        </w:rPr>
      </w:pPr>
      <w:r>
        <w:rPr>
          <w:rFonts w:ascii="Arial" w:cs="Arial" w:eastAsia="Arial" w:hAnsi="Arial"/>
          <w:sz w:val="18"/>
          <w:szCs w:val="18"/>
          <w:color w:val="auto"/>
        </w:rPr>
        <w:t>Except as otherwise required by law or this Amended and Restated Certificate (including any Preferred Stock Designation), the holders of shares of Common Stock shall be entitled to one vote for each such share on each matter properly submitted to the stockholders on which the holders of the Common Stock are entitled to vote.</w:t>
      </w:r>
    </w:p>
    <w:p>
      <w:pPr>
        <w:spacing w:after="0" w:line="183" w:lineRule="exact"/>
        <w:rPr>
          <w:rFonts w:ascii="Arial" w:cs="Arial" w:eastAsia="Arial" w:hAnsi="Arial"/>
          <w:sz w:val="18"/>
          <w:szCs w:val="18"/>
          <w:color w:val="auto"/>
        </w:rPr>
      </w:pPr>
    </w:p>
    <w:p>
      <w:pPr>
        <w:jc w:val="both"/>
        <w:ind w:left="660" w:firstLine="1292"/>
        <w:spacing w:after="0" w:line="289" w:lineRule="auto"/>
        <w:tabs>
          <w:tab w:leader="none" w:pos="2274" w:val="left"/>
        </w:tabs>
        <w:numPr>
          <w:ilvl w:val="1"/>
          <w:numId w:val="143"/>
        </w:numPr>
        <w:rPr>
          <w:rFonts w:ascii="Arial" w:cs="Arial" w:eastAsia="Arial" w:hAnsi="Arial"/>
          <w:sz w:val="16"/>
          <w:szCs w:val="16"/>
          <w:color w:val="auto"/>
        </w:rPr>
      </w:pPr>
      <w:r>
        <w:rPr>
          <w:rFonts w:ascii="Arial" w:cs="Arial" w:eastAsia="Arial" w:hAnsi="Arial"/>
          <w:sz w:val="16"/>
          <w:szCs w:val="16"/>
          <w:color w:val="auto"/>
        </w:rPr>
        <w:t>Except as otherwise required by law or this Amended and Restated Certificate (including any Preferred Stock Designation), at any annual or special meeting of the stockholders of the Corporation, holders of the Class A Common Stock and holders of the Class B Common Stock, voting together as a single class, shall have the exclusive right to vote for the election of directors and on all other matters properly submitted to a vote of the stockholders. Notwithstanding the foregoing, except as otherwise required by law or this Amended and Restated Certificate (including any Preferred Stock Designation), holders of shares of any series of Common Stock shall not be entitled to vote on any amendment to this Amended and Restated Certificate (including any amendment to any Preferred Stock Designation) that relates solely to the terms of one or more issued and outstanding series of Preferred Stock or other series of Common Stock if the holders of such affected series of Preferred Stock or Common Stock, as applicable, are entitled exclusively, either separately or together with the holders of one or more other such series, to vote thereon pursuant to this Amended and Restated Certificate (including any Preferred Stock Designation) or the DGCL.</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3" w:name="page204"/>
    <w:bookmarkEnd w:id="203"/>
    <w:p>
      <w:pPr>
        <w:ind w:left="1560" w:hanging="256"/>
        <w:spacing w:after="0"/>
        <w:tabs>
          <w:tab w:leader="none" w:pos="156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Class B Common Stock.</w:t>
      </w:r>
    </w:p>
    <w:p>
      <w:pPr>
        <w:spacing w:after="0" w:line="225" w:lineRule="exact"/>
        <w:rPr>
          <w:rFonts w:ascii="Arial" w:cs="Arial" w:eastAsia="Arial" w:hAnsi="Arial"/>
          <w:sz w:val="18"/>
          <w:szCs w:val="18"/>
          <w:color w:val="auto"/>
        </w:rPr>
      </w:pPr>
    </w:p>
    <w:p>
      <w:pPr>
        <w:jc w:val="both"/>
        <w:ind w:left="660" w:firstLine="1292"/>
        <w:spacing w:after="0" w:line="263" w:lineRule="auto"/>
        <w:tabs>
          <w:tab w:leader="none" w:pos="2190" w:val="left"/>
        </w:tabs>
        <w:numPr>
          <w:ilvl w:val="2"/>
          <w:numId w:val="144"/>
        </w:numPr>
        <w:rPr>
          <w:rFonts w:ascii="Arial" w:cs="Arial" w:eastAsia="Arial" w:hAnsi="Arial"/>
          <w:sz w:val="18"/>
          <w:szCs w:val="18"/>
          <w:color w:val="auto"/>
        </w:rPr>
      </w:pPr>
      <w:r>
        <w:rPr>
          <w:rFonts w:ascii="Arial" w:cs="Arial" w:eastAsia="Arial" w:hAnsi="Arial"/>
          <w:sz w:val="18"/>
          <w:szCs w:val="18"/>
          <w:color w:val="auto"/>
        </w:rPr>
        <w:t>Shares of Class B Common Stock shall be convertible into shares of Class A Common Stock on a one-for-one basis (the “</w:t>
      </w:r>
      <w:r>
        <w:rPr>
          <w:rFonts w:ascii="Arial" w:cs="Arial" w:eastAsia="Arial" w:hAnsi="Arial"/>
          <w:sz w:val="18"/>
          <w:szCs w:val="18"/>
          <w:b w:val="1"/>
          <w:bCs w:val="1"/>
          <w:i w:val="1"/>
          <w:iCs w:val="1"/>
          <w:color w:val="auto"/>
        </w:rPr>
        <w:t>Initial Conversion Ratio</w:t>
      </w:r>
      <w:r>
        <w:rPr>
          <w:rFonts w:ascii="Arial" w:cs="Arial" w:eastAsia="Arial" w:hAnsi="Arial"/>
          <w:sz w:val="18"/>
          <w:szCs w:val="18"/>
          <w:color w:val="auto"/>
        </w:rPr>
        <w:t>”) automatically concurrently with or immediately following the closing of the Business Combination (as defined below).</w:t>
      </w:r>
    </w:p>
    <w:p>
      <w:pPr>
        <w:spacing w:after="0" w:line="183" w:lineRule="exact"/>
        <w:rPr>
          <w:rFonts w:ascii="Arial" w:cs="Arial" w:eastAsia="Arial" w:hAnsi="Arial"/>
          <w:sz w:val="18"/>
          <w:szCs w:val="18"/>
          <w:color w:val="auto"/>
        </w:rPr>
      </w:pPr>
    </w:p>
    <w:p>
      <w:pPr>
        <w:jc w:val="both"/>
        <w:ind w:left="660" w:firstLine="1292"/>
        <w:spacing w:after="0" w:line="283" w:lineRule="auto"/>
        <w:tabs>
          <w:tab w:leader="none" w:pos="2221" w:val="left"/>
        </w:tabs>
        <w:numPr>
          <w:ilvl w:val="2"/>
          <w:numId w:val="144"/>
        </w:numPr>
        <w:rPr>
          <w:rFonts w:ascii="Arial" w:cs="Arial" w:eastAsia="Arial" w:hAnsi="Arial"/>
          <w:sz w:val="16"/>
          <w:szCs w:val="16"/>
          <w:color w:val="auto"/>
        </w:rPr>
      </w:pPr>
      <w:r>
        <w:rPr>
          <w:rFonts w:ascii="Arial" w:cs="Arial" w:eastAsia="Arial" w:hAnsi="Arial"/>
          <w:sz w:val="16"/>
          <w:szCs w:val="16"/>
          <w:color w:val="auto"/>
        </w:rPr>
        <w:t>Notwithstanding the Initial Conversion Ratio, in the case that additional shares of Class A Common Stock or equity-linked securities are issued or deemed issued in excess of the amounts sold in the Corporation’s initial public offering of securities (the “</w:t>
      </w:r>
      <w:r>
        <w:rPr>
          <w:rFonts w:ascii="Arial" w:cs="Arial" w:eastAsia="Arial" w:hAnsi="Arial"/>
          <w:sz w:val="16"/>
          <w:szCs w:val="16"/>
          <w:b w:val="1"/>
          <w:bCs w:val="1"/>
          <w:i w:val="1"/>
          <w:iCs w:val="1"/>
          <w:color w:val="auto"/>
        </w:rPr>
        <w:t>Offering</w:t>
      </w:r>
      <w:r>
        <w:rPr>
          <w:rFonts w:ascii="Arial" w:cs="Arial" w:eastAsia="Arial" w:hAnsi="Arial"/>
          <w:sz w:val="16"/>
          <w:szCs w:val="16"/>
          <w:color w:val="auto"/>
        </w:rPr>
        <w:t>”) and related to or in connection with the closing of the initial Business Combination, all issued and outstanding shares of Class B Common Stock shall automatically convert into shares of Class A Common Stock at the time of the closing of the Corporation’s initial Business Combination, the ratio for which the shares of Class B Common Stock shall convert into shares of Class A Common Stock will be adjusted so that the number of shares of Class A Common Stock issuable upon conversion of all shares of Class B Common Stock will equal, in the aggregate, 25% of the sum of (a) the total number of all shares of Class A Common Stock issued in the Offering (including any shares of Class A Common Stock issued pursuant to the underwriters’ over-allotment option and excluding any shares of Class A Common Stock issued to FS Development Holdings, LLC (the “</w:t>
      </w:r>
      <w:r>
        <w:rPr>
          <w:rFonts w:ascii="Arial" w:cs="Arial" w:eastAsia="Arial" w:hAnsi="Arial"/>
          <w:sz w:val="16"/>
          <w:szCs w:val="16"/>
          <w:b w:val="1"/>
          <w:bCs w:val="1"/>
          <w:i w:val="1"/>
          <w:iCs w:val="1"/>
          <w:color w:val="auto"/>
        </w:rPr>
        <w:t>Sponsor</w:t>
      </w:r>
      <w:r>
        <w:rPr>
          <w:rFonts w:ascii="Arial" w:cs="Arial" w:eastAsia="Arial" w:hAnsi="Arial"/>
          <w:sz w:val="16"/>
          <w:szCs w:val="16"/>
          <w:color w:val="auto"/>
        </w:rPr>
        <w:t>”) in a private placement simultaneously with the closing of the Offering) plus (b) the sum of (i) all shares of Class A Common Stock issued or deemed issued or issuable upon conversion or exercise of any equity-linked securities or rights issued or deemed issued in connection with or in relation to the consummation of a Business Combination (including any shares of Class A Common Stock issued pursuant to a forward purchase agreement), excluding any shares of Class A Common Stock issued or deemed issued or issuable upon conversion of the shares of Class B Common Stock in connection with the consummation of a Business Combination, any shares of Class A Common Stock or equity-linked securities or rights issued, or to be issued, to any seller in a Business Combination, any private placement shares issued to the Sponsor, or an affiliate of the Sponsor or the Corporation’s officers and directors upon the conversion of working capital loans made to the Corporation, minus</w:t>
      </w:r>
    </w:p>
    <w:p>
      <w:pPr>
        <w:ind w:left="660" w:right="20" w:hanging="4"/>
        <w:spacing w:after="0" w:line="260" w:lineRule="auto"/>
        <w:tabs>
          <w:tab w:leader="none" w:pos="947"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number of shares of Class A Common Stock redeemed in connection with a Business Combination, provided that such conversion of shares of Class B Common Stock shall never be less than the Initial Conversion Ratio.</w:t>
      </w:r>
    </w:p>
    <w:p>
      <w:pPr>
        <w:spacing w:after="0" w:line="18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Notwithstanding anything to the contrary contained herein, (i) the foregoing adjustment to the Initial Conversion Ratio may be waived as to any particular issuance or deemed issuance of additional shares of Class A Common Stock or equity-linked securities by the written consent or agreement of holders of a majority of the shares of Class B Common Stock then issued and outstanding consenting or agreeing separately as a single class in the manner provided in </w:t>
      </w:r>
      <w:r>
        <w:rPr>
          <w:rFonts w:ascii="Arial" w:cs="Arial" w:eastAsia="Arial" w:hAnsi="Arial"/>
          <w:sz w:val="18"/>
          <w:szCs w:val="18"/>
          <w:u w:val="single" w:color="auto"/>
          <w:color w:val="auto"/>
        </w:rPr>
        <w:t>Section 4.3(b)(iii)</w:t>
      </w:r>
      <w:r>
        <w:rPr>
          <w:rFonts w:ascii="Arial" w:cs="Arial" w:eastAsia="Arial" w:hAnsi="Arial"/>
          <w:sz w:val="18"/>
          <w:szCs w:val="18"/>
          <w:color w:val="auto"/>
        </w:rPr>
        <w:t>, and (ii) in no event shall the Class B Common Stock convert into Class A Common Stock at a ratio that is less than one-for-one.</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foregoing conversion ratio shall also be adjusted to account for any subdivision (by stock split, subdivision, exchange, stock dividend, reclassification, recapitalization or otherwise) or combination (by reverse stock split, exchange, reclassification, recapitalization or otherwise) or similar reclassification or recapitalization of the issued and outstanding shares of Class A Common Stock into a greater or lesser number of shares occurring after the original filing of this Amended and Restated Certificate without a proportionate and corresponding subdivision, combination or similar reclassification or recapitalization of the issued and outstanding shares of Class B Common Stock.</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Each share of Class B Common Stock shall convert into its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number of shares of Class A Common Stock pursuant to this </w:t>
      </w:r>
      <w:r>
        <w:rPr>
          <w:rFonts w:ascii="Arial" w:cs="Arial" w:eastAsia="Arial" w:hAnsi="Arial"/>
          <w:sz w:val="18"/>
          <w:szCs w:val="18"/>
          <w:u w:val="single" w:color="auto"/>
          <w:color w:val="auto"/>
        </w:rPr>
        <w:t>Section 4.3(b)</w:t>
      </w:r>
      <w:r>
        <w:rPr>
          <w:rFonts w:ascii="Arial" w:cs="Arial" w:eastAsia="Arial" w:hAnsi="Arial"/>
          <w:sz w:val="18"/>
          <w:szCs w:val="18"/>
          <w:color w:val="auto"/>
        </w:rPr>
        <w:t xml:space="preserve">. The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for each holder of Class B Common Stock will be determined as follows: Each share of Class B Common Stock shall convert into such number of shares of Class A Common Stock as is equal to the product of one (1) multiplied by a fraction, the numerator of which shall be the total number of shares of Class A Common Stock into which all of the issued and outstanding shares of Class B Common Stock shall be converted pursuant to this </w:t>
      </w:r>
      <w:r>
        <w:rPr>
          <w:rFonts w:ascii="Arial" w:cs="Arial" w:eastAsia="Arial" w:hAnsi="Arial"/>
          <w:sz w:val="18"/>
          <w:szCs w:val="18"/>
          <w:u w:val="single" w:color="auto"/>
          <w:color w:val="auto"/>
        </w:rPr>
        <w:t>Section 4.3(b)</w:t>
      </w:r>
      <w:r>
        <w:rPr>
          <w:rFonts w:ascii="Arial" w:cs="Arial" w:eastAsia="Arial" w:hAnsi="Arial"/>
          <w:sz w:val="18"/>
          <w:szCs w:val="18"/>
          <w:color w:val="auto"/>
        </w:rPr>
        <w:t xml:space="preserve"> and the denominator of which shall be the total number of issued and outstanding shares of Class B Common Stock at the time of conversion.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4" w:name="page205"/>
    <w:bookmarkEnd w:id="204"/>
    <w:p>
      <w:pPr>
        <w:jc w:val="both"/>
        <w:ind w:left="660" w:firstLine="1292"/>
        <w:spacing w:after="0" w:line="268" w:lineRule="auto"/>
        <w:tabs>
          <w:tab w:leader="none" w:pos="2298" w:val="left"/>
        </w:tabs>
        <w:numPr>
          <w:ilvl w:val="1"/>
          <w:numId w:val="146"/>
        </w:numPr>
        <w:rPr>
          <w:rFonts w:ascii="Arial" w:cs="Arial" w:eastAsia="Arial" w:hAnsi="Arial"/>
          <w:sz w:val="17"/>
          <w:szCs w:val="17"/>
          <w:color w:val="auto"/>
        </w:rPr>
      </w:pPr>
      <w:r>
        <w:rPr>
          <w:rFonts w:ascii="Arial" w:cs="Arial" w:eastAsia="Arial" w:hAnsi="Arial"/>
          <w:sz w:val="17"/>
          <w:szCs w:val="17"/>
          <w:i w:val="1"/>
          <w:iCs w:val="1"/>
          <w:color w:val="auto"/>
        </w:rPr>
        <w:t xml:space="preserve">Voting. </w:t>
      </w:r>
      <w:r>
        <w:rPr>
          <w:rFonts w:ascii="Arial" w:cs="Arial" w:eastAsia="Arial" w:hAnsi="Arial"/>
          <w:sz w:val="17"/>
          <w:szCs w:val="17"/>
          <w:color w:val="auto"/>
        </w:rPr>
        <w:t>Except as otherwise required by law or this Amended and Restated Certificate (including any Preferred Stock</w:t>
      </w:r>
      <w:r>
        <w:rPr>
          <w:rFonts w:ascii="Arial" w:cs="Arial" w:eastAsia="Arial" w:hAnsi="Arial"/>
          <w:sz w:val="17"/>
          <w:szCs w:val="17"/>
          <w:i w:val="1"/>
          <w:iCs w:val="1"/>
          <w:color w:val="auto"/>
        </w:rPr>
        <w:t xml:space="preserve"> </w:t>
      </w:r>
      <w:r>
        <w:rPr>
          <w:rFonts w:ascii="Arial" w:cs="Arial" w:eastAsia="Arial" w:hAnsi="Arial"/>
          <w:sz w:val="17"/>
          <w:szCs w:val="17"/>
          <w:color w:val="auto"/>
        </w:rPr>
        <w:t>Designation), for so long as any shares of Class B Common Stock shall remain outstanding, the Corporation shall not, without the prior vote or written consent of the holders of a majority of the shares of Class B Common Stock then issued and outstanding, voting separately as a single class, amend, alter or repeal any provision of this Amended and Restated Certificate, whether by merger, consolidation or otherwise, if such amendment, alteration or repeal would alter or change the powers, preferences or relative, participating, optional or other or special rights of the Class B Common Stock. Any action required or permitted to be taken at any meeting of the holders of Class B Common Stock may be taken without a meeting, without prior notice and without a vote, if a consent or consents in writing, setting forth the action so taken, shall be signed by the holders of the issued and outstanding shares of Class B Common Stock having not less than the minimum number of votes that would be necessary to authorize or take such action at a meeting at which all shares of Class B Common Stock were present and voted and shall be delivered to the Corporation by delivery to its registered office in the State of Delaware, its principal place of business, or an officer or agent of the Corporation having custody of the book in which minutes of proceedings of stockholders are recorded. Delivery made to the Corporation’s registered office shall be by hand or by certified or registered mail, return receipt requested. Prompt written notice of the taking of corporate action without a meeting by less than unanimous written consent of the holders of Class B Common Stock shall, to the extent required by law, be given to those holders of Class B Common Stock who have not consented in writing and who, if the action had been taken at a meeting, would have been entitled to notice of the meeting if the record date for notice of such meeting had been the date that written consents signed by a sufficient number of holders of Class B Common Stock to take the action were delivered to the Corporation</w:t>
      </w:r>
    </w:p>
    <w:p>
      <w:pPr>
        <w:spacing w:after="0" w:line="179" w:lineRule="exact"/>
        <w:rPr>
          <w:rFonts w:ascii="Arial" w:cs="Arial" w:eastAsia="Arial" w:hAnsi="Arial"/>
          <w:sz w:val="17"/>
          <w:szCs w:val="17"/>
          <w:color w:val="auto"/>
        </w:rPr>
      </w:pPr>
    </w:p>
    <w:p>
      <w:pPr>
        <w:jc w:val="both"/>
        <w:ind w:firstLine="1304"/>
        <w:spacing w:after="0" w:line="279" w:lineRule="auto"/>
        <w:tabs>
          <w:tab w:leader="none" w:pos="1540" w:val="left"/>
        </w:tabs>
        <w:numPr>
          <w:ilvl w:val="0"/>
          <w:numId w:val="147"/>
        </w:numPr>
        <w:rPr>
          <w:rFonts w:ascii="Arial" w:cs="Arial" w:eastAsia="Arial" w:hAnsi="Arial"/>
          <w:sz w:val="17"/>
          <w:szCs w:val="17"/>
          <w:color w:val="auto"/>
        </w:rPr>
      </w:pPr>
      <w:r>
        <w:rPr>
          <w:rFonts w:ascii="Arial" w:cs="Arial" w:eastAsia="Arial" w:hAnsi="Arial"/>
          <w:sz w:val="17"/>
          <w:szCs w:val="17"/>
          <w:i w:val="1"/>
          <w:iCs w:val="1"/>
          <w:color w:val="auto"/>
        </w:rPr>
        <w:t xml:space="preserve">Dividends. </w:t>
      </w:r>
      <w:r>
        <w:rPr>
          <w:rFonts w:ascii="Arial" w:cs="Arial" w:eastAsia="Arial" w:hAnsi="Arial"/>
          <w:sz w:val="17"/>
          <w:szCs w:val="17"/>
          <w:color w:val="auto"/>
        </w:rPr>
        <w:t>Subject to applicable law, the rights, if any, of the holders of any issued and outstanding series of the Preferred Stock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provisions of </w:t>
      </w:r>
      <w:r>
        <w:rPr>
          <w:rFonts w:ascii="Arial" w:cs="Arial" w:eastAsia="Arial" w:hAnsi="Arial"/>
          <w:sz w:val="17"/>
          <w:szCs w:val="17"/>
          <w:i w:val="1"/>
          <w:iCs w:val="1"/>
          <w:color w:val="auto"/>
        </w:rPr>
        <w:t>Article IX</w:t>
      </w:r>
      <w:r>
        <w:rPr>
          <w:rFonts w:ascii="Arial" w:cs="Arial" w:eastAsia="Arial" w:hAnsi="Arial"/>
          <w:sz w:val="17"/>
          <w:szCs w:val="17"/>
          <w:color w:val="auto"/>
        </w:rPr>
        <w:t xml:space="preserve"> hereof, the holders of shares of Common Stock shall be entitled to receive such dividends and other distributions (payable in cash, property or capital stock of the Corporation) when, as and if declared thereon by the Board from time to time out of any assets or funds of the Corporation legally available therefor and shall share equally on a per share basis in such dividends and distributions.</w:t>
      </w:r>
    </w:p>
    <w:p>
      <w:pPr>
        <w:spacing w:after="0" w:line="171" w:lineRule="exact"/>
        <w:rPr>
          <w:rFonts w:ascii="Arial" w:cs="Arial" w:eastAsia="Arial" w:hAnsi="Arial"/>
          <w:sz w:val="17"/>
          <w:szCs w:val="17"/>
          <w:color w:val="auto"/>
        </w:rPr>
      </w:pPr>
    </w:p>
    <w:p>
      <w:pPr>
        <w:jc w:val="both"/>
        <w:ind w:firstLine="1304"/>
        <w:spacing w:after="0" w:line="257" w:lineRule="auto"/>
        <w:tabs>
          <w:tab w:leader="none" w:pos="1551" w:val="left"/>
        </w:tabs>
        <w:numPr>
          <w:ilvl w:val="0"/>
          <w:numId w:val="147"/>
        </w:numPr>
        <w:rPr>
          <w:rFonts w:ascii="Arial" w:cs="Arial" w:eastAsia="Arial" w:hAnsi="Arial"/>
          <w:sz w:val="18"/>
          <w:szCs w:val="18"/>
          <w:color w:val="auto"/>
        </w:rPr>
      </w:pPr>
      <w:r>
        <w:rPr>
          <w:rFonts w:ascii="Arial" w:cs="Arial" w:eastAsia="Arial" w:hAnsi="Arial"/>
          <w:sz w:val="18"/>
          <w:szCs w:val="18"/>
          <w:i w:val="1"/>
          <w:iCs w:val="1"/>
          <w:color w:val="auto"/>
        </w:rPr>
        <w:t xml:space="preserve">Liquidation, Dissolution or Winding Up of the Corporation. </w:t>
      </w:r>
      <w:r>
        <w:rPr>
          <w:rFonts w:ascii="Arial" w:cs="Arial" w:eastAsia="Arial" w:hAnsi="Arial"/>
          <w:sz w:val="18"/>
          <w:szCs w:val="18"/>
          <w:color w:val="auto"/>
        </w:rPr>
        <w:t>Subject to applicable law, the rights, if any, of the holders of any issued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outstanding series of the Preferred Stock and the provisions of </w:t>
      </w:r>
      <w:r>
        <w:rPr>
          <w:rFonts w:ascii="Arial" w:cs="Arial" w:eastAsia="Arial" w:hAnsi="Arial"/>
          <w:sz w:val="18"/>
          <w:szCs w:val="18"/>
          <w:i w:val="1"/>
          <w:iCs w:val="1"/>
          <w:color w:val="auto"/>
        </w:rPr>
        <w:t>Article IX</w:t>
      </w:r>
      <w:r>
        <w:rPr>
          <w:rFonts w:ascii="Arial" w:cs="Arial" w:eastAsia="Arial" w:hAnsi="Arial"/>
          <w:sz w:val="18"/>
          <w:szCs w:val="18"/>
          <w:color w:val="auto"/>
        </w:rPr>
        <w:t xml:space="preserve"> hereof, in the event of any voluntary or involuntary liquidation, dissolution or winding up of the Corporation, after payment or provision for payment of the debts and other liabilities of the Corporation, the holders of shares of Common Stock shall be entitled to receive all the remaining assets of the Corporation available for distribution to its stockholders, ratably in proportion to the number of shares of Common Stock held by them.</w:t>
      </w:r>
    </w:p>
    <w:p>
      <w:pPr>
        <w:spacing w:after="0" w:line="188"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Rights and Options</w:t>
      </w:r>
      <w:r>
        <w:rPr>
          <w:rFonts w:ascii="Arial" w:cs="Arial" w:eastAsia="Arial" w:hAnsi="Arial"/>
          <w:sz w:val="18"/>
          <w:szCs w:val="18"/>
          <w:color w:val="auto"/>
        </w:rPr>
        <w:t>. The Corporation has the authority to create and issue rights, warrants and options entitling the holders thereof to acquire from the Corporation any shares of its capital stock of any class or classes, with such rights, warrants and options to be evidenced by or in instrument(s) approved by the Board. The Board is empowered to set the exercise price, duration, times for exercise and other terms and conditions of such rights, warrants or options; provided, however, that the consideration to be received for any shares of capital stock issuable upon exercise thereof may not be less than the par value thereof.</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5" w:name="page206"/>
    <w:bookmarkEnd w:id="205"/>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OF DIRECTORS</w:t>
      </w:r>
    </w:p>
    <w:p>
      <w:pPr>
        <w:spacing w:after="0" w:line="211"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Board Powers</w:t>
      </w:r>
      <w:r>
        <w:rPr>
          <w:rFonts w:ascii="Arial" w:cs="Arial" w:eastAsia="Arial" w:hAnsi="Arial"/>
          <w:sz w:val="18"/>
          <w:szCs w:val="18"/>
          <w:color w:val="auto"/>
        </w:rPr>
        <w:t xml:space="preserve">. The business and affairs of the Corporation shall be managed by, or under the direction of, the Board. In addition to the powers and authority expressly conferred upon the Board by statute, this Amended and Restated Certificate or the Bylaws of the Corporation </w:t>
      </w:r>
      <w:r>
        <w:rPr>
          <w:rFonts w:ascii="Arial" w:cs="Arial" w:eastAsia="Arial" w:hAnsi="Arial"/>
          <w:sz w:val="18"/>
          <w:szCs w:val="18"/>
          <w:i w:val="1"/>
          <w:iCs w:val="1"/>
          <w:color w:val="auto"/>
        </w:rPr>
        <w:t>(</w:t>
      </w:r>
      <w:r>
        <w:rPr>
          <w:rFonts w:ascii="Arial" w:cs="Arial" w:eastAsia="Arial" w:hAnsi="Arial"/>
          <w:sz w:val="18"/>
          <w:szCs w:val="18"/>
          <w:color w:val="auto"/>
        </w:rPr>
        <w:t>“</w:t>
      </w:r>
      <w:r>
        <w:rPr>
          <w:rFonts w:ascii="Arial" w:cs="Arial" w:eastAsia="Arial" w:hAnsi="Arial"/>
          <w:sz w:val="18"/>
          <w:szCs w:val="18"/>
          <w:b w:val="1"/>
          <w:bCs w:val="1"/>
          <w:i w:val="1"/>
          <w:iCs w:val="1"/>
          <w:color w:val="auto"/>
        </w:rPr>
        <w:t>Bylaws</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the Board is hereby empowered to exercise all such powers and do all such acts and things as may be exercised or done by the Corporation, subject, nevertheless, to the provisions of the DGCL, this Amended and Restated Certificate and any Bylaws adopted by the stockholders; provided, however, that no Bylaws hereafter adopted by the stockholders shall invalidate any prior act of the Board that would have been valid if such Bylaws had not been adopted.</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Number, Election and Term</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63" w:lineRule="auto"/>
        <w:tabs>
          <w:tab w:leader="none" w:pos="1542"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number of directors of the Corporation, other than those who may be elected by the holders of one or more series of the Preferred Stock voting separately by class or series, shall be fixed from time to time exclusively by the Board pursuant to a resolution adopted by a majority of the Board.</w:t>
      </w:r>
    </w:p>
    <w:p>
      <w:pPr>
        <w:spacing w:after="0" w:line="183" w:lineRule="exact"/>
        <w:rPr>
          <w:rFonts w:ascii="Arial" w:cs="Arial" w:eastAsia="Arial" w:hAnsi="Arial"/>
          <w:sz w:val="18"/>
          <w:szCs w:val="18"/>
          <w:color w:val="auto"/>
        </w:rPr>
      </w:pPr>
    </w:p>
    <w:p>
      <w:pPr>
        <w:jc w:val="both"/>
        <w:ind w:firstLine="1304"/>
        <w:spacing w:after="0" w:line="285" w:lineRule="auto"/>
        <w:tabs>
          <w:tab w:leader="none" w:pos="1551" w:val="left"/>
        </w:tabs>
        <w:numPr>
          <w:ilvl w:val="0"/>
          <w:numId w:val="148"/>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5.5</w:t>
      </w:r>
      <w:r>
        <w:rPr>
          <w:rFonts w:ascii="Arial" w:cs="Arial" w:eastAsia="Arial" w:hAnsi="Arial"/>
          <w:sz w:val="16"/>
          <w:szCs w:val="16"/>
          <w:color w:val="auto"/>
        </w:rPr>
        <w:t xml:space="preserve"> hereof, the Board shall be divided into three classes, as nearly equal in number as possible and designated Class I, Class II and Class III. The Board is authorized to assign members of the Board already in office to Class I, Class II or Class III. The term of the initial Class I Directors shall expire at the first annual meeting of the stockholders of the Corporation following the effectiveness of this Amended and Restated Certificate, the term of the initial Class II Directors shall expire at the second annual meeting of the stockholders of the Corporation following the effectiveness of this Amended and Restated Certificate and the term of the initial Class III Directors shall expire at the third annual meeting of the stockholders of the Corporation following the effectiveness of this Amended and Restated Certificate. At each succeeding annual meeting of the stockholders of the Corporation, beginning with the first annual meeting of the stockholders of the Corporation following the effectiveness of this Amended and Restated Certificate, each of the successors elected to replace the class of directors whose term expires at that annual meeting shall be elected for a three-year term or until the election and qualification of their respective successors in office, subject to their earlier death, resignation or removal. Subject to </w:t>
      </w:r>
      <w:r>
        <w:rPr>
          <w:rFonts w:ascii="Arial" w:cs="Arial" w:eastAsia="Arial" w:hAnsi="Arial"/>
          <w:sz w:val="16"/>
          <w:szCs w:val="16"/>
          <w:u w:val="single" w:color="auto"/>
          <w:color w:val="auto"/>
        </w:rPr>
        <w:t>Section 5.5</w:t>
      </w:r>
      <w:r>
        <w:rPr>
          <w:rFonts w:ascii="Arial" w:cs="Arial" w:eastAsia="Arial" w:hAnsi="Arial"/>
          <w:sz w:val="16"/>
          <w:szCs w:val="16"/>
          <w:color w:val="auto"/>
        </w:rPr>
        <w:t xml:space="preserve"> hereof, if the number of directors that constitutes the Board is changed, any increase or decrease shall be apportioned by the Board among the classes so as to maintain the number of directors in each class as nearly equal as possible, but in no case shall a decrease in the number of directors constituting the Board shorten the term of any incumbent director. Subject to the rights of the holders of one or more series of Preferred Stock, voting separately by class or series, to elect directors pursuant to the terms of one or more series of Preferred Stock, the election of directors shall be determined by a plurality of the votes cast by the stockholders present in person or represented by proxy at the meeting and entitled to vote thereon. The Board is hereby expressly authorized, by resolution or resolutions thereof, to assign members of the Board already in office to the aforesaid classes at the time this Amended and Restated Certificate (and therefore such classification) becomes effective in accordance with the DGCL.</w:t>
      </w:r>
    </w:p>
    <w:p>
      <w:pPr>
        <w:spacing w:after="0" w:line="176" w:lineRule="exact"/>
        <w:rPr>
          <w:rFonts w:ascii="Arial" w:cs="Arial" w:eastAsia="Arial" w:hAnsi="Arial"/>
          <w:sz w:val="16"/>
          <w:szCs w:val="16"/>
          <w:color w:val="auto"/>
        </w:rPr>
      </w:pPr>
    </w:p>
    <w:p>
      <w:pPr>
        <w:jc w:val="both"/>
        <w:ind w:firstLine="1304"/>
        <w:spacing w:after="0" w:line="263" w:lineRule="auto"/>
        <w:tabs>
          <w:tab w:leader="none" w:pos="155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5.5</w:t>
      </w:r>
      <w:r>
        <w:rPr>
          <w:rFonts w:ascii="Arial" w:cs="Arial" w:eastAsia="Arial" w:hAnsi="Arial"/>
          <w:sz w:val="18"/>
          <w:szCs w:val="18"/>
          <w:color w:val="auto"/>
        </w:rPr>
        <w:t xml:space="preserve"> hereof, a director shall hold office until the annual meeting for the year in which his or her term expires and until his or her successor has been elected and qualified, subject, however, to such director’s earlier death, resignation, retirement, disqualification or removal.</w:t>
      </w:r>
    </w:p>
    <w:p>
      <w:pPr>
        <w:spacing w:after="0" w:line="183" w:lineRule="exact"/>
        <w:rPr>
          <w:rFonts w:ascii="Arial" w:cs="Arial" w:eastAsia="Arial" w:hAnsi="Arial"/>
          <w:sz w:val="18"/>
          <w:szCs w:val="18"/>
          <w:color w:val="auto"/>
        </w:rPr>
      </w:pPr>
    </w:p>
    <w:p>
      <w:pPr>
        <w:ind w:left="1560" w:hanging="256"/>
        <w:spacing w:after="0"/>
        <w:tabs>
          <w:tab w:leader="none" w:pos="15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Unless and except to the extent that the Bylaws shall so require, the election of directors need not be by written ballot.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6" w:name="page207"/>
    <w:bookmarkEnd w:id="206"/>
    <w:p>
      <w:pPr>
        <w:jc w:val="both"/>
        <w:ind w:firstLine="1296"/>
        <w:spacing w:after="0" w:line="255"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Newly Created Directorships and Vacancies</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5.5</w:t>
      </w:r>
      <w:r>
        <w:rPr>
          <w:rFonts w:ascii="Arial" w:cs="Arial" w:eastAsia="Arial" w:hAnsi="Arial"/>
          <w:sz w:val="18"/>
          <w:szCs w:val="18"/>
          <w:color w:val="auto"/>
        </w:rPr>
        <w:t xml:space="preserve"> hereof, newly created directorships resulting from an increase in the number of directors and any vacancies on the Board resulting from death, resignation, retirement, disqualification, removal or other cause may be filled solely and exclusively by a majority vote of the remaining directors then in office, even if less than a quorum or by a sole remaining director (and not by stockholders), and any director so chosen shall hold office for the remainder of the full term of the class of directors to which the new directorship was added or in which the vacancy occurred and until his or her successor has been elected and qualified, subject, however, to such director’s earlier death, resignation, retirement, disqualification or removal.</w:t>
      </w:r>
    </w:p>
    <w:p>
      <w:pPr>
        <w:spacing w:after="0" w:line="192"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u w:val="single" w:color="auto"/>
          <w:color w:val="auto"/>
        </w:rPr>
        <w:t>Removal</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5.5</w:t>
      </w:r>
      <w:r>
        <w:rPr>
          <w:rFonts w:ascii="Arial" w:cs="Arial" w:eastAsia="Arial" w:hAnsi="Arial"/>
          <w:sz w:val="18"/>
          <w:szCs w:val="18"/>
          <w:color w:val="auto"/>
        </w:rPr>
        <w:t xml:space="preserve"> hereof, any or all of the directors may be removed from office at any time, but only for cause and only by the affirmative vote of holders of a majority of the voting power of all then issued and outstanding shares of capital stock of the Corporation entitled to vote generally in the election of directors, voting together as a single class.</w:t>
      </w:r>
    </w:p>
    <w:p>
      <w:pPr>
        <w:spacing w:after="0" w:line="184"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 xml:space="preserve">Section 5.5 </w:t>
      </w:r>
      <w:r>
        <w:rPr>
          <w:rFonts w:ascii="Arial" w:cs="Arial" w:eastAsia="Arial" w:hAnsi="Arial"/>
          <w:sz w:val="17"/>
          <w:szCs w:val="17"/>
          <w:u w:val="single" w:color="auto"/>
          <w:color w:val="auto"/>
        </w:rPr>
        <w:t>Preferred Stock – Directors</w:t>
      </w:r>
      <w:r>
        <w:rPr>
          <w:rFonts w:ascii="Arial" w:cs="Arial" w:eastAsia="Arial" w:hAnsi="Arial"/>
          <w:sz w:val="17"/>
          <w:szCs w:val="17"/>
          <w:color w:val="auto"/>
        </w:rPr>
        <w:t xml:space="preserve">. Notwithstanding any other provision of this </w:t>
      </w:r>
      <w:r>
        <w:rPr>
          <w:rFonts w:ascii="Arial" w:cs="Arial" w:eastAsia="Arial" w:hAnsi="Arial"/>
          <w:sz w:val="17"/>
          <w:szCs w:val="17"/>
          <w:i w:val="1"/>
          <w:iCs w:val="1"/>
          <w:color w:val="auto"/>
        </w:rPr>
        <w:t>Article V,</w:t>
      </w:r>
      <w:r>
        <w:rPr>
          <w:rFonts w:ascii="Arial" w:cs="Arial" w:eastAsia="Arial" w:hAnsi="Arial"/>
          <w:sz w:val="17"/>
          <w:szCs w:val="17"/>
          <w:color w:val="auto"/>
        </w:rPr>
        <w:t xml:space="preserve"> and except as otherwise required by law, whenever the holders of one or more series of the Preferred Stock shall have the right, voting separately by class or series, to elect one or more directors, the term of office, the filling of vacancies, the removal from office and other features of such directorships shall be governed by the terms of such series of the Preferred Stock as set forth in this Amended and Restated Certificate (including any Preferred Stock Designation) and such directors shall not be included in any of the classes created pursuant to this </w:t>
      </w:r>
      <w:r>
        <w:rPr>
          <w:rFonts w:ascii="Arial" w:cs="Arial" w:eastAsia="Arial" w:hAnsi="Arial"/>
          <w:sz w:val="17"/>
          <w:szCs w:val="17"/>
          <w:i w:val="1"/>
          <w:iCs w:val="1"/>
          <w:color w:val="auto"/>
        </w:rPr>
        <w:t>Article V</w:t>
      </w:r>
      <w:r>
        <w:rPr>
          <w:rFonts w:ascii="Arial" w:cs="Arial" w:eastAsia="Arial" w:hAnsi="Arial"/>
          <w:sz w:val="17"/>
          <w:szCs w:val="17"/>
          <w:color w:val="auto"/>
        </w:rPr>
        <w:t xml:space="preserve"> unless expressly provided by such terms.</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u w:val="single" w:color="auto"/>
          <w:color w:val="auto"/>
        </w:rPr>
        <w:t>Quorum</w:t>
      </w:r>
      <w:r>
        <w:rPr>
          <w:rFonts w:ascii="Arial" w:cs="Arial" w:eastAsia="Arial" w:hAnsi="Arial"/>
          <w:sz w:val="18"/>
          <w:szCs w:val="18"/>
          <w:color w:val="auto"/>
        </w:rPr>
        <w:t>. A quorum for the transaction of business by the directors shall be set forth in the Bylaws.</w:t>
      </w:r>
    </w:p>
    <w:p>
      <w:pPr>
        <w:spacing w:after="0" w:line="221"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BYLAWS</w:t>
      </w:r>
    </w:p>
    <w:p>
      <w:pPr>
        <w:spacing w:after="0" w:line="21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furtherance and not in limitation of the powers conferred upon it by law, the Board shall have the power and is expressly authorized to adopt, amend, alter or repeal the Bylaws. The affirmative vote of a majority of the Board shall be required to adopt, amend, alter or repeal the Bylaws. The Bylaws also may be adopted, amended, altered or repealed by the stockholders of the Corporation; provided, however, that in addition to any vote of the holders of any class or series of capital stock of the Corporation required by law or by this Amended and Restated Certificate (including any Preferred Stock Designation), the affirmative vote of the holders of at least a majority of the voting power of all then issued and outstanding shares of capital stock of the Corporation entitled to vote generally in the election of directors, voting together as a single class, shall be required for the stockholders of the Corporation to adopt, amend, alter or repeal the Bylaws; and provided further, however, that no Bylaws hereafter adopted by the stockholders of the Corporation shall invalidate any prior act of the Board that would have been valid if such Bylaws had not been adopted.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MEETINGS OF STOCKHOLDERS; ACTION BY WRITTEN CONSENT</w:t>
      </w:r>
    </w:p>
    <w:p>
      <w:pPr>
        <w:spacing w:after="0" w:line="211"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Meetings</w:t>
      </w:r>
      <w:r>
        <w:rPr>
          <w:rFonts w:ascii="Arial" w:cs="Arial" w:eastAsia="Arial" w:hAnsi="Arial"/>
          <w:sz w:val="18"/>
          <w:szCs w:val="18"/>
          <w:color w:val="auto"/>
        </w:rPr>
        <w:t>. Subject to the rights, if any, of the holders of any issued and outstanding series of the Preferred Stock, and to the requirements of applicable law, special meetings of stockholders of the Corporation may be called only by the Chairman of the Board, Chief Executive Officer of the Corporation, or the Board pursuant to a resolution adopted by a majority of the Board, and the ability of the stockholders of the Corporation to call a special meeting is hereby specifically denied. Except as provided in the foregoing sentence, special meetings of stockholders may not be called by another person or persons.</w:t>
      </w:r>
    </w:p>
    <w:p>
      <w:pPr>
        <w:spacing w:after="0" w:line="188"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Advance Notice</w:t>
      </w:r>
      <w:r>
        <w:rPr>
          <w:rFonts w:ascii="Arial" w:cs="Arial" w:eastAsia="Arial" w:hAnsi="Arial"/>
          <w:sz w:val="18"/>
          <w:szCs w:val="18"/>
          <w:color w:val="auto"/>
        </w:rPr>
        <w:t>. Advance notice of stockholder nominations for the election of directors and of business to be brought by stockholders before any meeting of the stockholders of the Corporation shall be given in the manner provided in the Bylaws.</w:t>
      </w:r>
    </w:p>
    <w:p>
      <w:pPr>
        <w:spacing w:after="0" w:line="170"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 xml:space="preserve">Section 7.3 </w:t>
      </w:r>
      <w:r>
        <w:rPr>
          <w:rFonts w:ascii="Arial" w:cs="Arial" w:eastAsia="Arial" w:hAnsi="Arial"/>
          <w:sz w:val="17"/>
          <w:szCs w:val="17"/>
          <w:u w:val="single" w:color="auto"/>
          <w:color w:val="auto"/>
        </w:rPr>
        <w:t>Action by Written Consent</w:t>
      </w:r>
      <w:r>
        <w:rPr>
          <w:rFonts w:ascii="Arial" w:cs="Arial" w:eastAsia="Arial" w:hAnsi="Arial"/>
          <w:sz w:val="17"/>
          <w:szCs w:val="17"/>
          <w:color w:val="auto"/>
        </w:rPr>
        <w:t>. Except as may be otherwise provided for or fixed pursuant to this Amended and Restated Certificate (including any Preferred Stock Designation) relating to the rights of the holders of any issued and outstanding series of Preferred Stock, subsequent to the consummation of the Offering, any action required or permitted to be taken by the stockholders of the Corporation must be effected by a duly called annual or special meeting of such stockholders and may not be effected by written consent of the stockholders of the Corporation other than with respect to the Class B Common Stock with respect to which action may be taken by written consent.</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7" w:name="page208"/>
    <w:bookmarkEnd w:id="207"/>
    <w:p>
      <w:pPr>
        <w:jc w:val="center"/>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LIMITED LIABILITY; INDEMNIFICATION</w:t>
      </w:r>
    </w:p>
    <w:p>
      <w:pPr>
        <w:spacing w:after="0" w:line="211"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Limitation of Director Liability</w:t>
      </w:r>
      <w:r>
        <w:rPr>
          <w:rFonts w:ascii="Arial" w:cs="Arial" w:eastAsia="Arial" w:hAnsi="Arial"/>
          <w:sz w:val="18"/>
          <w:szCs w:val="18"/>
          <w:i w:val="1"/>
          <w:iCs w:val="1"/>
          <w:color w:val="auto"/>
        </w:rPr>
        <w:t>.</w:t>
      </w:r>
      <w:r>
        <w:rPr>
          <w:rFonts w:ascii="Arial" w:cs="Arial" w:eastAsia="Arial" w:hAnsi="Arial"/>
          <w:sz w:val="18"/>
          <w:szCs w:val="18"/>
          <w:color w:val="auto"/>
        </w:rPr>
        <w:t xml:space="preserve"> A director of the Corporation shall not be personally liable to the Corporation or its stockholders for monetary damages for breach of fiduciary duty as a director, except to the extent such exemption from liability or limitation thereof is not permitted under the DGCL as the same exists or may hereafter be amended unless a director violated his or her duty of loyalty to the Corporation or its stockholders, acted in bad faith, knowingly or intentionally violated the law, authorized unlawful payments of dividends, unlawful stock purchases or unlawful redemptions, or derived improper personal benefit from his or her actions as a director. Any amendment, modification or repeal of the foregoing sentence shall not adversely affect any right or protection of a director of the Corporation hereunder in respect of any act or omission occurring prior to the time of such amendment, modification or repeal.</w:t>
      </w:r>
    </w:p>
    <w:p>
      <w:pPr>
        <w:spacing w:after="0" w:line="19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Indemnification and Advancement of Expenses</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85" w:lineRule="auto"/>
        <w:tabs>
          <w:tab w:leader="none" w:pos="1541"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To the fullest extent permitted by applicable law, as the same exists or may hereafter be amended, the Corporation shall indemnify and hold harmless each person who is or was made a party or is threatened to be made a party to or is otherwise involved in any threatened, pending or completed action, suit or proceeding, whether civil, criminal, administrative or investigative (a “</w:t>
      </w:r>
      <w:r>
        <w:rPr>
          <w:rFonts w:ascii="Arial" w:cs="Arial" w:eastAsia="Arial" w:hAnsi="Arial"/>
          <w:sz w:val="16"/>
          <w:szCs w:val="16"/>
          <w:b w:val="1"/>
          <w:bCs w:val="1"/>
          <w:i w:val="1"/>
          <w:iCs w:val="1"/>
          <w:color w:val="auto"/>
        </w:rPr>
        <w:t>proceeding</w:t>
      </w:r>
      <w:r>
        <w:rPr>
          <w:rFonts w:ascii="Arial" w:cs="Arial" w:eastAsia="Arial" w:hAnsi="Arial"/>
          <w:sz w:val="16"/>
          <w:szCs w:val="16"/>
          <w:color w:val="auto"/>
        </w:rPr>
        <w:t>” by reason of the fact that he or she is or was a director or officer of the Corporation or, while a director or officer of the Corporation, is or was serving at the request of the Corporation as a director, officer, employee or agent of another corporation or of a partnership, joint venture, trust, other enterprise or nonprofit entity, including service with respect to an employee benefit plan (an “</w:t>
      </w:r>
      <w:r>
        <w:rPr>
          <w:rFonts w:ascii="Arial" w:cs="Arial" w:eastAsia="Arial" w:hAnsi="Arial"/>
          <w:sz w:val="16"/>
          <w:szCs w:val="16"/>
          <w:b w:val="1"/>
          <w:bCs w:val="1"/>
          <w:i w:val="1"/>
          <w:iCs w:val="1"/>
          <w:color w:val="auto"/>
        </w:rPr>
        <w:t>indemnitee’</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whether the basis of such proceeding is alleged action in an official capacity as a director, officer, employee or agent, or in any other capacity while serving as a director, officer, employee or agent, against all liability and loss suffered and expenses (including, without limitation, attorneys’ fees, judgments, fines, ERISA excise taxes and penalties and amounts paid in settlement) reasonably incurred by such indemnitee in connection with such proceeding. The Corporation shall to the fullest extent not prohibited by applicable law pay the expenses (including attorneys’ fees) incurred by an indemnitee in defending or otherwise participating in any proceeding in advance of its final disposition; provided, however, that, to the extent required by applicable law, such payment of expenses in advance of the final disposition of the proceeding shall be made only upon receipt of an undertaking, by or on behalf of the indemnitee, to repay all amounts so advanced if it shall ultimately be determined that the indemnitee is not entitled to be indemnified under this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or otherwise. The rights to indemnification and advancement of expenses conferred by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8.2</w:t>
      </w:r>
      <w:r>
        <w:rPr>
          <w:rFonts w:ascii="Arial" w:cs="Arial" w:eastAsia="Arial" w:hAnsi="Arial"/>
          <w:sz w:val="16"/>
          <w:szCs w:val="16"/>
          <w:color w:val="auto"/>
        </w:rPr>
        <w:t xml:space="preserve"> shall be contract rights and such rights shall continue as to an indemnitee who has ceased to be a director, officer, employee or agent and shall inure to the benefit of his or her heirs, executors and administrators. Notwithstanding the foregoing provisions of this </w:t>
      </w:r>
      <w:r>
        <w:rPr>
          <w:rFonts w:ascii="Arial" w:cs="Arial" w:eastAsia="Arial" w:hAnsi="Arial"/>
          <w:sz w:val="16"/>
          <w:szCs w:val="16"/>
          <w:u w:val="single" w:color="auto"/>
          <w:color w:val="auto"/>
        </w:rPr>
        <w:t>Section 8.2(a)</w:t>
      </w:r>
      <w:r>
        <w:rPr>
          <w:rFonts w:ascii="Arial" w:cs="Arial" w:eastAsia="Arial" w:hAnsi="Arial"/>
          <w:sz w:val="16"/>
          <w:szCs w:val="16"/>
          <w:color w:val="auto"/>
        </w:rPr>
        <w:t>, except for proceedings to enforce rights to indemnification and advancement of expenses, the Corporation shall indemnify and advance expenses to an indemnitee in connection with a proceeding (or part thereof) initiated by such indemnitee only if such proceeding (or part thereof) was authorized by the Board.</w:t>
      </w:r>
    </w:p>
    <w:p>
      <w:pPr>
        <w:spacing w:after="0" w:line="173" w:lineRule="exact"/>
        <w:rPr>
          <w:rFonts w:ascii="Arial" w:cs="Arial" w:eastAsia="Arial" w:hAnsi="Arial"/>
          <w:sz w:val="16"/>
          <w:szCs w:val="16"/>
          <w:color w:val="auto"/>
        </w:rPr>
      </w:pPr>
    </w:p>
    <w:p>
      <w:pPr>
        <w:jc w:val="both"/>
        <w:ind w:firstLine="1304"/>
        <w:spacing w:after="0" w:line="263" w:lineRule="auto"/>
        <w:tabs>
          <w:tab w:leader="none" w:pos="1555" w:val="left"/>
        </w:tabs>
        <w:numPr>
          <w:ilvl w:val="0"/>
          <w:numId w:val="149"/>
        </w:numPr>
        <w:rPr>
          <w:rFonts w:ascii="Arial" w:cs="Arial" w:eastAsia="Arial" w:hAnsi="Arial"/>
          <w:sz w:val="18"/>
          <w:szCs w:val="18"/>
          <w:color w:val="auto"/>
        </w:rPr>
      </w:pPr>
      <w:r>
        <w:rPr>
          <w:rFonts w:ascii="Arial" w:cs="Arial" w:eastAsia="Arial" w:hAnsi="Arial"/>
          <w:sz w:val="18"/>
          <w:szCs w:val="18"/>
          <w:color w:val="auto"/>
        </w:rPr>
        <w:t xml:space="preserve">The rights to indemnification and advancement of expenses conferred on any indemnitee by this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shall not be exclusive of any other rights that any indemnitee may have or hereafter acquire under law, this Amended and Restated Certificate, the Bylaws, an agreement, vote of stockholders or disinterested directors, or otherwise.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8" w:name="page209"/>
    <w:bookmarkEnd w:id="208"/>
    <w:p>
      <w:pPr>
        <w:jc w:val="both"/>
        <w:ind w:firstLine="1304"/>
        <w:spacing w:after="0" w:line="293" w:lineRule="auto"/>
        <w:tabs>
          <w:tab w:leader="none" w:pos="1541" w:val="left"/>
        </w:tabs>
        <w:numPr>
          <w:ilvl w:val="0"/>
          <w:numId w:val="150"/>
        </w:numPr>
        <w:rPr>
          <w:rFonts w:ascii="Arial" w:cs="Arial" w:eastAsia="Arial" w:hAnsi="Arial"/>
          <w:sz w:val="16"/>
          <w:szCs w:val="16"/>
          <w:color w:val="auto"/>
        </w:rPr>
      </w:pPr>
      <w:r>
        <w:rPr>
          <w:rFonts w:ascii="Arial" w:cs="Arial" w:eastAsia="Arial" w:hAnsi="Arial"/>
          <w:sz w:val="16"/>
          <w:szCs w:val="16"/>
          <w:color w:val="auto"/>
        </w:rPr>
        <w:t xml:space="preserve">Any repeal or amendment of this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by the stockholders of the Corporation or by changes in law, or the adoption of any other provision of this Amended and Restated Certificate inconsistent with this </w:t>
      </w:r>
      <w:r>
        <w:rPr>
          <w:rFonts w:ascii="Arial" w:cs="Arial" w:eastAsia="Arial" w:hAnsi="Arial"/>
          <w:sz w:val="16"/>
          <w:szCs w:val="16"/>
          <w:u w:val="single" w:color="auto"/>
          <w:color w:val="auto"/>
        </w:rPr>
        <w:t>Section 8.2</w:t>
      </w:r>
      <w:r>
        <w:rPr>
          <w:rFonts w:ascii="Arial" w:cs="Arial" w:eastAsia="Arial" w:hAnsi="Arial"/>
          <w:sz w:val="16"/>
          <w:szCs w:val="16"/>
          <w:color w:val="auto"/>
        </w:rPr>
        <w:t>, shall, unless otherwise required by law, be prospective only (except to the extent such amendment or change in law permits the Corporation to provide broader indemnification rights on a retroactive basis than permitted prior thereto), and shall not in any way diminish or adversely affect any right or protection existing at the time of such repeal or amendment or adoption of such inconsistent provision in respect of any proceeding (regardless of when such proceeding is first threatened, commenced or completed) arising out of, or related to, any act or omission occurring prior to such repeal or amendment or adoption of such inconsistent provision.</w:t>
      </w:r>
    </w:p>
    <w:p>
      <w:pPr>
        <w:spacing w:after="0" w:line="164" w:lineRule="exact"/>
        <w:rPr>
          <w:rFonts w:ascii="Arial" w:cs="Arial" w:eastAsia="Arial" w:hAnsi="Arial"/>
          <w:sz w:val="16"/>
          <w:szCs w:val="16"/>
          <w:color w:val="auto"/>
        </w:rPr>
      </w:pPr>
    </w:p>
    <w:p>
      <w:pPr>
        <w:ind w:firstLine="1304"/>
        <w:spacing w:after="0" w:line="277" w:lineRule="auto"/>
        <w:tabs>
          <w:tab w:leader="none" w:pos="1571" w:val="left"/>
        </w:tabs>
        <w:numPr>
          <w:ilvl w:val="0"/>
          <w:numId w:val="150"/>
        </w:numPr>
        <w:rPr>
          <w:rFonts w:ascii="Arial" w:cs="Arial" w:eastAsia="Arial" w:hAnsi="Arial"/>
          <w:sz w:val="18"/>
          <w:szCs w:val="18"/>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shall not limit the right of the Corporation, to the extent and in the manner authorized or permitted by law, to indemnify and to advance expenses to persons other than indemnitees.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COMBINATION REQUIREMENTS; EXISTENCE</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Genera</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59" w:lineRule="auto"/>
        <w:tabs>
          <w:tab w:leader="none" w:pos="1556" w:val="left"/>
        </w:tabs>
        <w:numPr>
          <w:ilvl w:val="0"/>
          <w:numId w:val="151"/>
        </w:numPr>
        <w:rPr>
          <w:rFonts w:ascii="Arial" w:cs="Arial" w:eastAsia="Arial" w:hAnsi="Arial"/>
          <w:sz w:val="18"/>
          <w:szCs w:val="18"/>
          <w:color w:val="auto"/>
        </w:rPr>
      </w:pPr>
      <w:r>
        <w:rPr>
          <w:rFonts w:ascii="Arial" w:cs="Arial" w:eastAsia="Arial" w:hAnsi="Arial"/>
          <w:sz w:val="18"/>
          <w:szCs w:val="18"/>
          <w:color w:val="auto"/>
        </w:rPr>
        <w:t xml:space="preserve">The provisions of this </w:t>
      </w:r>
      <w:r>
        <w:rPr>
          <w:rFonts w:ascii="Arial" w:cs="Arial" w:eastAsia="Arial" w:hAnsi="Arial"/>
          <w:sz w:val="18"/>
          <w:szCs w:val="18"/>
          <w:i w:val="1"/>
          <w:iCs w:val="1"/>
          <w:color w:val="auto"/>
        </w:rPr>
        <w:t>Article IX</w:t>
      </w:r>
      <w:r>
        <w:rPr>
          <w:rFonts w:ascii="Arial" w:cs="Arial" w:eastAsia="Arial" w:hAnsi="Arial"/>
          <w:sz w:val="18"/>
          <w:szCs w:val="18"/>
          <w:color w:val="auto"/>
        </w:rPr>
        <w:t xml:space="preserve"> shall apply during the period commencing upon the effectiveness of this Amended and Restated Certificate and terminating upon the consummation of the Corporation’s initial Business Combination and no amendment to this </w:t>
      </w:r>
      <w:r>
        <w:rPr>
          <w:rFonts w:ascii="Arial" w:cs="Arial" w:eastAsia="Arial" w:hAnsi="Arial"/>
          <w:sz w:val="18"/>
          <w:szCs w:val="18"/>
          <w:i w:val="1"/>
          <w:iCs w:val="1"/>
          <w:color w:val="auto"/>
        </w:rPr>
        <w:t>Article IX</w:t>
      </w:r>
      <w:r>
        <w:rPr>
          <w:rFonts w:ascii="Arial" w:cs="Arial" w:eastAsia="Arial" w:hAnsi="Arial"/>
          <w:sz w:val="18"/>
          <w:szCs w:val="18"/>
          <w:color w:val="auto"/>
        </w:rPr>
        <w:t xml:space="preserve"> shall be effective prior to the consummation of the initial Business Combination unless approved by the affirmative vote of the holders of at least sixty-five percent (65%) of all then issued and outstanding shares of the Common Stock.</w:t>
      </w:r>
    </w:p>
    <w:p>
      <w:pPr>
        <w:spacing w:after="0" w:line="186" w:lineRule="exact"/>
        <w:rPr>
          <w:rFonts w:ascii="Arial" w:cs="Arial" w:eastAsia="Arial" w:hAnsi="Arial"/>
          <w:sz w:val="18"/>
          <w:szCs w:val="18"/>
          <w:color w:val="auto"/>
        </w:rPr>
      </w:pPr>
    </w:p>
    <w:p>
      <w:pPr>
        <w:jc w:val="both"/>
        <w:ind w:firstLine="1304"/>
        <w:spacing w:after="0" w:line="269" w:lineRule="auto"/>
        <w:tabs>
          <w:tab w:leader="none" w:pos="156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Immediately after the Offering, a certain amount of the net offering proceeds received by the Corporation in the Offering (including the proceeds of any exercise of the underwriters’ over-allotment option) and certain other amounts specified in the Corporation’s registration statement on Form S-1, initially filed with the U.S. Securities and Exchange Commission (the “</w:t>
      </w:r>
      <w:r>
        <w:rPr>
          <w:rFonts w:ascii="Arial" w:cs="Arial" w:eastAsia="Arial" w:hAnsi="Arial"/>
          <w:sz w:val="17"/>
          <w:szCs w:val="17"/>
          <w:b w:val="1"/>
          <w:bCs w:val="1"/>
          <w:i w:val="1"/>
          <w:iCs w:val="1"/>
          <w:color w:val="auto"/>
        </w:rPr>
        <w:t>SEC</w:t>
      </w:r>
      <w:r>
        <w:rPr>
          <w:rFonts w:ascii="Arial" w:cs="Arial" w:eastAsia="Arial" w:hAnsi="Arial"/>
          <w:sz w:val="17"/>
          <w:szCs w:val="17"/>
          <w:color w:val="auto"/>
        </w:rPr>
        <w:t>”) on July 24, 2020, as amended (the “</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shall be deposited in a trust account (the “</w:t>
      </w:r>
      <w:r>
        <w:rPr>
          <w:rFonts w:ascii="Arial" w:cs="Arial" w:eastAsia="Arial" w:hAnsi="Arial"/>
          <w:sz w:val="17"/>
          <w:szCs w:val="17"/>
          <w:b w:val="1"/>
          <w:bCs w:val="1"/>
          <w:i w:val="1"/>
          <w:iCs w:val="1"/>
          <w:color w:val="auto"/>
        </w:rPr>
        <w:t>Trust Account</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established for the benefit of the Public Stockholders (as defined below) pursuant to a trust agreement described in the Registration Statement. Except for the withdrawal of interest to pay taxes, none of the funds held in the Trust Account (including the interest earned on the funds held in the Trust Account) will be released from the Trust Account until the earliest to occur of (i) the completion of the initial Business Combination, (ii) the redemption of 100% of the Offering Shares (as defined below) if the Corporation is unable to complete its initial Business Combination within 24 months from the closing of the Offering and (iii) the redemption of Offering Shares in connection with a vote seeking to amend such provisions of this Amended and Restated Certificate as described in </w:t>
      </w:r>
      <w:r>
        <w:rPr>
          <w:rFonts w:ascii="Arial" w:cs="Arial" w:eastAsia="Arial" w:hAnsi="Arial"/>
          <w:sz w:val="17"/>
          <w:szCs w:val="17"/>
          <w:u w:val="single" w:color="auto"/>
          <w:color w:val="auto"/>
        </w:rPr>
        <w:t>Section 9.7</w:t>
      </w:r>
      <w:r>
        <w:rPr>
          <w:rFonts w:ascii="Arial" w:cs="Arial" w:eastAsia="Arial" w:hAnsi="Arial"/>
          <w:sz w:val="17"/>
          <w:szCs w:val="17"/>
          <w:color w:val="auto"/>
        </w:rPr>
        <w:t>. Holders of shares of Common Stock sold in the Offering (the “</w:t>
      </w:r>
      <w:r>
        <w:rPr>
          <w:rFonts w:ascii="Arial" w:cs="Arial" w:eastAsia="Arial" w:hAnsi="Arial"/>
          <w:sz w:val="17"/>
          <w:szCs w:val="17"/>
          <w:b w:val="1"/>
          <w:bCs w:val="1"/>
          <w:i w:val="1"/>
          <w:iCs w:val="1"/>
          <w:color w:val="auto"/>
        </w:rPr>
        <w:t>Offering Shares</w:t>
      </w:r>
      <w:r>
        <w:rPr>
          <w:rFonts w:ascii="Arial" w:cs="Arial" w:eastAsia="Arial" w:hAnsi="Arial"/>
          <w:sz w:val="17"/>
          <w:szCs w:val="17"/>
          <w:color w:val="auto"/>
        </w:rPr>
        <w:t>”) (whether such Offering Shares were purchased in the Offering or in the secondary market following the Offering and whether or not such holders are the Sponsor or officers or directors of the Corporation, or affiliates of any of the foregoing) are referred to herein as “</w:t>
      </w:r>
      <w:r>
        <w:rPr>
          <w:rFonts w:ascii="Arial" w:cs="Arial" w:eastAsia="Arial" w:hAnsi="Arial"/>
          <w:sz w:val="17"/>
          <w:szCs w:val="17"/>
          <w:b w:val="1"/>
          <w:bCs w:val="1"/>
          <w:i w:val="1"/>
          <w:iCs w:val="1"/>
          <w:color w:val="auto"/>
        </w:rPr>
        <w:t>Public</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Stockholders</w:t>
      </w:r>
      <w:r>
        <w:rPr>
          <w:rFonts w:ascii="Arial" w:cs="Arial" w:eastAsia="Arial" w:hAnsi="Arial"/>
          <w:sz w:val="17"/>
          <w:szCs w:val="17"/>
          <w:color w:val="auto"/>
        </w:rPr>
        <w:t>.”</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9" w:name="page210"/>
    <w:bookmarkEnd w:id="209"/>
    <w:p>
      <w:pPr>
        <w:ind w:left="1280"/>
        <w:spacing w:after="0"/>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u w:val="single" w:color="auto"/>
          <w:color w:val="auto"/>
        </w:rPr>
        <w:t>Redemption Rights</w:t>
      </w:r>
    </w:p>
    <w:p>
      <w:pPr>
        <w:spacing w:after="0" w:line="225" w:lineRule="exact"/>
        <w:rPr>
          <w:sz w:val="20"/>
          <w:szCs w:val="20"/>
          <w:color w:val="auto"/>
        </w:rPr>
      </w:pPr>
    </w:p>
    <w:p>
      <w:pPr>
        <w:jc w:val="both"/>
        <w:ind w:left="-20" w:firstLine="1304"/>
        <w:spacing w:after="0" w:line="273" w:lineRule="auto"/>
        <w:tabs>
          <w:tab w:leader="none" w:pos="1529" w:val="left"/>
        </w:tabs>
        <w:numPr>
          <w:ilvl w:val="0"/>
          <w:numId w:val="152"/>
        </w:numPr>
        <w:rPr>
          <w:rFonts w:ascii="Arial" w:cs="Arial" w:eastAsia="Arial" w:hAnsi="Arial"/>
          <w:sz w:val="17"/>
          <w:szCs w:val="17"/>
          <w:color w:val="auto"/>
        </w:rPr>
      </w:pPr>
      <w:r>
        <w:rPr>
          <w:rFonts w:ascii="Arial" w:cs="Arial" w:eastAsia="Arial" w:hAnsi="Arial"/>
          <w:sz w:val="17"/>
          <w:szCs w:val="17"/>
          <w:color w:val="auto"/>
        </w:rPr>
        <w:t xml:space="preserve">Prior to the consummation of the initial Business Combination, the Corporation shall provide all holders of Offering Shares with the opportunity to have their Offering Shares redeemed upon the consummation of the initial Business Combination pursuant to, and subject to the limitations of, </w:t>
      </w:r>
      <w:r>
        <w:rPr>
          <w:rFonts w:ascii="Arial" w:cs="Arial" w:eastAsia="Arial" w:hAnsi="Arial"/>
          <w:sz w:val="17"/>
          <w:szCs w:val="17"/>
          <w:u w:val="single" w:color="auto"/>
          <w:color w:val="auto"/>
        </w:rPr>
        <w:t>Sections 9.2(b)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9.2(c)</w:t>
      </w:r>
      <w:r>
        <w:rPr>
          <w:rFonts w:ascii="Arial" w:cs="Arial" w:eastAsia="Arial" w:hAnsi="Arial"/>
          <w:sz w:val="17"/>
          <w:szCs w:val="17"/>
          <w:color w:val="auto"/>
        </w:rPr>
        <w:t xml:space="preserve"> (such rights of such holders to have their Offering Shares redeemed pursuant to such Sections, the “</w:t>
      </w:r>
      <w:r>
        <w:rPr>
          <w:rFonts w:ascii="Arial" w:cs="Arial" w:eastAsia="Arial" w:hAnsi="Arial"/>
          <w:sz w:val="17"/>
          <w:szCs w:val="17"/>
          <w:b w:val="1"/>
          <w:bCs w:val="1"/>
          <w:i w:val="1"/>
          <w:iCs w:val="1"/>
          <w:color w:val="auto"/>
        </w:rPr>
        <w:t>Redemption Rights</w:t>
      </w:r>
      <w:r>
        <w:rPr>
          <w:rFonts w:ascii="Arial" w:cs="Arial" w:eastAsia="Arial" w:hAnsi="Arial"/>
          <w:sz w:val="17"/>
          <w:szCs w:val="17"/>
          <w:color w:val="auto"/>
        </w:rPr>
        <w:t xml:space="preserve">”) hereof for cash equal to the applicable redemption price per share determined in accordance with </w:t>
      </w:r>
      <w:r>
        <w:rPr>
          <w:rFonts w:ascii="Arial" w:cs="Arial" w:eastAsia="Arial" w:hAnsi="Arial"/>
          <w:sz w:val="17"/>
          <w:szCs w:val="17"/>
          <w:u w:val="single" w:color="auto"/>
          <w:color w:val="auto"/>
        </w:rPr>
        <w:t>Section 9.2(b)</w:t>
      </w:r>
      <w:r>
        <w:rPr>
          <w:rFonts w:ascii="Arial" w:cs="Arial" w:eastAsia="Arial" w:hAnsi="Arial"/>
          <w:sz w:val="17"/>
          <w:szCs w:val="17"/>
          <w:color w:val="auto"/>
        </w:rPr>
        <w:t xml:space="preserve"> hereof (the “</w:t>
      </w:r>
      <w:r>
        <w:rPr>
          <w:rFonts w:ascii="Arial" w:cs="Arial" w:eastAsia="Arial" w:hAnsi="Arial"/>
          <w:sz w:val="17"/>
          <w:szCs w:val="17"/>
          <w:b w:val="1"/>
          <w:bCs w:val="1"/>
          <w:i w:val="1"/>
          <w:iCs w:val="1"/>
          <w:color w:val="auto"/>
        </w:rPr>
        <w:t>Redemption Price</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provided, however, that the Corporation shall not redeem Offering Shares in an amount that would cause the Corporation to have net tangible assets to be less than $5,000,001 (such limitation hereinafter called the “</w:t>
      </w:r>
      <w:r>
        <w:rPr>
          <w:rFonts w:ascii="Arial" w:cs="Arial" w:eastAsia="Arial" w:hAnsi="Arial"/>
          <w:sz w:val="17"/>
          <w:szCs w:val="17"/>
          <w:b w:val="1"/>
          <w:bCs w:val="1"/>
          <w:i w:val="1"/>
          <w:iCs w:val="1"/>
          <w:color w:val="auto"/>
        </w:rPr>
        <w:t>Redemption Limitation’</w:t>
      </w:r>
      <w:r>
        <w:rPr>
          <w:rFonts w:ascii="Arial" w:cs="Arial" w:eastAsia="Arial" w:hAnsi="Arial"/>
          <w:sz w:val="17"/>
          <w:szCs w:val="17"/>
          <w:color w:val="auto"/>
        </w:rPr>
        <w:t>”)</w:t>
      </w:r>
      <w:r>
        <w:rPr>
          <w:rFonts w:ascii="Arial" w:cs="Arial" w:eastAsia="Arial" w:hAnsi="Arial"/>
          <w:sz w:val="17"/>
          <w:szCs w:val="17"/>
          <w:i w:val="1"/>
          <w:iCs w:val="1"/>
          <w:color w:val="auto"/>
        </w:rPr>
        <w:t>.</w:t>
      </w:r>
    </w:p>
    <w:p>
      <w:pPr>
        <w:spacing w:after="0" w:line="177" w:lineRule="exact"/>
        <w:rPr>
          <w:rFonts w:ascii="Arial" w:cs="Arial" w:eastAsia="Arial" w:hAnsi="Arial"/>
          <w:sz w:val="17"/>
          <w:szCs w:val="17"/>
          <w:color w:val="auto"/>
        </w:rPr>
      </w:pPr>
    </w:p>
    <w:p>
      <w:pPr>
        <w:jc w:val="both"/>
        <w:ind w:left="-20" w:firstLine="1304"/>
        <w:spacing w:after="0" w:line="284" w:lineRule="auto"/>
        <w:tabs>
          <w:tab w:leader="none" w:pos="1556" w:val="left"/>
        </w:tabs>
        <w:numPr>
          <w:ilvl w:val="0"/>
          <w:numId w:val="152"/>
        </w:numPr>
        <w:rPr>
          <w:rFonts w:ascii="Arial" w:cs="Arial" w:eastAsia="Arial" w:hAnsi="Arial"/>
          <w:sz w:val="16"/>
          <w:szCs w:val="16"/>
          <w:color w:val="auto"/>
        </w:rPr>
      </w:pPr>
      <w:r>
        <w:rPr>
          <w:rFonts w:ascii="Arial" w:cs="Arial" w:eastAsia="Arial" w:hAnsi="Arial"/>
          <w:sz w:val="16"/>
          <w:szCs w:val="16"/>
          <w:color w:val="auto"/>
        </w:rPr>
        <w:t>If the Corporation offers to redeem the Offering Shares other than in conjunction with a stockholder vote on an initial Business Combination with a proxy solicitation pursuant to Regulation 14A of the Securities Exchange Act of 1934, as amended (the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(or any successor rules or regulations) and filing proxy materials with the SEC, the Corporation shall offer to redeem the Offering Shares upon the consummation of the initial Business Combination, subject to lawfully available funds therefor, in accordance with the provisions of </w:t>
      </w:r>
      <w:r>
        <w:rPr>
          <w:rFonts w:ascii="Arial" w:cs="Arial" w:eastAsia="Arial" w:hAnsi="Arial"/>
          <w:sz w:val="16"/>
          <w:szCs w:val="16"/>
          <w:u w:val="single" w:color="auto"/>
          <w:color w:val="auto"/>
        </w:rPr>
        <w:t>Section 9.2(a)</w:t>
      </w:r>
      <w:r>
        <w:rPr>
          <w:rFonts w:ascii="Arial" w:cs="Arial" w:eastAsia="Arial" w:hAnsi="Arial"/>
          <w:sz w:val="16"/>
          <w:szCs w:val="16"/>
          <w:color w:val="auto"/>
        </w:rPr>
        <w:t xml:space="preserve"> hereof pursuant to a tender offer in accordance with Rule 13e-4 and Regulation 14E of the Exchange Act (or any successor rule or regulation) (such rules and regulations hereinafter called the “</w:t>
      </w:r>
      <w:r>
        <w:rPr>
          <w:rFonts w:ascii="Arial" w:cs="Arial" w:eastAsia="Arial" w:hAnsi="Arial"/>
          <w:sz w:val="16"/>
          <w:szCs w:val="16"/>
          <w:b w:val="1"/>
          <w:bCs w:val="1"/>
          <w:i w:val="1"/>
          <w:iCs w:val="1"/>
          <w:color w:val="auto"/>
        </w:rPr>
        <w:t>Tender Offer Rules</w:t>
      </w:r>
      <w:r>
        <w:rPr>
          <w:rFonts w:ascii="Arial" w:cs="Arial" w:eastAsia="Arial" w:hAnsi="Arial"/>
          <w:sz w:val="16"/>
          <w:szCs w:val="16"/>
          <w:color w:val="auto"/>
        </w:rPr>
        <w:t>”) which it shall commence prior to the consummation of the initial Business Combination and shall file tender offer documents with the SEC prior to the consummation of the initial Business Combination that contain substantially the same financial and other information about the initial Business Combination and the Redemption Rights as is required under Regulation 14A of the Exchange Act (or any successor rule or regulation) (such rules and regulations hereinafter called the “</w:t>
      </w:r>
      <w:r>
        <w:rPr>
          <w:rFonts w:ascii="Arial" w:cs="Arial" w:eastAsia="Arial" w:hAnsi="Arial"/>
          <w:sz w:val="16"/>
          <w:szCs w:val="16"/>
          <w:b w:val="1"/>
          <w:bCs w:val="1"/>
          <w:i w:val="1"/>
          <w:iCs w:val="1"/>
          <w:color w:val="auto"/>
        </w:rPr>
        <w:t>Proxy Solicitation Rules</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even if such information is not required under the Tender Offer Rules; provided, however, that if a stockholder vote is required by law to approve the proposed initial Business Combination, or the Corporation decides to submit the proposed initial Business Combination to the stockholders for their approval for business or other legal reasons, the Corporation shall offer to redeem the Offering Shares, subject to lawfully available funds therefor, in accordance with the provisions of </w:t>
      </w:r>
      <w:r>
        <w:rPr>
          <w:rFonts w:ascii="Arial" w:cs="Arial" w:eastAsia="Arial" w:hAnsi="Arial"/>
          <w:sz w:val="16"/>
          <w:szCs w:val="16"/>
          <w:u w:val="single" w:color="auto"/>
          <w:color w:val="auto"/>
        </w:rPr>
        <w:t>Section 9.2(a)</w:t>
      </w:r>
      <w:r>
        <w:rPr>
          <w:rFonts w:ascii="Arial" w:cs="Arial" w:eastAsia="Arial" w:hAnsi="Arial"/>
          <w:sz w:val="16"/>
          <w:szCs w:val="16"/>
          <w:color w:val="auto"/>
        </w:rPr>
        <w:t xml:space="preserve"> hereof in conjunction with a proxy solicitation pursuant to the Proxy Solicitation Rules (and not the Tender Offer Rules) at a price per share equal to the Redemption Price calculated in accordance with the following provisions of this </w:t>
      </w:r>
      <w:r>
        <w:rPr>
          <w:rFonts w:ascii="Arial" w:cs="Arial" w:eastAsia="Arial" w:hAnsi="Arial"/>
          <w:sz w:val="16"/>
          <w:szCs w:val="16"/>
          <w:u w:val="single" w:color="auto"/>
          <w:color w:val="auto"/>
        </w:rPr>
        <w:t>Section 9.2(b)</w:t>
      </w:r>
      <w:r>
        <w:rPr>
          <w:rFonts w:ascii="Arial" w:cs="Arial" w:eastAsia="Arial" w:hAnsi="Arial"/>
          <w:sz w:val="16"/>
          <w:szCs w:val="16"/>
          <w:color w:val="auto"/>
        </w:rPr>
        <w:t>. In the event that the Corporation offers to redeem the Offering Shares pursuant to a tender offer in accordance with the Tender Offer Rules, the Redemption Price per share of the Common Stock payable to holders of the Offering Shares tendering their Offering Shares pursuant to such tender offer shall be equal to the quotient obtained by dividing: (i) the aggregate amount on deposit in the Trust Account as of two business days prior to the consummation of the initial Business Combination, including interest not previously released to the Corporation to pay its taxes, by (ii) the total number of then issued and outstanding Offering Shares. If the Corporation offers to redeem the Offering Shares in conjunction with a stockholder vote on the proposed initial Business Combination pursuant to a proxy solicitation, the Redemption Price per share of the Common Stock payable to holders of the Offering Shares exercising their Redemption Rights (irrespective of whether they voted in favor or against the Business Combination) shall be equal to the quotient obtained by dividing: (x) the aggregate amount on deposit in the Trust Account as of two business days prior to the consummation of the initial Business Combination, including interest not previously released to the Corporation to pay its taxes, by (y) the total number of then issued and outstanding Offering Shares.</w:t>
      </w:r>
    </w:p>
    <w:p>
      <w:pPr>
        <w:spacing w:after="0" w:line="394" w:lineRule="exact"/>
        <w:rPr>
          <w:rFonts w:ascii="Arial" w:cs="Arial" w:eastAsia="Arial" w:hAnsi="Arial"/>
          <w:sz w:val="16"/>
          <w:szCs w:val="16"/>
          <w:color w:val="auto"/>
        </w:rPr>
      </w:pPr>
    </w:p>
    <w:p>
      <w:pPr>
        <w:jc w:val="both"/>
        <w:ind w:left="-20" w:firstLine="1304"/>
        <w:spacing w:after="0" w:line="279" w:lineRule="auto"/>
        <w:tabs>
          <w:tab w:leader="none" w:pos="1538" w:val="left"/>
        </w:tabs>
        <w:numPr>
          <w:ilvl w:val="0"/>
          <w:numId w:val="152"/>
        </w:numPr>
        <w:rPr>
          <w:rFonts w:ascii="Arial" w:cs="Arial" w:eastAsia="Arial" w:hAnsi="Arial"/>
          <w:sz w:val="17"/>
          <w:szCs w:val="17"/>
          <w:color w:val="auto"/>
        </w:rPr>
      </w:pPr>
      <w:r>
        <w:rPr>
          <w:rFonts w:ascii="Arial" w:cs="Arial" w:eastAsia="Arial" w:hAnsi="Arial"/>
          <w:sz w:val="17"/>
          <w:szCs w:val="17"/>
          <w:color w:val="auto"/>
        </w:rPr>
        <w:t>If the Corporation offers to redeem the Offering Shares in conjunction with a stockholder vote on an initial Business Combination pursuant to a proxy solicitation, a Public Stockholder, together with any affiliate of such stockholder or any other person with whom such stockholder is acting in concert or as a “</w:t>
      </w:r>
      <w:r>
        <w:rPr>
          <w:rFonts w:ascii="Arial" w:cs="Arial" w:eastAsia="Arial" w:hAnsi="Arial"/>
          <w:sz w:val="17"/>
          <w:szCs w:val="17"/>
          <w:b w:val="1"/>
          <w:bCs w:val="1"/>
          <w:i w:val="1"/>
          <w:iCs w:val="1"/>
          <w:color w:val="auto"/>
        </w:rPr>
        <w:t>group</w:t>
      </w:r>
      <w:r>
        <w:rPr>
          <w:rFonts w:ascii="Arial" w:cs="Arial" w:eastAsia="Arial" w:hAnsi="Arial"/>
          <w:sz w:val="17"/>
          <w:szCs w:val="17"/>
          <w:color w:val="auto"/>
        </w:rPr>
        <w:t>” (as defined under Section 13(d)(3) of the Exchange Act), shall be restricted from seeking Redemption Rights with respect to more than an aggregate of 20% of the Offering Shares without the prior consent of the Corporation.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210" w:name="page211"/>
    <w:bookmarkEnd w:id="210"/>
    <w:p>
      <w:pPr>
        <w:jc w:val="both"/>
        <w:ind w:firstLine="1304"/>
        <w:spacing w:after="0" w:line="270" w:lineRule="auto"/>
        <w:tabs>
          <w:tab w:leader="none" w:pos="1569" w:val="left"/>
        </w:tabs>
        <w:numPr>
          <w:ilvl w:val="0"/>
          <w:numId w:val="153"/>
        </w:numPr>
        <w:rPr>
          <w:rFonts w:ascii="Arial" w:cs="Arial" w:eastAsia="Arial" w:hAnsi="Arial"/>
          <w:sz w:val="17"/>
          <w:szCs w:val="17"/>
          <w:color w:val="auto"/>
        </w:rPr>
      </w:pPr>
      <w:r>
        <w:rPr>
          <w:rFonts w:ascii="Arial" w:cs="Arial" w:eastAsia="Arial" w:hAnsi="Arial"/>
          <w:sz w:val="17"/>
          <w:szCs w:val="17"/>
          <w:color w:val="auto"/>
        </w:rPr>
        <w:t>In the event that the Corporation has not consummated an initial Business Combination within 24 months from the closing of the Offering, the Corporation shall (i) cease all operations except for the purpose of winding up, (ii) as promptly as reasonably possible but not more than ten business days thereafter subject to lawfully available funds therefor, redeem 100% of the Offering Shares in consideration of a per-share price, payable in cash, equal to the quotient obtained by dividing (A) the aggregate amount then on deposit in the Trust Account, including interest not previously released to the Corporation to pay its taxes (less up to $100,000 of interest to pay dissolution expenses), by (B) the total number of then issued and outstanding Offering Shares, which redemption will completely extinguish rights of the Public Stockholders (including the right to receive further liquidating distributions, if any), subject to applicable law, and (iii) as promptly as reasonably possible following such redemption, subject to the approval of the remaining stockholders and the Board in accordance with applicable law, dissolve and liquidate, subject in each case to the Corporation’s obligations under the DGCL to provide for claims of creditors and other requirements of applicable law.</w:t>
      </w:r>
    </w:p>
    <w:p>
      <w:pPr>
        <w:spacing w:after="0" w:line="180" w:lineRule="exact"/>
        <w:rPr>
          <w:rFonts w:ascii="Arial" w:cs="Arial" w:eastAsia="Arial" w:hAnsi="Arial"/>
          <w:sz w:val="17"/>
          <w:szCs w:val="17"/>
          <w:color w:val="auto"/>
        </w:rPr>
      </w:pPr>
    </w:p>
    <w:p>
      <w:pPr>
        <w:jc w:val="both"/>
        <w:ind w:firstLine="1304"/>
        <w:spacing w:after="0" w:line="259" w:lineRule="auto"/>
        <w:tabs>
          <w:tab w:leader="none" w:pos="1542"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If the Corporation offers to redeem the Offering Shares in conjunction with a stockholder vote on an initial Business Combination, the Corporation shall consummate the proposed initial Business Combination only if (i) such initial Business Combination is approved by the affirmative vote of the holders of a majority of the shares of the Common Stock that are voted at a stockholder meeting held to consider such initial Business Combination and (ii) the Redemption Limitation is not exceeded.</w:t>
      </w:r>
    </w:p>
    <w:p>
      <w:pPr>
        <w:spacing w:after="0" w:line="186" w:lineRule="exact"/>
        <w:rPr>
          <w:rFonts w:ascii="Arial" w:cs="Arial" w:eastAsia="Arial" w:hAnsi="Arial"/>
          <w:sz w:val="18"/>
          <w:szCs w:val="18"/>
          <w:color w:val="auto"/>
        </w:rPr>
      </w:pPr>
    </w:p>
    <w:p>
      <w:pPr>
        <w:ind w:right="20" w:firstLine="1304"/>
        <w:spacing w:after="0" w:line="277" w:lineRule="auto"/>
        <w:tabs>
          <w:tab w:leader="none" w:pos="1526" w:val="left"/>
        </w:tabs>
        <w:numPr>
          <w:ilvl w:val="0"/>
          <w:numId w:val="153"/>
        </w:numPr>
        <w:rPr>
          <w:rFonts w:ascii="Arial" w:cs="Arial" w:eastAsia="Arial" w:hAnsi="Arial"/>
          <w:sz w:val="18"/>
          <w:szCs w:val="18"/>
          <w:color w:val="auto"/>
        </w:rPr>
      </w:pPr>
      <w:r>
        <w:rPr>
          <w:rFonts w:ascii="Arial" w:cs="Arial" w:eastAsia="Arial" w:hAnsi="Arial"/>
          <w:sz w:val="18"/>
          <w:szCs w:val="18"/>
          <w:color w:val="auto"/>
        </w:rPr>
        <w:t xml:space="preserve">If the Corporation conducts a tender offer pursuant to </w:t>
      </w:r>
      <w:r>
        <w:rPr>
          <w:rFonts w:ascii="Arial" w:cs="Arial" w:eastAsia="Arial" w:hAnsi="Arial"/>
          <w:sz w:val="18"/>
          <w:szCs w:val="18"/>
          <w:u w:val="single" w:color="auto"/>
          <w:color w:val="auto"/>
        </w:rPr>
        <w:t>Section 9.2(b)</w:t>
      </w:r>
      <w:r>
        <w:rPr>
          <w:rFonts w:ascii="Arial" w:cs="Arial" w:eastAsia="Arial" w:hAnsi="Arial"/>
          <w:sz w:val="18"/>
          <w:szCs w:val="18"/>
          <w:color w:val="auto"/>
        </w:rPr>
        <w:t>, the Corporation shall consummate the proposed initial Business Combination only if the Redemption Limitation is not exceeded.</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9.3 </w:t>
      </w:r>
      <w:r>
        <w:rPr>
          <w:rFonts w:ascii="Arial" w:cs="Arial" w:eastAsia="Arial" w:hAnsi="Arial"/>
          <w:sz w:val="18"/>
          <w:szCs w:val="18"/>
          <w:u w:val="single" w:color="auto"/>
          <w:color w:val="auto"/>
        </w:rPr>
        <w:t>Distributions from the Trust Account</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63" w:lineRule="auto"/>
        <w:tabs>
          <w:tab w:leader="none" w:pos="1551" w:val="left"/>
        </w:tabs>
        <w:numPr>
          <w:ilvl w:val="0"/>
          <w:numId w:val="154"/>
        </w:numPr>
        <w:rPr>
          <w:rFonts w:ascii="Arial" w:cs="Arial" w:eastAsia="Arial" w:hAnsi="Arial"/>
          <w:sz w:val="18"/>
          <w:szCs w:val="18"/>
          <w:color w:val="auto"/>
        </w:rPr>
      </w:pPr>
      <w:r>
        <w:rPr>
          <w:rFonts w:ascii="Arial" w:cs="Arial" w:eastAsia="Arial" w:hAnsi="Arial"/>
          <w:sz w:val="18"/>
          <w:szCs w:val="18"/>
          <w:color w:val="auto"/>
        </w:rPr>
        <w:t xml:space="preserve">A Public Stockholder shall be entitled to receive funds from the Trust Account only as provided in </w:t>
      </w:r>
      <w:r>
        <w:rPr>
          <w:rFonts w:ascii="Arial" w:cs="Arial" w:eastAsia="Arial" w:hAnsi="Arial"/>
          <w:sz w:val="18"/>
          <w:szCs w:val="18"/>
          <w:u w:val="single" w:color="auto"/>
          <w:color w:val="auto"/>
        </w:rPr>
        <w:t>Sections 9.2(a)</w:t>
      </w:r>
      <w:r>
        <w:rPr>
          <w:rFonts w:ascii="Arial" w:cs="Arial" w:eastAsia="Arial" w:hAnsi="Arial"/>
          <w:sz w:val="18"/>
          <w:szCs w:val="18"/>
          <w:color w:val="auto"/>
        </w:rPr>
        <w:t xml:space="preserve">, </w:t>
      </w:r>
      <w:r>
        <w:rPr>
          <w:rFonts w:ascii="Arial" w:cs="Arial" w:eastAsia="Arial" w:hAnsi="Arial"/>
          <w:sz w:val="18"/>
          <w:szCs w:val="18"/>
          <w:u w:val="single" w:color="auto"/>
          <w:color w:val="auto"/>
        </w:rPr>
        <w:t>9.2(b)</w:t>
      </w:r>
      <w:r>
        <w:rPr>
          <w:rFonts w:ascii="Arial" w:cs="Arial" w:eastAsia="Arial" w:hAnsi="Arial"/>
          <w:sz w:val="18"/>
          <w:szCs w:val="18"/>
          <w:color w:val="auto"/>
        </w:rPr>
        <w:t xml:space="preserve">, </w:t>
      </w:r>
      <w:r>
        <w:rPr>
          <w:rFonts w:ascii="Arial" w:cs="Arial" w:eastAsia="Arial" w:hAnsi="Arial"/>
          <w:sz w:val="18"/>
          <w:szCs w:val="18"/>
          <w:u w:val="single" w:color="auto"/>
          <w:color w:val="auto"/>
        </w:rPr>
        <w:t>9.2(d)</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9.7</w:t>
      </w:r>
      <w:r>
        <w:rPr>
          <w:rFonts w:ascii="Arial" w:cs="Arial" w:eastAsia="Arial" w:hAnsi="Arial"/>
          <w:sz w:val="18"/>
          <w:szCs w:val="18"/>
          <w:color w:val="auto"/>
        </w:rPr>
        <w:t xml:space="preserve"> hereof. In no other circumstances shall a Public Stockholder have any right or interest of any kind in or to distributions from the Trust Account, and no stockholder other than a Public Stockholder shall have any interest in or to the Trust Account.</w:t>
      </w:r>
    </w:p>
    <w:p>
      <w:pPr>
        <w:spacing w:after="0" w:line="183" w:lineRule="exact"/>
        <w:rPr>
          <w:rFonts w:ascii="Arial" w:cs="Arial" w:eastAsia="Arial" w:hAnsi="Arial"/>
          <w:sz w:val="18"/>
          <w:szCs w:val="18"/>
          <w:color w:val="auto"/>
        </w:rPr>
      </w:pPr>
    </w:p>
    <w:p>
      <w:pPr>
        <w:jc w:val="both"/>
        <w:ind w:firstLine="1304"/>
        <w:spacing w:after="0" w:line="263" w:lineRule="auto"/>
        <w:tabs>
          <w:tab w:leader="none" w:pos="1557" w:val="left"/>
        </w:tabs>
        <w:numPr>
          <w:ilvl w:val="0"/>
          <w:numId w:val="154"/>
        </w:numPr>
        <w:rPr>
          <w:rFonts w:ascii="Arial" w:cs="Arial" w:eastAsia="Arial" w:hAnsi="Arial"/>
          <w:sz w:val="18"/>
          <w:szCs w:val="18"/>
          <w:color w:val="auto"/>
        </w:rPr>
      </w:pPr>
      <w:r>
        <w:rPr>
          <w:rFonts w:ascii="Arial" w:cs="Arial" w:eastAsia="Arial" w:hAnsi="Arial"/>
          <w:sz w:val="18"/>
          <w:szCs w:val="18"/>
          <w:color w:val="auto"/>
        </w:rPr>
        <w:t>Each Public Stockholder that does not exercise its Redemption Rights shall retain its interest in the Corporation and shall be deemed to have given its consent to the release of the remaining funds in the Trust Account to the Corporation, and following payment to any Public Stockholders exercising their Redemption Rights, the remaining funds in the Trust Account shall be released to the Corporation.</w:t>
      </w:r>
    </w:p>
    <w:p>
      <w:pPr>
        <w:spacing w:after="0" w:line="183" w:lineRule="exact"/>
        <w:rPr>
          <w:rFonts w:ascii="Arial" w:cs="Arial" w:eastAsia="Arial" w:hAnsi="Arial"/>
          <w:sz w:val="18"/>
          <w:szCs w:val="18"/>
          <w:color w:val="auto"/>
        </w:rPr>
      </w:pPr>
    </w:p>
    <w:p>
      <w:pPr>
        <w:jc w:val="both"/>
        <w:ind w:firstLine="1304"/>
        <w:spacing w:after="0" w:line="257" w:lineRule="auto"/>
        <w:tabs>
          <w:tab w:leader="none" w:pos="1574"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exercise by a Public Stockholder of the Redemption Rights (and any withdrawal of any exercise of such rights) shall be conditioned on such Public Stockholder following the specific procedures for redemptions (or withdrawals, as applicable) set forth by the Corporation in any applicable tender offer or proxy materials sent to the Public Stockholders relating to the proposed initial Business Combination. Payment of the amounts necessary to satisfy the Redemption Rights properly exercised shall be made as promptly as practical after the consummation of the initial Business Combination.</w:t>
      </w:r>
    </w:p>
    <w:p>
      <w:pPr>
        <w:spacing w:after="0" w:line="188"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Section 9.4 </w:t>
      </w:r>
      <w:r>
        <w:rPr>
          <w:rFonts w:ascii="Arial" w:cs="Arial" w:eastAsia="Arial" w:hAnsi="Arial"/>
          <w:sz w:val="18"/>
          <w:szCs w:val="18"/>
          <w:u w:val="single" w:color="auto"/>
          <w:color w:val="auto"/>
        </w:rPr>
        <w:t>Share Issuances</w:t>
      </w:r>
      <w:r>
        <w:rPr>
          <w:rFonts w:ascii="Arial" w:cs="Arial" w:eastAsia="Arial" w:hAnsi="Arial"/>
          <w:sz w:val="18"/>
          <w:szCs w:val="18"/>
          <w:color w:val="auto"/>
        </w:rPr>
        <w:t xml:space="preserve">. Prior to the consummation of the Corporation’s initial Business Combination, the Corporation shall not issue any additional shares of capital stock of the Corporation that would entitle the holders thereof to receive funds from the Trust Account or vote as a class with the Class A Common Stock on any initial Business Combination, on any pre-Business Combination activity or on an amendment to this Amended and Restated Certificate to (i) extend the time the Corporation has to consummate a Business Combination beyond 24 months from the closing of the Offering or (ii) amend any provisions of this </w:t>
      </w:r>
      <w:r>
        <w:rPr>
          <w:rFonts w:ascii="Arial" w:cs="Arial" w:eastAsia="Arial" w:hAnsi="Arial"/>
          <w:sz w:val="18"/>
          <w:szCs w:val="18"/>
          <w:i w:val="1"/>
          <w:iCs w:val="1"/>
          <w:color w:val="auto"/>
        </w:rPr>
        <w:t>Article IX.</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1" w:name="page212"/>
    <w:bookmarkEnd w:id="211"/>
    <w:p>
      <w:pPr>
        <w:jc w:val="both"/>
        <w:ind w:firstLine="1296"/>
        <w:spacing w:after="0" w:line="279" w:lineRule="auto"/>
        <w:rPr>
          <w:sz w:val="20"/>
          <w:szCs w:val="20"/>
          <w:color w:val="auto"/>
        </w:rPr>
      </w:pPr>
      <w:r>
        <w:rPr>
          <w:rFonts w:ascii="Arial" w:cs="Arial" w:eastAsia="Arial" w:hAnsi="Arial"/>
          <w:sz w:val="17"/>
          <w:szCs w:val="17"/>
          <w:color w:val="auto"/>
        </w:rPr>
        <w:t xml:space="preserve">Section 9.5 </w:t>
      </w:r>
      <w:r>
        <w:rPr>
          <w:rFonts w:ascii="Arial" w:cs="Arial" w:eastAsia="Arial" w:hAnsi="Arial"/>
          <w:sz w:val="17"/>
          <w:szCs w:val="17"/>
          <w:u w:val="single" w:color="auto"/>
          <w:color w:val="auto"/>
        </w:rPr>
        <w:t>Transactions with Affiliates</w:t>
      </w:r>
      <w:r>
        <w:rPr>
          <w:rFonts w:ascii="Arial" w:cs="Arial" w:eastAsia="Arial" w:hAnsi="Arial"/>
          <w:sz w:val="17"/>
          <w:szCs w:val="17"/>
          <w:color w:val="auto"/>
        </w:rPr>
        <w:t>. In the event the Corporation enters into an initial Business Combination with a target business that is affiliated with the Sponsor, or the directors or officers of the Corporation, the Corporation, or a committee of the independent directors of the Corporation, shall obtain an opinion from an independent accounting firm or an independent investment banking firm that is a member of the Financial Industry Regulatory Authority that such Business Combination is fair to the Corporation from a financial point of view.</w:t>
      </w:r>
    </w:p>
    <w:p>
      <w:pPr>
        <w:spacing w:after="0" w:line="171"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Section 9.6 </w:t>
      </w:r>
      <w:r>
        <w:rPr>
          <w:rFonts w:ascii="Arial" w:cs="Arial" w:eastAsia="Arial" w:hAnsi="Arial"/>
          <w:sz w:val="18"/>
          <w:szCs w:val="18"/>
          <w:u w:val="single" w:color="auto"/>
          <w:color w:val="auto"/>
        </w:rPr>
        <w:t>No Transactions with Other Blank Check Companies</w:t>
      </w:r>
      <w:r>
        <w:rPr>
          <w:rFonts w:ascii="Arial" w:cs="Arial" w:eastAsia="Arial" w:hAnsi="Arial"/>
          <w:sz w:val="18"/>
          <w:szCs w:val="18"/>
          <w:color w:val="auto"/>
        </w:rPr>
        <w:t>.The Corporation shall not enter into an initial Business Combination with another blank check company or a similar company with nominal operations.</w:t>
      </w:r>
    </w:p>
    <w:p>
      <w:pPr>
        <w:spacing w:after="0" w:line="170"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7"/>
          <w:szCs w:val="17"/>
          <w:color w:val="auto"/>
        </w:rPr>
        <w:t xml:space="preserve">Section 9.7 </w:t>
      </w:r>
      <w:r>
        <w:rPr>
          <w:rFonts w:ascii="Arial" w:cs="Arial" w:eastAsia="Arial" w:hAnsi="Arial"/>
          <w:sz w:val="17"/>
          <w:szCs w:val="17"/>
          <w:u w:val="single" w:color="auto"/>
          <w:color w:val="auto"/>
        </w:rPr>
        <w:t>Additional Redemption Rights</w:t>
      </w:r>
      <w:r>
        <w:rPr>
          <w:rFonts w:ascii="Arial" w:cs="Arial" w:eastAsia="Arial" w:hAnsi="Arial"/>
          <w:sz w:val="17"/>
          <w:szCs w:val="17"/>
          <w:color w:val="auto"/>
        </w:rPr>
        <w:t xml:space="preserve">. If, in accordance with </w:t>
      </w:r>
      <w:r>
        <w:rPr>
          <w:rFonts w:ascii="Arial" w:cs="Arial" w:eastAsia="Arial" w:hAnsi="Arial"/>
          <w:sz w:val="17"/>
          <w:szCs w:val="17"/>
          <w:u w:val="single" w:color="auto"/>
          <w:color w:val="auto"/>
        </w:rPr>
        <w:t>Section 9.1(a)</w:t>
      </w:r>
      <w:r>
        <w:rPr>
          <w:rFonts w:ascii="Arial" w:cs="Arial" w:eastAsia="Arial" w:hAnsi="Arial"/>
          <w:sz w:val="17"/>
          <w:szCs w:val="17"/>
          <w:color w:val="auto"/>
        </w:rPr>
        <w:t xml:space="preserve">, any amendment is made to this Amended and Restated Certificate (a) to modify the substance or timing of the Corporation’s obligation to redeem 100% of the Offering Shares if the Corporation has not consummated an initial Business Combination within 24 months from the date of the closing of the Offering or (b) with respect to any other material provisions of this Amended and Restated Certificate relating to stockholders’ rights or pre-initial Business Combination activity, the Public Stockholders shall be provided with the opportunity to redeem their Offering Shares upon the approval of any such amendment, at a per-share price, payable in cash, equal to the aggregate amount then on deposit in the Trust Account, including interest not previously released to the Corporation to pay its taxes, divided by the number of then issued and outstanding Offering Shares; provided, however, that any such amendment will be voided, and this </w:t>
      </w:r>
      <w:r>
        <w:rPr>
          <w:rFonts w:ascii="Arial" w:cs="Arial" w:eastAsia="Arial" w:hAnsi="Arial"/>
          <w:sz w:val="17"/>
          <w:szCs w:val="17"/>
          <w:i w:val="1"/>
          <w:iCs w:val="1"/>
          <w:color w:val="auto"/>
        </w:rPr>
        <w:t>Article IX</w:t>
      </w:r>
      <w:r>
        <w:rPr>
          <w:rFonts w:ascii="Arial" w:cs="Arial" w:eastAsia="Arial" w:hAnsi="Arial"/>
          <w:sz w:val="17"/>
          <w:szCs w:val="17"/>
          <w:color w:val="auto"/>
        </w:rPr>
        <w:t xml:space="preserve"> will remain unchanged, if any stockholders who wish to redeem are unable to redeem due to the Redemption Limitation.</w:t>
      </w:r>
    </w:p>
    <w:p>
      <w:pPr>
        <w:spacing w:after="0" w:line="178"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Section 9.8 </w:t>
      </w:r>
      <w:r>
        <w:rPr>
          <w:rFonts w:ascii="Arial" w:cs="Arial" w:eastAsia="Arial" w:hAnsi="Arial"/>
          <w:sz w:val="18"/>
          <w:szCs w:val="18"/>
          <w:u w:val="single" w:color="auto"/>
          <w:color w:val="auto"/>
        </w:rPr>
        <w:t>Minimum Value of Initial Business Combination</w:t>
      </w:r>
      <w:r>
        <w:rPr>
          <w:rFonts w:ascii="Arial" w:cs="Arial" w:eastAsia="Arial" w:hAnsi="Arial"/>
          <w:sz w:val="18"/>
          <w:szCs w:val="18"/>
          <w:color w:val="auto"/>
        </w:rPr>
        <w:t>. The Corporation’s initial Business Combination must be comprised of one or more Business Combinations having an aggregate fair market value of at least 80% of the value of the assets held in the Trust Account (excluding any deferred underwriting commissions and taxes payable on the interest earned on the Trust Account) at the time the Corporation signs a definitive agreement in connection with the initial Business Combination.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OPPORTUNITY</w:t>
      </w:r>
    </w:p>
    <w:p>
      <w:pPr>
        <w:spacing w:after="0" w:line="21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To the extent allowed by law, the doctrine of corporate opportunity, or any other analogous doctrine, shall not apply with respect to the Corporation or any of its officers or directors, or any of their respective affiliates, in circumstances where the application of any such doctrine would conflict with any fiduciary duties or contractual obligations they may have as of the date of this Amended and Restated Certificate or in the future, and the Corporation renounces any expectancy that any of the directors or officers of the Corporation will offer any such corporate opportunity of which he or she may become aware to the Corporation, except, the doctrine of corporate opportunity shall apply with respect to any of the directors or officers of the Corporation with respect to a corporate opportunity that was offered to such person solely in his or her capacity as a director or officer of the Corporation and (i) such opportunity is one the Corporation is legally and contractually permitted to undertake and would otherwise be reasonable for the Corporation to pursue and (ii) the director or officer is permitted to refer that opportunity to the Corporation without violating any legal obligation.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OF AMENDED AND RESTATED CERTIFICATE OF INCORPORATION</w:t>
      </w:r>
    </w:p>
    <w:p>
      <w:pPr>
        <w:spacing w:after="0" w:line="21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The Corporation reserves the right at any time and from time to time to amend, alter, change or repeal any provision contained in this Amended and Restated Certificate (including any Preferred Stock Designation), and other provisions authorized by the laws of the State of Delaware at the time in force that may be added or inserted, in the manner now or hereafter prescribed by this Amended and Restated Certificate and the DGCL; and, except as set forth in </w:t>
      </w:r>
      <w:r>
        <w:rPr>
          <w:rFonts w:ascii="Arial" w:cs="Arial" w:eastAsia="Arial" w:hAnsi="Arial"/>
          <w:sz w:val="16"/>
          <w:szCs w:val="16"/>
          <w:i w:val="1"/>
          <w:iCs w:val="1"/>
          <w:color w:val="auto"/>
        </w:rPr>
        <w:t>Article VIII,</w:t>
      </w:r>
      <w:r>
        <w:rPr>
          <w:rFonts w:ascii="Arial" w:cs="Arial" w:eastAsia="Arial" w:hAnsi="Arial"/>
          <w:sz w:val="16"/>
          <w:szCs w:val="16"/>
          <w:color w:val="auto"/>
        </w:rPr>
        <w:t xml:space="preserve"> all rights, preferences and privileges of whatever nature herein conferred upon stockholders, directors or any other persons by and pursuant to this Amended and Restated Certificate in its present form or as hereafter amended are granted subject to the right reserved in this </w:t>
      </w:r>
      <w:r>
        <w:rPr>
          <w:rFonts w:ascii="Arial" w:cs="Arial" w:eastAsia="Arial" w:hAnsi="Arial"/>
          <w:sz w:val="16"/>
          <w:szCs w:val="16"/>
          <w:i w:val="1"/>
          <w:iCs w:val="1"/>
          <w:color w:val="auto"/>
        </w:rPr>
        <w:t>Article XI;</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w:t>
      </w:r>
      <w:r>
        <w:rPr>
          <w:rFonts w:ascii="Arial" w:cs="Arial" w:eastAsia="Arial" w:hAnsi="Arial"/>
          <w:sz w:val="16"/>
          <w:szCs w:val="16"/>
          <w:i w:val="1"/>
          <w:iCs w:val="1"/>
          <w:color w:val="auto"/>
        </w:rPr>
        <w:t>Article IX</w:t>
      </w:r>
      <w:r>
        <w:rPr>
          <w:rFonts w:ascii="Arial" w:cs="Arial" w:eastAsia="Arial" w:hAnsi="Arial"/>
          <w:sz w:val="16"/>
          <w:szCs w:val="16"/>
          <w:color w:val="auto"/>
        </w:rPr>
        <w:t xml:space="preserve"> of this Amended and Restated Certificate may be amended only as provided therein.</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2" w:name="page213"/>
    <w:bookmarkEnd w:id="212"/>
    <w:p>
      <w:pPr>
        <w:jc w:val="center"/>
        <w:spacing w:after="0"/>
        <w:rPr>
          <w:sz w:val="20"/>
          <w:szCs w:val="20"/>
          <w:color w:val="auto"/>
        </w:rPr>
      </w:pPr>
      <w:r>
        <w:rPr>
          <w:rFonts w:ascii="Arial" w:cs="Arial" w:eastAsia="Arial" w:hAnsi="Arial"/>
          <w:sz w:val="18"/>
          <w:szCs w:val="18"/>
          <w:b w:val="1"/>
          <w:bCs w:val="1"/>
          <w:color w:val="auto"/>
        </w:rPr>
        <w:t>Article XII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EXCLUSIVE FORUM FOR CERTAIN LAWSUITS</w:t>
      </w:r>
    </w:p>
    <w:p>
      <w:pPr>
        <w:spacing w:after="0" w:line="211"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6"/>
          <w:szCs w:val="16"/>
          <w:color w:val="auto"/>
        </w:rPr>
        <w:t xml:space="preserve">Section 12.1 </w:t>
      </w:r>
      <w:r>
        <w:rPr>
          <w:rFonts w:ascii="Arial" w:cs="Arial" w:eastAsia="Arial" w:hAnsi="Arial"/>
          <w:sz w:val="16"/>
          <w:szCs w:val="16"/>
          <w:u w:val="single" w:color="auto"/>
          <w:color w:val="auto"/>
        </w:rPr>
        <w:t>Forum</w:t>
      </w:r>
      <w:r>
        <w:rPr>
          <w:rFonts w:ascii="Arial" w:cs="Arial" w:eastAsia="Arial" w:hAnsi="Arial"/>
          <w:sz w:val="16"/>
          <w:szCs w:val="16"/>
          <w:color w:val="auto"/>
        </w:rPr>
        <w:t>. Unless the Corporation consents in writing to the selection of an alternative forum, the Court of Chancery of the State of Delaware (the “</w:t>
      </w:r>
      <w:r>
        <w:rPr>
          <w:rFonts w:ascii="Arial" w:cs="Arial" w:eastAsia="Arial" w:hAnsi="Arial"/>
          <w:sz w:val="16"/>
          <w:szCs w:val="16"/>
          <w:b w:val="1"/>
          <w:bCs w:val="1"/>
          <w:i w:val="1"/>
          <w:iCs w:val="1"/>
          <w:color w:val="auto"/>
        </w:rPr>
        <w:t>Court of Chancery</w:t>
      </w:r>
      <w:r>
        <w:rPr>
          <w:rFonts w:ascii="Arial" w:cs="Arial" w:eastAsia="Arial" w:hAnsi="Arial"/>
          <w:sz w:val="16"/>
          <w:szCs w:val="16"/>
          <w:color w:val="auto"/>
        </w:rPr>
        <w:t>”) shall be the sole and exclusive forum for any stockholder (including a beneficial owner) to bring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against the Corporation, its directors, officers or employees arising pursuant to any provision of the DGCL or this Amended and Restated Certificate or the Bylaws, or (iv) any action asserting a claim against the Corporation, its directors, officers or employees governed by the internal affairs doctrine and, if brought outside of Delaware, the stockholder bringing the suit will be deemed to have consented to service of process on such stockholder’s counsel, except for, as to each of</w:t>
      </w:r>
    </w:p>
    <w:p>
      <w:pPr>
        <w:spacing w:after="0" w:line="2" w:lineRule="exact"/>
        <w:rPr>
          <w:sz w:val="20"/>
          <w:szCs w:val="20"/>
          <w:color w:val="auto"/>
        </w:rPr>
      </w:pPr>
    </w:p>
    <w:p>
      <w:pPr>
        <w:jc w:val="both"/>
        <w:ind w:firstLine="8"/>
        <w:spacing w:after="0" w:line="268" w:lineRule="auto"/>
        <w:tabs>
          <w:tab w:leader="none" w:pos="218" w:val="left"/>
        </w:tabs>
        <w:numPr>
          <w:ilvl w:val="0"/>
          <w:numId w:val="155"/>
        </w:numPr>
        <w:rPr>
          <w:rFonts w:ascii="Arial" w:cs="Arial" w:eastAsia="Arial" w:hAnsi="Arial"/>
          <w:sz w:val="17"/>
          <w:szCs w:val="17"/>
          <w:color w:val="auto"/>
        </w:rPr>
      </w:pPr>
      <w:r>
        <w:rPr>
          <w:rFonts w:ascii="Arial" w:cs="Arial" w:eastAsia="Arial" w:hAnsi="Arial"/>
          <w:sz w:val="17"/>
          <w:szCs w:val="17"/>
          <w:color w:val="auto"/>
        </w:rPr>
        <w:t xml:space="preserve">through (iv) above, any claim (A)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for which the Court of Chancery does not have subject matter jurisdiction, as to which the Court of Chancery and the U.S. federal district court for the District of Delaware shall have concurrent jurisdiction. Notwithstanding the foregoing, the provisions of this </w:t>
      </w:r>
      <w:r>
        <w:rPr>
          <w:rFonts w:ascii="Arial" w:cs="Arial" w:eastAsia="Arial" w:hAnsi="Arial"/>
          <w:sz w:val="17"/>
          <w:szCs w:val="17"/>
          <w:u w:val="single" w:color="auto"/>
          <w:color w:val="auto"/>
        </w:rPr>
        <w:t>Section 12.1</w:t>
      </w:r>
      <w:r>
        <w:rPr>
          <w:rFonts w:ascii="Arial" w:cs="Arial" w:eastAsia="Arial" w:hAnsi="Arial"/>
          <w:sz w:val="17"/>
          <w:szCs w:val="17"/>
          <w:color w:val="auto"/>
        </w:rPr>
        <w:t xml:space="preserve"> will not apply to suits brought to enforce a duty or liability created by the Exchange Act or any other claim for which the U.S. federal district courts have exclusive jurisdiction. Unless the Corporation consents in writing to the selection of an alternative forum, the U.S. federal district courts shall be the exclusive forum for the resolution of any complaint asserting a cause of action arising under the Securities Act of 1933, as amended, against the Corporation or any director, officer, other employee or agent of the Corporation. Any person or entity purchasing or otherwise acquiring any interest in any security of the Corporation shall be deemed to have notice of and consented to the provisions of this </w:t>
      </w:r>
      <w:r>
        <w:rPr>
          <w:rFonts w:ascii="Arial" w:cs="Arial" w:eastAsia="Arial" w:hAnsi="Arial"/>
          <w:sz w:val="17"/>
          <w:szCs w:val="17"/>
          <w:u w:val="single" w:color="auto"/>
          <w:color w:val="auto"/>
        </w:rPr>
        <w:t>Section 12.1</w:t>
      </w:r>
      <w:r>
        <w:rPr>
          <w:rFonts w:ascii="Arial" w:cs="Arial" w:eastAsia="Arial" w:hAnsi="Arial"/>
          <w:sz w:val="17"/>
          <w:szCs w:val="17"/>
          <w:color w:val="auto"/>
        </w:rPr>
        <w:t>.</w:t>
      </w:r>
    </w:p>
    <w:p>
      <w:pPr>
        <w:spacing w:after="0" w:line="179"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Section 12.2 </w:t>
      </w:r>
      <w:r>
        <w:rPr>
          <w:rFonts w:ascii="Arial" w:cs="Arial" w:eastAsia="Arial" w:hAnsi="Arial"/>
          <w:sz w:val="18"/>
          <w:szCs w:val="18"/>
          <w:u w:val="single" w:color="auto"/>
          <w:color w:val="auto"/>
        </w:rPr>
        <w:t>Consent to Jurisdiction</w:t>
      </w:r>
      <w:r>
        <w:rPr>
          <w:rFonts w:ascii="Arial" w:cs="Arial" w:eastAsia="Arial" w:hAnsi="Arial"/>
          <w:sz w:val="18"/>
          <w:szCs w:val="18"/>
          <w:color w:val="auto"/>
        </w:rPr>
        <w:t xml:space="preserve">. If any action the subject matter of which is within the scope of </w:t>
      </w:r>
      <w:r>
        <w:rPr>
          <w:rFonts w:ascii="Arial" w:cs="Arial" w:eastAsia="Arial" w:hAnsi="Arial"/>
          <w:sz w:val="18"/>
          <w:szCs w:val="18"/>
          <w:u w:val="single" w:color="auto"/>
          <w:color w:val="auto"/>
        </w:rPr>
        <w:t>Section 12.1</w:t>
      </w:r>
      <w:r>
        <w:rPr>
          <w:rFonts w:ascii="Arial" w:cs="Arial" w:eastAsia="Arial" w:hAnsi="Arial"/>
          <w:sz w:val="18"/>
          <w:szCs w:val="18"/>
          <w:color w:val="auto"/>
        </w:rPr>
        <w:t xml:space="preserve"> immediately above is filed in a court other than a court located within the State of Delaware (a “</w:t>
      </w:r>
      <w:r>
        <w:rPr>
          <w:rFonts w:ascii="Arial" w:cs="Arial" w:eastAsia="Arial" w:hAnsi="Arial"/>
          <w:sz w:val="18"/>
          <w:szCs w:val="18"/>
          <w:b w:val="1"/>
          <w:bCs w:val="1"/>
          <w:i w:val="1"/>
          <w:iCs w:val="1"/>
          <w:color w:val="auto"/>
        </w:rPr>
        <w:t>Foreign Action</w:t>
      </w:r>
      <w:r>
        <w:rPr>
          <w:rFonts w:ascii="Arial" w:cs="Arial" w:eastAsia="Arial" w:hAnsi="Arial"/>
          <w:sz w:val="18"/>
          <w:szCs w:val="18"/>
          <w:color w:val="auto"/>
        </w:rPr>
        <w:t xml:space="preserve">”) in the name of any stockholder, such stockholder shall be deemed to have consented to (i) the personal jurisdiction of the state and U.S. federal district courts located within the State of Delaware in connection with any action brought in any such court to enforce </w:t>
      </w:r>
      <w:r>
        <w:rPr>
          <w:rFonts w:ascii="Arial" w:cs="Arial" w:eastAsia="Arial" w:hAnsi="Arial"/>
          <w:sz w:val="18"/>
          <w:szCs w:val="18"/>
          <w:u w:val="single" w:color="auto"/>
          <w:color w:val="auto"/>
        </w:rPr>
        <w:t>Section 12.1</w:t>
      </w:r>
      <w:r>
        <w:rPr>
          <w:rFonts w:ascii="Arial" w:cs="Arial" w:eastAsia="Arial" w:hAnsi="Arial"/>
          <w:sz w:val="18"/>
          <w:szCs w:val="18"/>
          <w:color w:val="auto"/>
        </w:rPr>
        <w:t xml:space="preserve"> immediately above (an “</w:t>
      </w:r>
      <w:r>
        <w:rPr>
          <w:rFonts w:ascii="Arial" w:cs="Arial" w:eastAsia="Arial" w:hAnsi="Arial"/>
          <w:sz w:val="18"/>
          <w:szCs w:val="18"/>
          <w:b w:val="1"/>
          <w:bCs w:val="1"/>
          <w:i w:val="1"/>
          <w:iCs w:val="1"/>
          <w:color w:val="auto"/>
        </w:rPr>
        <w:t>FSC Enforcement Action</w:t>
      </w:r>
      <w:r>
        <w:rPr>
          <w:rFonts w:ascii="Arial" w:cs="Arial" w:eastAsia="Arial" w:hAnsi="Arial"/>
          <w:sz w:val="18"/>
          <w:szCs w:val="18"/>
          <w:color w:val="auto"/>
        </w:rPr>
        <w:t>”</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and (ii) having service of process made upon such stockholder in any such FSC Enforcement Action by service upon such stockholder’s counsel in the Foreign Action as agent for such stockholder.</w:t>
      </w:r>
    </w:p>
    <w:p>
      <w:pPr>
        <w:spacing w:after="0" w:line="192"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Section 12.3 </w:t>
      </w: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If any provision or provisions of this </w:t>
      </w:r>
      <w:r>
        <w:rPr>
          <w:rFonts w:ascii="Arial" w:cs="Arial" w:eastAsia="Arial" w:hAnsi="Arial"/>
          <w:sz w:val="18"/>
          <w:szCs w:val="18"/>
          <w:i w:val="1"/>
          <w:iCs w:val="1"/>
          <w:color w:val="auto"/>
        </w:rPr>
        <w:t>Article XII</w:t>
      </w:r>
      <w:r>
        <w:rPr>
          <w:rFonts w:ascii="Arial" w:cs="Arial" w:eastAsia="Arial" w:hAnsi="Arial"/>
          <w:sz w:val="18"/>
          <w:szCs w:val="18"/>
          <w:color w:val="auto"/>
        </w:rPr>
        <w:t xml:space="preserve">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w:t>
      </w:r>
      <w:r>
        <w:rPr>
          <w:rFonts w:ascii="Arial" w:cs="Arial" w:eastAsia="Arial" w:hAnsi="Arial"/>
          <w:sz w:val="18"/>
          <w:szCs w:val="18"/>
          <w:i w:val="1"/>
          <w:iCs w:val="1"/>
          <w:color w:val="auto"/>
        </w:rPr>
        <w:t>Article XII</w:t>
      </w:r>
      <w:r>
        <w:rPr>
          <w:rFonts w:ascii="Arial" w:cs="Arial" w:eastAsia="Arial" w:hAnsi="Arial"/>
          <w:sz w:val="18"/>
          <w:szCs w:val="18"/>
          <w:color w:val="auto"/>
        </w:rPr>
        <w:t xml:space="preserve"> (including, without limitation, each portion of any sentence of this </w:t>
      </w:r>
      <w:r>
        <w:rPr>
          <w:rFonts w:ascii="Arial" w:cs="Arial" w:eastAsia="Arial" w:hAnsi="Arial"/>
          <w:sz w:val="18"/>
          <w:szCs w:val="18"/>
          <w:i w:val="1"/>
          <w:iCs w:val="1"/>
          <w:color w:val="auto"/>
        </w:rPr>
        <w:t>Article XII</w:t>
      </w:r>
      <w:r>
        <w:rPr>
          <w:rFonts w:ascii="Arial" w:cs="Arial" w:eastAsia="Arial" w:hAnsi="Arial"/>
          <w:sz w:val="18"/>
          <w:szCs w:val="18"/>
          <w:color w:val="auto"/>
        </w:rPr>
        <w:t xml:space="preserve"> containing any such provision held to be invalid, illegal or unenforceable that is not itself held to be invalid, illegal or unenforceable) and the application of such provision to other persons or entities and circumstances shall not in any way be affected or impaired thereby. Any person or entity purchasing or otherwise acquiring any interest in shares of capital stock of the Corporation shall be deemed to have notice of and consented to the provisions of this </w:t>
      </w:r>
      <w:r>
        <w:rPr>
          <w:rFonts w:ascii="Arial" w:cs="Arial" w:eastAsia="Arial" w:hAnsi="Arial"/>
          <w:sz w:val="18"/>
          <w:szCs w:val="18"/>
          <w:i w:val="1"/>
          <w:iCs w:val="1"/>
          <w:color w:val="auto"/>
        </w:rPr>
        <w:t>Article XII</w:t>
      </w:r>
      <w:r>
        <w:rPr>
          <w:rFonts w:ascii="Arial" w:cs="Arial" w:eastAsia="Arial" w:hAnsi="Arial"/>
          <w:sz w:val="18"/>
          <w:szCs w:val="18"/>
          <w:color w:val="auto"/>
        </w:rPr>
        <w: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3" w:name="page214"/>
    <w:bookmarkEnd w:id="213"/>
    <w:p>
      <w:pPr>
        <w:ind w:firstLine="648"/>
        <w:spacing w:after="0" w:line="277" w:lineRule="auto"/>
        <w:rPr>
          <w:sz w:val="20"/>
          <w:szCs w:val="20"/>
          <w:color w:val="auto"/>
        </w:rPr>
      </w:pPr>
      <w:r>
        <w:rPr>
          <w:rFonts w:ascii="Arial" w:cs="Arial" w:eastAsia="Arial" w:hAnsi="Arial"/>
          <w:sz w:val="18"/>
          <w:szCs w:val="18"/>
          <w:color w:val="auto"/>
        </w:rPr>
        <w:t>IN WITNESS WHEREOF, FS Development Corp. has caused this Amended and Restated Certificate to be duly executed and acknowledged in its name and on its behalf by an authorized officer as of the date first set forth above.</w:t>
      </w:r>
    </w:p>
    <w:p>
      <w:pPr>
        <w:spacing w:after="0" w:line="170"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FS DEVELOPMENT CORP.</w:t>
      </w:r>
    </w:p>
    <w:p>
      <w:pPr>
        <w:spacing w:after="0" w:line="225"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4">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Name:Jim Tananbaum</w:t>
      </w:r>
    </w:p>
    <w:p>
      <w:pPr>
        <w:spacing w:after="0" w:line="36"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Amended and Restated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14" w:name="page215"/>
    <w:bookmarkEnd w:id="214"/>
    <w:p>
      <w:pPr>
        <w:jc w:val="right"/>
        <w:spacing w:after="0"/>
        <w:rPr>
          <w:sz w:val="20"/>
          <w:szCs w:val="20"/>
          <w:color w:val="auto"/>
        </w:rPr>
      </w:pPr>
      <w:r>
        <w:rPr>
          <w:rFonts w:ascii="Arial" w:cs="Arial" w:eastAsia="Arial" w:hAnsi="Arial"/>
          <w:sz w:val="18"/>
          <w:szCs w:val="18"/>
          <w:b w:val="1"/>
          <w:bCs w:val="1"/>
          <w:color w:val="auto"/>
        </w:rPr>
        <w:t>Exhibit 3.4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FS DEVELOPMENT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“CORPORATION”)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Adopted June 30, 2020</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OFFICES</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Section 1.1. Registered Office</w:t>
      </w:r>
      <w:r>
        <w:rPr>
          <w:rFonts w:ascii="Arial" w:cs="Arial" w:eastAsia="Arial" w:hAnsi="Arial"/>
          <w:sz w:val="18"/>
          <w:szCs w:val="18"/>
          <w:color w:val="auto"/>
        </w:rPr>
        <w:t>. The registered office of the Corporation within the State of Delaware shall be located at either (a) the principal</w:t>
      </w:r>
      <w:r>
        <w:rPr>
          <w:rFonts w:ascii="Arial" w:cs="Arial" w:eastAsia="Arial" w:hAnsi="Arial"/>
          <w:sz w:val="18"/>
          <w:szCs w:val="18"/>
          <w:b w:val="1"/>
          <w:bCs w:val="1"/>
          <w:color w:val="auto"/>
        </w:rPr>
        <w:t xml:space="preserve"> </w:t>
      </w:r>
      <w:r>
        <w:rPr>
          <w:rFonts w:ascii="Arial" w:cs="Arial" w:eastAsia="Arial" w:hAnsi="Arial"/>
          <w:sz w:val="18"/>
          <w:szCs w:val="18"/>
          <w:color w:val="auto"/>
        </w:rPr>
        <w:t>place of business of the Corporation in the State of Delaware or (b) the office of the corporation or individual acting as the Corporation’s registered agent in Delaware.</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Section 1.2. Additional Offices</w:t>
      </w:r>
      <w:r>
        <w:rPr>
          <w:rFonts w:ascii="Arial" w:cs="Arial" w:eastAsia="Arial" w:hAnsi="Arial"/>
          <w:sz w:val="18"/>
          <w:szCs w:val="18"/>
          <w:color w:val="auto"/>
        </w:rPr>
        <w:t>. The Corporation may, in addition to its registered office in the State of Delaware, have such other offices and</w:t>
      </w:r>
      <w:r>
        <w:rPr>
          <w:rFonts w:ascii="Arial" w:cs="Arial" w:eastAsia="Arial" w:hAnsi="Arial"/>
          <w:sz w:val="18"/>
          <w:szCs w:val="18"/>
          <w:b w:val="1"/>
          <w:bCs w:val="1"/>
          <w:color w:val="auto"/>
        </w:rPr>
        <w:t xml:space="preserve"> </w:t>
      </w:r>
      <w:r>
        <w:rPr>
          <w:rFonts w:ascii="Arial" w:cs="Arial" w:eastAsia="Arial" w:hAnsi="Arial"/>
          <w:sz w:val="18"/>
          <w:szCs w:val="18"/>
          <w:color w:val="auto"/>
        </w:rPr>
        <w:t>places of business, both within and outside the State of Delaware, as the Board of Directors of the Corporation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may from time to time determine or as the business and affairs of the Corporation may require.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MEETINGS</w:t>
      </w:r>
    </w:p>
    <w:p>
      <w:pPr>
        <w:spacing w:after="0" w:line="22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b w:val="1"/>
          <w:bCs w:val="1"/>
          <w:color w:val="auto"/>
        </w:rPr>
        <w:t>Section 2.1. Annual Meetings</w:t>
      </w:r>
      <w:r>
        <w:rPr>
          <w:rFonts w:ascii="Arial" w:cs="Arial" w:eastAsia="Arial" w:hAnsi="Arial"/>
          <w:sz w:val="16"/>
          <w:szCs w:val="16"/>
          <w:color w:val="auto"/>
        </w:rPr>
        <w:t>. The annual meeting of stockholders shall be held at such place, either within or without the State of Delaware,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time and on such date as shall be determined by the Board and stated in the notice of the meeting, provided that the Board may in its sole discretion determine that the meeting shall not be held at any place, but may instead be held solely by means of remote communication pursuant to </w:t>
      </w:r>
      <w:r>
        <w:rPr>
          <w:rFonts w:ascii="Arial" w:cs="Arial" w:eastAsia="Arial" w:hAnsi="Arial"/>
          <w:sz w:val="16"/>
          <w:szCs w:val="16"/>
          <w:u w:val="single" w:color="auto"/>
          <w:color w:val="auto"/>
        </w:rPr>
        <w:t>Section 9.5(a)</w:t>
      </w:r>
      <w:r>
        <w:rPr>
          <w:rFonts w:ascii="Arial" w:cs="Arial" w:eastAsia="Arial" w:hAnsi="Arial"/>
          <w:sz w:val="16"/>
          <w:szCs w:val="16"/>
          <w:color w:val="auto"/>
        </w:rPr>
        <w:t>. At each annual meeting, the stockholders entitled to vote on such matters shall elect those directors of the Corporation to fill any term of a directorship that expires on the date of such annual meeting and may transact any other business as may properly be brought before the meeting.</w:t>
      </w:r>
    </w:p>
    <w:p>
      <w:pPr>
        <w:spacing w:after="0" w:line="154"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b w:val="1"/>
          <w:bCs w:val="1"/>
          <w:color w:val="auto"/>
        </w:rPr>
        <w:t>Section 2.2. Special Meetings</w:t>
      </w:r>
      <w:r>
        <w:rPr>
          <w:rFonts w:ascii="Arial" w:cs="Arial" w:eastAsia="Arial" w:hAnsi="Arial"/>
          <w:sz w:val="16"/>
          <w:szCs w:val="16"/>
          <w:color w:val="auto"/>
        </w:rPr>
        <w:t>. Subject to the rights of the holders of any outstanding series of the preferred stock of the Corporation (“</w:t>
      </w:r>
      <w:r>
        <w:rPr>
          <w:rFonts w:ascii="Arial" w:cs="Arial" w:eastAsia="Arial" w:hAnsi="Arial"/>
          <w:sz w:val="16"/>
          <w:szCs w:val="16"/>
          <w:b w:val="1"/>
          <w:bCs w:val="1"/>
          <w:i w:val="1"/>
          <w:iCs w:val="1"/>
          <w:color w:val="auto"/>
        </w:rPr>
        <w:t>Preferred</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Stock</w:t>
      </w:r>
      <w:r>
        <w:rPr>
          <w:rFonts w:ascii="Arial" w:cs="Arial" w:eastAsia="Arial" w:hAnsi="Arial"/>
          <w:sz w:val="16"/>
          <w:szCs w:val="16"/>
          <w:color w:val="auto"/>
        </w:rPr>
        <w:t>”), and to the requirements of applicable law, special meetings of stockholders, for any purpose or purposes, may be called only by the Chairman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the Board, Chief Executive Officer, or the Board pursuant to a resolution adopted by a majority of the Board, and may not be called by any other person. Special meetings of stockholders shall be held at such place, either within or without the State of Delaware, and at such time and on such date as shall be determined by the Board and stated in the Corporation’s notice of the meeting, provided that the Board may in its sole discretion determine that the meeting shall not be held at any place, but may instead be held solely by means of remote communication pursuant to </w:t>
      </w:r>
      <w:r>
        <w:rPr>
          <w:rFonts w:ascii="Arial" w:cs="Arial" w:eastAsia="Arial" w:hAnsi="Arial"/>
          <w:sz w:val="16"/>
          <w:szCs w:val="16"/>
          <w:u w:val="single" w:color="auto"/>
          <w:color w:val="auto"/>
        </w:rPr>
        <w:t>Section 9.5(a)</w:t>
      </w:r>
      <w:r>
        <w:rPr>
          <w:rFonts w:ascii="Arial" w:cs="Arial" w:eastAsia="Arial" w:hAnsi="Arial"/>
          <w:sz w:val="16"/>
          <w:szCs w:val="16"/>
          <w:color w:val="auto"/>
        </w:rPr>
        <w: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5" w:name="page216"/>
    <w:bookmarkEnd w:id="215"/>
    <w:p>
      <w:pPr>
        <w:jc w:val="both"/>
        <w:ind w:firstLine="648"/>
        <w:spacing w:after="0" w:line="270" w:lineRule="auto"/>
        <w:rPr>
          <w:sz w:val="20"/>
          <w:szCs w:val="20"/>
          <w:color w:val="auto"/>
        </w:rPr>
      </w:pPr>
      <w:r>
        <w:rPr>
          <w:rFonts w:ascii="Arial" w:cs="Arial" w:eastAsia="Arial" w:hAnsi="Arial"/>
          <w:sz w:val="17"/>
          <w:szCs w:val="17"/>
          <w:b w:val="1"/>
          <w:bCs w:val="1"/>
          <w:color w:val="auto"/>
        </w:rPr>
        <w:t xml:space="preserve">Section 2.3. Notices. </w:t>
      </w:r>
      <w:r>
        <w:rPr>
          <w:rFonts w:ascii="Arial" w:cs="Arial" w:eastAsia="Arial" w:hAnsi="Arial"/>
          <w:sz w:val="17"/>
          <w:szCs w:val="17"/>
          <w:color w:val="auto"/>
        </w:rPr>
        <w:t>Written notice of each stockholders meeting stating the place, if any, date, and time of the meeting, and the means of remote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communication, if any, by which stockholders and proxy holders may be deemed to be present in person and vote at such meeting and the record date for determining the stockholders entitled to vote at the meeting, if such date is different from the record date for determining stockholders entitled to notice of the meeting, shall be given in the manner permitted by </w:t>
      </w:r>
      <w:r>
        <w:rPr>
          <w:rFonts w:ascii="Arial" w:cs="Arial" w:eastAsia="Arial" w:hAnsi="Arial"/>
          <w:sz w:val="17"/>
          <w:szCs w:val="17"/>
          <w:u w:val="single" w:color="auto"/>
          <w:color w:val="auto"/>
        </w:rPr>
        <w:t>Section 9.3</w:t>
      </w:r>
      <w:r>
        <w:rPr>
          <w:rFonts w:ascii="Arial" w:cs="Arial" w:eastAsia="Arial" w:hAnsi="Arial"/>
          <w:sz w:val="17"/>
          <w:szCs w:val="17"/>
          <w:color w:val="auto"/>
        </w:rPr>
        <w:t xml:space="preserve"> to each stockholder entitled to vote thereat as of the record date for determining the stockholders entitled to notice of the meeting, by the Corporation not less than 10 nor more than 60 days before the date of the meeting unless otherwise required by the General Corporation Law of the State of Delaware (the “</w:t>
      </w:r>
      <w:r>
        <w:rPr>
          <w:rFonts w:ascii="Arial" w:cs="Arial" w:eastAsia="Arial" w:hAnsi="Arial"/>
          <w:sz w:val="17"/>
          <w:szCs w:val="17"/>
          <w:b w:val="1"/>
          <w:bCs w:val="1"/>
          <w:i w:val="1"/>
          <w:iCs w:val="1"/>
          <w:color w:val="auto"/>
        </w:rPr>
        <w:t>DGCL</w:t>
      </w:r>
      <w:r>
        <w:rPr>
          <w:rFonts w:ascii="Arial" w:cs="Arial" w:eastAsia="Arial" w:hAnsi="Arial"/>
          <w:sz w:val="17"/>
          <w:szCs w:val="17"/>
          <w:color w:val="auto"/>
        </w:rPr>
        <w:t>”). If said notice is for a stockholders meeting other than an annual meeting, it shall in addition state the purpose or purposes for which the meeting is called, and the business transacted at such meeting shall be limited to the matters so stated in the Corporation’s notice of meeting (or any supplement thereto). Any meeting of stockholders as to which notice has been given may be postponed, and any meeting of stockholders as to which notice has been given may be cancelled, by the Board upon public announcement (as defined in Section 2.7(c)) given before the date previously scheduled for such meeting.</w:t>
      </w:r>
    </w:p>
    <w:p>
      <w:pPr>
        <w:spacing w:after="0" w:line="17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color w:val="auto"/>
        </w:rPr>
        <w:t>Section 2.4. Quorum</w:t>
      </w:r>
      <w:r>
        <w:rPr>
          <w:rFonts w:ascii="Arial" w:cs="Arial" w:eastAsia="Arial" w:hAnsi="Arial"/>
          <w:sz w:val="16"/>
          <w:szCs w:val="16"/>
          <w:color w:val="auto"/>
        </w:rPr>
        <w:t>. Except as otherwise provided by applicable law, the Corporation’s Certificate of Incorporation, as the same may be</w:t>
      </w:r>
      <w:r>
        <w:rPr>
          <w:rFonts w:ascii="Arial" w:cs="Arial" w:eastAsia="Arial" w:hAnsi="Arial"/>
          <w:sz w:val="16"/>
          <w:szCs w:val="16"/>
          <w:b w:val="1"/>
          <w:bCs w:val="1"/>
          <w:color w:val="auto"/>
        </w:rPr>
        <w:t xml:space="preserve"> </w:t>
      </w:r>
      <w:r>
        <w:rPr>
          <w:rFonts w:ascii="Arial" w:cs="Arial" w:eastAsia="Arial" w:hAnsi="Arial"/>
          <w:sz w:val="16"/>
          <w:szCs w:val="16"/>
          <w:color w:val="auto"/>
        </w:rPr>
        <w:t>amended or restated from time to time (the “</w:t>
      </w:r>
      <w:r>
        <w:rPr>
          <w:rFonts w:ascii="Arial" w:cs="Arial" w:eastAsia="Arial" w:hAnsi="Arial"/>
          <w:sz w:val="16"/>
          <w:szCs w:val="16"/>
          <w:b w:val="1"/>
          <w:bCs w:val="1"/>
          <w:i w:val="1"/>
          <w:iCs w:val="1"/>
          <w:color w:val="auto"/>
        </w:rPr>
        <w:t>Certificate of Incorporation</w:t>
      </w:r>
      <w:r>
        <w:rPr>
          <w:rFonts w:ascii="Arial" w:cs="Arial" w:eastAsia="Arial" w:hAnsi="Arial"/>
          <w:sz w:val="16"/>
          <w:szCs w:val="16"/>
          <w:color w:val="auto"/>
        </w:rPr>
        <w:t xml:space="preserve">”) or these Bylaws, the presence, in person or by proxy, at a stockholders meeting of the holders of shares of outstanding capital stock of the Corporation representing a majority of the voting power of all outstanding shares of capital stock of the Corporation entitled to vote at such meeting shall constitute a quorum for the transaction of business at such meeting, except that when specified business is to be voted on by a class or series of stock voting as a class, the holders of shares representing a majority of the voting power of the outstanding shares of such class or series shall constitute a quorum of such class or series for the transaction of such business. If a quorum shall not be present or represented by proxy at any meeting of the stockholders of the Corporation, the chairman of the meeting may adjourn the meeting from time to time in the manner provided in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until a quorum shall attend. The stockholders present at a duly convened meeting may continue to transact business until adjournment, notwithstanding the withdrawal of enough stockholders to leave less than a quorum. Shares of its own stock belonging to the Corporation or to another corporation, if a majority of the voting power of the shares entitled to vote in the election of directors of such other corporation is held, directly or indirectly, by the Corporation, shall neither be entitled to vote nor be counted for quorum purposes; provided, however, that the foregoing shall not limit the right of the Corporation or any such other corporation to vote shares held by it in a fiduciary capacity.</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2.5. Voting of Shares</w:t>
      </w:r>
      <w:r>
        <w:rPr>
          <w:rFonts w:ascii="Arial" w:cs="Arial" w:eastAsia="Arial" w:hAnsi="Arial"/>
          <w:sz w:val="18"/>
          <w:szCs w:val="18"/>
          <w:color w:val="auto"/>
        </w:rPr>
        <w:t>.</w:t>
      </w:r>
    </w:p>
    <w:p>
      <w:pPr>
        <w:spacing w:after="0" w:line="229" w:lineRule="exact"/>
        <w:rPr>
          <w:sz w:val="20"/>
          <w:szCs w:val="20"/>
          <w:color w:val="auto"/>
        </w:rPr>
      </w:pPr>
    </w:p>
    <w:p>
      <w:pPr>
        <w:jc w:val="both"/>
        <w:ind w:firstLine="1304"/>
        <w:spacing w:after="0" w:line="284" w:lineRule="auto"/>
        <w:tabs>
          <w:tab w:leader="none" w:pos="1540" w:val="left"/>
        </w:tabs>
        <w:numPr>
          <w:ilvl w:val="1"/>
          <w:numId w:val="156"/>
        </w:numPr>
        <w:rPr>
          <w:rFonts w:ascii="Arial" w:cs="Arial" w:eastAsia="Arial" w:hAnsi="Arial"/>
          <w:sz w:val="16"/>
          <w:szCs w:val="16"/>
          <w:color w:val="auto"/>
        </w:rPr>
      </w:pPr>
      <w:r>
        <w:rPr>
          <w:rFonts w:ascii="Arial" w:cs="Arial" w:eastAsia="Arial" w:hAnsi="Arial"/>
          <w:sz w:val="16"/>
          <w:szCs w:val="16"/>
          <w:u w:val="single" w:color="auto"/>
          <w:color w:val="auto"/>
        </w:rPr>
        <w:t>Voting Lists</w:t>
      </w:r>
      <w:r>
        <w:rPr>
          <w:rFonts w:ascii="Arial" w:cs="Arial" w:eastAsia="Arial" w:hAnsi="Arial"/>
          <w:sz w:val="16"/>
          <w:szCs w:val="16"/>
          <w:color w:val="auto"/>
        </w:rPr>
        <w:t>. The Secretary of the Corporation (the “</w:t>
      </w:r>
      <w:r>
        <w:rPr>
          <w:rFonts w:ascii="Arial" w:cs="Arial" w:eastAsia="Arial" w:hAnsi="Arial"/>
          <w:sz w:val="16"/>
          <w:szCs w:val="16"/>
          <w:b w:val="1"/>
          <w:bCs w:val="1"/>
          <w:i w:val="1"/>
          <w:iCs w:val="1"/>
          <w:color w:val="auto"/>
        </w:rPr>
        <w:t>Secretary</w:t>
      </w:r>
      <w:r>
        <w:rPr>
          <w:rFonts w:ascii="Arial" w:cs="Arial" w:eastAsia="Arial" w:hAnsi="Arial"/>
          <w:sz w:val="16"/>
          <w:szCs w:val="16"/>
          <w:color w:val="auto"/>
        </w:rPr>
        <w:t>”) shall prepare, or shall cause the officer or agent who has charge of the stock ledger of the Corporation to prepare and make, at least 10 days before every meeting of stockholders, a complete list of the stockholders of record entitled to vote at such meeting; provided, however, that if the record date for determining the stockholders entitled to vote is less than 10 days before the meeting date, the list shall reflect the stockholders entitled to vote as of the tenth day before the meeting date, arranged in alphabetical order and showing the address and the number and class of shares registered in the name of each stockholder. Nothing contained in this Section 2.5(a) shall require the Corporation to include electronic mail addresses or other electronic contact information on such list. Such list shall be open to the examination of any stockholder, for any purpose germane to the meeting, during ordinary business hours for a period of at least 10 days prior to the meeting: (i) on a reasonably accessible electronic network, provided that the information required to gain access to such list is provided with the notice of the meeting, or</w:t>
      </w:r>
    </w:p>
    <w:p>
      <w:pPr>
        <w:jc w:val="both"/>
        <w:ind w:firstLine="8"/>
        <w:spacing w:after="0" w:line="251" w:lineRule="auto"/>
        <w:tabs>
          <w:tab w:leader="none" w:pos="286" w:val="left"/>
        </w:tabs>
        <w:numPr>
          <w:ilvl w:val="0"/>
          <w:numId w:val="157"/>
        </w:numPr>
        <w:rPr>
          <w:rFonts w:ascii="Arial" w:cs="Arial" w:eastAsia="Arial" w:hAnsi="Arial"/>
          <w:sz w:val="18"/>
          <w:szCs w:val="18"/>
          <w:color w:val="auto"/>
        </w:rPr>
      </w:pPr>
      <w:r>
        <w:rPr>
          <w:rFonts w:ascii="Arial" w:cs="Arial" w:eastAsia="Arial" w:hAnsi="Arial"/>
          <w:sz w:val="18"/>
          <w:szCs w:val="18"/>
          <w:color w:val="auto"/>
        </w:rPr>
        <w:t>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If the meeting is to be held at a place, then the list shall be produced and kept at the time and place of the meeting during the whole time thereof, and may be inspected by any stockholder who is present. If a meeting of stockholders is to be held solely by means of remote communication as permitted by Section 9.5(a), the list shall be open to the examination of any stockholder during the whole time of the meeting on a reasonably accessible electronic network, and the information required to access such list shall be provided with the notice of meeting. The stock ledger shall be the only evidence as to who are the stockholders entitled to examine the list required by this Section 2.5(a) or to vote in person or by proxy at any meeting of stockholders.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6" w:name="page217"/>
    <w:bookmarkEnd w:id="216"/>
    <w:p>
      <w:pPr>
        <w:jc w:val="both"/>
        <w:ind w:firstLine="1304"/>
        <w:spacing w:after="0" w:line="296" w:lineRule="auto"/>
        <w:tabs>
          <w:tab w:leader="none" w:pos="1551" w:val="left"/>
        </w:tabs>
        <w:numPr>
          <w:ilvl w:val="0"/>
          <w:numId w:val="158"/>
        </w:numPr>
        <w:rPr>
          <w:rFonts w:ascii="Arial" w:cs="Arial" w:eastAsia="Arial" w:hAnsi="Arial"/>
          <w:sz w:val="16"/>
          <w:szCs w:val="16"/>
          <w:color w:val="auto"/>
        </w:rPr>
      </w:pPr>
      <w:r>
        <w:rPr>
          <w:rFonts w:ascii="Arial" w:cs="Arial" w:eastAsia="Arial" w:hAnsi="Arial"/>
          <w:sz w:val="16"/>
          <w:szCs w:val="16"/>
          <w:u w:val="single" w:color="auto"/>
          <w:color w:val="auto"/>
        </w:rPr>
        <w:t>Manner of Voting</w:t>
      </w:r>
      <w:r>
        <w:rPr>
          <w:rFonts w:ascii="Arial" w:cs="Arial" w:eastAsia="Arial" w:hAnsi="Arial"/>
          <w:sz w:val="16"/>
          <w:szCs w:val="16"/>
          <w:color w:val="auto"/>
        </w:rPr>
        <w:t xml:space="preserve">. At any stockholders meeting, every stockholder entitled to vote may vote in person or by proxy. If authorized by the Board, the voting by stockholders or proxy holders at any meeting conducted by remote communication may be effected by a ballot submitted by electronic transmission (as defined in </w:t>
      </w:r>
      <w:r>
        <w:rPr>
          <w:rFonts w:ascii="Arial" w:cs="Arial" w:eastAsia="Arial" w:hAnsi="Arial"/>
          <w:sz w:val="16"/>
          <w:szCs w:val="16"/>
          <w:u w:val="single" w:color="auto"/>
          <w:color w:val="auto"/>
        </w:rPr>
        <w:t>Section 9.3</w:t>
      </w:r>
      <w:r>
        <w:rPr>
          <w:rFonts w:ascii="Arial" w:cs="Arial" w:eastAsia="Arial" w:hAnsi="Arial"/>
          <w:sz w:val="16"/>
          <w:szCs w:val="16"/>
          <w:color w:val="auto"/>
        </w:rPr>
        <w:t>), provided that any such electronic transmission must either set forth or be submitted with information from which the Corporation can determine that the electronic transmission was authorized by the stockholder or proxy holder. The Board, in its discretion, or the chairman of the meeting of stockholders, in such person’s discretion, may require that any votes cast at such meeting shall be cast by written ballot.</w:t>
      </w:r>
    </w:p>
    <w:p>
      <w:pPr>
        <w:spacing w:after="0" w:line="161" w:lineRule="exact"/>
        <w:rPr>
          <w:rFonts w:ascii="Arial" w:cs="Arial" w:eastAsia="Arial" w:hAnsi="Arial"/>
          <w:sz w:val="16"/>
          <w:szCs w:val="16"/>
          <w:color w:val="auto"/>
        </w:rPr>
      </w:pPr>
    </w:p>
    <w:p>
      <w:pPr>
        <w:jc w:val="both"/>
        <w:ind w:firstLine="1304"/>
        <w:spacing w:after="0" w:line="255" w:lineRule="auto"/>
        <w:tabs>
          <w:tab w:leader="none" w:pos="1540"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Proxies</w:t>
      </w:r>
      <w:r>
        <w:rPr>
          <w:rFonts w:ascii="Arial" w:cs="Arial" w:eastAsia="Arial" w:hAnsi="Arial"/>
          <w:sz w:val="18"/>
          <w:szCs w:val="18"/>
          <w:color w:val="auto"/>
        </w:rPr>
        <w:t>. Each stockholder entitled to vote at a meeting of stockholders or to express consent or dissent to corporate action in writing without a meeting may authorize another person or persons to act for such stockholder by proxy, but no such proxy shall be voted or acted upon after three years from its date, unless the proxy provides for a longer period. Proxies need not be filed with the Secretary until the meeting is called to order, but shall be filed with the Secretary before being voted. Without limiting the manner in which a stockholder may authorize another person or persons to act for such stockholder as proxy, either of the following shall constitute a valid means by which a stockholder may grant such authority. No stockholder shall have cumulative voting rights.</w:t>
      </w:r>
    </w:p>
    <w:p>
      <w:pPr>
        <w:spacing w:after="0" w:line="192" w:lineRule="exact"/>
        <w:rPr>
          <w:rFonts w:ascii="Arial" w:cs="Arial" w:eastAsia="Arial" w:hAnsi="Arial"/>
          <w:sz w:val="18"/>
          <w:szCs w:val="18"/>
          <w:color w:val="auto"/>
        </w:rPr>
      </w:pPr>
    </w:p>
    <w:p>
      <w:pPr>
        <w:jc w:val="both"/>
        <w:ind w:firstLine="1952"/>
        <w:spacing w:after="0" w:line="263" w:lineRule="auto"/>
        <w:tabs>
          <w:tab w:leader="none" w:pos="2171" w:val="left"/>
        </w:tabs>
        <w:numPr>
          <w:ilvl w:val="1"/>
          <w:numId w:val="158"/>
        </w:numPr>
        <w:rPr>
          <w:rFonts w:ascii="Arial" w:cs="Arial" w:eastAsia="Arial" w:hAnsi="Arial"/>
          <w:sz w:val="18"/>
          <w:szCs w:val="18"/>
          <w:color w:val="auto"/>
        </w:rPr>
      </w:pPr>
      <w:r>
        <w:rPr>
          <w:rFonts w:ascii="Arial" w:cs="Arial" w:eastAsia="Arial" w:hAnsi="Arial"/>
          <w:sz w:val="18"/>
          <w:szCs w:val="18"/>
          <w:color w:val="auto"/>
        </w:rPr>
        <w:t>A stockholder may execute a writing authorizing another person or persons to act for such stockholder as proxy. Execution may be accomplished by the stockholder or such stockholder’s authorized officer, director, employee or agent signing such writing or causing such person’s signature to be affixed to such writing by any reasonable means, including, but not limited to, by facsimile signature.</w:t>
      </w:r>
    </w:p>
    <w:p>
      <w:pPr>
        <w:spacing w:after="0" w:line="183" w:lineRule="exact"/>
        <w:rPr>
          <w:rFonts w:ascii="Arial" w:cs="Arial" w:eastAsia="Arial" w:hAnsi="Arial"/>
          <w:sz w:val="18"/>
          <w:szCs w:val="18"/>
          <w:color w:val="auto"/>
        </w:rPr>
      </w:pPr>
    </w:p>
    <w:p>
      <w:pPr>
        <w:jc w:val="both"/>
        <w:ind w:firstLine="1952"/>
        <w:spacing w:after="0" w:line="271" w:lineRule="auto"/>
        <w:tabs>
          <w:tab w:leader="none" w:pos="2220" w:val="left"/>
        </w:tabs>
        <w:numPr>
          <w:ilvl w:val="1"/>
          <w:numId w:val="158"/>
        </w:numPr>
        <w:rPr>
          <w:rFonts w:ascii="Arial" w:cs="Arial" w:eastAsia="Arial" w:hAnsi="Arial"/>
          <w:sz w:val="17"/>
          <w:szCs w:val="17"/>
          <w:color w:val="auto"/>
        </w:rPr>
      </w:pPr>
      <w:r>
        <w:rPr>
          <w:rFonts w:ascii="Arial" w:cs="Arial" w:eastAsia="Arial" w:hAnsi="Arial"/>
          <w:sz w:val="17"/>
          <w:szCs w:val="17"/>
          <w:color w:val="auto"/>
        </w:rPr>
        <w:t>A stockholder may authorize another person or persons to act for such stockholder as proxy by transmitting or authorizing the transmission of an electronic transmission to the person who will be the holder of the proxy or to a proxy solicitation firm, proxy support service organization or like agent duly authorized by the person who will be the holder of the proxy to receive such transmission, provided that any such electronic transmission must either set forth or be submitted with information from which it can be determined that the electronic transmission was authorized by the stockholder. Any copy, facsimile telecommunication or other reliable reproduction of the writing or transmission authorizing another person or persons to act as proxy for a stockholder may be substituted or used in lieu of the original writing or transmission for any and all purposes for which the original writing or transmission could be used; provided that such copy, facsimile telecommunication or other reproduction shall be a complete reproduction of the entire original writing or transmission.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7" w:name="page218"/>
    <w:bookmarkEnd w:id="217"/>
    <w:p>
      <w:pPr>
        <w:jc w:val="both"/>
        <w:ind w:firstLine="1304"/>
        <w:spacing w:after="0" w:line="272" w:lineRule="auto"/>
        <w:tabs>
          <w:tab w:leader="none" w:pos="1564" w:val="left"/>
        </w:tabs>
        <w:numPr>
          <w:ilvl w:val="0"/>
          <w:numId w:val="159"/>
        </w:numPr>
        <w:rPr>
          <w:rFonts w:ascii="Arial" w:cs="Arial" w:eastAsia="Arial" w:hAnsi="Arial"/>
          <w:sz w:val="17"/>
          <w:szCs w:val="17"/>
          <w:color w:val="auto"/>
        </w:rPr>
      </w:pPr>
      <w:r>
        <w:rPr>
          <w:rFonts w:ascii="Arial" w:cs="Arial" w:eastAsia="Arial" w:hAnsi="Arial"/>
          <w:sz w:val="17"/>
          <w:szCs w:val="17"/>
          <w:u w:val="single" w:color="auto"/>
          <w:color w:val="auto"/>
        </w:rPr>
        <w:t>Required Vote</w:t>
      </w:r>
      <w:r>
        <w:rPr>
          <w:rFonts w:ascii="Arial" w:cs="Arial" w:eastAsia="Arial" w:hAnsi="Arial"/>
          <w:sz w:val="17"/>
          <w:szCs w:val="17"/>
          <w:color w:val="auto"/>
        </w:rPr>
        <w:t>. Subject to the rights of the holders of one or more series of Preferred Stock, voting separately by class or series, to elect directors pursuant to the terms of one or more series of Preferred Stock, at all meetings of stockholders at which a quorum is present, the election of directors shall be determined by a plurality of the votes cast by the stockholders present in person or represented by proxy at the meeting and entitled to vote thereon. All other matters presented to the stockholders at a meeting at which a quorum is present shall be determined by the vote of a majority of the votes cast by the stockholders present in person or represented by proxy at the meeting and entitled to vote thereon, unless the matter is one upon which, by applicable law, the Certificate of Incorporation, these Bylaws or applicable stock exchange rules, a different vote is required, in which case such provision shall govern and control the decision of such matter.</w:t>
      </w:r>
    </w:p>
    <w:p>
      <w:pPr>
        <w:spacing w:after="0" w:line="177" w:lineRule="exact"/>
        <w:rPr>
          <w:rFonts w:ascii="Arial" w:cs="Arial" w:eastAsia="Arial" w:hAnsi="Arial"/>
          <w:sz w:val="17"/>
          <w:szCs w:val="17"/>
          <w:color w:val="auto"/>
        </w:rPr>
      </w:pPr>
    </w:p>
    <w:p>
      <w:pPr>
        <w:jc w:val="both"/>
        <w:ind w:firstLine="1304"/>
        <w:spacing w:after="0" w:line="269" w:lineRule="auto"/>
        <w:tabs>
          <w:tab w:leader="none" w:pos="1540" w:val="left"/>
        </w:tabs>
        <w:numPr>
          <w:ilvl w:val="0"/>
          <w:numId w:val="159"/>
        </w:numPr>
        <w:rPr>
          <w:rFonts w:ascii="Arial" w:cs="Arial" w:eastAsia="Arial" w:hAnsi="Arial"/>
          <w:sz w:val="17"/>
          <w:szCs w:val="17"/>
          <w:color w:val="auto"/>
        </w:rPr>
      </w:pPr>
      <w:r>
        <w:rPr>
          <w:rFonts w:ascii="Arial" w:cs="Arial" w:eastAsia="Arial" w:hAnsi="Arial"/>
          <w:sz w:val="17"/>
          <w:szCs w:val="17"/>
          <w:u w:val="single" w:color="auto"/>
          <w:color w:val="auto"/>
        </w:rPr>
        <w:t>Inspectors of Election</w:t>
      </w:r>
      <w:r>
        <w:rPr>
          <w:rFonts w:ascii="Arial" w:cs="Arial" w:eastAsia="Arial" w:hAnsi="Arial"/>
          <w:sz w:val="17"/>
          <w:szCs w:val="17"/>
          <w:color w:val="auto"/>
        </w:rPr>
        <w:t>. The Board may, and shall if required by law, in advance of any meeting of stockholders, appoint one or more persons as inspectors of election, who may be employees of the Corporation or otherwise serve the Corporation in other capacities, to act at such meeting of stockholders or any adjournment thereof and to make a written report thereof. The Board may appoint one or more persons as alternate inspectors to replace any inspector who fails to act. If no inspectors of election or alternates are appointed by the Board, the chairman of the meeting shall appoint one or more inspectors to act at the meeting. Each inspector, before discharging his or her duties, shall take and sign an oath faithfully to execute the duties of inspector with strict impartiality and according to the best of his or her ability. The inspectors shall ascertain and report the number of outstanding shares and the voting power of each; determine the number of shares present in person or represented by proxy at the meeting and the validity of proxies and ballots; count all votes and ballots and report the results; determine and retain for a reasonable period a record of the disposition of any challenges made to any determination by the inspectors; and certify their determination of the number of shares represented at the meeting and their count of all votes and ballots. No person who is a candidate for an office at an election may serve as an inspector at such election. Each report of an inspector shall be in writing and signed by the inspector or by a majority of them if there is more than one inspector acting at such meeting. If there is more than one inspector, the report of a majority shall be the report of the inspectors.</w:t>
      </w:r>
    </w:p>
    <w:p>
      <w:pPr>
        <w:spacing w:after="0" w:line="17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color w:val="auto"/>
        </w:rPr>
        <w:t>Section 2.6. Adjournments</w:t>
      </w:r>
      <w:r>
        <w:rPr>
          <w:rFonts w:ascii="Arial" w:cs="Arial" w:eastAsia="Arial" w:hAnsi="Arial"/>
          <w:sz w:val="16"/>
          <w:szCs w:val="16"/>
          <w:color w:val="auto"/>
        </w:rPr>
        <w:t>. Any meeting of stockholders, annual or special, may be adjourned by the chairman of the meeting, from time to time,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whether or not there is a quorum, to reconvene at the same or some other place. Notice need not be given of any such adjourned meeting if the date, time, and place, if any, thereof, and the means of remote communication, if any, by which stockholders and proxy holders may be deemed to be present in person and vote at such adjourned meeting are announced at the meeting at which the adjournment is taken. At the adjourned meeting the stockholders, or the holders of any class or series of stock entitled to vote separately as a class, as the case may be, may transact any business that might have been transacted at the original meeting. If the adjournment is for more than 30 days, notice of the adjourned meeting shall be given to each stockholder of record entitled to vote at the meeting. If after the adjournment a new record date for stockholders entitled to vote is fixed for the adjourned meeting, the Board shall fix a new record date for notice of such adjourned meeting in accordance with </w:t>
      </w:r>
      <w:r>
        <w:rPr>
          <w:rFonts w:ascii="Arial" w:cs="Arial" w:eastAsia="Arial" w:hAnsi="Arial"/>
          <w:sz w:val="16"/>
          <w:szCs w:val="16"/>
          <w:u w:val="single" w:color="auto"/>
          <w:color w:val="auto"/>
        </w:rPr>
        <w:t>Section 9.2</w:t>
      </w:r>
      <w:r>
        <w:rPr>
          <w:rFonts w:ascii="Arial" w:cs="Arial" w:eastAsia="Arial" w:hAnsi="Arial"/>
          <w:sz w:val="16"/>
          <w:szCs w:val="16"/>
          <w:color w:val="auto"/>
        </w:rPr>
        <w:t>, and shall give notice of the adjourned meeting to each stockholder of record entitled to vote at such adjourned meeting as of the record date fixed for notice of such adjourned meeting.</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8" w:name="page219"/>
    <w:bookmarkEnd w:id="218"/>
    <w:p>
      <w:pPr>
        <w:ind w:left="660"/>
        <w:spacing w:after="0"/>
        <w:rPr>
          <w:sz w:val="20"/>
          <w:szCs w:val="20"/>
          <w:color w:val="auto"/>
        </w:rPr>
      </w:pPr>
      <w:r>
        <w:rPr>
          <w:rFonts w:ascii="Arial" w:cs="Arial" w:eastAsia="Arial" w:hAnsi="Arial"/>
          <w:sz w:val="18"/>
          <w:szCs w:val="18"/>
          <w:b w:val="1"/>
          <w:bCs w:val="1"/>
          <w:color w:val="auto"/>
        </w:rPr>
        <w:t>Section 2.7. Advance Notice for Business</w:t>
      </w:r>
      <w:r>
        <w:rPr>
          <w:rFonts w:ascii="Arial" w:cs="Arial" w:eastAsia="Arial" w:hAnsi="Arial"/>
          <w:sz w:val="18"/>
          <w:szCs w:val="18"/>
          <w:color w:val="auto"/>
        </w:rPr>
        <w:t>.</w:t>
      </w:r>
    </w:p>
    <w:p>
      <w:pPr>
        <w:spacing w:after="0" w:line="229" w:lineRule="exact"/>
        <w:rPr>
          <w:sz w:val="20"/>
          <w:szCs w:val="20"/>
          <w:color w:val="auto"/>
        </w:rPr>
      </w:pPr>
    </w:p>
    <w:p>
      <w:pPr>
        <w:jc w:val="both"/>
        <w:ind w:firstLine="1304"/>
        <w:spacing w:after="0" w:line="291" w:lineRule="auto"/>
        <w:tabs>
          <w:tab w:leader="none" w:pos="1554" w:val="left"/>
        </w:tabs>
        <w:numPr>
          <w:ilvl w:val="0"/>
          <w:numId w:val="160"/>
        </w:numPr>
        <w:rPr>
          <w:rFonts w:ascii="Arial" w:cs="Arial" w:eastAsia="Arial" w:hAnsi="Arial"/>
          <w:sz w:val="16"/>
          <w:szCs w:val="16"/>
          <w:color w:val="auto"/>
        </w:rPr>
      </w:pPr>
      <w:r>
        <w:rPr>
          <w:rFonts w:ascii="Arial" w:cs="Arial" w:eastAsia="Arial" w:hAnsi="Arial"/>
          <w:sz w:val="16"/>
          <w:szCs w:val="16"/>
          <w:u w:val="single" w:color="auto"/>
          <w:color w:val="auto"/>
        </w:rPr>
        <w:t>Annual Meetings of Stockholders</w:t>
      </w:r>
      <w:r>
        <w:rPr>
          <w:rFonts w:ascii="Arial" w:cs="Arial" w:eastAsia="Arial" w:hAnsi="Arial"/>
          <w:sz w:val="16"/>
          <w:szCs w:val="16"/>
          <w:color w:val="auto"/>
        </w:rPr>
        <w:t xml:space="preserve">. No business may be transacted at an annual meeting of stockholders, other than business that is either (i) specified in the Corporation’s notice of meeting (or any supplement thereto) given by or at the direction of the Board, (ii) otherwise properly brought before the annual meeting by or at the direction of the Board or (iii) otherwise properly brought before the annual meeting by any stockholder of the Corporation (x) who is a stockholder of record entitled to vote at such annual meeting on the date of the giving of the notice provided for in this </w:t>
      </w:r>
      <w:r>
        <w:rPr>
          <w:rFonts w:ascii="Arial" w:cs="Arial" w:eastAsia="Arial" w:hAnsi="Arial"/>
          <w:sz w:val="16"/>
          <w:szCs w:val="16"/>
          <w:u w:val="single" w:color="auto"/>
          <w:color w:val="auto"/>
        </w:rPr>
        <w:t>Section 2.7(a)</w:t>
      </w:r>
      <w:r>
        <w:rPr>
          <w:rFonts w:ascii="Arial" w:cs="Arial" w:eastAsia="Arial" w:hAnsi="Arial"/>
          <w:sz w:val="16"/>
          <w:szCs w:val="16"/>
          <w:color w:val="auto"/>
        </w:rPr>
        <w:t xml:space="preserve"> and on the record date for the determination of stockholders entitled to vote at such annual meeting and (y) who complies with the notice procedures set forth in this </w:t>
      </w:r>
      <w:r>
        <w:rPr>
          <w:rFonts w:ascii="Arial" w:cs="Arial" w:eastAsia="Arial" w:hAnsi="Arial"/>
          <w:sz w:val="16"/>
          <w:szCs w:val="16"/>
          <w:u w:val="single" w:color="auto"/>
          <w:color w:val="auto"/>
        </w:rPr>
        <w:t>Section 2.7(a)</w:t>
      </w:r>
      <w:r>
        <w:rPr>
          <w:rFonts w:ascii="Arial" w:cs="Arial" w:eastAsia="Arial" w:hAnsi="Arial"/>
          <w:sz w:val="16"/>
          <w:szCs w:val="16"/>
          <w:color w:val="auto"/>
        </w:rPr>
        <w:t xml:space="preserve">. Notwithstanding anything in this </w:t>
      </w:r>
      <w:r>
        <w:rPr>
          <w:rFonts w:ascii="Arial" w:cs="Arial" w:eastAsia="Arial" w:hAnsi="Arial"/>
          <w:sz w:val="16"/>
          <w:szCs w:val="16"/>
          <w:u w:val="single" w:color="auto"/>
          <w:color w:val="auto"/>
        </w:rPr>
        <w:t>Section 2.7(a)</w:t>
      </w:r>
      <w:r>
        <w:rPr>
          <w:rFonts w:ascii="Arial" w:cs="Arial" w:eastAsia="Arial" w:hAnsi="Arial"/>
          <w:sz w:val="16"/>
          <w:szCs w:val="16"/>
          <w:color w:val="auto"/>
        </w:rPr>
        <w:t xml:space="preserve"> to the contrary, only persons nominated for election as a director to fill any term of a directorship that expires on the date of the annual meeting pursuant to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will be considered for election at such meeting.</w:t>
      </w:r>
    </w:p>
    <w:p>
      <w:pPr>
        <w:spacing w:after="0" w:line="166" w:lineRule="exact"/>
        <w:rPr>
          <w:rFonts w:ascii="Arial" w:cs="Arial" w:eastAsia="Arial" w:hAnsi="Arial"/>
          <w:sz w:val="16"/>
          <w:szCs w:val="16"/>
          <w:color w:val="auto"/>
        </w:rPr>
      </w:pPr>
    </w:p>
    <w:p>
      <w:pPr>
        <w:jc w:val="both"/>
        <w:ind w:firstLine="1952"/>
        <w:spacing w:after="0" w:line="269" w:lineRule="auto"/>
        <w:tabs>
          <w:tab w:leader="none" w:pos="2184" w:val="left"/>
        </w:tabs>
        <w:numPr>
          <w:ilvl w:val="1"/>
          <w:numId w:val="160"/>
        </w:numPr>
        <w:rPr>
          <w:rFonts w:ascii="Arial" w:cs="Arial" w:eastAsia="Arial" w:hAnsi="Arial"/>
          <w:sz w:val="17"/>
          <w:szCs w:val="17"/>
          <w:color w:val="auto"/>
        </w:rPr>
      </w:pPr>
      <w:r>
        <w:rPr>
          <w:rFonts w:ascii="Arial" w:cs="Arial" w:eastAsia="Arial" w:hAnsi="Arial"/>
          <w:sz w:val="17"/>
          <w:szCs w:val="17"/>
          <w:color w:val="auto"/>
        </w:rPr>
        <w:t xml:space="preserve">In addition to any other applicable requirements, for business (other than nominations) to be properly brought before an annual meeting by a stockholder, such stockholder must have given timely notice thereof in proper written form to the Secretary and such business must otherwise be a proper matter for stockholder action. Subject to </w:t>
      </w:r>
      <w:r>
        <w:rPr>
          <w:rFonts w:ascii="Arial" w:cs="Arial" w:eastAsia="Arial" w:hAnsi="Arial"/>
          <w:sz w:val="17"/>
          <w:szCs w:val="17"/>
          <w:u w:val="single" w:color="auto"/>
          <w:color w:val="auto"/>
        </w:rPr>
        <w:t>Section 2.7(a)(iii)</w:t>
      </w:r>
      <w:r>
        <w:rPr>
          <w:rFonts w:ascii="Arial" w:cs="Arial" w:eastAsia="Arial" w:hAnsi="Arial"/>
          <w:sz w:val="17"/>
          <w:szCs w:val="17"/>
          <w:color w:val="auto"/>
        </w:rPr>
        <w:t>, a stockholder’s notice to the Secretary with respect to such business, to be timely, must be received by the Secretary at the principal executive offices of the Corporation not later than the close of business on the 90th day nor earlier than the opening of business on the 120th day before the anniversary date of the immediately preceding annual meeting of stockholders; provided, however, that in the event that the annual meeting is more than 30 days before or more than 60 days after such anniversary date (or if there has been no prior annual meeting), notice by the stockholder to be timely must be so delivered not earlier than the close of business on the 120th day before the meeting and not later than the later of (x) the close of business on the 90th day before the meeting or (y) the close of business on the 10th day following the day on which public announcement of the date of the annual meeting is first made by the Corporation. The public announcement of an adjournment or postponement of an annual meeting shall not commence a new time period (or extend any time period) for the giving of a stockholder’s notice as described in this Section 2.7(a).</w:t>
      </w:r>
    </w:p>
    <w:p>
      <w:pPr>
        <w:spacing w:after="0" w:line="181" w:lineRule="exact"/>
        <w:rPr>
          <w:rFonts w:ascii="Arial" w:cs="Arial" w:eastAsia="Arial" w:hAnsi="Arial"/>
          <w:sz w:val="17"/>
          <w:szCs w:val="17"/>
          <w:color w:val="auto"/>
        </w:rPr>
      </w:pPr>
    </w:p>
    <w:p>
      <w:pPr>
        <w:jc w:val="both"/>
        <w:ind w:firstLine="1952"/>
        <w:spacing w:after="0" w:line="287" w:lineRule="auto"/>
        <w:tabs>
          <w:tab w:leader="none" w:pos="2221" w:val="left"/>
        </w:tabs>
        <w:numPr>
          <w:ilvl w:val="1"/>
          <w:numId w:val="160"/>
        </w:numPr>
        <w:rPr>
          <w:rFonts w:ascii="Arial" w:cs="Arial" w:eastAsia="Arial" w:hAnsi="Arial"/>
          <w:sz w:val="16"/>
          <w:szCs w:val="16"/>
          <w:color w:val="auto"/>
        </w:rPr>
      </w:pPr>
      <w:r>
        <w:rPr>
          <w:rFonts w:ascii="Arial" w:cs="Arial" w:eastAsia="Arial" w:hAnsi="Arial"/>
          <w:sz w:val="16"/>
          <w:szCs w:val="16"/>
          <w:color w:val="auto"/>
        </w:rPr>
        <w:t>To be in proper written form, a stockholder’s notice to the Secretary with respect to any business (other than nominations) must set forth as to each such matter such stockholder proposes to bring before the annual meeting (A) a brief description of the business desired to be brought before the annual meeting, the text of the proposal or business (including the text of any resolutions proposed for consideration and in the event such business includes a proposal to amend these Bylaws, the language of the proposed amendment) and the reasons for conducting such business at the annual meeting, (B) the name and record address of such stockholder and the name and address of the beneficial owner, if any, on whose behalf the proposal is made, (C) the class or series and number of shares of capital stock of the Corporation that are owned beneficially and of record by such stockholder and by the beneficial owner, if any, on whose behalf the proposal is made, (D) a description of all arrangements or understandings between such stockholder and the beneficial owner, if any, on whose behalf the proposal is made and any other person or persons (including their names) in connection with the proposal of such business by such stockholder, (E) any material interest of such stockholder and the beneficial owner, if any, on whose behalf the proposal is made in such business and (F) a representation that such stockholder (or a qualified representative of such stockholder) intends to appear in person or by proxy at the annual meeting to bring such business before the meeting.</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9" w:name="page220"/>
    <w:bookmarkEnd w:id="219"/>
    <w:p>
      <w:pPr>
        <w:jc w:val="both"/>
        <w:ind w:firstLine="1952"/>
        <w:spacing w:after="0" w:line="284" w:lineRule="auto"/>
        <w:tabs>
          <w:tab w:leader="none" w:pos="2259" w:val="left"/>
        </w:tabs>
        <w:numPr>
          <w:ilvl w:val="0"/>
          <w:numId w:val="161"/>
        </w:numPr>
        <w:rPr>
          <w:rFonts w:ascii="Arial" w:cs="Arial" w:eastAsia="Arial" w:hAnsi="Arial"/>
          <w:sz w:val="16"/>
          <w:szCs w:val="16"/>
          <w:color w:val="auto"/>
        </w:rPr>
      </w:pPr>
      <w:r>
        <w:rPr>
          <w:rFonts w:ascii="Arial" w:cs="Arial" w:eastAsia="Arial" w:hAnsi="Arial"/>
          <w:sz w:val="16"/>
          <w:szCs w:val="16"/>
          <w:color w:val="auto"/>
        </w:rPr>
        <w:t xml:space="preserve">The foregoing notice requirements of this </w:t>
      </w:r>
      <w:r>
        <w:rPr>
          <w:rFonts w:ascii="Arial" w:cs="Arial" w:eastAsia="Arial" w:hAnsi="Arial"/>
          <w:sz w:val="16"/>
          <w:szCs w:val="16"/>
          <w:u w:val="single" w:color="auto"/>
          <w:color w:val="auto"/>
        </w:rPr>
        <w:t>Section 2.7(a)</w:t>
      </w:r>
      <w:r>
        <w:rPr>
          <w:rFonts w:ascii="Arial" w:cs="Arial" w:eastAsia="Arial" w:hAnsi="Arial"/>
          <w:sz w:val="16"/>
          <w:szCs w:val="16"/>
          <w:color w:val="auto"/>
        </w:rPr>
        <w:t xml:space="preserve"> shall be deemed satisfied by a stockholder as to any proposal (other than nominations) if the stockholder has notified the Corporation of such stockholder’s intention to present such proposal at an annual meeting in compliance with Rule 14a-8 (or any successor thereof) of the Securities Exchange Act of 1934, as amended (the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xml:space="preserve">”), and such stockholder has complied with the requirements of such Rule for inclusion of such proposal in a proxy statement prepared by the Corporation to solicit proxies for such annual meeting. No business shall be conducted at the annual meeting of stockholders except business brought before the annual meeting in accordance with the procedures set forth in this </w:t>
      </w:r>
      <w:r>
        <w:rPr>
          <w:rFonts w:ascii="Arial" w:cs="Arial" w:eastAsia="Arial" w:hAnsi="Arial"/>
          <w:sz w:val="16"/>
          <w:szCs w:val="16"/>
          <w:u w:val="single" w:color="auto"/>
          <w:color w:val="auto"/>
        </w:rPr>
        <w:t>Section 2.7(a)</w:t>
      </w:r>
      <w:r>
        <w:rPr>
          <w:rFonts w:ascii="Arial" w:cs="Arial" w:eastAsia="Arial" w:hAnsi="Arial"/>
          <w:sz w:val="16"/>
          <w:szCs w:val="16"/>
          <w:color w:val="auto"/>
        </w:rPr>
        <w:t xml:space="preserve">, provided, however, that once business has been properly brought before the annual meeting in accordance with such procedures, nothing in this </w:t>
      </w:r>
      <w:r>
        <w:rPr>
          <w:rFonts w:ascii="Arial" w:cs="Arial" w:eastAsia="Arial" w:hAnsi="Arial"/>
          <w:sz w:val="16"/>
          <w:szCs w:val="16"/>
          <w:u w:val="single" w:color="auto"/>
          <w:color w:val="auto"/>
        </w:rPr>
        <w:t>Section 2.7(a)</w:t>
      </w:r>
      <w:r>
        <w:rPr>
          <w:rFonts w:ascii="Arial" w:cs="Arial" w:eastAsia="Arial" w:hAnsi="Arial"/>
          <w:sz w:val="16"/>
          <w:szCs w:val="16"/>
          <w:color w:val="auto"/>
        </w:rPr>
        <w:t xml:space="preserve"> shall be deemed to preclude discussion by any stockholder of any such business. If the</w:t>
      </w:r>
    </w:p>
    <w:p>
      <w:pPr>
        <w:spacing w:after="0" w:line="2"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 xml:space="preserve">Board or the chairman of the annual meeting determines that any stockholder proposal was not made in accordance with the provisions of this </w:t>
      </w:r>
      <w:r>
        <w:rPr>
          <w:rFonts w:ascii="Arial" w:cs="Arial" w:eastAsia="Arial" w:hAnsi="Arial"/>
          <w:sz w:val="16"/>
          <w:szCs w:val="16"/>
          <w:u w:val="single" w:color="auto"/>
          <w:color w:val="auto"/>
        </w:rPr>
        <w:t>Section 2.7(a)</w:t>
      </w:r>
      <w:r>
        <w:rPr>
          <w:rFonts w:ascii="Arial" w:cs="Arial" w:eastAsia="Arial" w:hAnsi="Arial"/>
          <w:sz w:val="16"/>
          <w:szCs w:val="16"/>
          <w:color w:val="auto"/>
        </w:rPr>
        <w:t xml:space="preserve"> or that the information provided in a stockholder’s notice does not satisfy the information requirements of this </w:t>
      </w:r>
      <w:r>
        <w:rPr>
          <w:rFonts w:ascii="Arial" w:cs="Arial" w:eastAsia="Arial" w:hAnsi="Arial"/>
          <w:sz w:val="16"/>
          <w:szCs w:val="16"/>
          <w:u w:val="single" w:color="auto"/>
          <w:color w:val="auto"/>
        </w:rPr>
        <w:t>Section 2.7(a)</w:t>
      </w:r>
      <w:r>
        <w:rPr>
          <w:rFonts w:ascii="Arial" w:cs="Arial" w:eastAsia="Arial" w:hAnsi="Arial"/>
          <w:sz w:val="16"/>
          <w:szCs w:val="16"/>
          <w:color w:val="auto"/>
        </w:rPr>
        <w:t xml:space="preserve">, such proposal shall not be presented for action at the annual meeting. Notwithstanding the foregoing provisions of this </w:t>
      </w:r>
      <w:r>
        <w:rPr>
          <w:rFonts w:ascii="Arial" w:cs="Arial" w:eastAsia="Arial" w:hAnsi="Arial"/>
          <w:sz w:val="16"/>
          <w:szCs w:val="16"/>
          <w:u w:val="single" w:color="auto"/>
          <w:color w:val="auto"/>
        </w:rPr>
        <w:t>Section 2.7(a)</w:t>
      </w:r>
      <w:r>
        <w:rPr>
          <w:rFonts w:ascii="Arial" w:cs="Arial" w:eastAsia="Arial" w:hAnsi="Arial"/>
          <w:sz w:val="16"/>
          <w:szCs w:val="16"/>
          <w:color w:val="auto"/>
        </w:rPr>
        <w:t>, if the stockholder (or a qualified representative of the stockholder) does not appear at the annual meeting of stockholders of the Corporation to present the proposed business, such proposed business shall not be transacted, notwithstanding that proxies in respect of such matter may have been received by the Corporation.</w:t>
      </w:r>
    </w:p>
    <w:p>
      <w:pPr>
        <w:spacing w:after="0" w:line="162" w:lineRule="exact"/>
        <w:rPr>
          <w:sz w:val="20"/>
          <w:szCs w:val="20"/>
          <w:color w:val="auto"/>
        </w:rPr>
      </w:pPr>
    </w:p>
    <w:p>
      <w:pPr>
        <w:jc w:val="both"/>
        <w:ind w:firstLine="1952"/>
        <w:spacing w:after="0" w:line="311" w:lineRule="auto"/>
        <w:tabs>
          <w:tab w:leader="none" w:pos="2259" w:val="left"/>
        </w:tabs>
        <w:numPr>
          <w:ilvl w:val="1"/>
          <w:numId w:val="162"/>
        </w:numPr>
        <w:rPr>
          <w:rFonts w:ascii="Arial" w:cs="Arial" w:eastAsia="Arial" w:hAnsi="Arial"/>
          <w:sz w:val="16"/>
          <w:szCs w:val="16"/>
          <w:color w:val="auto"/>
        </w:rPr>
      </w:pPr>
      <w:r>
        <w:rPr>
          <w:rFonts w:ascii="Arial" w:cs="Arial" w:eastAsia="Arial" w:hAnsi="Arial"/>
          <w:sz w:val="16"/>
          <w:szCs w:val="16"/>
          <w:color w:val="auto"/>
        </w:rPr>
        <w:t xml:space="preserve">In addition to the provisions of this </w:t>
      </w:r>
      <w:r>
        <w:rPr>
          <w:rFonts w:ascii="Arial" w:cs="Arial" w:eastAsia="Arial" w:hAnsi="Arial"/>
          <w:sz w:val="16"/>
          <w:szCs w:val="16"/>
          <w:u w:val="single" w:color="auto"/>
          <w:color w:val="auto"/>
        </w:rPr>
        <w:t>Section 2.7(a)</w:t>
      </w:r>
      <w:r>
        <w:rPr>
          <w:rFonts w:ascii="Arial" w:cs="Arial" w:eastAsia="Arial" w:hAnsi="Arial"/>
          <w:sz w:val="16"/>
          <w:szCs w:val="16"/>
          <w:color w:val="auto"/>
        </w:rPr>
        <w:t xml:space="preserve">, a stockholder shall also comply with all applicable requirements of the Exchange Act and the rules and regulations thereunder with respect to the matters set forth herein. Nothing in this </w:t>
      </w:r>
      <w:r>
        <w:rPr>
          <w:rFonts w:ascii="Arial" w:cs="Arial" w:eastAsia="Arial" w:hAnsi="Arial"/>
          <w:sz w:val="16"/>
          <w:szCs w:val="16"/>
          <w:u w:val="single" w:color="auto"/>
          <w:color w:val="auto"/>
        </w:rPr>
        <w:t>Section 2.7(a)</w:t>
      </w:r>
      <w:r>
        <w:rPr>
          <w:rFonts w:ascii="Arial" w:cs="Arial" w:eastAsia="Arial" w:hAnsi="Arial"/>
          <w:sz w:val="16"/>
          <w:szCs w:val="16"/>
          <w:color w:val="auto"/>
        </w:rPr>
        <w:t xml:space="preserve"> shall be deemed to affect any rights of stockholders to request inclusion of proposals in the Corporation’s proxy statement pursuant to Rule 14a-8 under the Exchange Act.</w:t>
      </w:r>
    </w:p>
    <w:p>
      <w:pPr>
        <w:spacing w:after="0" w:line="148" w:lineRule="exact"/>
        <w:rPr>
          <w:rFonts w:ascii="Arial" w:cs="Arial" w:eastAsia="Arial" w:hAnsi="Arial"/>
          <w:sz w:val="16"/>
          <w:szCs w:val="16"/>
          <w:color w:val="auto"/>
        </w:rPr>
      </w:pPr>
    </w:p>
    <w:p>
      <w:pPr>
        <w:jc w:val="both"/>
        <w:ind w:firstLine="1304"/>
        <w:spacing w:after="0" w:line="286" w:lineRule="auto"/>
        <w:tabs>
          <w:tab w:leader="none" w:pos="1564" w:val="left"/>
        </w:tabs>
        <w:numPr>
          <w:ilvl w:val="0"/>
          <w:numId w:val="163"/>
        </w:numPr>
        <w:rPr>
          <w:rFonts w:ascii="Arial" w:cs="Arial" w:eastAsia="Arial" w:hAnsi="Arial"/>
          <w:sz w:val="17"/>
          <w:szCs w:val="17"/>
          <w:color w:val="auto"/>
        </w:rPr>
      </w:pPr>
      <w:r>
        <w:rPr>
          <w:rFonts w:ascii="Arial" w:cs="Arial" w:eastAsia="Arial" w:hAnsi="Arial"/>
          <w:sz w:val="17"/>
          <w:szCs w:val="17"/>
          <w:u w:val="single" w:color="auto"/>
          <w:color w:val="auto"/>
        </w:rPr>
        <w:t>Special Meetings of Stockholders</w:t>
      </w:r>
      <w:r>
        <w:rPr>
          <w:rFonts w:ascii="Arial" w:cs="Arial" w:eastAsia="Arial" w:hAnsi="Arial"/>
          <w:sz w:val="17"/>
          <w:szCs w:val="17"/>
          <w:color w:val="auto"/>
        </w:rPr>
        <w:t xml:space="preserve">. Only such business shall be conducted at a special meeting of stockholders as shall have been brought before the meeting pursuant to the Corporation’s notice of meeting. Nominations of persons for election to the Board may be made at a special meeting of stockholders at which directors are to be elected pursuant to the Corporation’s notice of meeting only pursuant to </w:t>
      </w:r>
      <w:r>
        <w:rPr>
          <w:rFonts w:ascii="Arial" w:cs="Arial" w:eastAsia="Arial" w:hAnsi="Arial"/>
          <w:sz w:val="17"/>
          <w:szCs w:val="17"/>
          <w:u w:val="single" w:color="auto"/>
          <w:color w:val="auto"/>
        </w:rPr>
        <w:t>Section 3.2</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jc w:val="both"/>
        <w:ind w:firstLine="1304"/>
        <w:spacing w:after="0" w:line="286" w:lineRule="auto"/>
        <w:tabs>
          <w:tab w:leader="none" w:pos="1540" w:val="left"/>
        </w:tabs>
        <w:numPr>
          <w:ilvl w:val="0"/>
          <w:numId w:val="163"/>
        </w:numPr>
        <w:rPr>
          <w:rFonts w:ascii="Arial" w:cs="Arial" w:eastAsia="Arial" w:hAnsi="Arial"/>
          <w:sz w:val="17"/>
          <w:szCs w:val="17"/>
          <w:color w:val="auto"/>
        </w:rPr>
      </w:pPr>
      <w:r>
        <w:rPr>
          <w:rFonts w:ascii="Arial" w:cs="Arial" w:eastAsia="Arial" w:hAnsi="Arial"/>
          <w:sz w:val="17"/>
          <w:szCs w:val="17"/>
          <w:u w:val="single" w:color="auto"/>
          <w:color w:val="auto"/>
        </w:rPr>
        <w:t>Public Announcement</w:t>
      </w:r>
      <w:r>
        <w:rPr>
          <w:rFonts w:ascii="Arial" w:cs="Arial" w:eastAsia="Arial" w:hAnsi="Arial"/>
          <w:sz w:val="17"/>
          <w:szCs w:val="17"/>
          <w:color w:val="auto"/>
        </w:rPr>
        <w:t>. For purposes of these Bylaws, “</w:t>
      </w:r>
      <w:r>
        <w:rPr>
          <w:rFonts w:ascii="Arial" w:cs="Arial" w:eastAsia="Arial" w:hAnsi="Arial"/>
          <w:sz w:val="17"/>
          <w:szCs w:val="17"/>
          <w:b w:val="1"/>
          <w:bCs w:val="1"/>
          <w:i w:val="1"/>
          <w:iCs w:val="1"/>
          <w:color w:val="auto"/>
        </w:rPr>
        <w:t>public announcement</w:t>
      </w:r>
      <w:r>
        <w:rPr>
          <w:rFonts w:ascii="Arial" w:cs="Arial" w:eastAsia="Arial" w:hAnsi="Arial"/>
          <w:sz w:val="17"/>
          <w:szCs w:val="17"/>
          <w:color w:val="auto"/>
        </w:rPr>
        <w:t>” shall mean disclosure in a press release reported by the Dow Jones News Service, Associated Press or comparable national news service or in a document publicly filed or furnished by the Corporation with the Securities and Exchange Commission pursuant to Sections 13, 14 or 15(d) of the Exchange Act (or any successor thereto).</w:t>
      </w:r>
    </w:p>
    <w:p>
      <w:pPr>
        <w:spacing w:after="0" w:line="16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color w:val="auto"/>
        </w:rPr>
        <w:t>Section 2.8. Conduct of Meetings</w:t>
      </w:r>
      <w:r>
        <w:rPr>
          <w:rFonts w:ascii="Arial" w:cs="Arial" w:eastAsia="Arial" w:hAnsi="Arial"/>
          <w:sz w:val="17"/>
          <w:szCs w:val="17"/>
          <w:color w:val="auto"/>
        </w:rPr>
        <w:t>. The chairman of each annual and special meeting of stockholders shall be the Chairman of the Board or, in the</w:t>
      </w:r>
      <w:r>
        <w:rPr>
          <w:rFonts w:ascii="Arial" w:cs="Arial" w:eastAsia="Arial" w:hAnsi="Arial"/>
          <w:sz w:val="17"/>
          <w:szCs w:val="17"/>
          <w:b w:val="1"/>
          <w:bCs w:val="1"/>
          <w:color w:val="auto"/>
        </w:rPr>
        <w:t xml:space="preserve"> </w:t>
      </w:r>
      <w:r>
        <w:rPr>
          <w:rFonts w:ascii="Arial" w:cs="Arial" w:eastAsia="Arial" w:hAnsi="Arial"/>
          <w:sz w:val="17"/>
          <w:szCs w:val="17"/>
          <w:color w:val="auto"/>
        </w:rPr>
        <w:t>absence (or inability or refusal to act) of the Chairman of the Board, the Chief Executive Officer (if he or she shall be a director) or, in the absence (or inability or refusal to act of the Chief Executive Officer or if the Chief Executive Officer is not a director, the President (if he or she shall be a director) or, in the absence (or inability or refusal to act) of the President or if the President is not a director, such other person as shall be appointed by the Board. The date and time of the opening and the closing of the polls for each matter upon which the stockholders will vote at a meeting shall be announced at the meeting by the chairman of the meeting. The Board may adopt such rules and regulations for the conduct of the meeting of stockholders as it shall deem appropriate. Except to the extent inconsistent with these Bylaws or such rules and regulations as adopted by the Board, the chairman of any meeting of stockholders shall have the right and authority to convene and to adjourn the meeting, to prescribe such rules, regulations and procedures and to do all such acts as, in the judgment of such chairman, are appropriate for the proper conduct of the meeting. Such rules, regulations or procedures, whether adopted by the Board or prescribed by the chairman of the meeting, may include, without limitation, the following: (a) the establishment of an agenda or order of business for the meeting; (b) rules and procedures for maintaining order at the meeting and the safety of those present; (c) limitations on attendance at or participation in the meeting to stockholders of record of the Corporation, their duly authorized and constituted proxies or such other persons as the chairman of the meeting shall determine; (d) restrictions on entry to the meeting after the time fixed for the commencement thereof; and (e) limitations on the time allotted to questions or comments by participants. Unless and to the extent determined by the Board or the chairman of the meeting, meetings of stockholders shall not be required to be held in accordance with the rules of parliamentary procedure. The secretary of each annual and special meeting of stockholders shall be the Secretary or, in the absence (or inability or refusal to act) of the Secretary, an Assistant Secretary so appointed to act by the chairman of the meeting. In the absence (or inability or refusal to act) of the Secretary and all Assistant Secretaries, the chairman of the meeting may appoint any person to act as secretary of the meeting.</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0" w:name="page221"/>
    <w:bookmarkEnd w:id="220"/>
    <w:p>
      <w:pPr>
        <w:jc w:val="both"/>
        <w:ind w:firstLine="648"/>
        <w:spacing w:after="0" w:line="272" w:lineRule="auto"/>
        <w:rPr>
          <w:sz w:val="20"/>
          <w:szCs w:val="20"/>
          <w:color w:val="auto"/>
        </w:rPr>
      </w:pPr>
      <w:r>
        <w:rPr>
          <w:rFonts w:ascii="Arial" w:cs="Arial" w:eastAsia="Arial" w:hAnsi="Arial"/>
          <w:sz w:val="17"/>
          <w:szCs w:val="17"/>
          <w:b w:val="1"/>
          <w:bCs w:val="1"/>
          <w:color w:val="auto"/>
        </w:rPr>
        <w:t>Section 2.9. Consents in Lieu of Meeting</w:t>
      </w:r>
      <w:r>
        <w:rPr>
          <w:rFonts w:ascii="Arial" w:cs="Arial" w:eastAsia="Arial" w:hAnsi="Arial"/>
          <w:sz w:val="17"/>
          <w:szCs w:val="17"/>
          <w:color w:val="auto"/>
        </w:rPr>
        <w:t>. Unless otherwise provided by the Certificate of Incorporation, until the Corporation consummates an</w:t>
      </w:r>
      <w:r>
        <w:rPr>
          <w:rFonts w:ascii="Arial" w:cs="Arial" w:eastAsia="Arial" w:hAnsi="Arial"/>
          <w:sz w:val="17"/>
          <w:szCs w:val="17"/>
          <w:b w:val="1"/>
          <w:bCs w:val="1"/>
          <w:color w:val="auto"/>
        </w:rPr>
        <w:t xml:space="preserve"> </w:t>
      </w:r>
      <w:r>
        <w:rPr>
          <w:rFonts w:ascii="Arial" w:cs="Arial" w:eastAsia="Arial" w:hAnsi="Arial"/>
          <w:sz w:val="17"/>
          <w:szCs w:val="17"/>
          <w:color w:val="auto"/>
        </w:rPr>
        <w:t>initial public offering (“</w:t>
      </w:r>
      <w:r>
        <w:rPr>
          <w:rFonts w:ascii="Arial" w:cs="Arial" w:eastAsia="Arial" w:hAnsi="Arial"/>
          <w:sz w:val="17"/>
          <w:szCs w:val="17"/>
          <w:b w:val="1"/>
          <w:bCs w:val="1"/>
          <w:i w:val="1"/>
          <w:iCs w:val="1"/>
          <w:color w:val="auto"/>
        </w:rPr>
        <w:t>Offering</w:t>
      </w:r>
      <w:r>
        <w:rPr>
          <w:rFonts w:ascii="Arial" w:cs="Arial" w:eastAsia="Arial" w:hAnsi="Arial"/>
          <w:sz w:val="17"/>
          <w:szCs w:val="17"/>
          <w:color w:val="auto"/>
        </w:rPr>
        <w:t>”), any action required to be taken at any annual or special meeting of stockholders, or any action which may be taken at any annual or special meeting of such stockholders, may be taken without a meeting, without prior notice and without a vote, if a consent in writing, setting forth the action so taken, shall be signed by the holders of outstanding stock entitled to vote thereon having not less than the minimum number of votes that would be necessary to authorize or take such action at a meeting at which all shares entitled to vote thereon were present and voted, and shall be delivered to the Corporation by delivery to its registered office in the State of Delaware, its principal place of business, or an officer or agent of the Corporation having custody of the book in which proceedings of meetings of stockholders are recorded. Delivery made to the Corporation’s registered office shall be by hand or by certified or registered mail, return receipt requested.</w:t>
      </w:r>
    </w:p>
    <w:p>
      <w:pPr>
        <w:spacing w:after="0" w:line="17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Every written consent shall bear the date of signature of each stockholder who signs the consent, and no written consent shall be effective to take the corporate action referred to therein unless, within 60 days of the earliest dated consent delivered in the manner required by this section and the DGCL to the Corporation, written consents signed by a sufficient number of holders entitled to vote to take action are delivered to the Corporation by delivery to its registered office in Delaware, its principal place of business or an officer or agent of the Corporation having custody of the book in which proceedings of meetings of stockholders are recorded. Delivery made to the Corporation’s registered office shall be by hand or by certified or registered mail, return receipt requested.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Section 3.1. Powers; Number</w:t>
      </w:r>
      <w:r>
        <w:rPr>
          <w:rFonts w:ascii="Arial" w:cs="Arial" w:eastAsia="Arial" w:hAnsi="Arial"/>
          <w:sz w:val="18"/>
          <w:szCs w:val="18"/>
          <w:color w:val="auto"/>
        </w:rPr>
        <w:t>. The business and affairs of the Corporation shall be managed by or under the direction of the Board, which may</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all such powers of the Corporation and do all such lawful acts and things as are not by statute or by the Certificate of Incorporation or by these Bylaws required to be exercised or done by the stockholders. Directors need not be stockholders or residents of the State of Delaware. Subject to the Certificate of Incorporation, the number of directors shall be fixed exclusively by resolution of the Board.</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1" w:name="page222"/>
    <w:bookmarkEnd w:id="221"/>
    <w:p>
      <w:pPr>
        <w:ind w:left="660"/>
        <w:spacing w:after="0"/>
        <w:rPr>
          <w:sz w:val="20"/>
          <w:szCs w:val="20"/>
          <w:color w:val="auto"/>
        </w:rPr>
      </w:pPr>
      <w:r>
        <w:rPr>
          <w:rFonts w:ascii="Arial" w:cs="Arial" w:eastAsia="Arial" w:hAnsi="Arial"/>
          <w:sz w:val="18"/>
          <w:szCs w:val="18"/>
          <w:b w:val="1"/>
          <w:bCs w:val="1"/>
          <w:color w:val="auto"/>
        </w:rPr>
        <w:t>Section 3.2. Advance Notice for Nomination of Directors</w:t>
      </w:r>
      <w:r>
        <w:rPr>
          <w:rFonts w:ascii="Arial" w:cs="Arial" w:eastAsia="Arial" w:hAnsi="Arial"/>
          <w:sz w:val="18"/>
          <w:szCs w:val="18"/>
          <w:color w:val="auto"/>
        </w:rPr>
        <w:t>.</w:t>
      </w:r>
    </w:p>
    <w:p>
      <w:pPr>
        <w:spacing w:after="0" w:line="229" w:lineRule="exact"/>
        <w:rPr>
          <w:sz w:val="20"/>
          <w:szCs w:val="20"/>
          <w:color w:val="auto"/>
        </w:rPr>
      </w:pPr>
    </w:p>
    <w:p>
      <w:pPr>
        <w:jc w:val="both"/>
        <w:ind w:firstLine="1304"/>
        <w:spacing w:after="0" w:line="272" w:lineRule="auto"/>
        <w:tabs>
          <w:tab w:leader="none" w:pos="1574" w:val="left"/>
        </w:tabs>
        <w:numPr>
          <w:ilvl w:val="0"/>
          <w:numId w:val="164"/>
        </w:numPr>
        <w:rPr>
          <w:rFonts w:ascii="Arial" w:cs="Arial" w:eastAsia="Arial" w:hAnsi="Arial"/>
          <w:sz w:val="17"/>
          <w:szCs w:val="17"/>
          <w:color w:val="auto"/>
        </w:rPr>
      </w:pPr>
      <w:r>
        <w:rPr>
          <w:rFonts w:ascii="Arial" w:cs="Arial" w:eastAsia="Arial" w:hAnsi="Arial"/>
          <w:sz w:val="17"/>
          <w:szCs w:val="17"/>
          <w:color w:val="auto"/>
        </w:rPr>
        <w:t xml:space="preserve">Only persons who are nominated in accordance with the following procedures shall be eligible for election as directors of the Corporation, except as may be otherwise provided by the terms of one or more series of Preferred Stock with respect to the rights of holders of one or more series of Preferred Stock to elect directors. Nominations of persons for election to the Board at any annual meeting of stockholders, or at any special meeting of stockholders called for the purpose of electing directors as set forth in the Corporation’s notice of such special meeting, may be made (i) by or at the direction of the Board or (ii) by any stockholder of the Corporation (x) who is a stockholder of record entitled to vote in the election of directors on the date of the giving of the notice provided for in this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and on the record date for the determination of stockholders entitled to vote at such meeting and (y) who complies with the notice procedures set forth in this </w:t>
      </w:r>
      <w:r>
        <w:rPr>
          <w:rFonts w:ascii="Arial" w:cs="Arial" w:eastAsia="Arial" w:hAnsi="Arial"/>
          <w:sz w:val="17"/>
          <w:szCs w:val="17"/>
          <w:u w:val="single" w:color="auto"/>
          <w:color w:val="auto"/>
        </w:rPr>
        <w:t>Section 3.2</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jc w:val="both"/>
        <w:ind w:firstLine="1304"/>
        <w:spacing w:after="0" w:line="287" w:lineRule="auto"/>
        <w:tabs>
          <w:tab w:leader="none" w:pos="1567" w:val="left"/>
        </w:tabs>
        <w:numPr>
          <w:ilvl w:val="0"/>
          <w:numId w:val="164"/>
        </w:numPr>
        <w:rPr>
          <w:rFonts w:ascii="Arial" w:cs="Arial" w:eastAsia="Arial" w:hAnsi="Arial"/>
          <w:sz w:val="16"/>
          <w:szCs w:val="16"/>
          <w:color w:val="auto"/>
        </w:rPr>
      </w:pPr>
      <w:r>
        <w:rPr>
          <w:rFonts w:ascii="Arial" w:cs="Arial" w:eastAsia="Arial" w:hAnsi="Arial"/>
          <w:sz w:val="16"/>
          <w:szCs w:val="16"/>
          <w:color w:val="auto"/>
        </w:rPr>
        <w:t xml:space="preserve">In addition to any other applicable requirements, for a nomination to be made by a stockholder, such stockholder must have given timely notice thereof in proper written form to the Secretary. To be timely, a stockholder’s notice to the Secretary must be received by the Secretary at the principal executive offices of the Corporation (i) in the case of an annual meeting, not later than the close of business on the 90th day nor earlier than the close of business on the 120th day before the anniversary date of the immediately preceding annual meeting of stockholders; provided, however, that in the event that the annual meeting is more than 30 days before or more than 60 days after such anniversary date (or if there has been no prior annual meeting), notice by the stockholder to be timely must be so received not earlier than the close of business on the 120th day before the meeting and not later than the later of (x) the close of business on the 90th day before the meeting or (y) the close of business on the 10th day following the day on which public announcement of the date of the annual meeting was first made by the Corporation; and (ii) in the case of a special meeting of stockholders called for the purpose of electing directors, not later than the close of business on the 10th day following the day on which public announcement of the date of the special meeting is first made by the Corporation. In no event shall the public announcement of an adjournment or postponement of an annual meeting or special meeting commence a new time period (or extend any time period) for the giving of a stockholder’s notice as described in this </w:t>
      </w:r>
      <w:r>
        <w:rPr>
          <w:rFonts w:ascii="Arial" w:cs="Arial" w:eastAsia="Arial" w:hAnsi="Arial"/>
          <w:sz w:val="16"/>
          <w:szCs w:val="16"/>
          <w:u w:val="single" w:color="auto"/>
          <w:color w:val="auto"/>
        </w:rPr>
        <w:t>Section 3.2</w:t>
      </w:r>
      <w:r>
        <w:rPr>
          <w:rFonts w:ascii="Arial" w:cs="Arial" w:eastAsia="Arial" w:hAnsi="Arial"/>
          <w:sz w:val="16"/>
          <w:szCs w:val="16"/>
          <w:color w:val="auto"/>
        </w:rPr>
        <w:t>.</w:t>
      </w:r>
    </w:p>
    <w:p>
      <w:pPr>
        <w:spacing w:after="0" w:line="171" w:lineRule="exact"/>
        <w:rPr>
          <w:rFonts w:ascii="Arial" w:cs="Arial" w:eastAsia="Arial" w:hAnsi="Arial"/>
          <w:sz w:val="16"/>
          <w:szCs w:val="16"/>
          <w:color w:val="auto"/>
        </w:rPr>
      </w:pPr>
    </w:p>
    <w:p>
      <w:pPr>
        <w:jc w:val="both"/>
        <w:ind w:firstLine="1304"/>
        <w:spacing w:after="0" w:line="291" w:lineRule="auto"/>
        <w:tabs>
          <w:tab w:leader="none" w:pos="1552" w:val="left"/>
        </w:tabs>
        <w:numPr>
          <w:ilvl w:val="0"/>
          <w:numId w:val="164"/>
        </w:numPr>
        <w:rPr>
          <w:rFonts w:ascii="Arial" w:cs="Arial" w:eastAsia="Arial" w:hAnsi="Arial"/>
          <w:sz w:val="16"/>
          <w:szCs w:val="16"/>
          <w:color w:val="auto"/>
        </w:rPr>
      </w:pPr>
      <w:r>
        <w:rPr>
          <w:rFonts w:ascii="Arial" w:cs="Arial" w:eastAsia="Arial" w:hAnsi="Arial"/>
          <w:sz w:val="16"/>
          <w:szCs w:val="16"/>
          <w:color w:val="auto"/>
        </w:rPr>
        <w:t xml:space="preserve">Notwithstanding anything in paragraph (b) to the contrary, in the event that the number of directors to be elected to the Board at an annual meeting is greater than the number of directors whose terms expire on the date of the annual meeting and there is no public announcement by the Corporation naming all of the nominees for the additional directors to be elected or specifying the size of the increased Board before the close of business on the 90th day prior to the anniversary date of the immediately preceding annual meeting of stockholders, a stockholder’s notice required by this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shall also be considered timely, but only with respect to nominees for the additional directorships created by such increase that are to be filled by election at such annual meeting, if it shall be received by the Secretary at the principal executive offices of the Corporation not later than the close of business on the 10th day following the date on which such public announcement was first made by the Corporation.</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2" w:name="page223"/>
    <w:bookmarkEnd w:id="222"/>
    <w:p>
      <w:pPr>
        <w:jc w:val="both"/>
        <w:ind w:firstLine="1304"/>
        <w:spacing w:after="0" w:line="286" w:lineRule="auto"/>
        <w:tabs>
          <w:tab w:leader="none" w:pos="1577" w:val="left"/>
        </w:tabs>
        <w:numPr>
          <w:ilvl w:val="0"/>
          <w:numId w:val="165"/>
        </w:numPr>
        <w:rPr>
          <w:rFonts w:ascii="Arial" w:cs="Arial" w:eastAsia="Arial" w:hAnsi="Arial"/>
          <w:sz w:val="16"/>
          <w:szCs w:val="16"/>
          <w:color w:val="auto"/>
        </w:rPr>
      </w:pPr>
      <w:r>
        <w:rPr>
          <w:rFonts w:ascii="Arial" w:cs="Arial" w:eastAsia="Arial" w:hAnsi="Arial"/>
          <w:sz w:val="16"/>
          <w:szCs w:val="16"/>
          <w:color w:val="auto"/>
        </w:rPr>
        <w:t>To be in proper written form, a stockholder’s notice to the Secretary must set forth (i) as to each person whom the stockholder proposes to nominate for election as a director (A) the name, age, business address and residence address of the person, (B) the principal occupation or employment of the person, (C) the class or series and number of shares of capital stock of the Corporation that are owned beneficially or of record by the person and (D) any other information relating to the person that would be required to be disclosed in a proxy statement or other filings required to be made in connection with solicitations of proxies for election of directors pursuant to Section 14 of the Exchange Act and the rules and regulations promulgated thereunder; and (ii) as to the stockholder giving the notice (A) the name and record address of such stockholder as they appear on the Corporation’s books and the name and address of the beneficial owner, if any, on whose behalf the nomination is made, (B) the class or series and number of shares of capital stock of the Corporation that are owned beneficially and of record by such stockholder and the beneficial owner, if any, on whose behalf the nomination is made, (C) a description of all arrangements or understandings relating to the nomination to be made by such stockholder among such stockholder, the beneficial owner, if any, on whose behalf the nomination is made, each proposed nominee and any other person or persons (including their names), (D) a representation that such stockholder (or a qualified representative of such stockholder) intends to appear in person or by proxy at the meeting to nominate the persons named in its notice and (E) any other information relating to such stockholder and the beneficial owner, if any, on whose behalf the nomination is made that would be required to be disclosed in a proxy statement or other filings required to be made in connection with solicitations of proxies for election of directors pursuant to Section 14 of the Exchange Act and the rules and regulations promulgated thereunder. Such notice must be accompanied by a written consent of each proposed nominee to being named as a nominee and to serve as a director if elected.</w:t>
      </w:r>
    </w:p>
    <w:p>
      <w:pPr>
        <w:spacing w:after="0" w:line="167" w:lineRule="exact"/>
        <w:rPr>
          <w:rFonts w:ascii="Arial" w:cs="Arial" w:eastAsia="Arial" w:hAnsi="Arial"/>
          <w:sz w:val="16"/>
          <w:szCs w:val="16"/>
          <w:color w:val="auto"/>
        </w:rPr>
      </w:pPr>
    </w:p>
    <w:p>
      <w:pPr>
        <w:jc w:val="both"/>
        <w:ind w:firstLine="1304"/>
        <w:spacing w:after="0" w:line="296" w:lineRule="auto"/>
        <w:tabs>
          <w:tab w:leader="none" w:pos="1558" w:val="left"/>
        </w:tabs>
        <w:numPr>
          <w:ilvl w:val="0"/>
          <w:numId w:val="165"/>
        </w:numPr>
        <w:rPr>
          <w:rFonts w:ascii="Arial" w:cs="Arial" w:eastAsia="Arial" w:hAnsi="Arial"/>
          <w:sz w:val="16"/>
          <w:szCs w:val="16"/>
          <w:color w:val="auto"/>
        </w:rPr>
      </w:pPr>
      <w:r>
        <w:rPr>
          <w:rFonts w:ascii="Arial" w:cs="Arial" w:eastAsia="Arial" w:hAnsi="Arial"/>
          <w:sz w:val="16"/>
          <w:szCs w:val="16"/>
          <w:color w:val="auto"/>
        </w:rPr>
        <w:t xml:space="preserve">If the Board or the chairman of the meeting of stockholders determines that any nomination was not made in accordance with the provisions of this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or that the information provided in a stockholder’s notice does not satisfy the information requirements of this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then such nomination shall not be considered at the meeting in question. Notwithstanding the foregoing provisions of this </w:t>
      </w:r>
      <w:r>
        <w:rPr>
          <w:rFonts w:ascii="Arial" w:cs="Arial" w:eastAsia="Arial" w:hAnsi="Arial"/>
          <w:sz w:val="16"/>
          <w:szCs w:val="16"/>
          <w:u w:val="single" w:color="auto"/>
          <w:color w:val="auto"/>
        </w:rPr>
        <w:t>Section 3.2</w:t>
      </w:r>
      <w:r>
        <w:rPr>
          <w:rFonts w:ascii="Arial" w:cs="Arial" w:eastAsia="Arial" w:hAnsi="Arial"/>
          <w:sz w:val="16"/>
          <w:szCs w:val="16"/>
          <w:color w:val="auto"/>
        </w:rPr>
        <w:t>, if the stockholder (or a qualified representative of the stockholder) does not appear at the meeting of stockholders of the Corporation to present the nomination, such nomination shall be disregarded, notwithstanding that proxies in respect of such nomination may have been received by the Corporation.</w:t>
      </w:r>
    </w:p>
    <w:p>
      <w:pPr>
        <w:spacing w:after="0" w:line="161" w:lineRule="exact"/>
        <w:rPr>
          <w:rFonts w:ascii="Arial" w:cs="Arial" w:eastAsia="Arial" w:hAnsi="Arial"/>
          <w:sz w:val="16"/>
          <w:szCs w:val="16"/>
          <w:color w:val="auto"/>
        </w:rPr>
      </w:pPr>
    </w:p>
    <w:p>
      <w:pPr>
        <w:jc w:val="both"/>
        <w:ind w:firstLine="1304"/>
        <w:spacing w:after="0" w:line="263" w:lineRule="auto"/>
        <w:tabs>
          <w:tab w:leader="none" w:pos="1551" w:val="left"/>
        </w:tabs>
        <w:numPr>
          <w:ilvl w:val="0"/>
          <w:numId w:val="165"/>
        </w:numPr>
        <w:rPr>
          <w:rFonts w:ascii="Arial" w:cs="Arial" w:eastAsia="Arial" w:hAnsi="Arial"/>
          <w:sz w:val="18"/>
          <w:szCs w:val="18"/>
          <w:color w:val="auto"/>
        </w:rPr>
      </w:pPr>
      <w:r>
        <w:rPr>
          <w:rFonts w:ascii="Arial" w:cs="Arial" w:eastAsia="Arial" w:hAnsi="Arial"/>
          <w:sz w:val="18"/>
          <w:szCs w:val="18"/>
          <w:color w:val="auto"/>
        </w:rPr>
        <w:t xml:space="preserve">In addition to the provisions of this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a stockholder shall also comply with all of the applicable requirements of the Exchange Act and the rules and regulations thereunder with respect to the matters set forth herein. Nothing in this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shall be deemed to affect any rights of the holders of Preferred Stock to elect directors pursuant to the Certificate of Incorporation.</w:t>
      </w:r>
    </w:p>
    <w:p>
      <w:pPr>
        <w:spacing w:after="0" w:line="18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Section 3.3. Compensation</w:t>
      </w:r>
      <w:r>
        <w:rPr>
          <w:rFonts w:ascii="Arial" w:cs="Arial" w:eastAsia="Arial" w:hAnsi="Arial"/>
          <w:sz w:val="17"/>
          <w:szCs w:val="17"/>
          <w:color w:val="auto"/>
        </w:rPr>
        <w:t>. Unless otherwise restricted by the Certificate of Incorporation or these Bylaws, the Board shall have the authority to</w:t>
      </w:r>
      <w:r>
        <w:rPr>
          <w:rFonts w:ascii="Arial" w:cs="Arial" w:eastAsia="Arial" w:hAnsi="Arial"/>
          <w:sz w:val="17"/>
          <w:szCs w:val="17"/>
          <w:b w:val="1"/>
          <w:bCs w:val="1"/>
          <w:color w:val="auto"/>
        </w:rPr>
        <w:t xml:space="preserve"> </w:t>
      </w:r>
      <w:r>
        <w:rPr>
          <w:rFonts w:ascii="Arial" w:cs="Arial" w:eastAsia="Arial" w:hAnsi="Arial"/>
          <w:sz w:val="17"/>
          <w:szCs w:val="17"/>
          <w:color w:val="auto"/>
        </w:rPr>
        <w:t>fix the compensation of directors, including for service on a committee of the Board, and may be paid either a fixed sum for attendance at each meeting of the Board or other compensation as director. The directors may be reimbursed their expenses, if any, of attendance at each meeting of the Board. No such payment shall preclude any director from serving the Corporation in any other capacity and receiving compensation therefor. Members of committees of the Board may be allowed like compensation and reimbursement of expenses for service on the committee.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3" w:name="page224"/>
    <w:bookmarkEnd w:id="223"/>
    <w:p>
      <w:pPr>
        <w:jc w:val="center"/>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MEETINGS</w:t>
      </w:r>
    </w:p>
    <w:p>
      <w:pPr>
        <w:spacing w:after="0" w:line="225"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Section 4.1. Annual Meetings</w:t>
      </w:r>
      <w:r>
        <w:rPr>
          <w:rFonts w:ascii="Arial" w:cs="Arial" w:eastAsia="Arial" w:hAnsi="Arial"/>
          <w:sz w:val="16"/>
          <w:szCs w:val="16"/>
          <w:color w:val="auto"/>
        </w:rPr>
        <w:t>. The Board shall meet as soon as practicable after the adjournment of each annual stockholders meeting at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place of the annual stockholders meeting unless the Board shall fix another time and place and give notice thereof in the manner required herein for special meetings of the Board. No notice to the directors shall be necessary to legally convene this meeting, except as provided in this </w:t>
      </w:r>
      <w:r>
        <w:rPr>
          <w:rFonts w:ascii="Arial" w:cs="Arial" w:eastAsia="Arial" w:hAnsi="Arial"/>
          <w:sz w:val="16"/>
          <w:szCs w:val="16"/>
          <w:u w:val="single" w:color="auto"/>
          <w:color w:val="auto"/>
        </w:rPr>
        <w:t>Section 4.1</w:t>
      </w:r>
      <w:r>
        <w:rPr>
          <w:rFonts w:ascii="Arial" w:cs="Arial" w:eastAsia="Arial" w:hAnsi="Arial"/>
          <w:sz w:val="16"/>
          <w:szCs w:val="16"/>
          <w:color w:val="auto"/>
        </w:rPr>
        <w:t>.</w:t>
      </w:r>
    </w:p>
    <w:p>
      <w:pPr>
        <w:spacing w:after="0" w:line="14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Section 4.2. Regular Meetings</w:t>
      </w:r>
      <w:r>
        <w:rPr>
          <w:rFonts w:ascii="Arial" w:cs="Arial" w:eastAsia="Arial" w:hAnsi="Arial"/>
          <w:sz w:val="18"/>
          <w:szCs w:val="18"/>
          <w:color w:val="auto"/>
        </w:rPr>
        <w:t>. Regularly scheduled, periodic meetings of the Board may be held without notice at such times, dates and places</w:t>
      </w:r>
      <w:r>
        <w:rPr>
          <w:rFonts w:ascii="Arial" w:cs="Arial" w:eastAsia="Arial" w:hAnsi="Arial"/>
          <w:sz w:val="18"/>
          <w:szCs w:val="18"/>
          <w:b w:val="1"/>
          <w:bCs w:val="1"/>
          <w:color w:val="auto"/>
        </w:rPr>
        <w:t xml:space="preserve"> </w:t>
      </w:r>
      <w:r>
        <w:rPr>
          <w:rFonts w:ascii="Arial" w:cs="Arial" w:eastAsia="Arial" w:hAnsi="Arial"/>
          <w:sz w:val="18"/>
          <w:szCs w:val="18"/>
          <w:color w:val="auto"/>
        </w:rPr>
        <w:t>(within or without the State of Delaware) as shall from time to time be determined by the Board.</w:t>
      </w:r>
    </w:p>
    <w:p>
      <w:pPr>
        <w:spacing w:after="0" w:line="16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color w:val="auto"/>
        </w:rPr>
        <w:t>Section 4.3. Special Meetings</w:t>
      </w:r>
      <w:r>
        <w:rPr>
          <w:rFonts w:ascii="Arial" w:cs="Arial" w:eastAsia="Arial" w:hAnsi="Arial"/>
          <w:sz w:val="16"/>
          <w:szCs w:val="16"/>
          <w:color w:val="auto"/>
        </w:rPr>
        <w:t>. Special meetings of the Board (a) may be called by the Chairman of the Board or President and (b) shall be called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by the Chairman of the Board, President or Secretary on the written request of at least a majority of directors then in office, or the sole director, as the case may be, and shall be held at such time, date and place (within or without the State of Delaware) as may be determined by the person calling the meeting or, if called upon the request of directors or the sole director, as specified in such written request. Notice of each special meeting of the Board shall be given, as provided in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to each director (i) at least 24 hours before the meeting if such notice is oral notice given personally or by telephone or written notice given by hand delivery or by means of a form of electronic transmission and delivery; (ii) at least two days before the meeting if such notice is sent by a nationally recognized overnight delivery service; and (iii) at least five days before the meeting if such notice is sent through the United States mail. If the Secretary shall fail or refuse to give such notice, then the notice may be given by the officer who called the meeting or the directors who requested the meeting. Any and all business that may be transacted at a regular meeting of the Board may be transacted at a special meeting. Except as may be otherwise expressly provided by applicable law, the Certificate of Incorporation, or these Bylaws, neither the business to be transacted at, nor the purpose of, any special meeting need be specified in the notice or waiver of notice of such meeting. A special meeting may be held at any time without notice if all the directors are present or if those not present waive notice of the meeting in accordance with </w:t>
      </w:r>
      <w:r>
        <w:rPr>
          <w:rFonts w:ascii="Arial" w:cs="Arial" w:eastAsia="Arial" w:hAnsi="Arial"/>
          <w:sz w:val="16"/>
          <w:szCs w:val="16"/>
          <w:u w:val="single" w:color="auto"/>
          <w:color w:val="auto"/>
        </w:rPr>
        <w:t>Section 9.4</w:t>
      </w:r>
      <w:r>
        <w:rPr>
          <w:rFonts w:ascii="Arial" w:cs="Arial" w:eastAsia="Arial" w:hAnsi="Arial"/>
          <w:sz w:val="16"/>
          <w:szCs w:val="16"/>
          <w:color w:val="auto"/>
        </w:rPr>
        <w:t>.</w:t>
      </w:r>
    </w:p>
    <w:p>
      <w:pPr>
        <w:spacing w:after="0" w:line="168"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Section 4.4. Quorum; Required Vote</w:t>
      </w:r>
      <w:r>
        <w:rPr>
          <w:rFonts w:ascii="Arial" w:cs="Arial" w:eastAsia="Arial" w:hAnsi="Arial"/>
          <w:sz w:val="16"/>
          <w:szCs w:val="16"/>
          <w:color w:val="auto"/>
        </w:rPr>
        <w:t>. A majority of the Board shall constitute a quorum for the transaction of business at any meeting of the</w:t>
      </w:r>
      <w:r>
        <w:rPr>
          <w:rFonts w:ascii="Arial" w:cs="Arial" w:eastAsia="Arial" w:hAnsi="Arial"/>
          <w:sz w:val="16"/>
          <w:szCs w:val="16"/>
          <w:b w:val="1"/>
          <w:bCs w:val="1"/>
          <w:color w:val="auto"/>
        </w:rPr>
        <w:t xml:space="preserve"> </w:t>
      </w:r>
      <w:r>
        <w:rPr>
          <w:rFonts w:ascii="Arial" w:cs="Arial" w:eastAsia="Arial" w:hAnsi="Arial"/>
          <w:sz w:val="16"/>
          <w:szCs w:val="16"/>
          <w:color w:val="auto"/>
        </w:rPr>
        <w:t>Board, and the act of a majority of the directors present at any meeting at which there is a quorum shall be the act of the Board, except as may be otherwise specifically provided by applicable law, the Certificate of Incorporation or these Bylaws. If a quorum shall not be present at any meeting, a majority of the directors present may adjourn the meeting from time to time, without notice other than announcement at the meeting, until a quorum is present.</w:t>
      </w:r>
    </w:p>
    <w:p>
      <w:pPr>
        <w:spacing w:after="0" w:line="15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Section 4.5. Consent In Lieu of Meeting</w:t>
      </w:r>
      <w:r>
        <w:rPr>
          <w:rFonts w:ascii="Arial" w:cs="Arial" w:eastAsia="Arial" w:hAnsi="Arial"/>
          <w:sz w:val="17"/>
          <w:szCs w:val="17"/>
          <w:color w:val="auto"/>
        </w:rPr>
        <w:t>. Unless otherwise restricted by the Certificate of Incorporation or these Bylaws, any action required or</w:t>
      </w:r>
      <w:r>
        <w:rPr>
          <w:rFonts w:ascii="Arial" w:cs="Arial" w:eastAsia="Arial" w:hAnsi="Arial"/>
          <w:sz w:val="17"/>
          <w:szCs w:val="17"/>
          <w:b w:val="1"/>
          <w:bCs w:val="1"/>
          <w:color w:val="auto"/>
        </w:rPr>
        <w:t xml:space="preserve"> </w:t>
      </w:r>
      <w:r>
        <w:rPr>
          <w:rFonts w:ascii="Arial" w:cs="Arial" w:eastAsia="Arial" w:hAnsi="Arial"/>
          <w:sz w:val="17"/>
          <w:szCs w:val="17"/>
          <w:color w:val="auto"/>
        </w:rPr>
        <w:t>permitted to be taken at any meeting of the Board or any committee thereof may be taken without a meeting if all members of the Board or committee, as the case may be, consent thereto in writing or by electronic transmission, and the writing or writings or electronic transmission or transmissions (or paper reproductions thereof) are filed with the minutes of proceedings of the Board or committee. Such filing shall be in paper form if the minutes are maintained in paper form and shall be in electronic form if the minutes are maintained in electronic form.</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4" w:name="page225"/>
    <w:bookmarkEnd w:id="224"/>
    <w:p>
      <w:pPr>
        <w:jc w:val="both"/>
        <w:ind w:firstLine="648"/>
        <w:spacing w:after="0" w:line="255" w:lineRule="auto"/>
        <w:rPr>
          <w:sz w:val="20"/>
          <w:szCs w:val="20"/>
          <w:color w:val="auto"/>
        </w:rPr>
      </w:pPr>
      <w:r>
        <w:rPr>
          <w:rFonts w:ascii="Arial" w:cs="Arial" w:eastAsia="Arial" w:hAnsi="Arial"/>
          <w:sz w:val="18"/>
          <w:szCs w:val="18"/>
          <w:b w:val="1"/>
          <w:bCs w:val="1"/>
          <w:color w:val="auto"/>
        </w:rPr>
        <w:t>Section 4.6. Organization</w:t>
      </w:r>
      <w:r>
        <w:rPr>
          <w:rFonts w:ascii="Arial" w:cs="Arial" w:eastAsia="Arial" w:hAnsi="Arial"/>
          <w:sz w:val="18"/>
          <w:szCs w:val="18"/>
          <w:color w:val="auto"/>
        </w:rPr>
        <w:t>. The chairman of each meeting of the Board shall be the Chairman of the Board or, in the absence (or inability or</w:t>
      </w:r>
      <w:r>
        <w:rPr>
          <w:rFonts w:ascii="Arial" w:cs="Arial" w:eastAsia="Arial" w:hAnsi="Arial"/>
          <w:sz w:val="18"/>
          <w:szCs w:val="18"/>
          <w:b w:val="1"/>
          <w:bCs w:val="1"/>
          <w:color w:val="auto"/>
        </w:rPr>
        <w:t xml:space="preserve"> </w:t>
      </w:r>
      <w:r>
        <w:rPr>
          <w:rFonts w:ascii="Arial" w:cs="Arial" w:eastAsia="Arial" w:hAnsi="Arial"/>
          <w:sz w:val="18"/>
          <w:szCs w:val="18"/>
          <w:color w:val="auto"/>
        </w:rPr>
        <w:t>refusal to act) of the Chairman of the Board, the Chief Executive Officer (if he or she shall be a director) or, in the absence (or inability or refusal to act) of the Chief Executive Officer or if the Chief Executive Officer is not a director, the President (if he or she shall be a director) or in the absence (or inability or refusal to act) of the President or if the President is not a director, a chairman elected from the directors present. The Secretary shall act as secretary of all meetings of the Board. In the absence (or inability or refusal to act) of the Secretary, an Assistant Secretary shall perform the duties of the Secretary at such meeting. In the absence (or inability or refusal to act) of the Secretary and all Assistant Secretaries, the chairman of the meeting may appoint any person to act as secretary of the meeting.</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COMMITTEES OF DIRECTORS</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Section 5.1. Establishment</w:t>
      </w:r>
      <w:r>
        <w:rPr>
          <w:rFonts w:ascii="Arial" w:cs="Arial" w:eastAsia="Arial" w:hAnsi="Arial"/>
          <w:sz w:val="18"/>
          <w:szCs w:val="18"/>
          <w:color w:val="auto"/>
        </w:rPr>
        <w:t>. The Board may by resolution of the Board designate one or more committees, each committee to consist of one or</w:t>
      </w:r>
      <w:r>
        <w:rPr>
          <w:rFonts w:ascii="Arial" w:cs="Arial" w:eastAsia="Arial" w:hAnsi="Arial"/>
          <w:sz w:val="18"/>
          <w:szCs w:val="18"/>
          <w:b w:val="1"/>
          <w:bCs w:val="1"/>
          <w:color w:val="auto"/>
        </w:rPr>
        <w:t xml:space="preserve"> </w:t>
      </w:r>
      <w:r>
        <w:rPr>
          <w:rFonts w:ascii="Arial" w:cs="Arial" w:eastAsia="Arial" w:hAnsi="Arial"/>
          <w:sz w:val="18"/>
          <w:szCs w:val="18"/>
          <w:color w:val="auto"/>
        </w:rPr>
        <w:t>more of the directors of the Corporation. Each committee shall keep regular minutes of its meetings and report the same to the Board when required by the resolution designating such committee. The Board shall have the power at any time to fill vacancies in, to change the membership of, or to dissolve any such committee.</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Section 5.2. Available Powers</w:t>
      </w:r>
      <w:r>
        <w:rPr>
          <w:rFonts w:ascii="Arial" w:cs="Arial" w:eastAsia="Arial" w:hAnsi="Arial"/>
          <w:sz w:val="18"/>
          <w:szCs w:val="18"/>
          <w:color w:val="auto"/>
        </w:rPr>
        <w:t>. Any committee established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5.1</w:t>
      </w:r>
      <w:r>
        <w:rPr>
          <w:rFonts w:ascii="Arial" w:cs="Arial" w:eastAsia="Arial" w:hAnsi="Arial"/>
          <w:sz w:val="18"/>
          <w:szCs w:val="18"/>
          <w:b w:val="1"/>
          <w:bCs w:val="1"/>
          <w:color w:val="auto"/>
        </w:rPr>
        <w:t xml:space="preserve"> </w:t>
      </w:r>
      <w:r>
        <w:rPr>
          <w:rFonts w:ascii="Arial" w:cs="Arial" w:eastAsia="Arial" w:hAnsi="Arial"/>
          <w:sz w:val="18"/>
          <w:szCs w:val="18"/>
          <w:color w:val="auto"/>
        </w:rPr>
        <w:t>hereof, to the extent permitted by applicable law and by</w:t>
      </w:r>
      <w:r>
        <w:rPr>
          <w:rFonts w:ascii="Arial" w:cs="Arial" w:eastAsia="Arial" w:hAnsi="Arial"/>
          <w:sz w:val="18"/>
          <w:szCs w:val="18"/>
          <w:b w:val="1"/>
          <w:bCs w:val="1"/>
          <w:color w:val="auto"/>
        </w:rPr>
        <w:t xml:space="preserve"> </w:t>
      </w:r>
      <w:r>
        <w:rPr>
          <w:rFonts w:ascii="Arial" w:cs="Arial" w:eastAsia="Arial" w:hAnsi="Arial"/>
          <w:sz w:val="18"/>
          <w:szCs w:val="18"/>
          <w:color w:val="auto"/>
        </w:rPr>
        <w:t>resolution of the Board, shall have and may exercise all of the powers and authority of the Board in the management of the business and affairs of the Corporation, and may authorize the seal of the Corporation to be affixed to all papers that may require it.</w:t>
      </w:r>
    </w:p>
    <w:p>
      <w:pPr>
        <w:spacing w:after="0" w:line="176"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Section 5.3. Alternate Members</w:t>
      </w:r>
      <w:r>
        <w:rPr>
          <w:rFonts w:ascii="Arial" w:cs="Arial" w:eastAsia="Arial" w:hAnsi="Arial"/>
          <w:sz w:val="17"/>
          <w:szCs w:val="17"/>
          <w:color w:val="auto"/>
        </w:rPr>
        <w:t>. The Board may designate one or more directors as alternate members of any committee, who may replace any</w:t>
      </w:r>
      <w:r>
        <w:rPr>
          <w:rFonts w:ascii="Arial" w:cs="Arial" w:eastAsia="Arial" w:hAnsi="Arial"/>
          <w:sz w:val="17"/>
          <w:szCs w:val="17"/>
          <w:b w:val="1"/>
          <w:bCs w:val="1"/>
          <w:color w:val="auto"/>
        </w:rPr>
        <w:t xml:space="preserve"> </w:t>
      </w:r>
      <w:r>
        <w:rPr>
          <w:rFonts w:ascii="Arial" w:cs="Arial" w:eastAsia="Arial" w:hAnsi="Arial"/>
          <w:sz w:val="17"/>
          <w:szCs w:val="17"/>
          <w:color w:val="auto"/>
        </w:rPr>
        <w:t>absent or disqualified member at any meeting of such committee. In the absence or disqualification of a member of the committee, the member or members thereof present at any meeting and not disqualified from voting, whether or not he, she or they constitute a quorum, may unanimously appoint another member of the Board to act at the meeting in place of any such absent or disqualified member.</w:t>
      </w:r>
    </w:p>
    <w:p>
      <w:pPr>
        <w:spacing w:after="0" w:line="16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color w:val="auto"/>
        </w:rPr>
        <w:t>Section 5.4. Procedures</w:t>
      </w:r>
      <w:r>
        <w:rPr>
          <w:rFonts w:ascii="Arial" w:cs="Arial" w:eastAsia="Arial" w:hAnsi="Arial"/>
          <w:sz w:val="16"/>
          <w:szCs w:val="16"/>
          <w:color w:val="auto"/>
        </w:rPr>
        <w:t>. Unless the Board otherwise provides, the time, date, place, if any, and notice of meetings of a committee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determined by such committee. At meetings of a committee, a majority of the number of members of the committee (but not including any alternate member, unless such alternate member has replaced any absent or disqualified member at the time of, or in connection with, such meeting) shall constitute a quorum for the transaction of business. The act of a majority of the members present at any meeting at which a quorum is present shall be the act of the committee, except as otherwise specifically provided by applicable law, the Certificate of Incorporation, these Bylaws or the Board. If a quorum is not present at a meeting of a committee, the members present may adjourn the meeting from time to time, without notice other than an announcement at the meeting, until a quorum is present. Unless the Board otherwise provides and except as provided in these Bylaws, each committee designated by the Board may make, alter, amend and repeal rules for the conduct of its business. In the absence of such rules each committee shall conduct its business in the same manner as the Board is authorized to conduct its business pursuant to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of these Bylaws.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5" w:name="page226"/>
    <w:bookmarkEnd w:id="225"/>
    <w:p>
      <w:pPr>
        <w:jc w:val="center"/>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Section 6.1. Officers</w:t>
      </w:r>
      <w:r>
        <w:rPr>
          <w:rFonts w:ascii="Arial" w:cs="Arial" w:eastAsia="Arial" w:hAnsi="Arial"/>
          <w:sz w:val="18"/>
          <w:szCs w:val="18"/>
          <w:color w:val="auto"/>
        </w:rPr>
        <w:t>. The officers of the Corporation elected by the Board shall be a Chief Executive Officer, a Chief Financial Officer, 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Secretary and such other officers (including without limitation, a Chairman of the Board, Presidents, Vice Presidents, Partners, Managing Directors, Senior Managing Directors, Assistant Secretaries and a Treasurer) as the Board from time to time may determine. Officers elected by the Board shall each have such powers and duties as generally pertain to their respective offices, subject to the specific provisions of this </w:t>
      </w:r>
      <w:r>
        <w:rPr>
          <w:rFonts w:ascii="Arial" w:cs="Arial" w:eastAsia="Arial" w:hAnsi="Arial"/>
          <w:sz w:val="18"/>
          <w:szCs w:val="18"/>
          <w:u w:val="single" w:color="auto"/>
          <w:color w:val="auto"/>
        </w:rPr>
        <w:t>Article VI</w:t>
      </w:r>
      <w:r>
        <w:rPr>
          <w:rFonts w:ascii="Arial" w:cs="Arial" w:eastAsia="Arial" w:hAnsi="Arial"/>
          <w:sz w:val="18"/>
          <w:szCs w:val="18"/>
          <w:color w:val="auto"/>
        </w:rPr>
        <w:t>. Such officers shall also have such powers and duties as from time to time may be conferred by the Board. The Chief Executive Officer or President may also appoint such other officers (including without limitation one or more Vice Presidents and Controllers) as may be necessary or desirable for the conduct of the business of the Corporation. Such other officers shall have such powers and duties and shall hold their offices for such terms as may be provided in these Bylaws or as may be prescribed by the Board or, if such officer has been appointed by the Chief Executive Officer or President, as may be prescribed by the appointing officer.</w:t>
      </w:r>
    </w:p>
    <w:p>
      <w:pPr>
        <w:spacing w:after="0" w:line="192" w:lineRule="exact"/>
        <w:rPr>
          <w:sz w:val="20"/>
          <w:szCs w:val="20"/>
          <w:color w:val="auto"/>
        </w:rPr>
      </w:pPr>
    </w:p>
    <w:p>
      <w:pPr>
        <w:jc w:val="both"/>
        <w:ind w:firstLine="1304"/>
        <w:spacing w:after="0" w:line="254" w:lineRule="auto"/>
        <w:tabs>
          <w:tab w:leader="none" w:pos="1540"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Chairman of the Board</w:t>
      </w:r>
      <w:r>
        <w:rPr>
          <w:rFonts w:ascii="Arial" w:cs="Arial" w:eastAsia="Arial" w:hAnsi="Arial"/>
          <w:sz w:val="18"/>
          <w:szCs w:val="18"/>
          <w:color w:val="auto"/>
        </w:rPr>
        <w:t>. The Chairman of the Board shall preside when present at all meetings of the stockholders and the Board. The Chairman of the Board shall have general supervision and control of the acquisition activities of the Corporation subject to the ultimate authority of the Board, and shall be responsible for the execution of the policies of the Board with respect to such matters. In the absence (or inability or refusal to act) of the Chairman of the Board, the Chief Executive Officer (if he or she shall be a director) shall preside when present at all meetings of the stockholders and the Board. The powers and duties of the Chairman of the Board shall not include supervision or control of the preparation of the financial statements of the Corporation (other than through participation as a member of the Board). The position of Chairman of the Board and Chief Executive Officer may be held by the same person.</w:t>
      </w:r>
    </w:p>
    <w:p>
      <w:pPr>
        <w:spacing w:after="0" w:line="194" w:lineRule="exact"/>
        <w:rPr>
          <w:rFonts w:ascii="Arial" w:cs="Arial" w:eastAsia="Arial" w:hAnsi="Arial"/>
          <w:sz w:val="18"/>
          <w:szCs w:val="18"/>
          <w:color w:val="auto"/>
        </w:rPr>
      </w:pPr>
    </w:p>
    <w:p>
      <w:pPr>
        <w:jc w:val="both"/>
        <w:ind w:firstLine="1304"/>
        <w:spacing w:after="0" w:line="255" w:lineRule="auto"/>
        <w:tabs>
          <w:tab w:leader="none" w:pos="1578"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Chief Executive Officer</w:t>
      </w:r>
      <w:r>
        <w:rPr>
          <w:rFonts w:ascii="Arial" w:cs="Arial" w:eastAsia="Arial" w:hAnsi="Arial"/>
          <w:sz w:val="18"/>
          <w:szCs w:val="18"/>
          <w:color w:val="auto"/>
        </w:rPr>
        <w:t xml:space="preserve">. The Chief Executive Officer shall be the chief executive officer of the Corporation, shall have general supervision of the affairs of the Corporation and general control of all of its business subject to the ultimate authority of the Board, and shall be responsible for the execution of the policies of the Board with respect to such matters, except to the extent any such powers and duties have been prescribed to the Chairman of the Board pursuant to </w:t>
      </w:r>
      <w:r>
        <w:rPr>
          <w:rFonts w:ascii="Arial" w:cs="Arial" w:eastAsia="Arial" w:hAnsi="Arial"/>
          <w:sz w:val="18"/>
          <w:szCs w:val="18"/>
          <w:u w:val="single" w:color="auto"/>
          <w:color w:val="auto"/>
        </w:rPr>
        <w:t>Section 6.1(a)</w:t>
      </w:r>
      <w:r>
        <w:rPr>
          <w:rFonts w:ascii="Arial" w:cs="Arial" w:eastAsia="Arial" w:hAnsi="Arial"/>
          <w:sz w:val="18"/>
          <w:szCs w:val="18"/>
          <w:color w:val="auto"/>
        </w:rPr>
        <w:t xml:space="preserve"> above. In the absence (or inability or refusal to act) of the Chairman of the Board, the Chief Executive Officer (if he or she shall be a director) shall preside when present at all meetings of the stockholders and the Board. The position of Chief Executive Officer and President may be held by the same person.</w:t>
      </w:r>
    </w:p>
    <w:p>
      <w:pPr>
        <w:spacing w:after="0" w:line="192" w:lineRule="exact"/>
        <w:rPr>
          <w:rFonts w:ascii="Arial" w:cs="Arial" w:eastAsia="Arial" w:hAnsi="Arial"/>
          <w:sz w:val="18"/>
          <w:szCs w:val="18"/>
          <w:color w:val="auto"/>
        </w:rPr>
      </w:pPr>
    </w:p>
    <w:p>
      <w:pPr>
        <w:jc w:val="both"/>
        <w:ind w:firstLine="1304"/>
        <w:spacing w:after="0" w:line="257" w:lineRule="auto"/>
        <w:tabs>
          <w:tab w:leader="none" w:pos="1540"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President</w:t>
      </w:r>
      <w:r>
        <w:rPr>
          <w:rFonts w:ascii="Arial" w:cs="Arial" w:eastAsia="Arial" w:hAnsi="Arial"/>
          <w:sz w:val="18"/>
          <w:szCs w:val="18"/>
          <w:color w:val="auto"/>
        </w:rPr>
        <w:t>. The President shall make recommendations to the Chief Executive Officer on all operational matters that would normally be reserved for the final executive responsibility of the Chief Executive Officer. In the absence (or inability or refusal to act) of the Chairman of the Board and Chief Executive Officer, the President (if he or she shall be a director) shall preside when present at all meetings of the stockholders and the Board. The President shall also perform such duties and have such powers as shall be designated by the Board. The position of President and Chief Executive Officer may be held by the same person.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6" w:name="page227"/>
    <w:bookmarkEnd w:id="226"/>
    <w:p>
      <w:pPr>
        <w:jc w:val="both"/>
        <w:ind w:firstLine="1304"/>
        <w:spacing w:after="0" w:line="263" w:lineRule="auto"/>
        <w:tabs>
          <w:tab w:leader="none" w:pos="1551"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Vice Presidents</w:t>
      </w:r>
      <w:r>
        <w:rPr>
          <w:rFonts w:ascii="Arial" w:cs="Arial" w:eastAsia="Arial" w:hAnsi="Arial"/>
          <w:sz w:val="18"/>
          <w:szCs w:val="18"/>
          <w:color w:val="auto"/>
        </w:rPr>
        <w:t>. In the absence (or inability or refusal to act) of the President, the Vice President (or in the event there be more than one Vice President, the Vice Presidents in the order designated by the Board) shall perform the duties and have the powers of the President. Any one or more of the Vice Presidents may be given an additional designation of rank or function.</w:t>
      </w:r>
    </w:p>
    <w:p>
      <w:pPr>
        <w:spacing w:after="0" w:line="183" w:lineRule="exact"/>
        <w:rPr>
          <w:rFonts w:ascii="Arial" w:cs="Arial" w:eastAsia="Arial" w:hAnsi="Arial"/>
          <w:sz w:val="18"/>
          <w:szCs w:val="18"/>
          <w:color w:val="auto"/>
        </w:rPr>
      </w:pPr>
    </w:p>
    <w:p>
      <w:pPr>
        <w:ind w:left="1540" w:hanging="236"/>
        <w:spacing w:after="0"/>
        <w:tabs>
          <w:tab w:leader="none" w:pos="1540"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Secretary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2"/>
        <w:spacing w:after="0" w:line="254" w:lineRule="auto"/>
        <w:tabs>
          <w:tab w:leader="none" w:pos="2174" w:val="left"/>
        </w:tabs>
        <w:numPr>
          <w:ilvl w:val="1"/>
          <w:numId w:val="167"/>
        </w:numPr>
        <w:rPr>
          <w:rFonts w:ascii="Arial" w:cs="Arial" w:eastAsia="Arial" w:hAnsi="Arial"/>
          <w:sz w:val="18"/>
          <w:szCs w:val="18"/>
          <w:color w:val="auto"/>
        </w:rPr>
      </w:pPr>
      <w:r>
        <w:rPr>
          <w:rFonts w:ascii="Arial" w:cs="Arial" w:eastAsia="Arial" w:hAnsi="Arial"/>
          <w:sz w:val="18"/>
          <w:szCs w:val="18"/>
          <w:color w:val="auto"/>
        </w:rPr>
        <w:t>The Secretary shall attend all meetings of the stockholders, the Board and (as required) committees of the Board and shall record the proceedings of such meetings in books to be kept for that purpose. The Secretary shall give, or cause to be given, notice of all meetings of the stockholders and special meetings of the Board and shall perform such other duties as may be prescribed by the Board, the Chairman of the Board, Chief Executive Officer or President. The Secretary shall have custody of the corporate seal of the Corporation and the Secretary, or any Assistant Secretary, shall have authority to affix the same to any instrument requiring it, and when so affixed, it may be attested by his or her signature or by the signature of such Assistant Secretary. The Board may give general authority to any other officer to affix the seal of the Corporation and to attest the affixing thereof by his or her signature.</w:t>
      </w:r>
    </w:p>
    <w:p>
      <w:pPr>
        <w:spacing w:after="0" w:line="194" w:lineRule="exact"/>
        <w:rPr>
          <w:rFonts w:ascii="Arial" w:cs="Arial" w:eastAsia="Arial" w:hAnsi="Arial"/>
          <w:sz w:val="18"/>
          <w:szCs w:val="18"/>
          <w:color w:val="auto"/>
        </w:rPr>
      </w:pPr>
    </w:p>
    <w:p>
      <w:pPr>
        <w:jc w:val="both"/>
        <w:ind w:firstLine="1952"/>
        <w:spacing w:after="0" w:line="259" w:lineRule="auto"/>
        <w:tabs>
          <w:tab w:leader="none" w:pos="2231" w:val="left"/>
        </w:tabs>
        <w:numPr>
          <w:ilvl w:val="1"/>
          <w:numId w:val="167"/>
        </w:numPr>
        <w:rPr>
          <w:rFonts w:ascii="Arial" w:cs="Arial" w:eastAsia="Arial" w:hAnsi="Arial"/>
          <w:sz w:val="18"/>
          <w:szCs w:val="18"/>
          <w:color w:val="auto"/>
        </w:rPr>
      </w:pPr>
      <w:r>
        <w:rPr>
          <w:rFonts w:ascii="Arial" w:cs="Arial" w:eastAsia="Arial" w:hAnsi="Arial"/>
          <w:sz w:val="18"/>
          <w:szCs w:val="18"/>
          <w:color w:val="auto"/>
        </w:rPr>
        <w:t>The Secretary shall keep, or cause to be kept, at the principal executive office of the Corporation or at the office of the Corporation’s transfer agent or registrar, if one has been appointed, a stock ledger, or duplicate stock ledger, showing the names of the stockholders and their addresses, the number and classes of shares held by each and, with respect to certificated shares, the number and date of certificates issued for the same and the number and date of certificates cancelled.</w:t>
      </w:r>
    </w:p>
    <w:p>
      <w:pPr>
        <w:spacing w:after="0" w:line="186" w:lineRule="exact"/>
        <w:rPr>
          <w:rFonts w:ascii="Arial" w:cs="Arial" w:eastAsia="Arial" w:hAnsi="Arial"/>
          <w:sz w:val="18"/>
          <w:szCs w:val="18"/>
          <w:color w:val="auto"/>
        </w:rPr>
      </w:pPr>
    </w:p>
    <w:p>
      <w:pPr>
        <w:ind w:firstLine="1304"/>
        <w:spacing w:after="0" w:line="308" w:lineRule="auto"/>
        <w:tabs>
          <w:tab w:leader="none" w:pos="1521" w:val="left"/>
        </w:tabs>
        <w:numPr>
          <w:ilvl w:val="0"/>
          <w:numId w:val="167"/>
        </w:numPr>
        <w:rPr>
          <w:rFonts w:ascii="Arial" w:cs="Arial" w:eastAsia="Arial" w:hAnsi="Arial"/>
          <w:sz w:val="17"/>
          <w:szCs w:val="17"/>
          <w:color w:val="auto"/>
        </w:rPr>
      </w:pPr>
      <w:r>
        <w:rPr>
          <w:rFonts w:ascii="Arial" w:cs="Arial" w:eastAsia="Arial" w:hAnsi="Arial"/>
          <w:sz w:val="17"/>
          <w:szCs w:val="17"/>
          <w:u w:val="single" w:color="auto"/>
          <w:color w:val="auto"/>
        </w:rPr>
        <w:t>Assistant Secretaries</w:t>
      </w:r>
      <w:r>
        <w:rPr>
          <w:rFonts w:ascii="Arial" w:cs="Arial" w:eastAsia="Arial" w:hAnsi="Arial"/>
          <w:sz w:val="17"/>
          <w:szCs w:val="17"/>
          <w:color w:val="auto"/>
        </w:rPr>
        <w:t>. The Assistant Secretary or, if there be more than one, the Assistant Secretaries in the order determined by the Board shall, in the absence (or inability or refusal to act) of the Secretary, perform the duties and have the powers of the Secretary.</w:t>
      </w:r>
    </w:p>
    <w:p>
      <w:pPr>
        <w:spacing w:after="0" w:line="146" w:lineRule="exact"/>
        <w:rPr>
          <w:rFonts w:ascii="Arial" w:cs="Arial" w:eastAsia="Arial" w:hAnsi="Arial"/>
          <w:sz w:val="17"/>
          <w:szCs w:val="17"/>
          <w:color w:val="auto"/>
        </w:rPr>
      </w:pPr>
    </w:p>
    <w:p>
      <w:pPr>
        <w:jc w:val="both"/>
        <w:ind w:firstLine="1304"/>
        <w:spacing w:after="0" w:line="311" w:lineRule="auto"/>
        <w:tabs>
          <w:tab w:leader="none" w:pos="1564" w:val="left"/>
        </w:tabs>
        <w:numPr>
          <w:ilvl w:val="0"/>
          <w:numId w:val="167"/>
        </w:numPr>
        <w:rPr>
          <w:rFonts w:ascii="Arial" w:cs="Arial" w:eastAsia="Arial" w:hAnsi="Arial"/>
          <w:sz w:val="16"/>
          <w:szCs w:val="16"/>
          <w:color w:val="auto"/>
        </w:rPr>
      </w:pPr>
      <w:r>
        <w:rPr>
          <w:rFonts w:ascii="Arial" w:cs="Arial" w:eastAsia="Arial" w:hAnsi="Arial"/>
          <w:sz w:val="16"/>
          <w:szCs w:val="16"/>
          <w:u w:val="single" w:color="auto"/>
          <w:color w:val="auto"/>
        </w:rPr>
        <w:t>Chief Financial Officer</w:t>
      </w:r>
      <w:r>
        <w:rPr>
          <w:rFonts w:ascii="Arial" w:cs="Arial" w:eastAsia="Arial" w:hAnsi="Arial"/>
          <w:sz w:val="16"/>
          <w:szCs w:val="16"/>
          <w:color w:val="auto"/>
        </w:rPr>
        <w:t>. The Chief Financial Officer shall perform all duties commonly incident to that office (including, without limitation, the care and custody of the funds and securities of the Corporation, which from time to time may come into the Chief Financial Officer’s hands and the deposit of the funds of the Corporation in such banks or trust companies as the Board, the Chief Executive Officer or the President may authorize).</w:t>
      </w:r>
    </w:p>
    <w:p>
      <w:pPr>
        <w:spacing w:after="0" w:line="148" w:lineRule="exact"/>
        <w:rPr>
          <w:rFonts w:ascii="Arial" w:cs="Arial" w:eastAsia="Arial" w:hAnsi="Arial"/>
          <w:sz w:val="16"/>
          <w:szCs w:val="16"/>
          <w:color w:val="auto"/>
        </w:rPr>
      </w:pPr>
    </w:p>
    <w:p>
      <w:pPr>
        <w:ind w:firstLine="1304"/>
        <w:spacing w:after="0" w:line="277" w:lineRule="auto"/>
        <w:tabs>
          <w:tab w:leader="none" w:pos="1564"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Treasurer</w:t>
      </w:r>
      <w:r>
        <w:rPr>
          <w:rFonts w:ascii="Arial" w:cs="Arial" w:eastAsia="Arial" w:hAnsi="Arial"/>
          <w:sz w:val="18"/>
          <w:szCs w:val="18"/>
          <w:color w:val="auto"/>
        </w:rPr>
        <w:t>. The Treasurer shall, in the absence (or inability or refusal to act) of the Chief Financial Officer, perform the duties and exercise the powers of the Chief Financial Officer.</w:t>
      </w:r>
    </w:p>
    <w:p>
      <w:pPr>
        <w:spacing w:after="0" w:line="16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Section 6.2. Term of Office; Removal; Vacancies</w:t>
      </w:r>
      <w:r>
        <w:rPr>
          <w:rFonts w:ascii="Arial" w:cs="Arial" w:eastAsia="Arial" w:hAnsi="Arial"/>
          <w:sz w:val="17"/>
          <w:szCs w:val="17"/>
          <w:color w:val="auto"/>
        </w:rPr>
        <w:t>. The elected officers of the Corporation shall be appointed by the Board and shall hold office</w:t>
      </w:r>
      <w:r>
        <w:rPr>
          <w:rFonts w:ascii="Arial" w:cs="Arial" w:eastAsia="Arial" w:hAnsi="Arial"/>
          <w:sz w:val="17"/>
          <w:szCs w:val="17"/>
          <w:b w:val="1"/>
          <w:bCs w:val="1"/>
          <w:color w:val="auto"/>
        </w:rPr>
        <w:t xml:space="preserve"> </w:t>
      </w:r>
      <w:r>
        <w:rPr>
          <w:rFonts w:ascii="Arial" w:cs="Arial" w:eastAsia="Arial" w:hAnsi="Arial"/>
          <w:sz w:val="17"/>
          <w:szCs w:val="17"/>
          <w:color w:val="auto"/>
        </w:rPr>
        <w:t>until their successors are duly elected and qualified by the Board or until their earlier death, resignation, retirement, disqualification, or removal from office. Any officer may be removed, with or without cause, at any time by the Board. Any officer appointed by the Chief Executive Officer or President may also be removed, with or without cause, by the Chief Executive Officer or President, as the case may be, unless the Board otherwise provides. Any vacancy occurring in any elected office of the Corporation may be filled by the Board. Any vacancy occurring in any office appointed by the Chief Executive Officer or President may be filled by the Chief Executive Officer, or President, as the case may be, unless the Board then determines that such office shall thereupon be elected by the Board, in which case the Board shall elect such officer.</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7" w:name="page228"/>
    <w:bookmarkEnd w:id="227"/>
    <w:p>
      <w:pPr>
        <w:jc w:val="both"/>
        <w:ind w:firstLine="648"/>
        <w:spacing w:after="0" w:line="282" w:lineRule="auto"/>
        <w:rPr>
          <w:sz w:val="20"/>
          <w:szCs w:val="20"/>
          <w:color w:val="auto"/>
        </w:rPr>
      </w:pPr>
      <w:r>
        <w:rPr>
          <w:rFonts w:ascii="Arial" w:cs="Arial" w:eastAsia="Arial" w:hAnsi="Arial"/>
          <w:sz w:val="18"/>
          <w:szCs w:val="18"/>
          <w:b w:val="1"/>
          <w:bCs w:val="1"/>
          <w:color w:val="auto"/>
        </w:rPr>
        <w:t>Section 6.3. Other Officers</w:t>
      </w:r>
      <w:r>
        <w:rPr>
          <w:rFonts w:ascii="Arial" w:cs="Arial" w:eastAsia="Arial" w:hAnsi="Arial"/>
          <w:sz w:val="18"/>
          <w:szCs w:val="18"/>
          <w:color w:val="auto"/>
        </w:rPr>
        <w:t>. The Board may delegate the power to appoint such other officers and agents, and may also remove such officers and</w:t>
      </w:r>
      <w:r>
        <w:rPr>
          <w:rFonts w:ascii="Arial" w:cs="Arial" w:eastAsia="Arial" w:hAnsi="Arial"/>
          <w:sz w:val="18"/>
          <w:szCs w:val="18"/>
          <w:b w:val="1"/>
          <w:bCs w:val="1"/>
          <w:color w:val="auto"/>
        </w:rPr>
        <w:t xml:space="preserve"> </w:t>
      </w:r>
      <w:r>
        <w:rPr>
          <w:rFonts w:ascii="Arial" w:cs="Arial" w:eastAsia="Arial" w:hAnsi="Arial"/>
          <w:sz w:val="18"/>
          <w:szCs w:val="18"/>
          <w:color w:val="auto"/>
        </w:rPr>
        <w:t>agents or delegate the power to remove same, as it shall from time to time deem necessary or desirable.</w:t>
      </w:r>
    </w:p>
    <w:p>
      <w:pPr>
        <w:spacing w:after="0" w:line="162"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7"/>
          <w:szCs w:val="17"/>
          <w:b w:val="1"/>
          <w:bCs w:val="1"/>
          <w:color w:val="auto"/>
        </w:rPr>
        <w:t>Section 6.4. Multiple Officeholders; Stockholder and Director Officers</w:t>
      </w:r>
      <w:r>
        <w:rPr>
          <w:rFonts w:ascii="Arial" w:cs="Arial" w:eastAsia="Arial" w:hAnsi="Arial"/>
          <w:sz w:val="17"/>
          <w:szCs w:val="17"/>
          <w:color w:val="auto"/>
        </w:rPr>
        <w:t>. Any number of offices may be held by the same person unless the</w:t>
      </w:r>
      <w:r>
        <w:rPr>
          <w:rFonts w:ascii="Arial" w:cs="Arial" w:eastAsia="Arial" w:hAnsi="Arial"/>
          <w:sz w:val="17"/>
          <w:szCs w:val="17"/>
          <w:b w:val="1"/>
          <w:bCs w:val="1"/>
          <w:color w:val="auto"/>
        </w:rPr>
        <w:t xml:space="preserve"> </w:t>
      </w:r>
      <w:r>
        <w:rPr>
          <w:rFonts w:ascii="Arial" w:cs="Arial" w:eastAsia="Arial" w:hAnsi="Arial"/>
          <w:sz w:val="17"/>
          <w:szCs w:val="17"/>
          <w:color w:val="auto"/>
        </w:rPr>
        <w:t>Certificate of Incorporation or these Bylaws otherwise provide. Officers need not be stockholders or residents of the State of Delaware.</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Section 7.1. Certificated and Uncertificated Shares</w:t>
      </w:r>
      <w:r>
        <w:rPr>
          <w:rFonts w:ascii="Arial" w:cs="Arial" w:eastAsia="Arial" w:hAnsi="Arial"/>
          <w:sz w:val="18"/>
          <w:szCs w:val="18"/>
          <w:color w:val="auto"/>
        </w:rPr>
        <w:t>. The shares of the Corporation may be certificated or uncertificated, subject to the sole</w:t>
      </w:r>
      <w:r>
        <w:rPr>
          <w:rFonts w:ascii="Arial" w:cs="Arial" w:eastAsia="Arial" w:hAnsi="Arial"/>
          <w:sz w:val="18"/>
          <w:szCs w:val="18"/>
          <w:b w:val="1"/>
          <w:bCs w:val="1"/>
          <w:color w:val="auto"/>
        </w:rPr>
        <w:t xml:space="preserve"> </w:t>
      </w:r>
      <w:r>
        <w:rPr>
          <w:rFonts w:ascii="Arial" w:cs="Arial" w:eastAsia="Arial" w:hAnsi="Arial"/>
          <w:sz w:val="18"/>
          <w:szCs w:val="18"/>
          <w:color w:val="auto"/>
        </w:rPr>
        <w:t>discretion of the Board and the requirements of the DGCL.</w:t>
      </w:r>
    </w:p>
    <w:p>
      <w:pPr>
        <w:spacing w:after="0" w:line="16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color w:val="auto"/>
        </w:rPr>
        <w:t>Section 7.2. Multiple Classes of Stock</w:t>
      </w:r>
      <w:r>
        <w:rPr>
          <w:rFonts w:ascii="Arial" w:cs="Arial" w:eastAsia="Arial" w:hAnsi="Arial"/>
          <w:sz w:val="16"/>
          <w:szCs w:val="16"/>
          <w:color w:val="auto"/>
        </w:rPr>
        <w:t>. If the Corporation shall be authorized to issue more than one class of stock or more than one series of any</w:t>
      </w:r>
      <w:r>
        <w:rPr>
          <w:rFonts w:ascii="Arial" w:cs="Arial" w:eastAsia="Arial" w:hAnsi="Arial"/>
          <w:sz w:val="16"/>
          <w:szCs w:val="16"/>
          <w:b w:val="1"/>
          <w:bCs w:val="1"/>
          <w:color w:val="auto"/>
        </w:rPr>
        <w:t xml:space="preserve"> </w:t>
      </w:r>
      <w:r>
        <w:rPr>
          <w:rFonts w:ascii="Arial" w:cs="Arial" w:eastAsia="Arial" w:hAnsi="Arial"/>
          <w:sz w:val="16"/>
          <w:szCs w:val="16"/>
          <w:color w:val="auto"/>
        </w:rPr>
        <w:t>class, the Corporation shall (a) cause the powers, designations, preferences and relative, participating, optional or other special rights of each class of stock or series thereof and the qualifications, limitations or restrictions of such preferences and/or rights to be set forth in full or summarized on the face or back of any certificate that the Corporation issues to represent shares of such class or series of stock or (b) in the case of uncertificated shares, within a reasonable time after the issuance or transfer of such shares, send to the registered owner thereof a written notice containing the information required to be set forth on certificates as specified in clause (a) above; provided, however, that, except as otherwise provided by applicable law, in lieu of the foregoing requirements, there may be set forth on the face or back of such certificate or, in the case of uncertificated shares, on such written notice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or rights.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Section 7.3. Signatures</w:t>
      </w:r>
      <w:r>
        <w:rPr>
          <w:rFonts w:ascii="Arial" w:cs="Arial" w:eastAsia="Arial" w:hAnsi="Arial"/>
          <w:sz w:val="16"/>
          <w:szCs w:val="16"/>
          <w:color w:val="auto"/>
        </w:rPr>
        <w:t>. Each certificate representing capital stock of the Corporation shall be signed by or in the name of the Corporation by</w:t>
      </w:r>
    </w:p>
    <w:p>
      <w:pPr>
        <w:spacing w:after="0" w:line="50" w:lineRule="exact"/>
        <w:rPr>
          <w:sz w:val="20"/>
          <w:szCs w:val="20"/>
          <w:color w:val="auto"/>
        </w:rPr>
      </w:pPr>
    </w:p>
    <w:p>
      <w:pPr>
        <w:jc w:val="both"/>
        <w:ind w:firstLine="8"/>
        <w:spacing w:after="0" w:line="253" w:lineRule="auto"/>
        <w:tabs>
          <w:tab w:leader="none" w:pos="251"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Chairman of the Board, Chief Executive Officer, the President or a Vice President and (b) the Treasurer, an Assistant Treasurer, the Secretary or an Assistant Secretary of the Corporation. Any or all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such certificate may be issued by the Corporation with the same effect as if such person were such officer, transfer agent or registrar on the date of issue.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8" w:name="page229"/>
    <w:bookmarkEnd w:id="228"/>
    <w:p>
      <w:pPr>
        <w:ind w:left="660"/>
        <w:spacing w:after="0"/>
        <w:rPr>
          <w:sz w:val="20"/>
          <w:szCs w:val="20"/>
          <w:color w:val="auto"/>
        </w:rPr>
      </w:pPr>
      <w:r>
        <w:rPr>
          <w:rFonts w:ascii="Arial" w:cs="Arial" w:eastAsia="Arial" w:hAnsi="Arial"/>
          <w:sz w:val="18"/>
          <w:szCs w:val="18"/>
          <w:b w:val="1"/>
          <w:bCs w:val="1"/>
          <w:color w:val="auto"/>
        </w:rPr>
        <w:t>Section 7.4. Consideration and Payment for Shares</w:t>
      </w:r>
      <w:r>
        <w:rPr>
          <w:rFonts w:ascii="Arial" w:cs="Arial" w:eastAsia="Arial" w:hAnsi="Arial"/>
          <w:sz w:val="18"/>
          <w:szCs w:val="18"/>
          <w:color w:val="auto"/>
        </w:rPr>
        <w:t>.</w:t>
      </w:r>
    </w:p>
    <w:p>
      <w:pPr>
        <w:spacing w:after="0" w:line="229" w:lineRule="exact"/>
        <w:rPr>
          <w:sz w:val="20"/>
          <w:szCs w:val="20"/>
          <w:color w:val="auto"/>
        </w:rPr>
      </w:pPr>
    </w:p>
    <w:p>
      <w:pPr>
        <w:jc w:val="both"/>
        <w:ind w:firstLine="1304"/>
        <w:spacing w:after="0" w:line="259" w:lineRule="auto"/>
        <w:tabs>
          <w:tab w:leader="none" w:pos="1542" w:val="left"/>
        </w:tabs>
        <w:numPr>
          <w:ilvl w:val="0"/>
          <w:numId w:val="169"/>
        </w:numPr>
        <w:rPr>
          <w:rFonts w:ascii="Arial" w:cs="Arial" w:eastAsia="Arial" w:hAnsi="Arial"/>
          <w:sz w:val="18"/>
          <w:szCs w:val="18"/>
          <w:color w:val="auto"/>
        </w:rPr>
      </w:pPr>
      <w:r>
        <w:rPr>
          <w:rFonts w:ascii="Arial" w:cs="Arial" w:eastAsia="Arial" w:hAnsi="Arial"/>
          <w:sz w:val="18"/>
          <w:szCs w:val="18"/>
          <w:color w:val="auto"/>
        </w:rPr>
        <w:t>Subject to applicable law and the Certificate of Incorporation, shares of stock may be issued for such consideration, having in the case of shares with par value a value not less than the par value thereof, and to such persons, as determined from time to time by the Board. The consideration may consist of any tangible or intangible property or any benefit to the Corporation including cash, promissory notes, services performed, contracts for services to be performed or other securities, or any combination thereof.</w:t>
      </w:r>
    </w:p>
    <w:p>
      <w:pPr>
        <w:spacing w:after="0" w:line="186" w:lineRule="exact"/>
        <w:rPr>
          <w:rFonts w:ascii="Arial" w:cs="Arial" w:eastAsia="Arial" w:hAnsi="Arial"/>
          <w:sz w:val="18"/>
          <w:szCs w:val="18"/>
          <w:color w:val="auto"/>
        </w:rPr>
      </w:pPr>
    </w:p>
    <w:p>
      <w:pPr>
        <w:jc w:val="both"/>
        <w:ind w:firstLine="1304"/>
        <w:spacing w:after="0" w:line="301" w:lineRule="auto"/>
        <w:tabs>
          <w:tab w:leader="none" w:pos="1556" w:val="left"/>
        </w:tabs>
        <w:numPr>
          <w:ilvl w:val="0"/>
          <w:numId w:val="169"/>
        </w:numPr>
        <w:rPr>
          <w:rFonts w:ascii="Arial" w:cs="Arial" w:eastAsia="Arial" w:hAnsi="Arial"/>
          <w:sz w:val="16"/>
          <w:szCs w:val="16"/>
          <w:color w:val="auto"/>
        </w:rPr>
      </w:pPr>
      <w:r>
        <w:rPr>
          <w:rFonts w:ascii="Arial" w:cs="Arial" w:eastAsia="Arial" w:hAnsi="Arial"/>
          <w:sz w:val="16"/>
          <w:szCs w:val="16"/>
          <w:color w:val="auto"/>
        </w:rPr>
        <w:t>Subject to applicable law and the Certificate of Incorporation, shares may not be issued until the full amount of the consideration has been paid, unless upon the face or back of each certificate issued to represent any partly paid shares of capital stock or upon the books and records of the Corporation in the case of partly paid uncertificated shares, there shall have been set forth the total amount of the consideration to be paid therefor and the amount paid thereon up to and including the time said certificate representing certificated shares or said uncertificated shares are issued.</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7.5. Lost, Destroyed or Wrongfully Taken Certificates</w:t>
      </w:r>
      <w:r>
        <w:rPr>
          <w:rFonts w:ascii="Arial" w:cs="Arial" w:eastAsia="Arial" w:hAnsi="Arial"/>
          <w:sz w:val="18"/>
          <w:szCs w:val="18"/>
          <w:color w:val="auto"/>
        </w:rPr>
        <w:t>.</w:t>
      </w:r>
    </w:p>
    <w:p>
      <w:pPr>
        <w:spacing w:after="0" w:line="229" w:lineRule="exact"/>
        <w:rPr>
          <w:sz w:val="20"/>
          <w:szCs w:val="20"/>
          <w:color w:val="auto"/>
        </w:rPr>
      </w:pPr>
    </w:p>
    <w:p>
      <w:pPr>
        <w:jc w:val="both"/>
        <w:ind w:firstLine="1304"/>
        <w:spacing w:after="0" w:line="285" w:lineRule="auto"/>
        <w:tabs>
          <w:tab w:leader="none" w:pos="1582" w:val="left"/>
        </w:tabs>
        <w:numPr>
          <w:ilvl w:val="1"/>
          <w:numId w:val="170"/>
        </w:numPr>
        <w:rPr>
          <w:rFonts w:ascii="Arial" w:cs="Arial" w:eastAsia="Arial" w:hAnsi="Arial"/>
          <w:sz w:val="16"/>
          <w:szCs w:val="16"/>
          <w:color w:val="auto"/>
        </w:rPr>
      </w:pPr>
      <w:r>
        <w:rPr>
          <w:rFonts w:ascii="Arial" w:cs="Arial" w:eastAsia="Arial" w:hAnsi="Arial"/>
          <w:sz w:val="16"/>
          <w:szCs w:val="16"/>
          <w:color w:val="auto"/>
        </w:rPr>
        <w:t>If an owner of a certificate representing shares claims that such certificate has been lost, destroyed or wrongfully taken, the Corporation shall issue a new certificate representing such shares or such shares in uncertificated form if the owner: (i) requests such a new certificate before the Corporation has notice that the certificate representing such shares has been acquired by a protected purchaser; (ii) if requested by the Corporation, delivers to the Corporation a bond sufficient to indemnify the Corporation against any claim that may be made against the Corporation on account of the alleged loss, wrongful taking or destruction of such certificate or the issuance of such new certificate or uncertificated shares; and</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satisfies other reasonable requirements imposed by the Corporation.</w:t>
      </w:r>
    </w:p>
    <w:p>
      <w:pPr>
        <w:spacing w:after="0" w:line="210" w:lineRule="exact"/>
        <w:rPr>
          <w:rFonts w:ascii="Arial" w:cs="Arial" w:eastAsia="Arial" w:hAnsi="Arial"/>
          <w:sz w:val="18"/>
          <w:szCs w:val="18"/>
          <w:color w:val="auto"/>
        </w:rPr>
      </w:pPr>
    </w:p>
    <w:p>
      <w:pPr>
        <w:jc w:val="both"/>
        <w:ind w:firstLine="1304"/>
        <w:spacing w:after="0" w:line="279" w:lineRule="auto"/>
        <w:tabs>
          <w:tab w:leader="none" w:pos="1591" w:val="left"/>
        </w:tabs>
        <w:numPr>
          <w:ilvl w:val="1"/>
          <w:numId w:val="171"/>
        </w:numPr>
        <w:rPr>
          <w:rFonts w:ascii="Arial" w:cs="Arial" w:eastAsia="Arial" w:hAnsi="Arial"/>
          <w:sz w:val="17"/>
          <w:szCs w:val="17"/>
          <w:color w:val="auto"/>
        </w:rPr>
      </w:pPr>
      <w:r>
        <w:rPr>
          <w:rFonts w:ascii="Arial" w:cs="Arial" w:eastAsia="Arial" w:hAnsi="Arial"/>
          <w:sz w:val="17"/>
          <w:szCs w:val="17"/>
          <w:color w:val="auto"/>
        </w:rPr>
        <w:t>If a certificate representing shares has been lost, apparently destroyed or wrongfully taken, and the owner fails to notify the Corporation of that fact within a reasonable time after the owner has notice of such loss, apparent destruction or wrongful taking and the Corporation registers a transfer of such shares before receiving notification, the owner shall be precluded from asserting against the Corporation any claim for registering such transfer or a claim to a new certificate representing such shares or such shares in uncertificated form.</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7.6. Transfer of Stock</w:t>
      </w:r>
      <w:r>
        <w:rPr>
          <w:rFonts w:ascii="Arial" w:cs="Arial" w:eastAsia="Arial" w:hAnsi="Arial"/>
          <w:sz w:val="18"/>
          <w:szCs w:val="18"/>
          <w:color w:val="auto"/>
        </w:rPr>
        <w:t>.</w:t>
      </w:r>
    </w:p>
    <w:p>
      <w:pPr>
        <w:spacing w:after="0" w:line="229" w:lineRule="exact"/>
        <w:rPr>
          <w:sz w:val="20"/>
          <w:szCs w:val="20"/>
          <w:color w:val="auto"/>
        </w:rPr>
      </w:pPr>
    </w:p>
    <w:p>
      <w:pPr>
        <w:jc w:val="both"/>
        <w:ind w:firstLine="1304"/>
        <w:spacing w:after="0" w:line="263" w:lineRule="auto"/>
        <w:tabs>
          <w:tab w:leader="none" w:pos="1548"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If a certificate representing shares of the Corporation is presented to the Corporation with an endorsement requesting the registration of transfer of such shares or an instruction is presented to the Corporation requesting the registration of transfer of uncertificated shares, the Corporation shall register the transfer as requested if:</w:t>
      </w:r>
    </w:p>
    <w:p>
      <w:pPr>
        <w:spacing w:after="0" w:line="183" w:lineRule="exact"/>
        <w:rPr>
          <w:rFonts w:ascii="Arial" w:cs="Arial" w:eastAsia="Arial" w:hAnsi="Arial"/>
          <w:sz w:val="18"/>
          <w:szCs w:val="18"/>
          <w:color w:val="auto"/>
        </w:rPr>
      </w:pPr>
    </w:p>
    <w:p>
      <w:pPr>
        <w:ind w:left="2160" w:hanging="208"/>
        <w:spacing w:after="0"/>
        <w:tabs>
          <w:tab w:leader="none" w:pos="216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in the case of certificated shares, the certificate representing such shares has been surrendered;</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9" w:name="page230"/>
    <w:bookmarkEnd w:id="229"/>
    <w:p>
      <w:pPr>
        <w:jc w:val="both"/>
        <w:ind w:firstLine="1944"/>
        <w:spacing w:after="0" w:line="259" w:lineRule="auto"/>
        <w:rPr>
          <w:sz w:val="20"/>
          <w:szCs w:val="20"/>
          <w:color w:val="auto"/>
        </w:rPr>
      </w:pPr>
      <w:r>
        <w:rPr>
          <w:rFonts w:ascii="Arial" w:cs="Arial" w:eastAsia="Arial" w:hAnsi="Arial"/>
          <w:sz w:val="18"/>
          <w:szCs w:val="18"/>
          <w:color w:val="auto"/>
        </w:rPr>
        <w:t>(ii)(A) with respect to certificated shares, the endorsement is made by the person specified by the certificate as entitled to such shares; (B) with respect to uncertificated shares, an instruction is made by the registered owner of such uncertificated shares; or (C) with respect to certificated shares or uncertificated shares, the endorsement or instruction is made by any other appropriate person or by an agent who has actual authority to act on behalf of the appropriate person;</w:t>
      </w:r>
    </w:p>
    <w:p>
      <w:pPr>
        <w:spacing w:after="0" w:line="187" w:lineRule="exact"/>
        <w:rPr>
          <w:sz w:val="20"/>
          <w:szCs w:val="20"/>
          <w:color w:val="auto"/>
        </w:rPr>
      </w:pPr>
    </w:p>
    <w:p>
      <w:pPr>
        <w:ind w:firstLine="1952"/>
        <w:spacing w:after="0" w:line="277" w:lineRule="auto"/>
        <w:tabs>
          <w:tab w:leader="none" w:pos="2271"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Corporation has received a guarantee of signature of the person signing such endorsement or instruction or such other reasonable assurance that the endorsement or instruction is genuine and authorized as the Corporation may request;</w:t>
      </w:r>
    </w:p>
    <w:p>
      <w:pPr>
        <w:spacing w:after="0" w:line="170" w:lineRule="exact"/>
        <w:rPr>
          <w:rFonts w:ascii="Arial" w:cs="Arial" w:eastAsia="Arial" w:hAnsi="Arial"/>
          <w:sz w:val="18"/>
          <w:szCs w:val="18"/>
          <w:color w:val="auto"/>
        </w:rPr>
      </w:pPr>
    </w:p>
    <w:p>
      <w:pPr>
        <w:ind w:left="2300" w:hanging="348"/>
        <w:spacing w:after="0"/>
        <w:tabs>
          <w:tab w:leader="none" w:pos="2300" w:val="left"/>
        </w:tabs>
        <w:numPr>
          <w:ilvl w:val="0"/>
          <w:numId w:val="173"/>
        </w:numPr>
        <w:rPr>
          <w:rFonts w:ascii="Arial" w:cs="Arial" w:eastAsia="Arial" w:hAnsi="Arial"/>
          <w:sz w:val="17"/>
          <w:szCs w:val="17"/>
          <w:color w:val="auto"/>
        </w:rPr>
      </w:pPr>
      <w:r>
        <w:rPr>
          <w:rFonts w:ascii="Arial" w:cs="Arial" w:eastAsia="Arial" w:hAnsi="Arial"/>
          <w:sz w:val="17"/>
          <w:szCs w:val="17"/>
          <w:color w:val="auto"/>
        </w:rPr>
        <w:t>the transfer does not violate any restriction on transfer imposed by the Corporation that is enforceable in accordance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 xml:space="preserve">with </w:t>
      </w:r>
      <w:r>
        <w:rPr>
          <w:rFonts w:ascii="Arial" w:cs="Arial" w:eastAsia="Arial" w:hAnsi="Arial"/>
          <w:sz w:val="18"/>
          <w:szCs w:val="18"/>
          <w:u w:val="single" w:color="auto"/>
          <w:color w:val="auto"/>
        </w:rPr>
        <w:t>Section 7.8(a)</w:t>
      </w:r>
      <w:r>
        <w:rPr>
          <w:rFonts w:ascii="Arial" w:cs="Arial" w:eastAsia="Arial" w:hAnsi="Arial"/>
          <w:sz w:val="18"/>
          <w:szCs w:val="18"/>
          <w:color w:val="auto"/>
        </w:rPr>
        <w:t>; and</w:t>
      </w:r>
    </w:p>
    <w:p>
      <w:pPr>
        <w:spacing w:after="0" w:line="210" w:lineRule="exact"/>
        <w:rPr>
          <w:rFonts w:ascii="Arial" w:cs="Arial" w:eastAsia="Arial" w:hAnsi="Arial"/>
          <w:sz w:val="17"/>
          <w:szCs w:val="17"/>
          <w:color w:val="auto"/>
        </w:rPr>
      </w:pPr>
    </w:p>
    <w:p>
      <w:pPr>
        <w:ind w:left="2200" w:hanging="248"/>
        <w:spacing w:after="0"/>
        <w:tabs>
          <w:tab w:leader="none" w:pos="22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such other conditions for such transfer as shall be provided for under applicable law have been satisfied.</w:t>
      </w:r>
    </w:p>
    <w:p>
      <w:pPr>
        <w:spacing w:after="0" w:line="225" w:lineRule="exact"/>
        <w:rPr>
          <w:sz w:val="20"/>
          <w:szCs w:val="20"/>
          <w:color w:val="auto"/>
        </w:rPr>
      </w:pPr>
    </w:p>
    <w:p>
      <w:pPr>
        <w:jc w:val="both"/>
        <w:ind w:firstLine="1304"/>
        <w:spacing w:after="0" w:line="311" w:lineRule="auto"/>
        <w:tabs>
          <w:tab w:leader="none" w:pos="1559" w:val="left"/>
        </w:tabs>
        <w:numPr>
          <w:ilvl w:val="0"/>
          <w:numId w:val="174"/>
        </w:numPr>
        <w:rPr>
          <w:rFonts w:ascii="Arial" w:cs="Arial" w:eastAsia="Arial" w:hAnsi="Arial"/>
          <w:sz w:val="16"/>
          <w:szCs w:val="16"/>
          <w:color w:val="auto"/>
        </w:rPr>
      </w:pPr>
      <w:r>
        <w:rPr>
          <w:rFonts w:ascii="Arial" w:cs="Arial" w:eastAsia="Arial" w:hAnsi="Arial"/>
          <w:sz w:val="16"/>
          <w:szCs w:val="16"/>
          <w:color w:val="auto"/>
        </w:rPr>
        <w:t>Whenever any transfer of shares shall be made for collateral security and not absolutely, the Corporation shall so record such fact in the entry of transfer if, when the certificate for such shares is presented to the Corporation for transfer or, if such shares are uncertificated, when the instruction for registration of transfer thereof is presented to the Corporation, both the transferor and transferee request the Corporation to do so.</w:t>
      </w:r>
    </w:p>
    <w:p>
      <w:pPr>
        <w:spacing w:after="0" w:line="14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Section 7.7. Registered Stockholders</w:t>
      </w:r>
      <w:r>
        <w:rPr>
          <w:rFonts w:ascii="Arial" w:cs="Arial" w:eastAsia="Arial" w:hAnsi="Arial"/>
          <w:sz w:val="18"/>
          <w:szCs w:val="18"/>
          <w:color w:val="auto"/>
        </w:rPr>
        <w:t>. Before due presentment for registration of transfer of a certificate representing shares of the Corporation or</w:t>
      </w:r>
      <w:r>
        <w:rPr>
          <w:rFonts w:ascii="Arial" w:cs="Arial" w:eastAsia="Arial" w:hAnsi="Arial"/>
          <w:sz w:val="18"/>
          <w:szCs w:val="18"/>
          <w:b w:val="1"/>
          <w:bCs w:val="1"/>
          <w:color w:val="auto"/>
        </w:rPr>
        <w:t xml:space="preserve"> </w:t>
      </w:r>
      <w:r>
        <w:rPr>
          <w:rFonts w:ascii="Arial" w:cs="Arial" w:eastAsia="Arial" w:hAnsi="Arial"/>
          <w:sz w:val="18"/>
          <w:szCs w:val="18"/>
          <w:color w:val="auto"/>
        </w:rPr>
        <w:t>of an instruction requesting registration of transfer of uncertificated shares, the Corporation may treat the registered owner as the person exclusively entitled to inspect for any proper purpose the stock ledger and the other books and records of the Corporation, vote such shares, receive dividends or notifications with respect to such shares and otherwise exercise all the rights and powers of the owner of such shares, except that a person who is the beneficial owner of such shares (if held in a voting trust or by a nominee on behalf of such person) may, upon providing documentary evidence of beneficial ownership of such shares and satisfying such other conditions as are provided under applicable law, may also so inspect the books and records of the Corporation.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7.8. Effect of the Corporation’s Restriction on Transfer</w:t>
      </w:r>
      <w:r>
        <w:rPr>
          <w:rFonts w:ascii="Arial" w:cs="Arial" w:eastAsia="Arial" w:hAnsi="Arial"/>
          <w:sz w:val="18"/>
          <w:szCs w:val="18"/>
          <w:color w:val="auto"/>
        </w:rPr>
        <w:t>.</w:t>
      </w:r>
    </w:p>
    <w:p>
      <w:pPr>
        <w:spacing w:after="0" w:line="229" w:lineRule="exact"/>
        <w:rPr>
          <w:sz w:val="20"/>
          <w:szCs w:val="20"/>
          <w:color w:val="auto"/>
        </w:rPr>
      </w:pPr>
    </w:p>
    <w:p>
      <w:pPr>
        <w:jc w:val="both"/>
        <w:ind w:firstLine="1304"/>
        <w:spacing w:after="0" w:line="255" w:lineRule="auto"/>
        <w:tabs>
          <w:tab w:leader="none" w:pos="1576"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 written restriction on the transfer or registration of transfer of shares of the Corporation or on the amount of shares of the Corporation that may be owned by any person or group of persons, if permitted by the DGCL and noted conspicuously on the certificate representing such shares or, in the case of uncertificated shares, contained in a notice, offering circular or prospectus sent by the Corporation to the registered owner of such shares within a reasonable time prior to or after the issuance or transfer of such shares, may be enforced against the holder of such shares or any successor or transferee of the holder including an executor, administrator, trustee, guardian or other fiduciary entrusted with like responsibility for the person or estate of the holder.</w:t>
      </w:r>
    </w:p>
    <w:p>
      <w:pPr>
        <w:spacing w:after="0" w:line="192" w:lineRule="exact"/>
        <w:rPr>
          <w:rFonts w:ascii="Arial" w:cs="Arial" w:eastAsia="Arial" w:hAnsi="Arial"/>
          <w:sz w:val="18"/>
          <w:szCs w:val="18"/>
          <w:color w:val="auto"/>
        </w:rPr>
      </w:pPr>
    </w:p>
    <w:p>
      <w:pPr>
        <w:jc w:val="both"/>
        <w:ind w:firstLine="1304"/>
        <w:spacing w:after="0" w:line="257" w:lineRule="auto"/>
        <w:tabs>
          <w:tab w:leader="none" w:pos="1554"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 restriction imposed by the Corporation on the transfer or the registration of shares of the Corporation or on the amount of shares of the Corporation that may be owned by any person or group of persons, even if otherwise lawful, is ineffective against a person without actual knowledge of such restriction unless: (i) the shares are certificated and such restriction is noted conspicuously on the certificate; or (ii) the shares are uncertificated and such restriction was contained in a notice, offering circular or prospectus sent by the Corporation to the registered owner of such shares within a reasonable time prior to or after the issuance or transfer of such shares.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0" w:name="page231"/>
    <w:bookmarkEnd w:id="230"/>
    <w:p>
      <w:pPr>
        <w:jc w:val="both"/>
        <w:ind w:firstLine="648"/>
        <w:spacing w:after="0" w:line="261" w:lineRule="auto"/>
        <w:rPr>
          <w:sz w:val="20"/>
          <w:szCs w:val="20"/>
          <w:color w:val="auto"/>
        </w:rPr>
      </w:pPr>
      <w:r>
        <w:rPr>
          <w:rFonts w:ascii="Arial" w:cs="Arial" w:eastAsia="Arial" w:hAnsi="Arial"/>
          <w:sz w:val="18"/>
          <w:szCs w:val="18"/>
          <w:b w:val="1"/>
          <w:bCs w:val="1"/>
          <w:color w:val="auto"/>
        </w:rPr>
        <w:t>Section 7.9. Regulations</w:t>
      </w:r>
      <w:r>
        <w:rPr>
          <w:rFonts w:ascii="Arial" w:cs="Arial" w:eastAsia="Arial" w:hAnsi="Arial"/>
          <w:sz w:val="18"/>
          <w:szCs w:val="18"/>
          <w:color w:val="auto"/>
        </w:rPr>
        <w:t>. The Board shall have power and authority to make such additional rules and regulations, subject to any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 of law, as the Board may deem necessary and appropriate with respect to the issue, transfer or registration of transfer of shares of stock or certificates representing shares. The Board may appoint one or more transfer agents or registrars and may require for the validity thereof that certificates representing shares bear the signature of any transfer agent or registrar so appointed.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b w:val="1"/>
          <w:bCs w:val="1"/>
          <w:color w:val="auto"/>
        </w:rPr>
        <w:t>Section 8.1. Right to Indemnification</w:t>
      </w:r>
      <w:r>
        <w:rPr>
          <w:rFonts w:ascii="Arial" w:cs="Arial" w:eastAsia="Arial" w:hAnsi="Arial"/>
          <w:sz w:val="16"/>
          <w:szCs w:val="16"/>
          <w:color w:val="auto"/>
        </w:rPr>
        <w:t>. To the fullest extent permitted by applicable law, as the same exists or may hereafter be amended, the</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shall indemnify and hold harmless each person who was or is made a party or is threatened to be made a party to or is otherwise involved in any threatened, pending or completed action, suit or proceeding, whether civil, criminal, administrative or investigative (hereinafter a “</w:t>
      </w:r>
      <w:r>
        <w:rPr>
          <w:rFonts w:ascii="Arial" w:cs="Arial" w:eastAsia="Arial" w:hAnsi="Arial"/>
          <w:sz w:val="16"/>
          <w:szCs w:val="16"/>
          <w:b w:val="1"/>
          <w:bCs w:val="1"/>
          <w:i w:val="1"/>
          <w:iCs w:val="1"/>
          <w:color w:val="auto"/>
        </w:rPr>
        <w:t>proceeding</w:t>
      </w:r>
      <w:r>
        <w:rPr>
          <w:rFonts w:ascii="Arial" w:cs="Arial" w:eastAsia="Arial" w:hAnsi="Arial"/>
          <w:sz w:val="16"/>
          <w:szCs w:val="16"/>
          <w:color w:val="auto"/>
        </w:rPr>
        <w:t>”), by reason of the fact that he or she is or was a director or officer of the Corporation or, while a director or officer of the Corporation, is or was serving at the request of the Corporation as a director, officer, employee or agent of another corporation or of a partnership, joint venture, trust, other enterprise or nonprofit entity, including service with respect to an employee benefit plan (hereinafter an “</w:t>
      </w:r>
      <w:r>
        <w:rPr>
          <w:rFonts w:ascii="Arial" w:cs="Arial" w:eastAsia="Arial" w:hAnsi="Arial"/>
          <w:sz w:val="16"/>
          <w:szCs w:val="16"/>
          <w:b w:val="1"/>
          <w:bCs w:val="1"/>
          <w:i w:val="1"/>
          <w:iCs w:val="1"/>
          <w:color w:val="auto"/>
        </w:rPr>
        <w:t>Indemnitee</w:t>
      </w:r>
      <w:r>
        <w:rPr>
          <w:rFonts w:ascii="Arial" w:cs="Arial" w:eastAsia="Arial" w:hAnsi="Arial"/>
          <w:sz w:val="16"/>
          <w:szCs w:val="16"/>
          <w:color w:val="auto"/>
        </w:rPr>
        <w:t xml:space="preserve">”), whether the basis of such proceeding is alleged action in an official capacity as a director, officer, employee or agent, or in any other capacity while serving as a director, officer, employee or agent, against all liability and loss suffered and expenses (including, without limitation, attorneys’ fees, judgments, fines, ERISA excise taxes and penalties and amounts paid in settlement) reasonably incurred by such Indemnitee in connection with such proceeding; provided, however, that, except as provided in </w:t>
      </w:r>
      <w:r>
        <w:rPr>
          <w:rFonts w:ascii="Arial" w:cs="Arial" w:eastAsia="Arial" w:hAnsi="Arial"/>
          <w:sz w:val="16"/>
          <w:szCs w:val="16"/>
          <w:u w:val="single" w:color="auto"/>
          <w:color w:val="auto"/>
        </w:rPr>
        <w:t>Section 8.3</w:t>
      </w:r>
      <w:r>
        <w:rPr>
          <w:rFonts w:ascii="Arial" w:cs="Arial" w:eastAsia="Arial" w:hAnsi="Arial"/>
          <w:sz w:val="16"/>
          <w:szCs w:val="16"/>
          <w:color w:val="auto"/>
        </w:rPr>
        <w:t xml:space="preserve"> with respect to proceedings to enforce rights to indemnification, the Corporation shall indemnify an Indemnitee in connection with a proceeding (or part thereof) initiated by such Indemnitee only if such proceeding (or part thereof) was authorized by the Board.</w:t>
      </w:r>
    </w:p>
    <w:p>
      <w:pPr>
        <w:spacing w:after="0" w:line="16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Section 8.2. Right to Advancement of Expenses</w:t>
      </w:r>
      <w:r>
        <w:rPr>
          <w:rFonts w:ascii="Arial" w:cs="Arial" w:eastAsia="Arial" w:hAnsi="Arial"/>
          <w:sz w:val="18"/>
          <w:szCs w:val="18"/>
          <w:color w:val="auto"/>
        </w:rPr>
        <w:t>. In addition to the right to indemnification conferred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8.1</w:t>
      </w:r>
      <w:r>
        <w:rPr>
          <w:rFonts w:ascii="Arial" w:cs="Arial" w:eastAsia="Arial" w:hAnsi="Arial"/>
          <w:sz w:val="18"/>
          <w:szCs w:val="18"/>
          <w:color w:val="auto"/>
        </w:rPr>
        <w:t>, an Indemnitee shall also</w:t>
      </w:r>
      <w:r>
        <w:rPr>
          <w:rFonts w:ascii="Arial" w:cs="Arial" w:eastAsia="Arial" w:hAnsi="Arial"/>
          <w:sz w:val="18"/>
          <w:szCs w:val="18"/>
          <w:b w:val="1"/>
          <w:bCs w:val="1"/>
          <w:color w:val="auto"/>
        </w:rPr>
        <w:t xml:space="preserve"> </w:t>
      </w:r>
      <w:r>
        <w:rPr>
          <w:rFonts w:ascii="Arial" w:cs="Arial" w:eastAsia="Arial" w:hAnsi="Arial"/>
          <w:sz w:val="18"/>
          <w:szCs w:val="18"/>
          <w:color w:val="auto"/>
        </w:rPr>
        <w:t>have the right to be paid by the Corporation to the fullest extent not prohibited by applicable law the expenses (including, without limitation, attorneys’ fees) incurred in defending or otherwise participating in any such proceeding in advance of its final disposition (hereinafter an “</w:t>
      </w:r>
      <w:r>
        <w:rPr>
          <w:rFonts w:ascii="Arial" w:cs="Arial" w:eastAsia="Arial" w:hAnsi="Arial"/>
          <w:sz w:val="18"/>
          <w:szCs w:val="18"/>
          <w:b w:val="1"/>
          <w:bCs w:val="1"/>
          <w:i w:val="1"/>
          <w:iCs w:val="1"/>
          <w:color w:val="auto"/>
        </w:rPr>
        <w:t>advancement of</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expenses</w:t>
      </w:r>
      <w:r>
        <w:rPr>
          <w:rFonts w:ascii="Arial" w:cs="Arial" w:eastAsia="Arial" w:hAnsi="Arial"/>
          <w:sz w:val="18"/>
          <w:szCs w:val="18"/>
          <w:color w:val="auto"/>
        </w:rPr>
        <w:t>”); provided, however, that, if the DGCL requires, an advancement of expenses incurred by an Indemnitee in his or her capacity as a director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 of the Corporation (and not in any other capacity in which service was or is rendered by such Indemnitee, including, without limitation, service to an employee benefit plan) shall be made only upon the Corporation’s receipt of an undertaking (hereinafter an “</w:t>
      </w:r>
      <w:r>
        <w:rPr>
          <w:rFonts w:ascii="Arial" w:cs="Arial" w:eastAsia="Arial" w:hAnsi="Arial"/>
          <w:sz w:val="18"/>
          <w:szCs w:val="18"/>
          <w:b w:val="1"/>
          <w:bCs w:val="1"/>
          <w:i w:val="1"/>
          <w:iCs w:val="1"/>
          <w:color w:val="auto"/>
        </w:rPr>
        <w:t>undertaking</w:t>
      </w:r>
      <w:r>
        <w:rPr>
          <w:rFonts w:ascii="Arial" w:cs="Arial" w:eastAsia="Arial" w:hAnsi="Arial"/>
          <w:sz w:val="18"/>
          <w:szCs w:val="18"/>
          <w:color w:val="auto"/>
        </w:rPr>
        <w:t xml:space="preserve">”), by or on behalf of such Indemnitee, to repay all amounts so advanced if it shall ultimately be determined that such Indemnitee is not entitled to be indemnified under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or otherwise.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1" w:name="page232"/>
    <w:bookmarkEnd w:id="231"/>
    <w:p>
      <w:pPr>
        <w:jc w:val="both"/>
        <w:ind w:firstLine="648"/>
        <w:spacing w:after="0" w:line="285" w:lineRule="auto"/>
        <w:rPr>
          <w:sz w:val="20"/>
          <w:szCs w:val="20"/>
          <w:color w:val="auto"/>
        </w:rPr>
      </w:pPr>
      <w:r>
        <w:rPr>
          <w:rFonts w:ascii="Arial" w:cs="Arial" w:eastAsia="Arial" w:hAnsi="Arial"/>
          <w:sz w:val="16"/>
          <w:szCs w:val="16"/>
          <w:b w:val="1"/>
          <w:bCs w:val="1"/>
          <w:color w:val="auto"/>
        </w:rPr>
        <w:t>Section 8.3. Right of Indemnitee to Bring Suit</w:t>
      </w:r>
      <w:r>
        <w:rPr>
          <w:rFonts w:ascii="Arial" w:cs="Arial" w:eastAsia="Arial" w:hAnsi="Arial"/>
          <w:sz w:val="16"/>
          <w:szCs w:val="16"/>
          <w:color w:val="auto"/>
        </w:rPr>
        <w:t>. If a claim under</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8.1</w:t>
      </w:r>
      <w:r>
        <w:rPr>
          <w:rFonts w:ascii="Arial" w:cs="Arial" w:eastAsia="Arial" w:hAnsi="Arial"/>
          <w:sz w:val="16"/>
          <w:szCs w:val="16"/>
          <w:b w:val="1"/>
          <w:bCs w:val="1"/>
          <w:color w:val="auto"/>
        </w:rPr>
        <w:t xml:space="preserve"> </w:t>
      </w:r>
      <w:r>
        <w:rPr>
          <w:rFonts w:ascii="Arial" w:cs="Arial" w:eastAsia="Arial" w:hAnsi="Arial"/>
          <w:sz w:val="16"/>
          <w:szCs w:val="16"/>
          <w:color w:val="auto"/>
        </w:rPr>
        <w:t>or</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8.2</w:t>
      </w:r>
      <w:r>
        <w:rPr>
          <w:rFonts w:ascii="Arial" w:cs="Arial" w:eastAsia="Arial" w:hAnsi="Arial"/>
          <w:sz w:val="16"/>
          <w:szCs w:val="16"/>
          <w:b w:val="1"/>
          <w:bCs w:val="1"/>
          <w:color w:val="auto"/>
        </w:rPr>
        <w:t xml:space="preserve"> </w:t>
      </w:r>
      <w:r>
        <w:rPr>
          <w:rFonts w:ascii="Arial" w:cs="Arial" w:eastAsia="Arial" w:hAnsi="Arial"/>
          <w:sz w:val="16"/>
          <w:szCs w:val="16"/>
          <w:color w:val="auto"/>
        </w:rPr>
        <w:t>is not paid in full by the Corporation within 60 days</w:t>
      </w:r>
      <w:r>
        <w:rPr>
          <w:rFonts w:ascii="Arial" w:cs="Arial" w:eastAsia="Arial" w:hAnsi="Arial"/>
          <w:sz w:val="16"/>
          <w:szCs w:val="16"/>
          <w:b w:val="1"/>
          <w:bCs w:val="1"/>
          <w:color w:val="auto"/>
        </w:rPr>
        <w:t xml:space="preserve"> </w:t>
      </w:r>
      <w:r>
        <w:rPr>
          <w:rFonts w:ascii="Arial" w:cs="Arial" w:eastAsia="Arial" w:hAnsi="Arial"/>
          <w:sz w:val="16"/>
          <w:szCs w:val="16"/>
          <w:color w:val="auto"/>
        </w:rPr>
        <w:t>after a written claim therefor has been received by the Corporation, except in the case of a claim for an advancement of expenses, in which case the applicable period shall be 20 days, the Indemnitee may at any time thereafter bring suit against the Corporation to recover the unpaid amount of the claim. If successful in whole or in part in any such suit, or in a suit brought by the Corporation to recover an advancement of expenses pursuant to the terms of an undertaking, the Indemnitee shall also be entitled to be paid the expense of prosecuting or defending such suit. In (a) any suit brought by the Indemnitee to enforce a right to indemnification hereunder (but not in a suit brought by an Indemnitee to enforce a right to an advancement of expenses) it shall be a defense that, and (b) in any suit brought by the Corporation to recover an advancement of expenses pursuant to the terms of an undertaking, the Corporation shall be entitled to recover such expenses upon a final judicial decision from which there is no further right to appeal (hereinafter a “</w:t>
      </w:r>
      <w:r>
        <w:rPr>
          <w:rFonts w:ascii="Arial" w:cs="Arial" w:eastAsia="Arial" w:hAnsi="Arial"/>
          <w:sz w:val="16"/>
          <w:szCs w:val="16"/>
          <w:b w:val="1"/>
          <w:bCs w:val="1"/>
          <w:i w:val="1"/>
          <w:iCs w:val="1"/>
          <w:color w:val="auto"/>
        </w:rPr>
        <w:t>final</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adjudication</w:t>
      </w:r>
      <w:r>
        <w:rPr>
          <w:rFonts w:ascii="Arial" w:cs="Arial" w:eastAsia="Arial" w:hAnsi="Arial"/>
          <w:sz w:val="16"/>
          <w:szCs w:val="16"/>
          <w:color w:val="auto"/>
        </w:rPr>
        <w:t>”) that, the Indemnitee has not met any applicable standard for indemnification set forth in the DGCL. Neither the failure of the Corporation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(including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the DGCL, nor an actual determination by the Corporation (including a determination by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shall be a defense to such suit. In any suit brought by the Indemnitee to enforce a right to indemnification or to an advancement of expenses hereunder, or by the Corporation to recover an advancement of expenses pursuant to the terms of an undertaking, the burden of proving that the Indemnitee is not entitled to be indemnified, or to such advancement of expenses, under this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or otherwise shall be on the Corporation.</w:t>
      </w:r>
    </w:p>
    <w:p>
      <w:pPr>
        <w:spacing w:after="0" w:line="17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Section 8.4. Non-Exclusivity of Rights</w:t>
      </w:r>
      <w:r>
        <w:rPr>
          <w:rFonts w:ascii="Arial" w:cs="Arial" w:eastAsia="Arial" w:hAnsi="Arial"/>
          <w:sz w:val="18"/>
          <w:szCs w:val="18"/>
          <w:color w:val="auto"/>
        </w:rPr>
        <w:t>. The rights provided to any Indemnitee pursuant to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VIII</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be exclusive of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right, which such Indemnitee may have or hereafter acquire under applicable law, the Certificate of Incorporation, these Bylaws, an agreement, a vote of stockholders or disinterested directors, or otherwise.</w:t>
      </w:r>
    </w:p>
    <w:p>
      <w:pPr>
        <w:spacing w:after="0" w:line="17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Section 8.5. Insurance</w:t>
      </w:r>
      <w:r>
        <w:rPr>
          <w:rFonts w:ascii="Arial" w:cs="Arial" w:eastAsia="Arial" w:hAnsi="Arial"/>
          <w:sz w:val="17"/>
          <w:szCs w:val="17"/>
          <w:color w:val="auto"/>
        </w:rPr>
        <w:t>. The Corporation may maintain insurance, at its expense, to protect itself and/or any director, officer, employee or agent of</w:t>
      </w:r>
      <w:r>
        <w:rPr>
          <w:rFonts w:ascii="Arial" w:cs="Arial" w:eastAsia="Arial" w:hAnsi="Arial"/>
          <w:sz w:val="17"/>
          <w:szCs w:val="17"/>
          <w:b w:val="1"/>
          <w:bCs w:val="1"/>
          <w:color w:val="auto"/>
        </w:rPr>
        <w:t xml:space="preserve"> </w:t>
      </w:r>
      <w:r>
        <w:rPr>
          <w:rFonts w:ascii="Arial" w:cs="Arial" w:eastAsia="Arial" w:hAnsi="Arial"/>
          <w:sz w:val="17"/>
          <w:szCs w:val="17"/>
          <w:color w:val="auto"/>
        </w:rPr>
        <w:t>the Corporation or another corporation, partnership, joint venture, trust or other enterprise against any expense, liability or loss, whether or not the Corporation would have the power to indemnify such person against such expense, liability or loss under the DGCL.</w:t>
      </w:r>
    </w:p>
    <w:p>
      <w:pPr>
        <w:spacing w:after="0" w:line="158"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b w:val="1"/>
          <w:bCs w:val="1"/>
          <w:color w:val="auto"/>
        </w:rPr>
        <w:t>Section 8.6. Indemnification of Other Persons</w:t>
      </w:r>
      <w:r>
        <w:rPr>
          <w:rFonts w:ascii="Arial" w:cs="Arial" w:eastAsia="Arial" w:hAnsi="Arial"/>
          <w:sz w:val="16"/>
          <w:szCs w:val="16"/>
          <w:color w:val="auto"/>
        </w:rPr>
        <w:t>.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Article VIII</w:t>
      </w:r>
      <w:r>
        <w:rPr>
          <w:rFonts w:ascii="Arial" w:cs="Arial" w:eastAsia="Arial" w:hAnsi="Arial"/>
          <w:sz w:val="16"/>
          <w:szCs w:val="16"/>
          <w:b w:val="1"/>
          <w:bCs w:val="1"/>
          <w:color w:val="auto"/>
        </w:rPr>
        <w:t xml:space="preserve"> </w:t>
      </w:r>
      <w:r>
        <w:rPr>
          <w:rFonts w:ascii="Arial" w:cs="Arial" w:eastAsia="Arial" w:hAnsi="Arial"/>
          <w:sz w:val="16"/>
          <w:szCs w:val="16"/>
          <w:color w:val="auto"/>
        </w:rPr>
        <w:t>shall not limit the right of the Corporation to the extent and in the manner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authorized or permitted by law to indemnify and to advance expenses to persons other than Indemnitees. Without limiting the foregoing, the Corporation may, to the extent authorized from time to time by the Board, grant rights to indemnification and to the advancement of expenses to any employee or agent of the Corporation and to any other person who is or was serving at the request of the Corporation as a director, officer, employee or agent of another corporation or of a partnership, joint venture, trust or other enterprise, including service with respect to an employee benefit plan, to the fullest extent of the provisions of this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with respect to the indemnification and advancement of expenses of Indemnitees under this </w:t>
      </w:r>
      <w:r>
        <w:rPr>
          <w:rFonts w:ascii="Arial" w:cs="Arial" w:eastAsia="Arial" w:hAnsi="Arial"/>
          <w:sz w:val="16"/>
          <w:szCs w:val="16"/>
          <w:u w:val="single" w:color="auto"/>
          <w:color w:val="auto"/>
        </w:rPr>
        <w:t>Article VIII</w:t>
      </w:r>
      <w:r>
        <w:rPr>
          <w:rFonts w:ascii="Arial" w:cs="Arial" w:eastAsia="Arial" w:hAnsi="Arial"/>
          <w:sz w:val="16"/>
          <w:szCs w:val="16"/>
          <w:color w:val="auto"/>
        </w:rPr>
        <w: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2" w:name="page233"/>
    <w:bookmarkEnd w:id="232"/>
    <w:p>
      <w:pPr>
        <w:jc w:val="both"/>
        <w:ind w:firstLine="648"/>
        <w:spacing w:after="0" w:line="255" w:lineRule="auto"/>
        <w:rPr>
          <w:sz w:val="20"/>
          <w:szCs w:val="20"/>
          <w:color w:val="auto"/>
        </w:rPr>
      </w:pPr>
      <w:r>
        <w:rPr>
          <w:rFonts w:ascii="Arial" w:cs="Arial" w:eastAsia="Arial" w:hAnsi="Arial"/>
          <w:sz w:val="18"/>
          <w:szCs w:val="18"/>
          <w:b w:val="1"/>
          <w:bCs w:val="1"/>
          <w:color w:val="auto"/>
        </w:rPr>
        <w:t>Section 8.7. Amendments</w:t>
      </w:r>
      <w:r>
        <w:rPr>
          <w:rFonts w:ascii="Arial" w:cs="Arial" w:eastAsia="Arial" w:hAnsi="Arial"/>
          <w:sz w:val="18"/>
          <w:szCs w:val="18"/>
          <w:color w:val="auto"/>
        </w:rPr>
        <w:t>. Any repeal or amendment of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VIII</w:t>
      </w:r>
      <w:r>
        <w:rPr>
          <w:rFonts w:ascii="Arial" w:cs="Arial" w:eastAsia="Arial" w:hAnsi="Arial"/>
          <w:sz w:val="18"/>
          <w:szCs w:val="18"/>
          <w:b w:val="1"/>
          <w:bCs w:val="1"/>
          <w:color w:val="auto"/>
        </w:rPr>
        <w:t xml:space="preserve"> </w:t>
      </w:r>
      <w:r>
        <w:rPr>
          <w:rFonts w:ascii="Arial" w:cs="Arial" w:eastAsia="Arial" w:hAnsi="Arial"/>
          <w:sz w:val="18"/>
          <w:szCs w:val="18"/>
          <w:color w:val="auto"/>
        </w:rPr>
        <w:t>by the Board or the stockholders of the Corporation or by changes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applicable law, or the adoption of any other provision of these Bylaws inconsistent with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will, to the extent permitted by applicable law, be prospective only (except to the extent such amendment or change in applicable law permits the Corporation to provide broader indemnification rights to Indemnitees on a retroactive basis than permitted prior thereto), and will not in any way diminish or adversely affect any right or protection existing hereunder in respect of any act or omission occurring prior to such repeal or amendment or adoption of such inconsistent provision; provided however, that amendments or repeals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shall require the affirmative vote of the stockholders holding at least 66.7% of the voting power of all outstanding shares of capital stock of the Corporation.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Section 8.8. Certain Definitions</w:t>
      </w:r>
      <w:r>
        <w:rPr>
          <w:rFonts w:ascii="Arial" w:cs="Arial" w:eastAsia="Arial" w:hAnsi="Arial"/>
          <w:sz w:val="16"/>
          <w:szCs w:val="16"/>
          <w:color w:val="auto"/>
        </w:rPr>
        <w:t>. For purposes of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Article VIII</w:t>
      </w:r>
      <w:r>
        <w:rPr>
          <w:rFonts w:ascii="Arial" w:cs="Arial" w:eastAsia="Arial" w:hAnsi="Arial"/>
          <w:sz w:val="16"/>
          <w:szCs w:val="16"/>
          <w:color w:val="auto"/>
        </w:rPr>
        <w:t>, (a) references to “</w:t>
      </w:r>
      <w:r>
        <w:rPr>
          <w:rFonts w:ascii="Arial" w:cs="Arial" w:eastAsia="Arial" w:hAnsi="Arial"/>
          <w:sz w:val="16"/>
          <w:szCs w:val="16"/>
          <w:b w:val="1"/>
          <w:bCs w:val="1"/>
          <w:i w:val="1"/>
          <w:iCs w:val="1"/>
          <w:color w:val="auto"/>
        </w:rPr>
        <w:t>other enterprise</w:t>
      </w:r>
      <w:r>
        <w:rPr>
          <w:rFonts w:ascii="Arial" w:cs="Arial" w:eastAsia="Arial" w:hAnsi="Arial"/>
          <w:sz w:val="16"/>
          <w:szCs w:val="16"/>
          <w:color w:val="auto"/>
        </w:rPr>
        <w:t>” shall include any employee benefit plan;</w:t>
      </w:r>
    </w:p>
    <w:p>
      <w:pPr>
        <w:spacing w:after="0" w:line="50" w:lineRule="exact"/>
        <w:rPr>
          <w:sz w:val="20"/>
          <w:szCs w:val="20"/>
          <w:color w:val="auto"/>
        </w:rPr>
      </w:pPr>
    </w:p>
    <w:p>
      <w:pPr>
        <w:jc w:val="both"/>
        <w:ind w:firstLine="8"/>
        <w:spacing w:after="0" w:line="253" w:lineRule="auto"/>
        <w:tabs>
          <w:tab w:leader="none" w:pos="268" w:val="left"/>
        </w:tabs>
        <w:numPr>
          <w:ilvl w:val="0"/>
          <w:numId w:val="176"/>
        </w:numPr>
        <w:rPr>
          <w:rFonts w:ascii="Arial" w:cs="Arial" w:eastAsia="Arial" w:hAnsi="Arial"/>
          <w:sz w:val="18"/>
          <w:szCs w:val="18"/>
          <w:color w:val="auto"/>
        </w:rPr>
      </w:pPr>
      <w:r>
        <w:rPr>
          <w:rFonts w:ascii="Arial" w:cs="Arial" w:eastAsia="Arial" w:hAnsi="Arial"/>
          <w:sz w:val="18"/>
          <w:szCs w:val="18"/>
          <w:color w:val="auto"/>
        </w:rPr>
        <w:t>references to “</w:t>
      </w:r>
      <w:r>
        <w:rPr>
          <w:rFonts w:ascii="Arial" w:cs="Arial" w:eastAsia="Arial" w:hAnsi="Arial"/>
          <w:sz w:val="18"/>
          <w:szCs w:val="18"/>
          <w:b w:val="1"/>
          <w:bCs w:val="1"/>
          <w:i w:val="1"/>
          <w:iCs w:val="1"/>
          <w:color w:val="auto"/>
        </w:rPr>
        <w:t>fines</w:t>
      </w:r>
      <w:r>
        <w:rPr>
          <w:rFonts w:ascii="Arial" w:cs="Arial" w:eastAsia="Arial" w:hAnsi="Arial"/>
          <w:sz w:val="18"/>
          <w:szCs w:val="18"/>
          <w:color w:val="auto"/>
        </w:rPr>
        <w:t>” shall include any excise taxes assessed on a person with respect to an employee benefit plan; (c) references to “</w:t>
      </w:r>
      <w:r>
        <w:rPr>
          <w:rFonts w:ascii="Arial" w:cs="Arial" w:eastAsia="Arial" w:hAnsi="Arial"/>
          <w:sz w:val="18"/>
          <w:szCs w:val="18"/>
          <w:b w:val="1"/>
          <w:bCs w:val="1"/>
          <w:i w:val="1"/>
          <w:iCs w:val="1"/>
          <w:color w:val="auto"/>
        </w:rPr>
        <w:t>serving at the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request of the Corporation</w:t>
      </w:r>
      <w:r>
        <w:rPr>
          <w:rFonts w:ascii="Arial" w:cs="Arial" w:eastAsia="Arial" w:hAnsi="Arial"/>
          <w:sz w:val="18"/>
          <w:szCs w:val="18"/>
          <w:color w:val="auto"/>
        </w:rPr>
        <w:t>” shall include any service that imposes duties on, or involves services by, a person with respect to any employee benefit plan,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its participants, or beneficiaries; and (d) a person who acted in good faith and in a manner such person reasonably believed to be in the interest of the participants and beneficiaries of an employee benefit plan shall be deemed to have acted in a manner “not opposed to the best interest of the Corporation” for purposes of Section 145 of the DGCL.</w:t>
      </w:r>
    </w:p>
    <w:p>
      <w:pPr>
        <w:spacing w:after="0" w:line="18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Section 8.9. Contract Rights</w:t>
      </w:r>
      <w:r>
        <w:rPr>
          <w:rFonts w:ascii="Arial" w:cs="Arial" w:eastAsia="Arial" w:hAnsi="Arial"/>
          <w:sz w:val="18"/>
          <w:szCs w:val="18"/>
          <w:color w:val="auto"/>
        </w:rPr>
        <w:t>. The rights provided to Indemnitees pursuant to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VIII</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contract rights and such rights shall</w:t>
      </w:r>
      <w:r>
        <w:rPr>
          <w:rFonts w:ascii="Arial" w:cs="Arial" w:eastAsia="Arial" w:hAnsi="Arial"/>
          <w:sz w:val="18"/>
          <w:szCs w:val="18"/>
          <w:b w:val="1"/>
          <w:bCs w:val="1"/>
          <w:color w:val="auto"/>
        </w:rPr>
        <w:t xml:space="preserve"> </w:t>
      </w:r>
      <w:r>
        <w:rPr>
          <w:rFonts w:ascii="Arial" w:cs="Arial" w:eastAsia="Arial" w:hAnsi="Arial"/>
          <w:sz w:val="18"/>
          <w:szCs w:val="18"/>
          <w:color w:val="auto"/>
        </w:rPr>
        <w:t>continue as to an Indemnitee who has ceased to be a director, officer, agent or employee and shall inure to the benefit of the Indemnitee’s heirs, executors and administrators.</w:t>
      </w:r>
    </w:p>
    <w:p>
      <w:pPr>
        <w:spacing w:after="0" w:line="17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Section 8.10. Severability</w:t>
      </w:r>
      <w:r>
        <w:rPr>
          <w:rFonts w:ascii="Arial" w:cs="Arial" w:eastAsia="Arial" w:hAnsi="Arial"/>
          <w:sz w:val="18"/>
          <w:szCs w:val="18"/>
          <w:color w:val="auto"/>
        </w:rPr>
        <w:t>. If any provision or provisions of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VIII</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held to be invalid, illegal or unenforceable for any reason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whatsoever: (a) the validity, legality and enforceability of the remaining provisions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shall not in any way be affected or impaired thereby; and (b) to the fullest extent possible, the provisions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(including, without limitation, each such portion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containing any such provision held to be invalid, illegal or unenforceable) shall be construed so as to give effect to the intent manifested by the provision held invalid, illegal or unenforceable.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Section 9.1. Place of Meetings</w:t>
      </w:r>
      <w:r>
        <w:rPr>
          <w:rFonts w:ascii="Arial" w:cs="Arial" w:eastAsia="Arial" w:hAnsi="Arial"/>
          <w:sz w:val="18"/>
          <w:szCs w:val="18"/>
          <w:color w:val="auto"/>
        </w:rPr>
        <w:t>. If the place of any meeting of stockholders, the Board or committee of the Board for which notice is required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under these Bylaws is not designated in the notice of such meeting, such meeting shall be held at the principal business office of the Corporation; provided, however, if the Board has, in its sole discretion, determined that a meeting shall not be held at any place, but instead shall be held by means of remote communication pursuant to </w:t>
      </w:r>
      <w:r>
        <w:rPr>
          <w:rFonts w:ascii="Arial" w:cs="Arial" w:eastAsia="Arial" w:hAnsi="Arial"/>
          <w:sz w:val="18"/>
          <w:szCs w:val="18"/>
          <w:u w:val="single" w:color="auto"/>
          <w:color w:val="auto"/>
        </w:rPr>
        <w:t>Section 9.5</w:t>
      </w:r>
      <w:r>
        <w:rPr>
          <w:rFonts w:ascii="Arial" w:cs="Arial" w:eastAsia="Arial" w:hAnsi="Arial"/>
          <w:sz w:val="18"/>
          <w:szCs w:val="18"/>
          <w:color w:val="auto"/>
        </w:rPr>
        <w:t xml:space="preserve"> hereof, then such meeting shall not be held at any place.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3" w:name="page234"/>
    <w:bookmarkEnd w:id="233"/>
    <w:p>
      <w:pPr>
        <w:ind w:left="660"/>
        <w:spacing w:after="0"/>
        <w:rPr>
          <w:sz w:val="20"/>
          <w:szCs w:val="20"/>
          <w:color w:val="auto"/>
        </w:rPr>
      </w:pPr>
      <w:r>
        <w:rPr>
          <w:rFonts w:ascii="Arial" w:cs="Arial" w:eastAsia="Arial" w:hAnsi="Arial"/>
          <w:sz w:val="18"/>
          <w:szCs w:val="18"/>
          <w:b w:val="1"/>
          <w:bCs w:val="1"/>
          <w:color w:val="auto"/>
        </w:rPr>
        <w:t>Section 9.2. Fixing Record Dates</w:t>
      </w:r>
      <w:r>
        <w:rPr>
          <w:rFonts w:ascii="Arial" w:cs="Arial" w:eastAsia="Arial" w:hAnsi="Arial"/>
          <w:sz w:val="18"/>
          <w:szCs w:val="18"/>
          <w:color w:val="auto"/>
        </w:rPr>
        <w:t>.</w:t>
      </w:r>
    </w:p>
    <w:p>
      <w:pPr>
        <w:spacing w:after="0" w:line="229" w:lineRule="exact"/>
        <w:rPr>
          <w:sz w:val="20"/>
          <w:szCs w:val="20"/>
          <w:color w:val="auto"/>
        </w:rPr>
      </w:pPr>
    </w:p>
    <w:p>
      <w:pPr>
        <w:jc w:val="both"/>
        <w:ind w:firstLine="1304"/>
        <w:spacing w:after="0" w:line="269" w:lineRule="auto"/>
        <w:tabs>
          <w:tab w:leader="none" w:pos="1556" w:val="left"/>
        </w:tabs>
        <w:numPr>
          <w:ilvl w:val="0"/>
          <w:numId w:val="177"/>
        </w:numPr>
        <w:rPr>
          <w:rFonts w:ascii="Arial" w:cs="Arial" w:eastAsia="Arial" w:hAnsi="Arial"/>
          <w:sz w:val="17"/>
          <w:szCs w:val="17"/>
          <w:color w:val="auto"/>
        </w:rPr>
      </w:pPr>
      <w:r>
        <w:rPr>
          <w:rFonts w:ascii="Arial" w:cs="Arial" w:eastAsia="Arial" w:hAnsi="Arial"/>
          <w:sz w:val="17"/>
          <w:szCs w:val="17"/>
          <w:color w:val="auto"/>
        </w:rPr>
        <w:t xml:space="preserve">In order that the Corporation may determine the stockholders entitled to notice of any meeting of stockholders or any adjournment thereof, the Board may fix a record date, which shall not precede the date upon which the resolution fixing the record date is adopted by the Board, and which record date shall not be more than 60 nor less than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and to vote at a meeting of stockholders shall be at the close of business on the business day next preceding the day on which notice is given, or, if notice is waived, at the close of business on the business day next preceding the day on which the meeting is held. A determination of stockholders of record entitled to notice of or to vote at a meeting of stockholders shall apply to any adjournment of the meeting; provided, however, that the Board may fix a new record date for the adjourned meeting, and in such case shall also fix as the record date for stockholders entitled to notice of such adjourned meeting the same or an earlier date as that fixed for determination of stockholders entitled to vote in accordance with the foregoing provisions of this </w:t>
      </w:r>
      <w:r>
        <w:rPr>
          <w:rFonts w:ascii="Arial" w:cs="Arial" w:eastAsia="Arial" w:hAnsi="Arial"/>
          <w:sz w:val="17"/>
          <w:szCs w:val="17"/>
          <w:u w:val="single" w:color="auto"/>
          <w:color w:val="auto"/>
        </w:rPr>
        <w:t>Section 9.2(a)</w:t>
      </w:r>
      <w:r>
        <w:rPr>
          <w:rFonts w:ascii="Arial" w:cs="Arial" w:eastAsia="Arial" w:hAnsi="Arial"/>
          <w:sz w:val="17"/>
          <w:szCs w:val="17"/>
          <w:color w:val="auto"/>
        </w:rPr>
        <w:t xml:space="preserve"> at the adjourned meeting.</w:t>
      </w:r>
    </w:p>
    <w:p>
      <w:pPr>
        <w:spacing w:after="0" w:line="181" w:lineRule="exact"/>
        <w:rPr>
          <w:rFonts w:ascii="Arial" w:cs="Arial" w:eastAsia="Arial" w:hAnsi="Arial"/>
          <w:sz w:val="17"/>
          <w:szCs w:val="17"/>
          <w:color w:val="auto"/>
        </w:rPr>
      </w:pPr>
    </w:p>
    <w:p>
      <w:pPr>
        <w:jc w:val="both"/>
        <w:ind w:firstLine="1304"/>
        <w:spacing w:after="0" w:line="275" w:lineRule="auto"/>
        <w:tabs>
          <w:tab w:leader="none" w:pos="1572" w:val="left"/>
        </w:tabs>
        <w:numPr>
          <w:ilvl w:val="0"/>
          <w:numId w:val="177"/>
        </w:numPr>
        <w:rPr>
          <w:rFonts w:ascii="Arial" w:cs="Arial" w:eastAsia="Arial" w:hAnsi="Arial"/>
          <w:sz w:val="17"/>
          <w:szCs w:val="17"/>
          <w:color w:val="auto"/>
        </w:rPr>
      </w:pPr>
      <w:r>
        <w:rPr>
          <w:rFonts w:ascii="Arial" w:cs="Arial" w:eastAsia="Arial" w:hAnsi="Arial"/>
          <w:sz w:val="17"/>
          <w:szCs w:val="17"/>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adopts the resolution relating thereto.</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9.3. Means of Giving Notice</w:t>
      </w:r>
      <w:r>
        <w:rPr>
          <w:rFonts w:ascii="Arial" w:cs="Arial" w:eastAsia="Arial" w:hAnsi="Arial"/>
          <w:sz w:val="18"/>
          <w:szCs w:val="18"/>
          <w:color w:val="auto"/>
        </w:rPr>
        <w:t>.</w:t>
      </w:r>
    </w:p>
    <w:p>
      <w:pPr>
        <w:spacing w:after="0" w:line="229" w:lineRule="exact"/>
        <w:rPr>
          <w:sz w:val="20"/>
          <w:szCs w:val="20"/>
          <w:color w:val="auto"/>
        </w:rPr>
      </w:pPr>
    </w:p>
    <w:p>
      <w:pPr>
        <w:jc w:val="both"/>
        <w:ind w:firstLine="1304"/>
        <w:spacing w:after="0" w:line="288" w:lineRule="auto"/>
        <w:tabs>
          <w:tab w:leader="none" w:pos="1540" w:val="left"/>
        </w:tabs>
        <w:numPr>
          <w:ilvl w:val="0"/>
          <w:numId w:val="178"/>
        </w:numPr>
        <w:rPr>
          <w:rFonts w:ascii="Arial" w:cs="Arial" w:eastAsia="Arial" w:hAnsi="Arial"/>
          <w:sz w:val="16"/>
          <w:szCs w:val="16"/>
          <w:color w:val="auto"/>
        </w:rPr>
      </w:pPr>
      <w:r>
        <w:rPr>
          <w:rFonts w:ascii="Arial" w:cs="Arial" w:eastAsia="Arial" w:hAnsi="Arial"/>
          <w:sz w:val="16"/>
          <w:szCs w:val="16"/>
          <w:u w:val="single" w:color="auto"/>
          <w:color w:val="auto"/>
        </w:rPr>
        <w:t>Notice to Directors</w:t>
      </w:r>
      <w:r>
        <w:rPr>
          <w:rFonts w:ascii="Arial" w:cs="Arial" w:eastAsia="Arial" w:hAnsi="Arial"/>
          <w:sz w:val="16"/>
          <w:szCs w:val="16"/>
          <w:color w:val="auto"/>
        </w:rPr>
        <w:t>. Whenever under applicable law, the Certificate of Incorporation or these Bylaws notice is required to be given to any director, such notice shall be given either (i) in writing and sent by mail, or by a nationally recognized delivery service, (ii) by means of facsimile telecommunication or other form of electronic transmission, or (iii) by oral notice given personally or by telephone. A notice to a director will be deemed given as follows: (i) if given by hand delivery, orally, or by telephone, when actually received by the director, (ii) if sent through the United States mail, when deposited in the United States mail, with postage and fees thereon prepaid, addressed to the director at the director’s address appearing on the records of the Corporation, (iii) if sent for next day delivery by a nationally recognized overnight delivery service, when deposited with such service, with fees thereon prepaid, addressed to the director at the director’s address appearing on the records of the Corporation, (iv) if sent by facsimile telecommunication, when sent to the facsimile transmission number for such director appearing on the records of the Corporation, (v) if sent by electronic mail, when sent to the electronic mail address for such director appearing on the records of the Corporation, or (vi) if sent by any other form of electronic transmission, when sent to the address, location or number (as applicable) for such director appearing on the records of the Corporation.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4" w:name="page235"/>
    <w:bookmarkEnd w:id="234"/>
    <w:p>
      <w:pPr>
        <w:jc w:val="both"/>
        <w:ind w:firstLine="1304"/>
        <w:spacing w:after="0" w:line="285" w:lineRule="auto"/>
        <w:tabs>
          <w:tab w:leader="none" w:pos="1551" w:val="left"/>
        </w:tabs>
        <w:numPr>
          <w:ilvl w:val="0"/>
          <w:numId w:val="179"/>
        </w:numPr>
        <w:rPr>
          <w:rFonts w:ascii="Arial" w:cs="Arial" w:eastAsia="Arial" w:hAnsi="Arial"/>
          <w:sz w:val="16"/>
          <w:szCs w:val="16"/>
          <w:color w:val="auto"/>
        </w:rPr>
      </w:pPr>
      <w:r>
        <w:rPr>
          <w:rFonts w:ascii="Arial" w:cs="Arial" w:eastAsia="Arial" w:hAnsi="Arial"/>
          <w:sz w:val="16"/>
          <w:szCs w:val="16"/>
          <w:u w:val="single" w:color="auto"/>
          <w:color w:val="auto"/>
        </w:rPr>
        <w:t>Notice to Stockholders</w:t>
      </w:r>
      <w:r>
        <w:rPr>
          <w:rFonts w:ascii="Arial" w:cs="Arial" w:eastAsia="Arial" w:hAnsi="Arial"/>
          <w:sz w:val="16"/>
          <w:szCs w:val="16"/>
          <w:color w:val="auto"/>
        </w:rPr>
        <w:t>. Whenever under applicable law, the Certificate of Incorporation or these Bylaws notice is required to be given to any stockholder, such notice may be given (i) in writing and sent either by hand delivery, through the United States mail, or by a nationally recognized overnight delivery service for next day delivery, or (ii) by means of a form of electronic transmission consented to by the stockholder, to the extent permitted by, and subject to the conditions set forth in Section 232 of the DGCL. A notice to a stockholder shall be deemed given as follows: (i) if given by hand delivery, when actually received by the stockholder, (ii) if sent through the United States mail, when deposited in the United States mail, with postage and fees thereon prepaid, addressed to the stockholder at the stockholder’s address appearing on the stock ledger of the Corporation, (iii) if sent for next day delivery by a nationally recognized overnight delivery service, when deposited with such service, with fees thereon prepaid, addressed to the stockholder at the stockholder’s address appearing on the stock ledger of the Corporation, and (iv) if given by a form of electronic transmission consented to by the stockholder to whom the notice is given and otherwise meeting the requirements set forth above, (A) if by facsimile transmission, when directed to a number at which the stockholder has consented to receive notice, (B) if by electronic mail, when directed to an electronic mail address at which the stockholder has consented to receive notice, (C) if by a posting on an electronic network together with separate notice to the stockholder of such specified posting, upon the later of (1) such posting and (2) the giving of such separate notice, and (D) if by any other form of electronic transmission, when directed to the stockholder. A stockholder may revoke such stockholder’s consent to receiving notice by means of electronic communication by giving written notice of such revocation to the Corporation. Any such consent shall be deemed revoked if (1) the Corporation is unable to deliver by electronic transmission two consecutive notices given by the Corporation in accordance with such consent and (2) such inability becomes known to the Secretary or an Assistant Secretary or to the Corporation’s transfer agent, or other person responsible for the giving of notice; provided, however, the inadvertent failure to treat such inability as a revocation shall not invalidate any meeting or other action.</w:t>
      </w:r>
    </w:p>
    <w:p>
      <w:pPr>
        <w:spacing w:after="0" w:line="173" w:lineRule="exact"/>
        <w:rPr>
          <w:rFonts w:ascii="Arial" w:cs="Arial" w:eastAsia="Arial" w:hAnsi="Arial"/>
          <w:sz w:val="16"/>
          <w:szCs w:val="16"/>
          <w:color w:val="auto"/>
        </w:rPr>
      </w:pPr>
    </w:p>
    <w:p>
      <w:pPr>
        <w:jc w:val="both"/>
        <w:ind w:firstLine="1304"/>
        <w:spacing w:after="0" w:line="259" w:lineRule="auto"/>
        <w:tabs>
          <w:tab w:leader="none" w:pos="1594"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Electronic Transmission</w:t>
      </w:r>
      <w:r>
        <w:rPr>
          <w:rFonts w:ascii="Arial" w:cs="Arial" w:eastAsia="Arial" w:hAnsi="Arial"/>
          <w:sz w:val="18"/>
          <w:szCs w:val="18"/>
          <w:color w:val="auto"/>
        </w:rPr>
        <w:t>. “</w:t>
      </w:r>
      <w:r>
        <w:rPr>
          <w:rFonts w:ascii="Arial" w:cs="Arial" w:eastAsia="Arial" w:hAnsi="Arial"/>
          <w:sz w:val="18"/>
          <w:szCs w:val="18"/>
          <w:b w:val="1"/>
          <w:bCs w:val="1"/>
          <w:i w:val="1"/>
          <w:iCs w:val="1"/>
          <w:color w:val="auto"/>
        </w:rPr>
        <w:t>Electronic transmission</w:t>
      </w:r>
      <w:r>
        <w:rPr>
          <w:rFonts w:ascii="Arial" w:cs="Arial" w:eastAsia="Arial" w:hAnsi="Arial"/>
          <w:sz w:val="18"/>
          <w:szCs w:val="18"/>
          <w:color w:val="auto"/>
        </w:rPr>
        <w:t>” means any form of communication, not directly involving the physical transmission of paper, that creates a record that may be retained, retrieved and reviewed by a recipient thereof, and that may be directly reproduced in paper form by such a recipient through an automated process, including but not limited to transmission by telex, facsimile telecommunication, electronic mail, telegram and cablegram.</w:t>
      </w:r>
    </w:p>
    <w:p>
      <w:pPr>
        <w:spacing w:after="0" w:line="186" w:lineRule="exact"/>
        <w:rPr>
          <w:rFonts w:ascii="Arial" w:cs="Arial" w:eastAsia="Arial" w:hAnsi="Arial"/>
          <w:sz w:val="18"/>
          <w:szCs w:val="18"/>
          <w:color w:val="auto"/>
        </w:rPr>
      </w:pPr>
    </w:p>
    <w:p>
      <w:pPr>
        <w:jc w:val="both"/>
        <w:ind w:firstLine="1304"/>
        <w:spacing w:after="0" w:line="273" w:lineRule="auto"/>
        <w:tabs>
          <w:tab w:leader="none" w:pos="1551" w:val="left"/>
        </w:tabs>
        <w:numPr>
          <w:ilvl w:val="0"/>
          <w:numId w:val="179"/>
        </w:numPr>
        <w:rPr>
          <w:rFonts w:ascii="Arial" w:cs="Arial" w:eastAsia="Arial" w:hAnsi="Arial"/>
          <w:sz w:val="17"/>
          <w:szCs w:val="17"/>
          <w:color w:val="auto"/>
        </w:rPr>
      </w:pPr>
      <w:r>
        <w:rPr>
          <w:rFonts w:ascii="Arial" w:cs="Arial" w:eastAsia="Arial" w:hAnsi="Arial"/>
          <w:sz w:val="17"/>
          <w:szCs w:val="17"/>
          <w:u w:val="single" w:color="auto"/>
          <w:color w:val="auto"/>
        </w:rPr>
        <w:t>Notice to Stockholders Sharing Same Address</w:t>
      </w:r>
      <w:r>
        <w:rPr>
          <w:rFonts w:ascii="Arial" w:cs="Arial" w:eastAsia="Arial" w:hAnsi="Arial"/>
          <w:sz w:val="17"/>
          <w:szCs w:val="17"/>
          <w:color w:val="auto"/>
        </w:rPr>
        <w:t>. Without limiting the manner by which notice otherwise may be given effectively by the Corporation to stockholders, any notice to stockholders given by the Corporation under any provision of the DGCL, the Certificate of Incorporation or these Bylaws shall be effective if given by a single written notice to stockholders who share an address if consented to by the stockholders at that address to whom such notice is given. A stockholder may revoke such stockholder’s consent by delivering written notice of such revocation to the Corporation. Any stockholder who fails to object in writing to the Corporation within 60 days of having been given written notice by the Corporation of its intention to send such a single written notice shall be deemed to have consented to receiving such single written notice.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5" w:name="page236"/>
    <w:bookmarkEnd w:id="235"/>
    <w:p>
      <w:pPr>
        <w:jc w:val="both"/>
        <w:ind w:firstLine="1304"/>
        <w:spacing w:after="0" w:line="254" w:lineRule="auto"/>
        <w:tabs>
          <w:tab w:leader="none" w:pos="1554"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t>Exceptions to Notice Requirements</w:t>
      </w:r>
      <w:r>
        <w:rPr>
          <w:rFonts w:ascii="Arial" w:cs="Arial" w:eastAsia="Arial" w:hAnsi="Arial"/>
          <w:sz w:val="18"/>
          <w:szCs w:val="18"/>
          <w:color w:val="auto"/>
        </w:rPr>
        <w:t>. Whenever notice is required to be given, under the DGCL, the Certificate of Incorporation or these Bylaws, to any person with whom communication is unlawful, the giving of such notice to such person shall not be required and there shall be no duty to apply to any governmental authority or agency for a license or permit to give such notice to such person. Any action or meeting that shall be taken or held without notice to any such person with whom communication is unlawful shall have the same force and effect as if such notice had been duly given. In the event that the action taken by the Corporation is such as to require the filing of a certificate with the Secretary of State of Delaware, the certificate shall state, if such is the fact and if notice is required, that notice was given to all persons entitled to receive notice except such persons with whom communication is unlawful.</w:t>
      </w:r>
    </w:p>
    <w:p>
      <w:pPr>
        <w:spacing w:after="0" w:line="195"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Whenever notice is required to be given by the Corporation, under any provision of the DGCL, the Certificate of Incorporation or these Bylaws, to any stockholder to whom (1) notice of two consecutive annual meetings of stockholders and all notices of stockholder meetings or of the taking of action by written consent of stockholders without a meeting to such stockholder during the period between such two consecutive annual meetings, or</w:t>
      </w:r>
    </w:p>
    <w:p>
      <w:pPr>
        <w:spacing w:after="0" w:line="2" w:lineRule="exact"/>
        <w:rPr>
          <w:sz w:val="20"/>
          <w:szCs w:val="20"/>
          <w:color w:val="auto"/>
        </w:rPr>
      </w:pPr>
    </w:p>
    <w:p>
      <w:pPr>
        <w:jc w:val="both"/>
        <w:ind w:firstLine="8"/>
        <w:spacing w:after="0" w:line="287" w:lineRule="auto"/>
        <w:tabs>
          <w:tab w:leader="none" w:pos="257" w:val="left"/>
        </w:tabs>
        <w:numPr>
          <w:ilvl w:val="0"/>
          <w:numId w:val="181"/>
        </w:numPr>
        <w:rPr>
          <w:rFonts w:ascii="Arial" w:cs="Arial" w:eastAsia="Arial" w:hAnsi="Arial"/>
          <w:sz w:val="16"/>
          <w:szCs w:val="16"/>
          <w:color w:val="auto"/>
        </w:rPr>
      </w:pPr>
      <w:r>
        <w:rPr>
          <w:rFonts w:ascii="Arial" w:cs="Arial" w:eastAsia="Arial" w:hAnsi="Arial"/>
          <w:sz w:val="16"/>
          <w:szCs w:val="16"/>
          <w:color w:val="auto"/>
        </w:rPr>
        <w:t>all, and at least two payments (if sent by first-class mail) of dividends or interest on securities during a 12-month period, have been mailed addressed to such stockholder at such stockholder’s address as shown on the records of the Corporation and have been returned undeliverable, the giving of such notice to such stockholder shall not be required. Any action or meeting that shall be taken or held without notice to such stockholder shall have the same force and effect as if such notice had been duly given. If any such stockholder shall deliver to the Corporation a written notice setting forth such stockholder’s then current address, the requirement that notice be given to such stockholder shall be reinstated. In the event that the action taken by the Corporation is such as to require the filing of a certificate with the Secretary of State of Delaware, the certificate need not state that notice was not given to persons to whom notice was not required to be given pursuant to Section 230(b) of the DGCL. The exception in subsection (1) of the first sentence of this paragraph to the requirement that notice be given shall not be applicable to any notice returned as undeliverable if the notice was given by electronic transmission.</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Section 9.4. Waiver of Notice</w:t>
      </w:r>
      <w:r>
        <w:rPr>
          <w:rFonts w:ascii="Arial" w:cs="Arial" w:eastAsia="Arial" w:hAnsi="Arial"/>
          <w:sz w:val="17"/>
          <w:szCs w:val="17"/>
          <w:color w:val="auto"/>
        </w:rPr>
        <w:t>. Whenever any notice is required to be given under applicable law, the Certificate of Incorporation, or these</w:t>
      </w:r>
      <w:r>
        <w:rPr>
          <w:rFonts w:ascii="Arial" w:cs="Arial" w:eastAsia="Arial" w:hAnsi="Arial"/>
          <w:sz w:val="17"/>
          <w:szCs w:val="17"/>
          <w:b w:val="1"/>
          <w:bCs w:val="1"/>
          <w:color w:val="auto"/>
        </w:rPr>
        <w:t xml:space="preserve"> </w:t>
      </w:r>
      <w:r>
        <w:rPr>
          <w:rFonts w:ascii="Arial" w:cs="Arial" w:eastAsia="Arial" w:hAnsi="Arial"/>
          <w:sz w:val="17"/>
          <w:szCs w:val="17"/>
          <w:color w:val="auto"/>
        </w:rPr>
        <w:t>Bylaws, a written waiver of such notice, signed by the person or persons entitled to said notice, or a waiver by electronic transmission by the person entitled to said notice, whether before or after the time stated therein, shall be deemed equivalent to such required notice. All such waivers shall be kept with the books of the Corporation. Attendance at a meeting shall constitute a waiver of notice of such meeting, except where a person attends for the express purpose of objecting to the transaction of any business on the ground that the meeting was not lawfully called or convened.</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9.5. Meeting Attendance via Remote Communication Equipment.</w:t>
      </w:r>
    </w:p>
    <w:p>
      <w:pPr>
        <w:spacing w:after="0" w:line="229" w:lineRule="exact"/>
        <w:rPr>
          <w:sz w:val="20"/>
          <w:szCs w:val="20"/>
          <w:color w:val="auto"/>
        </w:rPr>
      </w:pPr>
    </w:p>
    <w:p>
      <w:pPr>
        <w:jc w:val="both"/>
        <w:ind w:firstLine="1304"/>
        <w:spacing w:after="0" w:line="263" w:lineRule="auto"/>
        <w:tabs>
          <w:tab w:leader="none" w:pos="1554"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Stockholder Meetings</w:t>
      </w:r>
      <w:r>
        <w:rPr>
          <w:rFonts w:ascii="Arial" w:cs="Arial" w:eastAsia="Arial" w:hAnsi="Arial"/>
          <w:sz w:val="18"/>
          <w:szCs w:val="18"/>
          <w:color w:val="auto"/>
        </w:rPr>
        <w:t>. If authorized by the Board in its sole discretion, and subject to such guidelines and procedures as the Board may adopt, stockholders entitled to vote at such meeting and proxy holders not physically present at a meeting of stockholders may, by means of remote communication:</w:t>
      </w:r>
    </w:p>
    <w:p>
      <w:pPr>
        <w:spacing w:after="0" w:line="183" w:lineRule="exact"/>
        <w:rPr>
          <w:rFonts w:ascii="Arial" w:cs="Arial" w:eastAsia="Arial" w:hAnsi="Arial"/>
          <w:sz w:val="18"/>
          <w:szCs w:val="18"/>
          <w:color w:val="auto"/>
        </w:rPr>
      </w:pPr>
    </w:p>
    <w:p>
      <w:pPr>
        <w:ind w:left="2160" w:hanging="208"/>
        <w:spacing w:after="0"/>
        <w:tabs>
          <w:tab w:leader="none" w:pos="216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participate in a meeting of stockholders; and</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6" w:name="page237"/>
    <w:bookmarkEnd w:id="236"/>
    <w:p>
      <w:pPr>
        <w:jc w:val="both"/>
        <w:ind w:firstLine="1952"/>
        <w:spacing w:after="0" w:line="272" w:lineRule="auto"/>
        <w:tabs>
          <w:tab w:leader="none" w:pos="2213" w:val="left"/>
        </w:tabs>
        <w:numPr>
          <w:ilvl w:val="1"/>
          <w:numId w:val="183"/>
        </w:numPr>
        <w:rPr>
          <w:rFonts w:ascii="Arial" w:cs="Arial" w:eastAsia="Arial" w:hAnsi="Arial"/>
          <w:sz w:val="17"/>
          <w:szCs w:val="17"/>
          <w:color w:val="auto"/>
        </w:rPr>
      </w:pPr>
      <w:r>
        <w:rPr>
          <w:rFonts w:ascii="Arial" w:cs="Arial" w:eastAsia="Arial" w:hAnsi="Arial"/>
          <w:sz w:val="17"/>
          <w:szCs w:val="17"/>
          <w:color w:val="auto"/>
        </w:rPr>
        <w:t>be deemed present in person and vote at a meeting of stockholders, whether such meeting is to be held at a designated place or solely by means of remote communication, provided that (A) the Corporation shall implement reasonable measures to verify that each person deemed present and permitted to vote at the meeting by means of remote communication is a stockholder or proxy holder, (B) the Corporation shall implement reasonable measures to provide such stockholders and proxy holders a reasonable opportunity to participate in the meeting and, if entitled to vote, to vote on matters submitted to the applicable stockholders, including an opportunity to read or hear the proceedings of the meeting substantially concurrently with such proceedings, and (C) if any stockholder or proxy holder votes or takes other action at the meeting by means of remote communication, a record of such votes or other action shall be maintained by the Corporation.</w:t>
      </w:r>
    </w:p>
    <w:p>
      <w:pPr>
        <w:spacing w:after="0" w:line="177" w:lineRule="exact"/>
        <w:rPr>
          <w:rFonts w:ascii="Arial" w:cs="Arial" w:eastAsia="Arial" w:hAnsi="Arial"/>
          <w:sz w:val="17"/>
          <w:szCs w:val="17"/>
          <w:color w:val="auto"/>
        </w:rPr>
      </w:pPr>
    </w:p>
    <w:p>
      <w:pPr>
        <w:jc w:val="both"/>
        <w:ind w:firstLine="1304"/>
        <w:spacing w:after="0" w:line="257" w:lineRule="auto"/>
        <w:tabs>
          <w:tab w:leader="none" w:pos="1564" w:val="left"/>
        </w:tabs>
        <w:numPr>
          <w:ilvl w:val="0"/>
          <w:numId w:val="184"/>
        </w:numPr>
        <w:rPr>
          <w:rFonts w:ascii="Arial" w:cs="Arial" w:eastAsia="Arial" w:hAnsi="Arial"/>
          <w:sz w:val="18"/>
          <w:szCs w:val="18"/>
          <w:color w:val="auto"/>
        </w:rPr>
      </w:pPr>
      <w:r>
        <w:rPr>
          <w:rFonts w:ascii="Arial" w:cs="Arial" w:eastAsia="Arial" w:hAnsi="Arial"/>
          <w:sz w:val="18"/>
          <w:szCs w:val="18"/>
          <w:u w:val="single" w:color="auto"/>
          <w:color w:val="auto"/>
        </w:rPr>
        <w:t>Board Meetings</w:t>
      </w:r>
      <w:r>
        <w:rPr>
          <w:rFonts w:ascii="Arial" w:cs="Arial" w:eastAsia="Arial" w:hAnsi="Arial"/>
          <w:sz w:val="18"/>
          <w:szCs w:val="18"/>
          <w:color w:val="auto"/>
        </w:rPr>
        <w:t>. Unless otherwise restricted by applicable law, the Certificate of Incorporation or these Bylaws, members of the Board or any committee thereof may participate in a meeting of the Board or any committee thereof by means of conference telephone or other communications equipment by means of which all persons participating in the meeting can hear each other. Such participation in a meeting shall constitute presence in person at the meeting, except where a person participates in the meeting for the express purpose of objecting to the transaction of any business on the ground that the meeting was not lawfully called or convened.</w:t>
      </w:r>
    </w:p>
    <w:p>
      <w:pPr>
        <w:spacing w:after="0" w:line="184"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Section 9.6. Dividends</w:t>
      </w:r>
      <w:r>
        <w:rPr>
          <w:rFonts w:ascii="Arial" w:cs="Arial" w:eastAsia="Arial" w:hAnsi="Arial"/>
          <w:sz w:val="16"/>
          <w:szCs w:val="16"/>
          <w:color w:val="auto"/>
        </w:rPr>
        <w:t>. The Board may from time to time declare, and the Corporation may pay, dividends (payable in cash, property or shares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Corporation’s capital stock) on the Corporation’s outstanding shares of capital stock, subject to applicable law and the Certificate of Incorporation.</w:t>
      </w:r>
    </w:p>
    <w:p>
      <w:pPr>
        <w:spacing w:after="0" w:line="11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Section 9.7. Reserves</w:t>
      </w:r>
      <w:r>
        <w:rPr>
          <w:rFonts w:ascii="Arial" w:cs="Arial" w:eastAsia="Arial" w:hAnsi="Arial"/>
          <w:sz w:val="18"/>
          <w:szCs w:val="18"/>
          <w:color w:val="auto"/>
        </w:rPr>
        <w:t>. The Board may set apart out of the funds of the Corporation available for dividends a reserve or reserves for any proper</w:t>
      </w:r>
      <w:r>
        <w:rPr>
          <w:rFonts w:ascii="Arial" w:cs="Arial" w:eastAsia="Arial" w:hAnsi="Arial"/>
          <w:sz w:val="18"/>
          <w:szCs w:val="18"/>
          <w:b w:val="1"/>
          <w:bCs w:val="1"/>
          <w:color w:val="auto"/>
        </w:rPr>
        <w:t xml:space="preserve"> </w:t>
      </w:r>
      <w:r>
        <w:rPr>
          <w:rFonts w:ascii="Arial" w:cs="Arial" w:eastAsia="Arial" w:hAnsi="Arial"/>
          <w:sz w:val="18"/>
          <w:szCs w:val="18"/>
          <w:color w:val="auto"/>
        </w:rPr>
        <w:t>purpose and may abolish any such reserve.</w:t>
      </w:r>
    </w:p>
    <w:p>
      <w:pPr>
        <w:spacing w:after="0" w:line="16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b w:val="1"/>
          <w:bCs w:val="1"/>
          <w:color w:val="auto"/>
        </w:rPr>
        <w:t>Section 9.8. Contracts and Negotiable Instruments</w:t>
      </w:r>
      <w:r>
        <w:rPr>
          <w:rFonts w:ascii="Arial" w:cs="Arial" w:eastAsia="Arial" w:hAnsi="Arial"/>
          <w:sz w:val="18"/>
          <w:szCs w:val="18"/>
          <w:color w:val="auto"/>
        </w:rPr>
        <w:t>. Except as otherwise provided by applicable law, the Certificate of Incorporation or these</w:t>
      </w:r>
      <w:r>
        <w:rPr>
          <w:rFonts w:ascii="Arial" w:cs="Arial" w:eastAsia="Arial" w:hAnsi="Arial"/>
          <w:sz w:val="18"/>
          <w:szCs w:val="18"/>
          <w:b w:val="1"/>
          <w:bCs w:val="1"/>
          <w:color w:val="auto"/>
        </w:rPr>
        <w:t xml:space="preserve"> </w:t>
      </w:r>
      <w:r>
        <w:rPr>
          <w:rFonts w:ascii="Arial" w:cs="Arial" w:eastAsia="Arial" w:hAnsi="Arial"/>
          <w:sz w:val="18"/>
          <w:szCs w:val="18"/>
          <w:color w:val="auto"/>
        </w:rPr>
        <w:t>Bylaws, any contract, bond, deed, lease, mortgage or other instrument may be executed and delivered in the name and on behalf of the Corporation by such officer or officers or other employee or employees of the Corporation as the Board may from time to time authorize. Such authority may be general or confined to specific instances as the Board may determine. The Chairman of the Board, the Chief Executive Officer, the President, the Chief Financial Officer, the Treasurer or any Vice President may execute and deliver any contract, bond, deed, lease, mortgage or other instrument in the name and on behalf of the Corporation. Subject to any restrictions imposed by the Board, the Chairman of the Board Chief Executive Officer, President, the Chief Financial Officer, the Treasurer or any Vice President may delegate powers to execute and deliver any contract, bond, deed, lease, mortgage or other instrument in the name and on behalf of the Corporation to other officers or employees of the Corporation under such person’s supervision and authority, it being understood, however, that any such delegation of power shall not relieve such officer of responsibility with respect to the exercise of such delegated power.</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9.9. Fiscal Year</w:t>
      </w:r>
      <w:r>
        <w:rPr>
          <w:rFonts w:ascii="Arial" w:cs="Arial" w:eastAsia="Arial" w:hAnsi="Arial"/>
          <w:sz w:val="18"/>
          <w:szCs w:val="18"/>
          <w:color w:val="auto"/>
        </w:rPr>
        <w:t>. The fiscal year of the Corporation shall be fixed by the Board.</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Section 9.10. Seal</w:t>
      </w:r>
      <w:r>
        <w:rPr>
          <w:rFonts w:ascii="Arial" w:cs="Arial" w:eastAsia="Arial" w:hAnsi="Arial"/>
          <w:sz w:val="18"/>
          <w:szCs w:val="18"/>
          <w:color w:val="auto"/>
        </w:rPr>
        <w:t>. The Board may adopt a corporate seal, which shall be in such form as the Board determines. The seal may be used by causing</w:t>
      </w:r>
      <w:r>
        <w:rPr>
          <w:rFonts w:ascii="Arial" w:cs="Arial" w:eastAsia="Arial" w:hAnsi="Arial"/>
          <w:sz w:val="18"/>
          <w:szCs w:val="18"/>
          <w:b w:val="1"/>
          <w:bCs w:val="1"/>
          <w:color w:val="auto"/>
        </w:rPr>
        <w:t xml:space="preserve"> </w:t>
      </w:r>
      <w:r>
        <w:rPr>
          <w:rFonts w:ascii="Arial" w:cs="Arial" w:eastAsia="Arial" w:hAnsi="Arial"/>
          <w:sz w:val="18"/>
          <w:szCs w:val="18"/>
          <w:color w:val="auto"/>
        </w:rPr>
        <w:t>it or a facsimile thereof to be impressed, affixed or otherwise reproduced.</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7" w:name="page238"/>
    <w:bookmarkEnd w:id="237"/>
    <w:p>
      <w:pPr>
        <w:jc w:val="both"/>
        <w:ind w:firstLine="648"/>
        <w:spacing w:after="0" w:line="282" w:lineRule="auto"/>
        <w:rPr>
          <w:sz w:val="20"/>
          <w:szCs w:val="20"/>
          <w:color w:val="auto"/>
        </w:rPr>
      </w:pPr>
      <w:r>
        <w:rPr>
          <w:rFonts w:ascii="Arial" w:cs="Arial" w:eastAsia="Arial" w:hAnsi="Arial"/>
          <w:sz w:val="18"/>
          <w:szCs w:val="18"/>
          <w:b w:val="1"/>
          <w:bCs w:val="1"/>
          <w:color w:val="auto"/>
        </w:rPr>
        <w:t>Section 9.11. Books and Records</w:t>
      </w:r>
      <w:r>
        <w:rPr>
          <w:rFonts w:ascii="Arial" w:cs="Arial" w:eastAsia="Arial" w:hAnsi="Arial"/>
          <w:sz w:val="18"/>
          <w:szCs w:val="18"/>
          <w:color w:val="auto"/>
        </w:rPr>
        <w:t>. The books and records of the Corporation may be kept within or outside the State of Delaware at such place or</w:t>
      </w:r>
      <w:r>
        <w:rPr>
          <w:rFonts w:ascii="Arial" w:cs="Arial" w:eastAsia="Arial" w:hAnsi="Arial"/>
          <w:sz w:val="18"/>
          <w:szCs w:val="18"/>
          <w:b w:val="1"/>
          <w:bCs w:val="1"/>
          <w:color w:val="auto"/>
        </w:rPr>
        <w:t xml:space="preserve"> </w:t>
      </w:r>
      <w:r>
        <w:rPr>
          <w:rFonts w:ascii="Arial" w:cs="Arial" w:eastAsia="Arial" w:hAnsi="Arial"/>
          <w:sz w:val="18"/>
          <w:szCs w:val="18"/>
          <w:color w:val="auto"/>
        </w:rPr>
        <w:t>places as may from time to time be designated by the Board.</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Section 9.12. Resignation</w:t>
      </w:r>
      <w:r>
        <w:rPr>
          <w:rFonts w:ascii="Arial" w:cs="Arial" w:eastAsia="Arial" w:hAnsi="Arial"/>
          <w:sz w:val="18"/>
          <w:szCs w:val="18"/>
          <w:color w:val="auto"/>
        </w:rPr>
        <w:t>. Any director, committee member or officer may resign by giving notice thereof in writing or by electronic</w:t>
      </w:r>
      <w:r>
        <w:rPr>
          <w:rFonts w:ascii="Arial" w:cs="Arial" w:eastAsia="Arial" w:hAnsi="Arial"/>
          <w:sz w:val="18"/>
          <w:szCs w:val="18"/>
          <w:b w:val="1"/>
          <w:bCs w:val="1"/>
          <w:color w:val="auto"/>
        </w:rPr>
        <w:t xml:space="preserve"> </w:t>
      </w:r>
      <w:r>
        <w:rPr>
          <w:rFonts w:ascii="Arial" w:cs="Arial" w:eastAsia="Arial" w:hAnsi="Arial"/>
          <w:sz w:val="18"/>
          <w:szCs w:val="18"/>
          <w:color w:val="auto"/>
        </w:rPr>
        <w:t>transmission to the Chairman of the Board, the Chief Executive Officer, the President or the Secretary. The resignation shall take effect at the time it is delivered unless the resignation specifies a later effective date or an effective date determined upon the happening of an event or events. Unless otherwise specified therein, the acceptance of such resignation shall not be necessary to make it effective.</w:t>
      </w:r>
    </w:p>
    <w:p>
      <w:pPr>
        <w:spacing w:after="0" w:line="18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Section 9.13. Surety Bonds</w:t>
      </w:r>
      <w:r>
        <w:rPr>
          <w:rFonts w:ascii="Arial" w:cs="Arial" w:eastAsia="Arial" w:hAnsi="Arial"/>
          <w:sz w:val="18"/>
          <w:szCs w:val="18"/>
          <w:color w:val="auto"/>
        </w:rPr>
        <w:t>. Such officers, employees and agents of the Corporation (if any) as the Chairman of the Board, Chief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President or the Board may direct, from time to time, shall be bonded for the faithful performance of their duties and for the restoration to the Corporation, in case of their death, resignation, retirement, disqualification or removal from office, of all books, papers, vouchers, money and other property of whatever kind in their possession or under their control belonging to the Corporation, in such amounts and by such surety companies as the Chairman of the Board, Chief Executive Officer, President or the Board may determine. The premiums on such bonds shall be paid by the Corporation and the bonds so furnished shall be in the custody of the Secretary.</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Section 9.14. Securities of Other Corporations</w:t>
      </w:r>
      <w:r>
        <w:rPr>
          <w:rFonts w:ascii="Arial" w:cs="Arial" w:eastAsia="Arial" w:hAnsi="Arial"/>
          <w:sz w:val="18"/>
          <w:szCs w:val="18"/>
          <w:color w:val="auto"/>
        </w:rPr>
        <w:t>. Powers of attorney, proxies, waivers of notice of meeting, consents in writing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instruments relating to securities owned by the Corporation may be executed in the name of and on behalf of the Corporation by the Chairman of the Board, Chief Executive Officer, President, any Vice President or any officers authorized by the Board. Any such officer, may, in the name of and on behalf of the Corporation, take all such action as any such officer may deem advisable to vote in person or by proxy at any meeting of security holders of any corporation in which the Corporation may own securities, or to consent in writing, in the name of the Corporation as such holder, to any action by such corporation, and at any such meeting or with respect to any such consent shall possess and may exercise any and all rights and power incident to the ownership of such securities and which, as the owner thereof, the Corporation might have exercised and possessed. The Board may from time to time confer like powers upon any other person or persons.</w:t>
      </w:r>
    </w:p>
    <w:p>
      <w:pPr>
        <w:spacing w:after="0" w:line="19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Section 9.15. Amendments</w:t>
      </w:r>
      <w:r>
        <w:rPr>
          <w:rFonts w:ascii="Arial" w:cs="Arial" w:eastAsia="Arial" w:hAnsi="Arial"/>
          <w:sz w:val="18"/>
          <w:szCs w:val="18"/>
          <w:color w:val="auto"/>
        </w:rPr>
        <w:t>. The Board shall have the power to adopt, amend, alter or repeal the Bylaws. The affirmative vote of a majority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shall be required to adopt, amend, alter or repeal the Bylaws. The Bylaws also may be adopted, amended, altered or repealed by the stockholders; provided, however, that in addition to any vote of the holders of any class or series of capital stock of the Corporation required by applicable law or the Certificate of Incorporation, the affirmative vote of the holders of at least a majority of the voting power (except as otherwise provided in Section 8.7) of all outstanding shares of capital stock of the Corporation entitled to vote generally in the election of directors, voting together as a single class, shall be required for the stockholders to adopt, amend, alter or repeal the Bylaws.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8" w:name="page239"/>
    <w:bookmarkEnd w:id="238"/>
    <w:p>
      <w:pPr>
        <w:jc w:val="right"/>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SEE REVERSE FOR CERTAIN DEFINITIONS</w:t>
      </w:r>
    </w:p>
    <w:p>
      <w:pPr>
        <w:spacing w:after="0" w:line="208"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360" w:type="dxa"/>
            <w:vAlign w:val="bottom"/>
          </w:tcPr>
          <w:p>
            <w:pPr>
              <w:ind w:left="5780"/>
              <w:spacing w:after="0"/>
              <w:rPr>
                <w:sz w:val="20"/>
                <w:szCs w:val="20"/>
                <w:color w:val="auto"/>
              </w:rPr>
            </w:pPr>
            <w:r>
              <w:rPr>
                <w:rFonts w:ascii="Arial" w:cs="Arial" w:eastAsia="Arial" w:hAnsi="Arial"/>
                <w:sz w:val="18"/>
                <w:szCs w:val="18"/>
                <w:b w:val="1"/>
                <w:bCs w:val="1"/>
                <w:color w:val="auto"/>
              </w:rPr>
              <w:t>CUSIP</w:t>
            </w:r>
          </w:p>
        </w:tc>
        <w:tc>
          <w:tcPr>
            <w:tcW w:w="4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453"/>
        </w:trPr>
        <w:tc>
          <w:tcPr>
            <w:tcW w:w="2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860" w:type="dxa"/>
            <w:vAlign w:val="bottom"/>
            <w:gridSpan w:val="3"/>
          </w:tcPr>
          <w:p>
            <w:pPr>
              <w:jc w:val="center"/>
              <w:ind w:right="4380"/>
              <w:spacing w:after="0"/>
              <w:rPr>
                <w:sz w:val="20"/>
                <w:szCs w:val="20"/>
                <w:color w:val="auto"/>
              </w:rPr>
            </w:pPr>
            <w:r>
              <w:rPr>
                <w:rFonts w:ascii="Arial" w:cs="Arial" w:eastAsia="Arial" w:hAnsi="Arial"/>
                <w:sz w:val="18"/>
                <w:szCs w:val="18"/>
                <w:b w:val="1"/>
                <w:bCs w:val="1"/>
                <w:color w:val="auto"/>
                <w:w w:val="98"/>
              </w:rPr>
              <w:t>FS DEVELOPMENT CORP.</w:t>
            </w:r>
          </w:p>
        </w:tc>
      </w:tr>
      <w:tr>
        <w:trPr>
          <w:trHeight w:val="432"/>
        </w:trPr>
        <w:tc>
          <w:tcPr>
            <w:tcW w:w="2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860" w:type="dxa"/>
            <w:vAlign w:val="bottom"/>
            <w:gridSpan w:val="3"/>
          </w:tcPr>
          <w:p>
            <w:pPr>
              <w:jc w:val="center"/>
              <w:ind w:right="4380"/>
              <w:spacing w:after="0"/>
              <w:rPr>
                <w:sz w:val="20"/>
                <w:szCs w:val="20"/>
                <w:color w:val="auto"/>
              </w:rPr>
            </w:pPr>
            <w:r>
              <w:rPr>
                <w:rFonts w:ascii="Arial" w:cs="Arial" w:eastAsia="Arial" w:hAnsi="Arial"/>
                <w:sz w:val="18"/>
                <w:szCs w:val="18"/>
                <w:b w:val="1"/>
                <w:bCs w:val="1"/>
                <w:color w:val="auto"/>
                <w:w w:val="99"/>
              </w:rPr>
              <w:t>CLASS A COMMON STOCK</w:t>
            </w:r>
          </w:p>
        </w:tc>
      </w:tr>
      <w:tr>
        <w:trPr>
          <w:trHeight w:val="432"/>
        </w:trPr>
        <w:tc>
          <w:tcPr>
            <w:tcW w:w="2200" w:type="dxa"/>
            <w:vAlign w:val="bottom"/>
          </w:tcPr>
          <w:p>
            <w:pPr>
              <w:spacing w:after="0"/>
              <w:rPr>
                <w:sz w:val="20"/>
                <w:szCs w:val="20"/>
                <w:color w:val="auto"/>
              </w:rPr>
            </w:pPr>
            <w:r>
              <w:rPr>
                <w:rFonts w:ascii="Arial" w:cs="Arial" w:eastAsia="Arial" w:hAnsi="Arial"/>
                <w:sz w:val="18"/>
                <w:szCs w:val="18"/>
                <w:color w:val="auto"/>
              </w:rPr>
              <w:t>THIS CERTIFIES THAT</w:t>
            </w:r>
          </w:p>
        </w:tc>
        <w:tc>
          <w:tcPr>
            <w:tcW w:w="1520" w:type="dxa"/>
            <w:vAlign w:val="bottom"/>
          </w:tcPr>
          <w:p>
            <w:pPr>
              <w:ind w:left="360"/>
              <w:spacing w:after="0"/>
              <w:rPr>
                <w:sz w:val="20"/>
                <w:szCs w:val="20"/>
                <w:color w:val="auto"/>
              </w:rPr>
            </w:pPr>
            <w:r>
              <w:rPr>
                <w:rFonts w:ascii="Arial" w:cs="Arial" w:eastAsia="Arial" w:hAnsi="Arial"/>
                <w:sz w:val="18"/>
                <w:szCs w:val="18"/>
                <w:color w:val="auto"/>
                <w:w w:val="97"/>
              </w:rPr>
              <w:t>is the owner of</w:t>
            </w:r>
          </w:p>
        </w:tc>
        <w:tc>
          <w:tcPr>
            <w:tcW w:w="6860" w:type="dxa"/>
            <w:vAlign w:val="bottom"/>
            <w:gridSpan w:val="3"/>
          </w:tcPr>
          <w:p>
            <w:pPr>
              <w:ind w:left="620"/>
              <w:spacing w:after="0"/>
              <w:rPr>
                <w:sz w:val="20"/>
                <w:szCs w:val="20"/>
                <w:color w:val="auto"/>
              </w:rPr>
            </w:pPr>
            <w:r>
              <w:rPr>
                <w:rFonts w:ascii="Arial" w:cs="Arial" w:eastAsia="Arial" w:hAnsi="Arial"/>
                <w:sz w:val="18"/>
                <w:szCs w:val="18"/>
                <w:color w:val="auto"/>
                <w:w w:val="90"/>
              </w:rPr>
              <w:t>fully paid and non-assessable shares of Class A common stock, par value $0.0001 per</w:t>
            </w:r>
          </w:p>
        </w:tc>
      </w:tr>
    </w:tbl>
    <w:p>
      <w:pPr>
        <w:jc w:val="both"/>
        <w:spacing w:after="0" w:line="260" w:lineRule="auto"/>
        <w:rPr>
          <w:sz w:val="20"/>
          <w:szCs w:val="20"/>
          <w:color w:val="auto"/>
        </w:rPr>
      </w:pPr>
      <w:r>
        <w:rPr>
          <w:rFonts w:ascii="Arial" w:cs="Arial" w:eastAsia="Arial" w:hAnsi="Arial"/>
          <w:sz w:val="18"/>
          <w:szCs w:val="18"/>
          <w:color w:val="auto"/>
        </w:rPr>
        <w:t>share (the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of FS Development Corp.,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transferable on the books of the Company in person or by duly authorized attorney upon surrender of this certificate properly endorsed.</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certificate is not valid unless countersigned by the Transfer Agent and registered by the Registrar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Witness the facsimile signature of a duly authorized signatory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tabs>
          <w:tab w:leader="none" w:pos="5840" w:val="left"/>
        </w:tabs>
        <w:rPr>
          <w:sz w:val="20"/>
          <w:szCs w:val="20"/>
          <w:color w:val="auto"/>
        </w:rPr>
      </w:pPr>
      <w:r>
        <w:rPr>
          <w:rFonts w:ascii="Arial" w:cs="Arial" w:eastAsia="Arial" w:hAnsi="Arial"/>
          <w:sz w:val="18"/>
          <w:szCs w:val="18"/>
          <w:color w:val="auto"/>
        </w:rPr>
        <w:t>Authorized Signatory</w:t>
      </w:r>
      <w:r>
        <w:rPr>
          <w:sz w:val="20"/>
          <w:szCs w:val="20"/>
          <w:color w:val="auto"/>
        </w:rPr>
        <w:tab/>
      </w:r>
      <w:r>
        <w:rPr>
          <w:rFonts w:ascii="Arial" w:cs="Arial" w:eastAsia="Arial" w:hAnsi="Arial"/>
          <w:sz w:val="16"/>
          <w:szCs w:val="16"/>
          <w:color w:val="auto"/>
        </w:rPr>
        <w:t>Transfer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9" w:name="page240"/>
    <w:bookmarkEnd w:id="239"/>
    <w:p>
      <w:pPr>
        <w:jc w:val="center"/>
        <w:ind w:right="-19"/>
        <w:spacing w:after="0"/>
        <w:rPr>
          <w:sz w:val="20"/>
          <w:szCs w:val="20"/>
          <w:color w:val="auto"/>
        </w:rPr>
      </w:pPr>
      <w:r>
        <w:rPr>
          <w:rFonts w:ascii="Arial" w:cs="Arial" w:eastAsia="Arial" w:hAnsi="Arial"/>
          <w:sz w:val="18"/>
          <w:szCs w:val="18"/>
          <w:b w:val="1"/>
          <w:bCs w:val="1"/>
          <w:color w:val="auto"/>
        </w:rPr>
        <w:t>FS DEVELOPMENT CORP.</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Company will furnish without charge to each stockholder who so requests, a statement of the powers, designations, preferences and relative, participating, optional or other special rights of each class of equity or series thereof of the Company and the qualifications, limitations, or restrictions of such preferences and/or rights. This certificate and the shares represented thereby are issued and shall be held subject to all the provisions of the Company’s Amended and Restated Certificate of Incorporation and all amendments thereto and resolutions of the Board of Directors providing for the issue of securities (copies of which may be obtained from the secretary of the Company), to all of which the holder of this certificate by acceptance hereof assents.</w:t>
      </w:r>
    </w:p>
    <w:p>
      <w:pPr>
        <w:spacing w:after="0" w:line="16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abbreviations, when used in the inscription on the face of this certificate, shall be construed as though they were written out in full according to applicable laws or regulations:</w:t>
      </w:r>
    </w:p>
    <w:p>
      <w:pPr>
        <w:spacing w:after="0" w:line="153"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480" w:type="dxa"/>
            <w:vAlign w:val="bottom"/>
          </w:tcPr>
          <w:p>
            <w:pPr>
              <w:spacing w:after="0"/>
              <w:rPr>
                <w:sz w:val="20"/>
                <w:szCs w:val="20"/>
                <w:color w:val="auto"/>
              </w:rPr>
            </w:pPr>
            <w:r>
              <w:rPr>
                <w:rFonts w:ascii="Arial" w:cs="Arial" w:eastAsia="Arial" w:hAnsi="Arial"/>
                <w:sz w:val="18"/>
                <w:szCs w:val="18"/>
                <w:color w:val="auto"/>
              </w:rPr>
              <w:t>TEN COM — as tenants in common</w:t>
            </w:r>
          </w:p>
        </w:tc>
        <w:tc>
          <w:tcPr>
            <w:tcW w:w="2900" w:type="dxa"/>
            <w:vAlign w:val="bottom"/>
          </w:tcPr>
          <w:p>
            <w:pPr>
              <w:ind w:left="200"/>
              <w:spacing w:after="0"/>
              <w:rPr>
                <w:sz w:val="20"/>
                <w:szCs w:val="20"/>
                <w:color w:val="auto"/>
              </w:rPr>
            </w:pPr>
            <w:r>
              <w:rPr>
                <w:rFonts w:ascii="Arial" w:cs="Arial" w:eastAsia="Arial" w:hAnsi="Arial"/>
                <w:sz w:val="18"/>
                <w:szCs w:val="18"/>
                <w:color w:val="auto"/>
              </w:rPr>
              <w:t>UNIF GIFT MIN ACT</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980" w:type="dxa"/>
            <w:vAlign w:val="bottom"/>
            <w:gridSpan w:val="6"/>
          </w:tcPr>
          <w:p>
            <w:pPr>
              <w:jc w:val="center"/>
              <w:ind w:right="980"/>
              <w:spacing w:after="0"/>
              <w:rPr>
                <w:sz w:val="20"/>
                <w:szCs w:val="20"/>
                <w:color w:val="auto"/>
              </w:rPr>
            </w:pPr>
            <w:r>
              <w:rPr>
                <w:rFonts w:ascii="Arial" w:cs="Arial" w:eastAsia="Arial" w:hAnsi="Arial"/>
                <w:sz w:val="18"/>
                <w:szCs w:val="18"/>
                <w:color w:val="auto"/>
                <w:w w:val="88"/>
              </w:rPr>
              <w:t>Custodian</w:t>
            </w:r>
          </w:p>
        </w:tc>
      </w:tr>
      <w:tr>
        <w:trPr>
          <w:trHeight w:val="222"/>
        </w:trPr>
        <w:tc>
          <w:tcPr>
            <w:tcW w:w="4480" w:type="dxa"/>
            <w:vAlign w:val="bottom"/>
          </w:tcPr>
          <w:p>
            <w:pPr>
              <w:spacing w:after="0"/>
              <w:rPr>
                <w:sz w:val="20"/>
                <w:szCs w:val="20"/>
                <w:color w:val="auto"/>
              </w:rPr>
            </w:pPr>
            <w:r>
              <w:rPr>
                <w:rFonts w:ascii="Arial" w:cs="Arial" w:eastAsia="Arial" w:hAnsi="Arial"/>
                <w:sz w:val="18"/>
                <w:szCs w:val="18"/>
                <w:color w:val="auto"/>
              </w:rPr>
              <w:t>TEN ENT — as tenants by the entireties</w:t>
            </w:r>
          </w:p>
        </w:tc>
        <w:tc>
          <w:tcPr>
            <w:tcW w:w="29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(Cust)</w:t>
            </w:r>
          </w:p>
        </w:tc>
        <w:tc>
          <w:tcPr>
            <w:tcW w:w="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color w:val="auto"/>
              </w:rPr>
              <w:t>(Minor)</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w w:val="98"/>
              </w:rPr>
              <w:t>JT TEN   — as joint tenants with right of survivorship and</w:t>
            </w:r>
          </w:p>
        </w:tc>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480" w:type="dxa"/>
            <w:vAlign w:val="bottom"/>
          </w:tcPr>
          <w:p>
            <w:pPr>
              <w:ind w:left="1020"/>
              <w:spacing w:after="0"/>
              <w:rPr>
                <w:sz w:val="20"/>
                <w:szCs w:val="20"/>
                <w:color w:val="auto"/>
              </w:rPr>
            </w:pPr>
            <w:r>
              <w:rPr>
                <w:rFonts w:ascii="Arial" w:cs="Arial" w:eastAsia="Arial" w:hAnsi="Arial"/>
                <w:sz w:val="18"/>
                <w:szCs w:val="18"/>
                <w:color w:val="auto"/>
              </w:rPr>
              <w:t>not as tenants in common</w:t>
            </w:r>
          </w:p>
        </w:tc>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40" w:type="dxa"/>
            <w:vAlign w:val="bottom"/>
            <w:gridSpan w:val="7"/>
          </w:tcPr>
          <w:p>
            <w:pPr>
              <w:ind w:left="140"/>
              <w:spacing w:after="0"/>
              <w:rPr>
                <w:sz w:val="20"/>
                <w:szCs w:val="20"/>
                <w:color w:val="auto"/>
              </w:rPr>
            </w:pPr>
            <w:r>
              <w:rPr>
                <w:rFonts w:ascii="Arial" w:cs="Arial" w:eastAsia="Arial" w:hAnsi="Arial"/>
                <w:sz w:val="18"/>
                <w:szCs w:val="18"/>
                <w:color w:val="auto"/>
              </w:rPr>
              <w:t>under Uniform Gifts to Minors Act</w:t>
            </w:r>
          </w:p>
        </w:tc>
      </w:tr>
      <w:tr>
        <w:trPr>
          <w:trHeight w:val="190"/>
        </w:trPr>
        <w:tc>
          <w:tcPr>
            <w:tcW w:w="44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40" w:type="dxa"/>
            <w:vAlign w:val="bottom"/>
            <w:gridSpan w:val="7"/>
          </w:tcPr>
          <w:p>
            <w:pPr>
              <w:jc w:val="center"/>
              <w:ind w:right="140"/>
              <w:spacing w:after="0" w:line="190" w:lineRule="exact"/>
              <w:rPr>
                <w:sz w:val="20"/>
                <w:szCs w:val="20"/>
                <w:color w:val="auto"/>
              </w:rPr>
            </w:pPr>
            <w:r>
              <w:rPr>
                <w:rFonts w:ascii="Arial" w:cs="Arial" w:eastAsia="Arial" w:hAnsi="Arial"/>
                <w:sz w:val="18"/>
                <w:szCs w:val="18"/>
                <w:color w:val="auto"/>
                <w:w w:val="89"/>
              </w:rPr>
              <w:t>______________________________</w:t>
            </w:r>
          </w:p>
        </w:tc>
      </w:tr>
      <w:tr>
        <w:trPr>
          <w:trHeight w:val="196"/>
        </w:trPr>
        <w:tc>
          <w:tcPr>
            <w:tcW w:w="44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88"/>
              </w:rPr>
              <w:t>(State)</w:t>
            </w:r>
          </w:p>
        </w:tc>
        <w:tc>
          <w:tcPr>
            <w:tcW w:w="1100" w:type="dxa"/>
            <w:vAlign w:val="bottom"/>
            <w:tcBorders>
              <w:top w:val="single" w:sz="8" w:color="auto"/>
            </w:tcBorders>
            <w:gridSpan w:val="2"/>
          </w:tcPr>
          <w:p>
            <w:pPr>
              <w:spacing w:after="0"/>
              <w:rPr>
                <w:sz w:val="17"/>
                <w:szCs w:val="17"/>
                <w:color w:val="auto"/>
              </w:rPr>
            </w:pPr>
          </w:p>
        </w:tc>
        <w:tc>
          <w:tcPr>
            <w:tcW w:w="140" w:type="dxa"/>
            <w:vAlign w:val="bottom"/>
          </w:tcPr>
          <w:p>
            <w:pPr>
              <w:spacing w:after="0"/>
              <w:rPr>
                <w:sz w:val="17"/>
                <w:szCs w:val="17"/>
                <w:color w:val="auto"/>
              </w:rPr>
            </w:pPr>
          </w:p>
        </w:tc>
      </w:tr>
    </w:tbl>
    <w:p>
      <w:pPr>
        <w:spacing w:after="0" w:line="22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Additional abbreviations may also be used though not in the above list.</w:t>
      </w:r>
    </w:p>
    <w:p>
      <w:pPr>
        <w:spacing w:after="0" w:line="225" w:lineRule="exact"/>
        <w:rPr>
          <w:sz w:val="20"/>
          <w:szCs w:val="20"/>
          <w:color w:val="auto"/>
        </w:rPr>
      </w:pPr>
    </w:p>
    <w:p>
      <w:pPr>
        <w:spacing w:after="0"/>
        <w:tabs>
          <w:tab w:leader="none" w:pos="1780" w:val="left"/>
        </w:tabs>
        <w:rPr>
          <w:sz w:val="20"/>
          <w:szCs w:val="20"/>
          <w:color w:val="auto"/>
        </w:rPr>
      </w:pPr>
      <w:r>
        <w:rPr>
          <w:rFonts w:ascii="Arial" w:cs="Arial" w:eastAsia="Arial" w:hAnsi="Arial"/>
          <w:sz w:val="18"/>
          <w:szCs w:val="18"/>
          <w:i w:val="1"/>
          <w:iCs w:val="1"/>
          <w:color w:val="auto"/>
        </w:rPr>
        <w:t>For value received,</w:t>
      </w:r>
      <w:r>
        <w:rPr>
          <w:sz w:val="20"/>
          <w:szCs w:val="20"/>
          <w:color w:val="auto"/>
        </w:rPr>
        <w:tab/>
      </w:r>
      <w:r>
        <w:rPr>
          <w:rFonts w:ascii="Arial" w:cs="Arial" w:eastAsia="Arial" w:hAnsi="Arial"/>
          <w:sz w:val="16"/>
          <w:szCs w:val="16"/>
          <w:i w:val="1"/>
          <w:iCs w:val="1"/>
          <w:color w:val="auto"/>
        </w:rPr>
        <w:t>hereby sells, assigns and transfers unto</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(PLEASE INSERT SOCIAL SECURITY OR OTHER IDENTIFYING NUMBER(S) OF ASSIGNEE(S))</w:t>
      </w:r>
    </w:p>
    <w:p>
      <w:pPr>
        <w:spacing w:after="0" w:line="225"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(PLEASE PRINT OR TYPEWRITE NAME(S) AND ADDRESS(ES), INCLUDING ZIP CODE, OF ASSIGNEE(S))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shares of Common Stock represented by the within Certificate, and hereby irrevocably constitutes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appoints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Attorney to transfer the said shares of Common Stock on the books of the within named Company with full power of substitution in the premises.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23495</wp:posOffset>
            </wp:positionV>
            <wp:extent cx="342011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2">
                      <a:extLst>
                        <a:ext uri="{28A0092B-C50C-407E-A947-70E740481C1C}"/>
                      </a:extLst>
                    </a:blip>
                    <a:srcRect/>
                    <a:stretch>
                      <a:fillRect/>
                    </a:stretch>
                  </pic:blipFill>
                  <pic:spPr bwMode="auto">
                    <a:xfrm>
                      <a:off x="0" y="0"/>
                      <a:ext cx="3420110" cy="17145"/>
                    </a:xfrm>
                    <a:prstGeom prst="rect">
                      <a:avLst/>
                    </a:prstGeom>
                    <a:noFill/>
                  </pic:spPr>
                </pic:pic>
              </a:graphicData>
            </a:graphic>
          </wp:anchor>
        </w:drawing>
      </w:r>
    </w:p>
    <w:p>
      <w:pPr>
        <w:spacing w:after="0" w:line="26" w:lineRule="exact"/>
        <w:rPr>
          <w:sz w:val="20"/>
          <w:szCs w:val="20"/>
          <w:color w:val="auto"/>
        </w:rPr>
      </w:pPr>
    </w:p>
    <w:p>
      <w:pPr>
        <w:ind w:left="5860"/>
        <w:spacing w:after="0"/>
        <w:rPr>
          <w:sz w:val="20"/>
          <w:szCs w:val="20"/>
          <w:color w:val="auto"/>
        </w:rPr>
      </w:pPr>
      <w:r>
        <w:rPr>
          <w:rFonts w:ascii="Arial" w:cs="Arial" w:eastAsia="Arial" w:hAnsi="Arial"/>
          <w:sz w:val="17"/>
          <w:szCs w:val="17"/>
          <w:b w:val="1"/>
          <w:bCs w:val="1"/>
          <w:color w:val="auto"/>
        </w:rPr>
        <w:t xml:space="preserve">Notice: </w:t>
      </w:r>
      <w:r>
        <w:rPr>
          <w:rFonts w:ascii="Arial" w:cs="Arial" w:eastAsia="Arial" w:hAnsi="Arial"/>
          <w:sz w:val="17"/>
          <w:szCs w:val="17"/>
          <w:color w:val="auto"/>
        </w:rPr>
        <w:t>The signature(s) to this assignment must correspond with the</w:t>
      </w:r>
    </w:p>
    <w:p>
      <w:pPr>
        <w:spacing w:after="0" w:line="39"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name as written upon the face of the certificate in every particular, without</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alteration or enlargement or any change whatever.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0" w:name="page241"/>
    <w:bookmarkEnd w:id="240"/>
    <w:p>
      <w:pPr>
        <w:spacing w:after="0"/>
        <w:rPr>
          <w:sz w:val="20"/>
          <w:szCs w:val="20"/>
          <w:color w:val="auto"/>
        </w:rPr>
      </w:pPr>
      <w:r>
        <w:rPr>
          <w:rFonts w:ascii="Arial" w:cs="Arial" w:eastAsia="Arial" w:hAnsi="Arial"/>
          <w:sz w:val="18"/>
          <w:szCs w:val="18"/>
          <w:b w:val="1"/>
          <w:bCs w:val="1"/>
          <w:color w:val="auto"/>
        </w:rPr>
        <w:t>Signature(s)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356616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4">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THE SIGNATURE(S) MUST BE GUARANTEED BY AN ELIGIBLE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GUARANTOR INSTITUTION (BANKS, STOCKBROKERS, SAVINGS</w:t>
      </w:r>
    </w:p>
    <w:p>
      <w:pPr>
        <w:spacing w:after="0" w:line="9" w:lineRule="exact"/>
        <w:rPr>
          <w:sz w:val="20"/>
          <w:szCs w:val="20"/>
          <w:color w:val="auto"/>
        </w:rPr>
      </w:pPr>
    </w:p>
    <w:p>
      <w:pPr>
        <w:spacing w:after="0"/>
        <w:tabs>
          <w:tab w:leader="none" w:pos="580" w:val="left"/>
          <w:tab w:leader="none" w:pos="1300" w:val="left"/>
          <w:tab w:leader="none" w:pos="2780" w:val="left"/>
          <w:tab w:leader="none" w:pos="3380" w:val="left"/>
          <w:tab w:leader="none" w:pos="4240" w:val="left"/>
          <w:tab w:leader="none" w:pos="5140" w:val="left"/>
        </w:tabs>
        <w:rPr>
          <w:sz w:val="20"/>
          <w:szCs w:val="20"/>
          <w:color w:val="auto"/>
        </w:rPr>
      </w:pPr>
      <w:r>
        <w:rPr>
          <w:rFonts w:ascii="Arial" w:cs="Arial" w:eastAsia="Arial" w:hAnsi="Arial"/>
          <w:sz w:val="18"/>
          <w:szCs w:val="18"/>
          <w:color w:val="auto"/>
        </w:rPr>
        <w:t>AND</w:t>
        <w:tab/>
        <w:t>LOAN</w:t>
        <w:tab/>
        <w:t>ASSOCIATIONS</w:t>
        <w:tab/>
        <w:t>AND</w:t>
        <w:tab/>
        <w:t>CREDIT</w:t>
        <w:tab/>
        <w:t>UNIONS</w:t>
        <w:tab/>
        <w:t>WITH</w:t>
      </w:r>
    </w:p>
    <w:p>
      <w:pPr>
        <w:spacing w:after="0" w:line="9" w:lineRule="exact"/>
        <w:rPr>
          <w:sz w:val="20"/>
          <w:szCs w:val="20"/>
          <w:color w:val="auto"/>
        </w:rPr>
      </w:pPr>
    </w:p>
    <w:p>
      <w:pPr>
        <w:spacing w:after="0"/>
        <w:tabs>
          <w:tab w:leader="none" w:pos="1340" w:val="left"/>
          <w:tab w:leader="none" w:pos="1720" w:val="left"/>
          <w:tab w:leader="none" w:pos="2180" w:val="left"/>
          <w:tab w:leader="none" w:pos="3300" w:val="left"/>
          <w:tab w:leader="none" w:pos="4500" w:val="left"/>
        </w:tabs>
        <w:rPr>
          <w:sz w:val="20"/>
          <w:szCs w:val="20"/>
          <w:color w:val="auto"/>
        </w:rPr>
      </w:pPr>
      <w:r>
        <w:rPr>
          <w:rFonts w:ascii="Arial" w:cs="Arial" w:eastAsia="Arial" w:hAnsi="Arial"/>
          <w:sz w:val="18"/>
          <w:szCs w:val="18"/>
          <w:color w:val="auto"/>
        </w:rPr>
        <w:t>MEMBERSHIP</w:t>
        <w:tab/>
        <w:t>IN</w:t>
        <w:tab/>
        <w:t>AN</w:t>
        <w:tab/>
        <w:t>APPROVED</w:t>
        <w:tab/>
        <w:t>SIGNATURE</w:t>
      </w:r>
      <w:r>
        <w:rPr>
          <w:sz w:val="20"/>
          <w:szCs w:val="20"/>
          <w:color w:val="auto"/>
        </w:rPr>
        <w:tab/>
      </w:r>
      <w:r>
        <w:rPr>
          <w:rFonts w:ascii="Arial" w:cs="Arial" w:eastAsia="Arial" w:hAnsi="Arial"/>
          <w:sz w:val="17"/>
          <w:szCs w:val="17"/>
          <w:color w:val="auto"/>
        </w:rPr>
        <w:t>GUARANTEE</w:t>
      </w:r>
    </w:p>
    <w:p>
      <w:pPr>
        <w:spacing w:after="0" w:line="9" w:lineRule="exact"/>
        <w:rPr>
          <w:sz w:val="20"/>
          <w:szCs w:val="20"/>
          <w:color w:val="auto"/>
        </w:rPr>
      </w:pPr>
    </w:p>
    <w:p>
      <w:pPr>
        <w:spacing w:after="0"/>
        <w:tabs>
          <w:tab w:leader="none" w:pos="1200" w:val="left"/>
          <w:tab w:leader="none" w:pos="2280" w:val="left"/>
          <w:tab w:leader="none" w:pos="3360" w:val="left"/>
          <w:tab w:leader="none" w:pos="3740" w:val="left"/>
          <w:tab w:leader="none" w:pos="4360" w:val="left"/>
          <w:tab w:leader="none" w:pos="4960" w:val="left"/>
        </w:tabs>
        <w:rPr>
          <w:sz w:val="20"/>
          <w:szCs w:val="20"/>
          <w:color w:val="auto"/>
        </w:rPr>
      </w:pPr>
      <w:r>
        <w:rPr>
          <w:rFonts w:ascii="Arial" w:cs="Arial" w:eastAsia="Arial" w:hAnsi="Arial"/>
          <w:sz w:val="18"/>
          <w:szCs w:val="18"/>
          <w:color w:val="auto"/>
        </w:rPr>
        <w:t>MEDALLION</w:t>
        <w:tab/>
        <w:t>PROGRAM,</w:t>
        <w:tab/>
        <w:t>PURSUANT</w:t>
        <w:tab/>
        <w:t>TO</w:t>
        <w:tab/>
        <w:t>S.E.C.</w:t>
        <w:tab/>
        <w:t>RULE</w:t>
      </w:r>
      <w:r>
        <w:rPr>
          <w:sz w:val="20"/>
          <w:szCs w:val="20"/>
          <w:color w:val="auto"/>
        </w:rPr>
        <w:tab/>
      </w:r>
      <w:r>
        <w:rPr>
          <w:rFonts w:ascii="Arial" w:cs="Arial" w:eastAsia="Arial" w:hAnsi="Arial"/>
          <w:sz w:val="16"/>
          <w:szCs w:val="16"/>
          <w:color w:val="auto"/>
        </w:rPr>
        <w:t>17Ad-15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UNDER THE SECURITIES EXCHANGE ACT OF 1934, AS AMENDED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 ANY SUCCESSOR RULE).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more fully described in, and subject to the terms and conditions described in, the Company’s final prospectus for its initial public offering</w:t>
      </w:r>
    </w:p>
    <w:p>
      <w:pPr>
        <w:spacing w:after="0" w:line="3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dated , 2020, the holder(s) of this certificate shall be entitled to receive a pro rata portion of certain funds held in the trust account established in connection with the Company’s initial public offering only in the event that (i) the Company redeems the shares of Common Stock sold in the Company’s initial public offering and liquidates because it does not consummate an initial business combination by the date set forth (the “Last Date”) in the Company’s Amended and Restated Certificate of Incorporation, as the same may be amended from time to time (the “Charter”), (ii) the Company redeems the shares of Common Stock sold in its initial public offering properly submitted in connection with a stockholder vote to amend the Charter to modify the substance or timing of the Company’s obligation to redeem 100% of the Common Stock if it does not consummate an initial business combination by the Last Date or with respect to any other material provisions relating to stockholders’ rights or pre-initial business combination activity, or (iii) if the holder(s) seek(s) to redeem for cash his, her or its respective shares of Common Stock in connection with a tender offer (or proxy solicitation, solely in the event the Company seeks stockholder approval of the proposed initial business combination) setting forth the details of a proposed initial business combination. In no other circumstances shall the holder(s) have any right or interest of any kind in or to the trust account.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1" w:name="page242"/>
    <w:bookmarkEnd w:id="241"/>
    <w:p>
      <w:pPr>
        <w:jc w:val="right"/>
        <w:spacing w:after="0"/>
        <w:rPr>
          <w:sz w:val="20"/>
          <w:szCs w:val="20"/>
          <w:color w:val="auto"/>
        </w:rPr>
      </w:pPr>
      <w:r>
        <w:rPr>
          <w:rFonts w:ascii="Arial" w:cs="Arial" w:eastAsia="Arial" w:hAnsi="Arial"/>
          <w:sz w:val="18"/>
          <w:szCs w:val="18"/>
          <w:b w:val="1"/>
          <w:bCs w:val="1"/>
          <w:color w:val="auto"/>
        </w:rPr>
        <w:t>Exhibit 5.1</w:t>
      </w: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White &amp; Case Draft: August 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151765</wp:posOffset>
            </wp:positionV>
            <wp:extent cx="1328420" cy="10287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6">
                      <a:extLst>
                        <a:ext uri="{28A0092B-C50C-407E-A947-70E740481C1C}"/>
                      </a:extLst>
                    </a:blip>
                    <a:srcRect/>
                    <a:stretch>
                      <a:fillRect/>
                    </a:stretch>
                  </pic:blipFill>
                  <pic:spPr bwMode="auto">
                    <a:xfrm>
                      <a:off x="0" y="0"/>
                      <a:ext cx="1328420"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August 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-121920</wp:posOffset>
            </wp:positionV>
            <wp:extent cx="1329055" cy="95123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7">
                      <a:extLst>
                        <a:ext uri="{28A0092B-C50C-407E-A947-70E740481C1C}"/>
                      </a:extLst>
                    </a:blip>
                    <a:srcRect/>
                    <a:stretch>
                      <a:fillRect/>
                    </a:stretch>
                  </pic:blipFill>
                  <pic:spPr bwMode="auto">
                    <a:xfrm>
                      <a:off x="0" y="0"/>
                      <a:ext cx="1329055" cy="95123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FS Development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600 Montgomery Street, Suite 4500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 94111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right="2560"/>
        <w:spacing w:after="0" w:line="271" w:lineRule="auto"/>
        <w:rPr>
          <w:sz w:val="20"/>
          <w:szCs w:val="20"/>
          <w:color w:val="auto"/>
        </w:rPr>
      </w:pPr>
      <w:r>
        <w:rPr>
          <w:rFonts w:ascii="Arial" w:cs="Arial" w:eastAsia="Arial" w:hAnsi="Arial"/>
          <w:sz w:val="17"/>
          <w:szCs w:val="17"/>
          <w:color w:val="auto"/>
        </w:rPr>
        <w:t>We have acted as New York counsel to FS Development Corp., a corporation organized under the laws of Delaware (the “</w:t>
      </w:r>
      <w:r>
        <w:rPr>
          <w:rFonts w:ascii="Arial" w:cs="Arial" w:eastAsia="Arial" w:hAnsi="Arial"/>
          <w:sz w:val="17"/>
          <w:szCs w:val="17"/>
          <w:u w:val="single" w:color="auto"/>
          <w:color w:val="auto"/>
        </w:rPr>
        <w:t>Company</w:t>
      </w:r>
      <w:r>
        <w:rPr>
          <w:rFonts w:ascii="Arial" w:cs="Arial" w:eastAsia="Arial" w:hAnsi="Arial"/>
          <w:sz w:val="17"/>
          <w:szCs w:val="17"/>
          <w:color w:val="auto"/>
        </w:rPr>
        <w:t>”), in connection with the preparation and filing by the Company with the Securities and Exchange Commission (the “</w:t>
      </w:r>
      <w:r>
        <w:rPr>
          <w:rFonts w:ascii="Arial" w:cs="Arial" w:eastAsia="Arial" w:hAnsi="Arial"/>
          <w:sz w:val="17"/>
          <w:szCs w:val="17"/>
          <w:u w:val="single" w:color="auto"/>
          <w:color w:val="auto"/>
        </w:rPr>
        <w:t>Commission</w:t>
      </w:r>
      <w:r>
        <w:rPr>
          <w:rFonts w:ascii="Arial" w:cs="Arial" w:eastAsia="Arial" w:hAnsi="Arial"/>
          <w:sz w:val="17"/>
          <w:szCs w:val="17"/>
          <w:color w:val="auto"/>
        </w:rPr>
        <w:t>”) of a registration statement on Form S-1 (File No. 333-240098) (as amended,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and the related prospectus relating to the registration under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of the offer and sale by the Company of 11,500,000 shares of the Company’s Class A common stock, par value $0.0001 per share (the “</w:t>
      </w:r>
      <w:r>
        <w:rPr>
          <w:rFonts w:ascii="Arial" w:cs="Arial" w:eastAsia="Arial" w:hAnsi="Arial"/>
          <w:sz w:val="17"/>
          <w:szCs w:val="17"/>
          <w:u w:val="single" w:color="auto"/>
          <w:color w:val="auto"/>
        </w:rPr>
        <w:t>Common Stock</w:t>
      </w:r>
      <w:r>
        <w:rPr>
          <w:rFonts w:ascii="Arial" w:cs="Arial" w:eastAsia="Arial" w:hAnsi="Arial"/>
          <w:sz w:val="17"/>
          <w:szCs w:val="17"/>
          <w:color w:val="auto"/>
        </w:rPr>
        <w:t>”), including up to 1,500,000 shares of Common Stock which may be purchased from the Company upon the exercise of the over-allotment option to purchase additional shares as set forth in the Underwriting Agreement (as defined below).</w:t>
      </w:r>
    </w:p>
    <w:p>
      <w:pPr>
        <w:spacing w:after="0" w:line="178" w:lineRule="exact"/>
        <w:rPr>
          <w:sz w:val="20"/>
          <w:szCs w:val="20"/>
          <w:color w:val="auto"/>
        </w:rPr>
      </w:pPr>
    </w:p>
    <w:p>
      <w:pPr>
        <w:jc w:val="both"/>
        <w:ind w:right="2580"/>
        <w:spacing w:after="0" w:line="259" w:lineRule="auto"/>
        <w:rPr>
          <w:sz w:val="20"/>
          <w:szCs w:val="20"/>
          <w:color w:val="auto"/>
        </w:rPr>
      </w:pPr>
      <w:r>
        <w:rPr>
          <w:rFonts w:ascii="Arial" w:cs="Arial" w:eastAsia="Arial" w:hAnsi="Arial"/>
          <w:sz w:val="18"/>
          <w:szCs w:val="18"/>
          <w:color w:val="auto"/>
        </w:rPr>
        <w:t>This opinion letter is rendered in accordance with the requirements of Item 601(b)(5) of Regulation S–K under the Securities Act, and no opinion is expressed herein as to any matter pertaining to the contents of the Registration Statement or related prospectus, any prospectus filed pursuant to Rule 424(b) with respect thereto, other than as expressly stated herein with respect to the issuance of the shares of Common Stock.</w:t>
      </w:r>
    </w:p>
    <w:p>
      <w:pPr>
        <w:spacing w:after="0" w:line="187" w:lineRule="exact"/>
        <w:rPr>
          <w:sz w:val="20"/>
          <w:szCs w:val="20"/>
          <w:color w:val="auto"/>
        </w:rPr>
      </w:pPr>
    </w:p>
    <w:p>
      <w:pPr>
        <w:jc w:val="both"/>
        <w:ind w:right="2560"/>
        <w:spacing w:after="0" w:line="259" w:lineRule="auto"/>
        <w:rPr>
          <w:sz w:val="20"/>
          <w:szCs w:val="20"/>
          <w:color w:val="auto"/>
        </w:rPr>
      </w:pPr>
      <w:r>
        <w:rPr>
          <w:rFonts w:ascii="Arial" w:cs="Arial" w:eastAsia="Arial" w:hAnsi="Arial"/>
          <w:sz w:val="18"/>
          <w:szCs w:val="18"/>
          <w:color w:val="auto"/>
        </w:rPr>
        <w:t>In connection with our opinion expressed below, we have examined originals or copies certified or otherwise identified to our satisfaction of the following documents and such other documents, corporate records, certificates and other statements of government officials and corporate officers of the Company as we deemed necessary for the purposes of the opinion set forth in this opinion letter:</w:t>
      </w:r>
    </w:p>
    <w:p>
      <w:pPr>
        <w:spacing w:after="0" w:line="187" w:lineRule="exact"/>
        <w:rPr>
          <w:sz w:val="20"/>
          <w:szCs w:val="20"/>
          <w:color w:val="auto"/>
        </w:rPr>
      </w:pPr>
    </w:p>
    <w:p>
      <w:pPr>
        <w:ind w:left="980" w:hanging="324"/>
        <w:spacing w:after="0"/>
        <w:tabs>
          <w:tab w:leader="none" w:pos="9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Registration Statement;</w:t>
      </w:r>
    </w:p>
    <w:p>
      <w:pPr>
        <w:spacing w:after="0" w:line="225" w:lineRule="exact"/>
        <w:rPr>
          <w:rFonts w:ascii="Arial" w:cs="Arial" w:eastAsia="Arial" w:hAnsi="Arial"/>
          <w:sz w:val="18"/>
          <w:szCs w:val="18"/>
          <w:color w:val="auto"/>
        </w:rPr>
      </w:pPr>
    </w:p>
    <w:p>
      <w:pPr>
        <w:jc w:val="both"/>
        <w:ind w:left="980" w:right="2560" w:hanging="324"/>
        <w:spacing w:after="0" w:line="263" w:lineRule="auto"/>
        <w:tabs>
          <w:tab w:leader="none" w:pos="9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form of underwriting agreement to be entered into between the Company and the representative on behalf of each of the several underwriters named in Schedule A thereto, filed as Exhibit 1.1 to the Registration Statement (the “</w:t>
      </w:r>
      <w:r>
        <w:rPr>
          <w:rFonts w:ascii="Arial" w:cs="Arial" w:eastAsia="Arial" w:hAnsi="Arial"/>
          <w:sz w:val="18"/>
          <w:szCs w:val="18"/>
          <w:u w:val="single" w:color="auto"/>
          <w:color w:val="auto"/>
        </w:rPr>
        <w:t>Underwriting Agreement</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specimen Common Stock certificate, filed as Exhibit 4.1 to the Registration Statement;</w:t>
      </w:r>
    </w:p>
    <w:p>
      <w:pPr>
        <w:spacing w:after="0" w:line="225" w:lineRule="exact"/>
        <w:rPr>
          <w:rFonts w:ascii="Arial" w:cs="Arial" w:eastAsia="Arial" w:hAnsi="Arial"/>
          <w:sz w:val="18"/>
          <w:szCs w:val="18"/>
          <w:color w:val="auto"/>
        </w:rPr>
      </w:pPr>
    </w:p>
    <w:p>
      <w:pPr>
        <w:ind w:left="980" w:right="2560" w:hanging="324"/>
        <w:spacing w:after="0" w:line="277" w:lineRule="auto"/>
        <w:tabs>
          <w:tab w:leader="none" w:pos="9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 copy of the Certificate of Incorporation of the Company, certified by the Secretary of State of the State of Delaware on June 25, 2020, filed as Exhibit 3.1 to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2" w:name="page243"/>
    <w:bookmarkEnd w:id="24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5986145</wp:posOffset>
            </wp:positionH>
            <wp:positionV relativeFrom="page">
              <wp:posOffset>586105</wp:posOffset>
            </wp:positionV>
            <wp:extent cx="1329055" cy="10287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9">
                      <a:clrChange>
                        <a:clrFrom>
                          <a:srgbClr val="FFFFFF"/>
                        </a:clrFrom>
                        <a:clrTo>
                          <a:srgbClr val="FFFFFF">
                            <a:alpha val="0"/>
                          </a:srgbClr>
                        </a:clrTo>
                      </a:clrChange>
                      <a:extLst>
                        <a:ext uri="{28A0092B-C50C-407E-A947-70E740481C1C}"/>
                      </a:extLst>
                    </a:blip>
                    <a:srcRect/>
                    <a:stretch>
                      <a:fillRect/>
                    </a:stretch>
                  </pic:blipFill>
                  <pic:spPr bwMode="auto">
                    <a:xfrm>
                      <a:off x="0" y="0"/>
                      <a:ext cx="1329055" cy="102870"/>
                    </a:xfrm>
                    <a:prstGeom prst="rect">
                      <a:avLst/>
                    </a:prstGeom>
                    <a:noFill/>
                  </pic:spPr>
                </pic:pic>
              </a:graphicData>
            </a:graphic>
          </wp:anchor>
        </w:drawing>
        <w:t>August 7, 2020</w:t>
      </w:r>
    </w:p>
    <w:p>
      <w:pPr>
        <w:spacing w:after="0" w:line="225" w:lineRule="exact"/>
        <w:rPr>
          <w:sz w:val="20"/>
          <w:szCs w:val="20"/>
          <w:color w:val="auto"/>
        </w:rPr>
      </w:pPr>
    </w:p>
    <w:p>
      <w:pPr>
        <w:ind w:left="980" w:hanging="324"/>
        <w:spacing w:after="0" w:line="277" w:lineRule="auto"/>
        <w:tabs>
          <w:tab w:leader="none" w:pos="9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 copy of the Certificate of Amendment to the Certificate of Incorporation of the Company, certified by the Secretary of State of the State of Delaware on June 29, 2020, filed as Exhibit 3.2 to the Registration Statement;</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Amended and Restated Certificate of Incorporation of the Company to be in effect immediately prior to the consummation of the offering of the shares of Common Stock, a form of which is filed as Exhibit 3.3 to the Registration Statement (the “</w:t>
      </w:r>
      <w:r>
        <w:rPr>
          <w:rFonts w:ascii="Arial" w:cs="Arial" w:eastAsia="Arial" w:hAnsi="Arial"/>
          <w:sz w:val="18"/>
          <w:szCs w:val="18"/>
          <w:u w:val="single" w:color="auto"/>
          <w:color w:val="auto"/>
        </w:rPr>
        <w:t>Amended Certificate of</w:t>
      </w:r>
      <w:r>
        <w:rPr>
          <w:rFonts w:ascii="Arial" w:cs="Arial" w:eastAsia="Arial" w:hAnsi="Arial"/>
          <w:sz w:val="18"/>
          <w:szCs w:val="18"/>
          <w:color w:val="auto"/>
        </w:rPr>
        <w:t xml:space="preserve"> </w:t>
      </w:r>
      <w:r>
        <w:rPr>
          <w:rFonts w:ascii="Arial" w:cs="Arial" w:eastAsia="Arial" w:hAnsi="Arial"/>
          <w:sz w:val="18"/>
          <w:szCs w:val="18"/>
          <w:u w:val="single" w:color="auto"/>
          <w:color w:val="auto"/>
        </w:rPr>
        <w:t>Incorporation</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 copy of the Bylaws of the Company as in effect on August 7, 2020, filed as Exhibit 3.4 to the Registration Statement;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copies of Resolutions of the Board of Directors of the Company adopted on June 30, 2020 and July 24, 2020;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 copy of a certificate of the Secretary of State of the State of Delaware, dated the date hereof, certifying the existence and good standing of the Company under the laws of the State of Delaware.</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relied, to the extent we deem such reliance proper, upon such certificates or comparable documents of officers and representatives of the Company and of public officials and upon statements and information furnished by officers and representatives of the Company with respect to the accuracy of material factual matters contained therein which were not independently established by us. In rendering the opinion expressed below, we have assumed, without independent investigation or verification of any kind, the genuineness of all signatures on documents we have reviewed, the legal capacity and competency of all natural persons signing all such documents, the authenticity and completeness of all documents submitted to us as originals, the conformity to authentic, complete original documents of all documents submitted to us as copies, the truthfulness, completeness and correctness of all factual representations and statements contained in all documents we have reviewed, the accuracy and completeness of all public records examined by us, and the accuracy of all statements in certificates of officers of the Company that we reviewed.</w:t>
      </w:r>
    </w:p>
    <w:p>
      <w:pPr>
        <w:spacing w:after="0" w:line="17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Based upon the foregoing assumptions and assumptions set forth below, and subject to the qualifications and limitations stated herein, having considered such questions of law as we have deemed necessary as a basis for the opinion expressed below, we are of the opinion that:</w:t>
      </w:r>
    </w:p>
    <w:p>
      <w:pPr>
        <w:spacing w:after="0" w:line="146" w:lineRule="exact"/>
        <w:rPr>
          <w:sz w:val="20"/>
          <w:szCs w:val="20"/>
          <w:color w:val="auto"/>
        </w:rPr>
      </w:pPr>
    </w:p>
    <w:p>
      <w:pPr>
        <w:jc w:val="both"/>
        <w:ind w:left="980" w:hanging="324"/>
        <w:spacing w:after="0" w:line="259" w:lineRule="auto"/>
        <w:tabs>
          <w:tab w:leader="none" w:pos="9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When the Registration Statement becomes effective under the Securities Act, the Amended Certificate of Incorporation has been filed with the Secretary of State of the State of Delaware and the shares of Common Stock have been delivered by the Company pursuant to the Underwriting Agreement against the payment of the consideration set forth in the Underwriting Agreement, the shares of Common Stock will be validly issued, fully paid and nonassessable.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opinion expressed above is limited to questions arising under the law of the State of New York and the Delaware General Corporation Law. We do not express any opinion as to the laws of any other jurisdiction.</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opinion letter is for your benefit in connection with the Registration Statement and may be relied upon by you and by persons entitled to rely upon it pursuant to the applicable provisions of the Securities Act. This opinion letter is provided solely in connection with the distribution of the shares of Common Stock pursuant to the Registration Statement and is not to be relied upon for any other purpose.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40" w:right="339" w:bottom="1440" w:gutter="0" w:footer="0" w:header="0"/>
        </w:sectPr>
      </w:pPr>
    </w:p>
    <w:bookmarkStart w:id="243" w:name="page244"/>
    <w:bookmarkEnd w:id="24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5986145</wp:posOffset>
            </wp:positionH>
            <wp:positionV relativeFrom="page">
              <wp:posOffset>586105</wp:posOffset>
            </wp:positionV>
            <wp:extent cx="1329055" cy="10287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1">
                      <a:clrChange>
                        <a:clrFrom>
                          <a:srgbClr val="FFFFFF"/>
                        </a:clrFrom>
                        <a:clrTo>
                          <a:srgbClr val="FFFFFF">
                            <a:alpha val="0"/>
                          </a:srgbClr>
                        </a:clrTo>
                      </a:clrChange>
                      <a:extLst>
                        <a:ext uri="{28A0092B-C50C-407E-A947-70E740481C1C}"/>
                      </a:extLst>
                    </a:blip>
                    <a:srcRect/>
                    <a:stretch>
                      <a:fillRect/>
                    </a:stretch>
                  </pic:blipFill>
                  <pic:spPr bwMode="auto">
                    <a:xfrm>
                      <a:off x="0" y="0"/>
                      <a:ext cx="1329055" cy="102870"/>
                    </a:xfrm>
                    <a:prstGeom prst="rect">
                      <a:avLst/>
                    </a:prstGeom>
                    <a:noFill/>
                  </pic:spPr>
                </pic:pic>
              </a:graphicData>
            </a:graphic>
          </wp:anchor>
        </w:drawing>
        <w:t>August 7, 2020</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opinion expressed above is as of the date hereof only, and we express no opinion as to, and assume no responsibility for, the effect of any fact or circumstance occurring, or of which we learn, subsequent to the date of this opinion letter, including, without limitation, legislative and other changes in the law or changes in circumstances affecting any party. We assume no responsibility to update this opinion letter for, or to advise you of, any such facts or circumstances of which we become aware, regardless of whether or not they affect the opinion expressed in this opinion letter.</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hereby consent to the filing of this opinion letter as Exhibit 5.1 to the Registration Statement and to the reference to our firm as counsel for the Company that has passed on the validity of the shares of Common Stock appearing under the caption “Legal Matters” in the prospectus forming part of the Registration Statement or any prospectus filed pursuant to Rule 424(b) with respect thereto. In giving this consent, we do not thereby admit that we are within the category of persons whose consent is required under Section 7 of the Securities Act or the rules and regulations of the Commission thereunder.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White &amp; Case LLP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JR:CD:RB:DN:KW:JL</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40" w:right="339" w:bottom="1440" w:gutter="0" w:footer="0" w:header="0"/>
        </w:sectPr>
      </w:pPr>
    </w:p>
    <w:bookmarkStart w:id="244" w:name="page245"/>
    <w:bookmarkEnd w:id="244"/>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FS Development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600 Montgomery Street, Suite 4500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 94111</w:t>
      </w:r>
    </w:p>
    <w:p>
      <w:pPr>
        <w:spacing w:after="0" w:line="21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Initial Public Offering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This letter (this “</w:t>
      </w:r>
      <w:r>
        <w:rPr>
          <w:rFonts w:ascii="Arial" w:cs="Arial" w:eastAsia="Arial" w:hAnsi="Arial"/>
          <w:sz w:val="17"/>
          <w:szCs w:val="17"/>
          <w:b w:val="1"/>
          <w:bCs w:val="1"/>
          <w:i w:val="1"/>
          <w:iCs w:val="1"/>
          <w:color w:val="auto"/>
        </w:rPr>
        <w:t>Letter Agreement</w:t>
      </w:r>
      <w:r>
        <w:rPr>
          <w:rFonts w:ascii="Arial" w:cs="Arial" w:eastAsia="Arial" w:hAnsi="Arial"/>
          <w:sz w:val="17"/>
          <w:szCs w:val="17"/>
          <w:color w:val="auto"/>
        </w:rPr>
        <w:t>”) is being delivered to you in accordance with the Underwriting Agreement (the “</w:t>
      </w:r>
      <w:r>
        <w:rPr>
          <w:rFonts w:ascii="Arial" w:cs="Arial" w:eastAsia="Arial" w:hAnsi="Arial"/>
          <w:sz w:val="17"/>
          <w:szCs w:val="17"/>
          <w:b w:val="1"/>
          <w:bCs w:val="1"/>
          <w:i w:val="1"/>
          <w:iCs w:val="1"/>
          <w:color w:val="auto"/>
        </w:rPr>
        <w:t>Underwriting Agreement</w:t>
      </w:r>
      <w:r>
        <w:rPr>
          <w:rFonts w:ascii="Arial" w:cs="Arial" w:eastAsia="Arial" w:hAnsi="Arial"/>
          <w:sz w:val="17"/>
          <w:szCs w:val="17"/>
          <w:color w:val="auto"/>
        </w:rPr>
        <w:t>”) entered into by and between FS Development Corp.,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and Jefferies LLC, as underwriter (the “</w:t>
      </w:r>
      <w:r>
        <w:rPr>
          <w:rFonts w:ascii="Arial" w:cs="Arial" w:eastAsia="Arial" w:hAnsi="Arial"/>
          <w:sz w:val="17"/>
          <w:szCs w:val="17"/>
          <w:b w:val="1"/>
          <w:bCs w:val="1"/>
          <w:i w:val="1"/>
          <w:iCs w:val="1"/>
          <w:color w:val="auto"/>
        </w:rPr>
        <w:t>Underwriter</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relating to an underwritten initial public offering (the “</w:t>
      </w:r>
      <w:r>
        <w:rPr>
          <w:rFonts w:ascii="Arial" w:cs="Arial" w:eastAsia="Arial" w:hAnsi="Arial"/>
          <w:sz w:val="17"/>
          <w:szCs w:val="17"/>
          <w:b w:val="1"/>
          <w:bCs w:val="1"/>
          <w:i w:val="1"/>
          <w:iCs w:val="1"/>
          <w:color w:val="auto"/>
        </w:rPr>
        <w:t>Public Offering</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of up to 11,500,000 shares of the Company’s Class A common stock, par value $0.0001 per share (including up to 1,500,000 shares that may be purchased to cover over-allotments, if any) (the “</w:t>
      </w:r>
      <w:r>
        <w:rPr>
          <w:rFonts w:ascii="Arial" w:cs="Arial" w:eastAsia="Arial" w:hAnsi="Arial"/>
          <w:sz w:val="17"/>
          <w:szCs w:val="17"/>
          <w:b w:val="1"/>
          <w:bCs w:val="1"/>
          <w:i w:val="1"/>
          <w:iCs w:val="1"/>
          <w:color w:val="auto"/>
        </w:rPr>
        <w:t>Class A Common Stock</w:t>
      </w:r>
      <w:r>
        <w:rPr>
          <w:rFonts w:ascii="Arial" w:cs="Arial" w:eastAsia="Arial" w:hAnsi="Arial"/>
          <w:sz w:val="17"/>
          <w:szCs w:val="17"/>
          <w:color w:val="auto"/>
        </w:rPr>
        <w:t>”). The Class A Common Stock will be sold in the Public Offering pursuant to a registration statement on Form S-1 and prospectus (the “</w:t>
      </w:r>
      <w:r>
        <w:rPr>
          <w:rFonts w:ascii="Arial" w:cs="Arial" w:eastAsia="Arial" w:hAnsi="Arial"/>
          <w:sz w:val="17"/>
          <w:szCs w:val="17"/>
          <w:b w:val="1"/>
          <w:bCs w:val="1"/>
          <w:i w:val="1"/>
          <w:iCs w:val="1"/>
          <w:color w:val="auto"/>
        </w:rPr>
        <w:t>Prospectus</w:t>
      </w:r>
      <w:r>
        <w:rPr>
          <w:rFonts w:ascii="Arial" w:cs="Arial" w:eastAsia="Arial" w:hAnsi="Arial"/>
          <w:sz w:val="17"/>
          <w:szCs w:val="17"/>
          <w:color w:val="auto"/>
        </w:rPr>
        <w:t>”) filed by the Company with the U.S. Securities and Exchange Commission (the “</w:t>
      </w:r>
      <w:r>
        <w:rPr>
          <w:rFonts w:ascii="Arial" w:cs="Arial" w:eastAsia="Arial" w:hAnsi="Arial"/>
          <w:sz w:val="17"/>
          <w:szCs w:val="17"/>
          <w:b w:val="1"/>
          <w:bCs w:val="1"/>
          <w:i w:val="1"/>
          <w:iCs w:val="1"/>
          <w:color w:val="auto"/>
        </w:rPr>
        <w:t>Commission</w:t>
      </w:r>
      <w:r>
        <w:rPr>
          <w:rFonts w:ascii="Arial" w:cs="Arial" w:eastAsia="Arial" w:hAnsi="Arial"/>
          <w:sz w:val="17"/>
          <w:szCs w:val="17"/>
          <w:color w:val="auto"/>
        </w:rPr>
        <w:t>”) and the Company has applied to have the Class A Common Stock listed on The Nasdaq Capital Market. Certain capitalized terms used herein are defined in paragraph 11 hereof.</w:t>
      </w:r>
    </w:p>
    <w:p>
      <w:pPr>
        <w:spacing w:after="0" w:line="17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order to induce the Company and the Underwriter to enter into the Underwriting Agreement and to proceed with the Public Offering and for other good and valuable consideration, the receipt and sufficiency of which are hereby acknowledged, each of FS Development Holdings, LLC (the “</w:t>
      </w:r>
      <w:r>
        <w:rPr>
          <w:rFonts w:ascii="Arial" w:cs="Arial" w:eastAsia="Arial" w:hAnsi="Arial"/>
          <w:sz w:val="17"/>
          <w:szCs w:val="17"/>
          <w:b w:val="1"/>
          <w:bCs w:val="1"/>
          <w:i w:val="1"/>
          <w:iCs w:val="1"/>
          <w:color w:val="auto"/>
        </w:rPr>
        <w:t>Sponsor</w:t>
      </w:r>
      <w:r>
        <w:rPr>
          <w:rFonts w:ascii="Arial" w:cs="Arial" w:eastAsia="Arial" w:hAnsi="Arial"/>
          <w:sz w:val="17"/>
          <w:szCs w:val="17"/>
          <w:color w:val="auto"/>
        </w:rPr>
        <w:t>”) and the undersigned individuals, each of whom is a member of the Company’s board of directors and/or management team (each of the undersigned individuals, an “</w:t>
      </w:r>
      <w:r>
        <w:rPr>
          <w:rFonts w:ascii="Arial" w:cs="Arial" w:eastAsia="Arial" w:hAnsi="Arial"/>
          <w:sz w:val="17"/>
          <w:szCs w:val="17"/>
          <w:b w:val="1"/>
          <w:bCs w:val="1"/>
          <w:i w:val="1"/>
          <w:iCs w:val="1"/>
          <w:color w:val="auto"/>
        </w:rPr>
        <w:t>Insider</w:t>
      </w:r>
      <w:r>
        <w:rPr>
          <w:rFonts w:ascii="Arial" w:cs="Arial" w:eastAsia="Arial" w:hAnsi="Arial"/>
          <w:sz w:val="17"/>
          <w:szCs w:val="17"/>
          <w:color w:val="auto"/>
        </w:rPr>
        <w:t>” and collectively, the “</w:t>
      </w:r>
      <w:r>
        <w:rPr>
          <w:rFonts w:ascii="Arial" w:cs="Arial" w:eastAsia="Arial" w:hAnsi="Arial"/>
          <w:sz w:val="17"/>
          <w:szCs w:val="17"/>
          <w:b w:val="1"/>
          <w:bCs w:val="1"/>
          <w:i w:val="1"/>
          <w:iCs w:val="1"/>
          <w:color w:val="auto"/>
        </w:rPr>
        <w:t>Insiders</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hereby agrees with the Company as follows:</w:t>
      </w:r>
    </w:p>
    <w:p>
      <w:pPr>
        <w:spacing w:after="0" w:line="171" w:lineRule="exact"/>
        <w:rPr>
          <w:sz w:val="20"/>
          <w:szCs w:val="20"/>
          <w:color w:val="auto"/>
        </w:rPr>
      </w:pPr>
    </w:p>
    <w:p>
      <w:pPr>
        <w:jc w:val="both"/>
        <w:ind w:firstLine="656"/>
        <w:spacing w:after="0" w:line="275" w:lineRule="auto"/>
        <w:tabs>
          <w:tab w:leader="none" w:pos="833" w:val="left"/>
        </w:tabs>
        <w:numPr>
          <w:ilvl w:val="0"/>
          <w:numId w:val="188"/>
        </w:numPr>
        <w:rPr>
          <w:rFonts w:ascii="Arial" w:cs="Arial" w:eastAsia="Arial" w:hAnsi="Arial"/>
          <w:sz w:val="17"/>
          <w:szCs w:val="17"/>
          <w:color w:val="auto"/>
        </w:rPr>
      </w:pPr>
      <w:r>
        <w:rPr>
          <w:rFonts w:ascii="Arial" w:cs="Arial" w:eastAsia="Arial" w:hAnsi="Arial"/>
          <w:sz w:val="17"/>
          <w:szCs w:val="17"/>
          <w:color w:val="auto"/>
        </w:rPr>
        <w:t>The Sponsor and each Insider agrees that if the Company seeks stockholder approval of a proposed Business Combination, then in connection with such proposed Business Combination, it, he or she shall (i) vote any shares of Common Stock (as defined below) owned by it, him or her in favor of any proposed Business Combination and (ii) not redeem any shares of Common Stock owned by it, him or her in connection with such stockholder approval. If the Company seeks to consummate a proposed Business Combination by engaging in a tender offer, the Sponsor and each Insider agrees that it, he or she will not sell or tender any shares of Common Stock owned by it, him or her in connection therewith.</w:t>
      </w:r>
    </w:p>
    <w:p>
      <w:pPr>
        <w:spacing w:after="0" w:line="176" w:lineRule="exact"/>
        <w:rPr>
          <w:rFonts w:ascii="Arial" w:cs="Arial" w:eastAsia="Arial" w:hAnsi="Arial"/>
          <w:sz w:val="17"/>
          <w:szCs w:val="17"/>
          <w:color w:val="auto"/>
        </w:rPr>
      </w:pPr>
    </w:p>
    <w:p>
      <w:pPr>
        <w:jc w:val="both"/>
        <w:ind w:firstLine="656"/>
        <w:spacing w:after="0" w:line="285" w:lineRule="auto"/>
        <w:tabs>
          <w:tab w:leader="none" w:pos="829" w:val="left"/>
        </w:tabs>
        <w:numPr>
          <w:ilvl w:val="0"/>
          <w:numId w:val="188"/>
        </w:numPr>
        <w:rPr>
          <w:rFonts w:ascii="Arial" w:cs="Arial" w:eastAsia="Arial" w:hAnsi="Arial"/>
          <w:sz w:val="16"/>
          <w:szCs w:val="16"/>
          <w:color w:val="auto"/>
        </w:rPr>
      </w:pPr>
      <w:r>
        <w:rPr>
          <w:rFonts w:ascii="Arial" w:cs="Arial" w:eastAsia="Arial" w:hAnsi="Arial"/>
          <w:sz w:val="16"/>
          <w:szCs w:val="16"/>
          <w:color w:val="auto"/>
        </w:rPr>
        <w:t>The Sponsor and each Insider hereby agrees that in the event that the Company fails to consummate a Business Combination within 24 months from the closing of the Public Offering, or such later period approved by the Company’s stockholders in accordance with the Company’s amended and restated certificate of incorporation (as it may be amended from time to time, the “</w:t>
      </w:r>
      <w:r>
        <w:rPr>
          <w:rFonts w:ascii="Arial" w:cs="Arial" w:eastAsia="Arial" w:hAnsi="Arial"/>
          <w:sz w:val="16"/>
          <w:szCs w:val="16"/>
          <w:b w:val="1"/>
          <w:bCs w:val="1"/>
          <w:i w:val="1"/>
          <w:iCs w:val="1"/>
          <w:color w:val="auto"/>
        </w:rPr>
        <w:t>Charter</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the Sponsor and each Insider shall take all reasonable steps to cause the Company to (i) cease all operations except for the purpose of winding up, (ii) as promptly as reasonably possible but not more than ten business days thereafter, redeem 100% of the shares of Class A Common Stock sold in the Public Offering (the “</w:t>
      </w:r>
      <w:r>
        <w:rPr>
          <w:rFonts w:ascii="Arial" w:cs="Arial" w:eastAsia="Arial" w:hAnsi="Arial"/>
          <w:sz w:val="16"/>
          <w:szCs w:val="16"/>
          <w:b w:val="1"/>
          <w:bCs w:val="1"/>
          <w:i w:val="1"/>
          <w:iCs w:val="1"/>
          <w:color w:val="auto"/>
        </w:rPr>
        <w:t>Offering Shares</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at a per-share price, payable in cash, equal to the aggregate amount then on deposit in the Trust Account (as defined below), including interest earned on the funds held in the Trust Account and not previously released to the Company to pay its taxes (less up to $100,000 of interest to pay dissolution expenses), divided by the number of then outstanding Offering Shares, which redemption will completely extinguish all Public Stockholders’ (as defined below) rights as stockholders (including the right to receive further liquidating distributions, if any), and (iii) as promptly as reasonably possible following such redemption, subject to the approval of the Company’s remaining stockholders and the Company’s board of directors, liquidate and dissolve, subject in each case to the Company’s obligations under Delaware law to provide for claims of creditors and other requirements of applicable law. The Sponsor and each Insider agrees to not propose any amendment to the Charter to modify the substance or timing of the Company’s obligation to redeem 100% of the Offering Shares if the Company does not complete a Business Combination within the required time period set forth in the Charter or with respect to any other material provisions relating to stockholders’ rights or pre-initial business combination activity, unless the Company provides its Public Stockholders with the opportunity to redeem their Offering Shares upon approval of any such amendment at a per-share price, payable in cash, equal to the aggregate amount then on deposit in the Trust Account, including interest earned on the funds held in the Trust Account and not previously released to the Company to pay its taxes, divided by the number of then outstanding Offering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5" w:name="page246"/>
    <w:bookmarkEnd w:id="245"/>
    <w:p>
      <w:pPr>
        <w:jc w:val="both"/>
        <w:ind w:firstLine="648"/>
        <w:spacing w:after="0" w:line="269" w:lineRule="auto"/>
        <w:rPr>
          <w:sz w:val="20"/>
          <w:szCs w:val="20"/>
          <w:color w:val="auto"/>
        </w:rPr>
      </w:pPr>
      <w:r>
        <w:rPr>
          <w:rFonts w:ascii="Arial" w:cs="Arial" w:eastAsia="Arial" w:hAnsi="Arial"/>
          <w:sz w:val="17"/>
          <w:szCs w:val="17"/>
          <w:color w:val="auto"/>
        </w:rPr>
        <w:t>The Sponsor and each Insider acknowledges that it, he or she has no right, title, interest or claim of any kind in or to any monies held in the Trust Account or any other asset of the Company as a result of any liquidation of the Company with respect to the Founder Shares held by it, him or her. The Sponsor and each Insider hereby further waives, with respect to any shares of Common Stock held by it, him or her, if any, any redemption rights it, he or she may have in connection with (A) the consummation of a Business Combination, including, without limitation, any such rights available in the context of a stockholder vote to approve such Business Combination, or (B) a stockholder vote to approve an amendment to the Charter to modify the substance or timing of the Company’s obligation to redeem 100% of the Offering Shares if the Company has not consummated a Business Combination within the time period set forth in the Charter or with respect to any other material provisions relating to stockholders’ rights or pre-initial business combination activity or in the context of a tender offer made by the Company to purchase Offering Shares (although the Sponsor, the Insiders and their respective affiliates shall be entitled to redemption and liquidation rights with respect to any Offering Shares it or they hold if the Company fails to consummate a Business Combination within the time period set forth in the Charter).</w:t>
      </w:r>
    </w:p>
    <w:p>
      <w:pPr>
        <w:spacing w:after="0" w:line="185" w:lineRule="exact"/>
        <w:rPr>
          <w:sz w:val="20"/>
          <w:szCs w:val="20"/>
          <w:color w:val="auto"/>
        </w:rPr>
      </w:pPr>
    </w:p>
    <w:p>
      <w:pPr>
        <w:jc w:val="both"/>
        <w:ind w:firstLine="656"/>
        <w:spacing w:after="0" w:line="283" w:lineRule="auto"/>
        <w:tabs>
          <w:tab w:leader="none" w:pos="829" w:val="left"/>
        </w:tabs>
        <w:numPr>
          <w:ilvl w:val="1"/>
          <w:numId w:val="189"/>
        </w:numPr>
        <w:rPr>
          <w:rFonts w:ascii="Arial" w:cs="Arial" w:eastAsia="Arial" w:hAnsi="Arial"/>
          <w:sz w:val="16"/>
          <w:szCs w:val="16"/>
          <w:color w:val="auto"/>
        </w:rPr>
      </w:pPr>
      <w:r>
        <w:rPr>
          <w:rFonts w:ascii="Arial" w:cs="Arial" w:eastAsia="Arial" w:hAnsi="Arial"/>
          <w:sz w:val="16"/>
          <w:szCs w:val="16"/>
          <w:color w:val="auto"/>
        </w:rPr>
        <w:t>Notwithstanding the provisions set forth in paragraphs in 7(a) and 7(b), during the period commencing on the effective date of the Underwriting Agreement and ending 180 days after such date, the Sponsor and each Insider shall not, without the prior written consent of the Underwriter, (i) sell, offer to sell, contract or agree to sell, hypothecate, pledge, grant any option to purchase or otherwise dispose of or agree to dispose of, directly or indirectly, or establish or increase a put equivalent position or liquidate or decrease a call equivalent position within the meaning of Section 16 of the Securities Exchange Act of 1934, as amended (the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and the rules and regulations of the Commission promulgated thereunder, with respect to shares of Common Stock (including, but not limited to, Founder Shares) or any securities convertible into, or exercisable, or exchangeable for, shares of Common Stock owned by it, him or her, (ii) enter into any swap or other arrangement that transfers to another, in whole or in part, any of the economic consequences of ownership of shares of Common Stock (including, but not limited to, Founder Shares) or any securities convertible into, or exercisable, or exchangeable for, shares of Common Stock owned by it, him or her, whether any such transaction is to be settled by delivery of such securities, in cash or otherwise, or</w:t>
      </w:r>
    </w:p>
    <w:p>
      <w:pPr>
        <w:spacing w:after="0" w:line="5" w:lineRule="exact"/>
        <w:rPr>
          <w:rFonts w:ascii="Arial" w:cs="Arial" w:eastAsia="Arial" w:hAnsi="Arial"/>
          <w:sz w:val="16"/>
          <w:szCs w:val="16"/>
          <w:color w:val="auto"/>
        </w:rPr>
      </w:pPr>
    </w:p>
    <w:p>
      <w:pPr>
        <w:jc w:val="both"/>
        <w:ind w:firstLine="8"/>
        <w:spacing w:after="0" w:line="268" w:lineRule="auto"/>
        <w:tabs>
          <w:tab w:leader="none" w:pos="328" w:val="left"/>
        </w:tabs>
        <w:numPr>
          <w:ilvl w:val="0"/>
          <w:numId w:val="190"/>
        </w:numPr>
        <w:rPr>
          <w:rFonts w:ascii="Arial" w:cs="Arial" w:eastAsia="Arial" w:hAnsi="Arial"/>
          <w:sz w:val="17"/>
          <w:szCs w:val="17"/>
          <w:color w:val="auto"/>
        </w:rPr>
      </w:pPr>
      <w:r>
        <w:rPr>
          <w:rFonts w:ascii="Arial" w:cs="Arial" w:eastAsia="Arial" w:hAnsi="Arial"/>
          <w:sz w:val="17"/>
          <w:szCs w:val="17"/>
          <w:color w:val="auto"/>
        </w:rPr>
        <w:t>publicly announce any intention to effect any transaction specified in clause (i) or (ii); provided, however, all of the foregoing does not apply to the forfeiture of any Founder Shares pursuant to their terms or any transfer of Founder Shares to any current or future independent director of the company (as long as such current or future independent director transferee is subject to this Letter Agreement or executes an agreement substantially identical to the terms of this Letter Agreement, as applicable to directors and officers at the time of such transfer; and as long as, to the extent any Section 16 reporting obligation is triggered as a result of such transfer, any related Section 16 filing includes a practical explanation as to the nature of the transfer). Each of the Insiders and the Sponsor acknowledges and agrees that, prior to the effective date of any release or waiver, of the restrictions set forth in this paragraph 3 or paragraph 7 below, the Company may announce the impending release or waiver by press release through a major news service at least two business days before the effective date of the release or waiver. The provisions of this paragraph will not apply if the release or waiver is effected solely to permit a transfer not for consideration and the transferee has agreed in writing to be bound by the same terms described in this Letter Agreement to the extent and for the duration that such terms remain in effect at the time of the transfer.</w:t>
      </w:r>
    </w:p>
    <w:p>
      <w:pPr>
        <w:spacing w:after="0" w:line="178" w:lineRule="exact"/>
        <w:rPr>
          <w:rFonts w:ascii="Arial" w:cs="Arial" w:eastAsia="Arial" w:hAnsi="Arial"/>
          <w:sz w:val="17"/>
          <w:szCs w:val="17"/>
          <w:color w:val="auto"/>
        </w:rPr>
      </w:pPr>
    </w:p>
    <w:p>
      <w:pPr>
        <w:jc w:val="both"/>
        <w:ind w:firstLine="656"/>
        <w:spacing w:after="0" w:line="286" w:lineRule="auto"/>
        <w:tabs>
          <w:tab w:leader="none" w:pos="831" w:val="left"/>
        </w:tabs>
        <w:numPr>
          <w:ilvl w:val="1"/>
          <w:numId w:val="190"/>
        </w:numPr>
        <w:rPr>
          <w:rFonts w:ascii="Arial" w:cs="Arial" w:eastAsia="Arial" w:hAnsi="Arial"/>
          <w:sz w:val="16"/>
          <w:szCs w:val="16"/>
          <w:color w:val="auto"/>
        </w:rPr>
      </w:pPr>
      <w:r>
        <w:rPr>
          <w:rFonts w:ascii="Arial" w:cs="Arial" w:eastAsia="Arial" w:hAnsi="Arial"/>
          <w:sz w:val="16"/>
          <w:szCs w:val="16"/>
          <w:color w:val="auto"/>
        </w:rPr>
        <w:t>In the event of the liquidation of the Trust Account upon the failure of the Company to consummate its initial Business Combination within the time period set forth in the Charter, the Sponsor (the “</w:t>
      </w:r>
      <w:r>
        <w:rPr>
          <w:rFonts w:ascii="Arial" w:cs="Arial" w:eastAsia="Arial" w:hAnsi="Arial"/>
          <w:sz w:val="16"/>
          <w:szCs w:val="16"/>
          <w:b w:val="1"/>
          <w:bCs w:val="1"/>
          <w:i w:val="1"/>
          <w:iCs w:val="1"/>
          <w:color w:val="auto"/>
        </w:rPr>
        <w:t>Indemnitor</w:t>
      </w:r>
      <w:r>
        <w:rPr>
          <w:rFonts w:ascii="Arial" w:cs="Arial" w:eastAsia="Arial" w:hAnsi="Arial"/>
          <w:sz w:val="16"/>
          <w:szCs w:val="16"/>
          <w:color w:val="auto"/>
        </w:rPr>
        <w:t>”) agrees to indemnify and hold harmless the Company against any and all loss, liability, claim, damage and expense whatsoever (including, but not limited to, any and all legal or other expenses reasonably incurred in investigating, preparing or defending against any litigation, whether pending or threatened) to which the Company may become subject as a result of any claim by (i) any third party for services rendered (other than the independent registered public accounting firm) or products sold to the Company or (ii) any prospective target business with which the Company has entered into a written letter of intent, confidentiality or other similar agreement or Business Combination agreement (a “</w:t>
      </w:r>
      <w:r>
        <w:rPr>
          <w:rFonts w:ascii="Arial" w:cs="Arial" w:eastAsia="Arial" w:hAnsi="Arial"/>
          <w:sz w:val="16"/>
          <w:szCs w:val="16"/>
          <w:b w:val="1"/>
          <w:bCs w:val="1"/>
          <w:i w:val="1"/>
          <w:iCs w:val="1"/>
          <w:color w:val="auto"/>
        </w:rPr>
        <w:t>Target</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provided, however, that such indemnification of the Company by the Indemnitor (x) shall apply only to the extent necessary to ensure that such claims by a third party for services rendered (other than the independent registered public accounting firm) or products sold to the Company or a Target do not reduce the amount of funds in the Trust Account to below the lesser of (i) $10.00 per Offering Share and (ii) the actual amount per Offering Share held in the Trust Account as of the date of the liquidation of the Trust Account, if less than $10.00 per Offering Share is then held in the Trust Account due to reductions in the value of the trust assets, less taxes payable, (y) shall not apply to any claims by a third party or a Target which executed a waiver of any and all rights to the monies held in the Trust Account (whether or not such waiver is enforceable) and (z) shall not apply to any claims under the Company’s indemnity of the Underwriter against certain liabilities, including liabilities under the Securities Act of 1933, as amended. The Indemnitor shall have the right to defend against any such claim with counsel of its choice reasonably satisfactory to the Company if, within 15 days following written receipt of notice of the claim to the Indemnitor, the Indemnitor notifies the Company in writing that it shall undertake such defense.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6" w:name="page247"/>
    <w:bookmarkEnd w:id="246"/>
    <w:p>
      <w:pPr>
        <w:jc w:val="both"/>
        <w:ind w:left="-20" w:firstLine="656"/>
        <w:spacing w:after="0" w:line="268" w:lineRule="auto"/>
        <w:tabs>
          <w:tab w:leader="none" w:pos="828" w:val="left"/>
        </w:tabs>
        <w:numPr>
          <w:ilvl w:val="0"/>
          <w:numId w:val="191"/>
        </w:numPr>
        <w:rPr>
          <w:rFonts w:ascii="Arial" w:cs="Arial" w:eastAsia="Arial" w:hAnsi="Arial"/>
          <w:sz w:val="17"/>
          <w:szCs w:val="17"/>
          <w:color w:val="auto"/>
        </w:rPr>
      </w:pPr>
      <w:r>
        <w:rPr>
          <w:rFonts w:ascii="Arial" w:cs="Arial" w:eastAsia="Arial" w:hAnsi="Arial"/>
          <w:sz w:val="17"/>
          <w:szCs w:val="17"/>
          <w:color w:val="auto"/>
        </w:rPr>
        <w:t>To the extent that the Underwriter does not exercise its over-allotment option to purchase up to an additional 1,500,000 shares of Class A Common Stock within 45 days from the date of the Prospectus (and as further described in the Prospectus), the Sponsor agrees to forfeit, at no cost, a number of Founder Shares in the aggregate equal to 375,000 multiplied by a fraction, (i) the numerator of which is 1,500,000 minus the number of Class A Common Stock purchased by the Underwriter upon the exercise of their over-allotment option, and (ii) the denominator of which is 1,500,000. The forfeiture will be adjusted to the extent that the over-allotment option is not exercised in full by the Underwriter so that the Founder Shares will represent an aggregate of 20.0% of the Company’s issued and outstanding shares of Class A Common Stock after the Public Offering (not including Private Placement Shares (as defined below)). The Sponsor further agrees that to the extent that the size of the Public Offering is increased or decreased, the Company will purchase or sell Class A Common Stock or effect a share repurchase or share capitalization, as applicable, immediately prior to the consummation of the Public Offering in such amount as to maintain the number of Founder Shares at 20.0% of its issued and outstanding shares of Class A Common Stock upon the consummation of the Public Offering. In connection with such increase or decrease in the size of the Public Offering, then (A) the references to 1,500,000 in the numerator and denominator of the formula in the first sentence of this paragraph shall be changed to a number equal to 15% of the number of shares of Class A Common Stock issued in the Public Offering and (B) the reference to 375,000 in the formula set forth in the first sentence of this paragraph shall be adjusted to such number of Founder Shares that the Sponsor would have to surrender to the Company in order for the number of Founder shares to equal an aggregate of 20.0% of the Company’s issued and outstanding shares of Class A Common Stock after the Public Offering (not including Private Placement Shares).</w:t>
      </w:r>
    </w:p>
    <w:p>
      <w:pPr>
        <w:spacing w:after="0" w:line="181" w:lineRule="exact"/>
        <w:rPr>
          <w:rFonts w:ascii="Arial" w:cs="Arial" w:eastAsia="Arial" w:hAnsi="Arial"/>
          <w:sz w:val="17"/>
          <w:szCs w:val="17"/>
          <w:color w:val="auto"/>
        </w:rPr>
      </w:pPr>
    </w:p>
    <w:p>
      <w:pPr>
        <w:jc w:val="both"/>
        <w:ind w:left="-20" w:firstLine="656"/>
        <w:spacing w:after="0" w:line="259" w:lineRule="auto"/>
        <w:tabs>
          <w:tab w:leader="none" w:pos="815"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Sponsor and each Insider hereby agrees and acknowledges that: (i) the Underwriter and the Company would be irreparably injured in the event of a breach by such Sponsor or an Insider of its, his or her obligations under paragraphs 1, 2, 3, 4, 5, 7(a), 7(b) and 9, as applicable, of this Letter Agreement (ii) monetary damages may not be an adequate remedy for such breach and (iii) the non-breaching party shall be entitled to injunctive relief, in addition to any other remedy that such party may have in law or in equity, in the event of such breach.</w:t>
      </w:r>
    </w:p>
    <w:p>
      <w:pPr>
        <w:spacing w:after="0" w:line="186" w:lineRule="exact"/>
        <w:rPr>
          <w:rFonts w:ascii="Arial" w:cs="Arial" w:eastAsia="Arial" w:hAnsi="Arial"/>
          <w:sz w:val="18"/>
          <w:szCs w:val="18"/>
          <w:color w:val="auto"/>
        </w:rPr>
      </w:pPr>
    </w:p>
    <w:p>
      <w:pPr>
        <w:jc w:val="both"/>
        <w:ind w:left="-20" w:firstLine="656"/>
        <w:spacing w:after="0" w:line="272" w:lineRule="auto"/>
        <w:tabs>
          <w:tab w:leader="none" w:pos="827" w:val="left"/>
        </w:tabs>
        <w:numPr>
          <w:ilvl w:val="0"/>
          <w:numId w:val="191"/>
        </w:numPr>
        <w:rPr>
          <w:rFonts w:ascii="Arial" w:cs="Arial" w:eastAsia="Arial" w:hAnsi="Arial"/>
          <w:sz w:val="17"/>
          <w:szCs w:val="17"/>
          <w:color w:val="auto"/>
        </w:rPr>
      </w:pPr>
      <w:r>
        <w:rPr>
          <w:rFonts w:ascii="Arial" w:cs="Arial" w:eastAsia="Arial" w:hAnsi="Arial"/>
          <w:sz w:val="17"/>
          <w:szCs w:val="17"/>
          <w:color w:val="auto"/>
        </w:rPr>
        <w:t>(a) The Sponsor and each Insider agrees that it, he or she shall not Transfer any Founder Shares (or any shares of Class A Common Stock issuable upon conversion thereof) until the earlier of (A) one year after the completion of the Company’s initial Business Combination and (B) subsequent to the Business Combination, (x) if the closing price of the Class A Common Stock equals or exceeds $12.00 per share (as adjusted for stock splits, stock dividends, reorganizations, recapitalizations and the like) for any 20 trading days within any 30-trading day period commencing at least 150 days after the Company’s initial Business Combination or (y) the date on which the Company completes a liquidation, merger, capital stock exchange, reorganization or other similar transaction that results in all of the Company’s stockholders having the right to exchange their shares of Class A Common Stock for cash, securities or other property (the “</w:t>
      </w:r>
      <w:r>
        <w:rPr>
          <w:rFonts w:ascii="Arial" w:cs="Arial" w:eastAsia="Arial" w:hAnsi="Arial"/>
          <w:sz w:val="17"/>
          <w:szCs w:val="17"/>
          <w:b w:val="1"/>
          <w:bCs w:val="1"/>
          <w:i w:val="1"/>
          <w:iCs w:val="1"/>
          <w:color w:val="auto"/>
        </w:rPr>
        <w:t>Founder Shares Lock-up Period</w:t>
      </w:r>
      <w:r>
        <w:rPr>
          <w:rFonts w:ascii="Arial" w:cs="Arial" w:eastAsia="Arial" w:hAnsi="Arial"/>
          <w:sz w:val="17"/>
          <w:szCs w:val="17"/>
          <w:color w:val="auto"/>
        </w:rPr>
        <w:t>”)</w:t>
      </w:r>
      <w:r>
        <w:rPr>
          <w:rFonts w:ascii="Arial" w:cs="Arial" w:eastAsia="Arial" w:hAnsi="Arial"/>
          <w:sz w:val="17"/>
          <w:szCs w:val="17"/>
          <w:i w:val="1"/>
          <w:iCs w:val="1"/>
          <w:color w:val="auto"/>
        </w:rPr>
        <w: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247" w:name="page248"/>
    <w:bookmarkEnd w:id="247"/>
    <w:p>
      <w:pPr>
        <w:jc w:val="both"/>
        <w:ind w:left="-20" w:firstLine="1304"/>
        <w:spacing w:after="0" w:line="263" w:lineRule="auto"/>
        <w:tabs>
          <w:tab w:leader="none" w:pos="1557" w:val="left"/>
        </w:tabs>
        <w:numPr>
          <w:ilvl w:val="1"/>
          <w:numId w:val="192"/>
        </w:numPr>
        <w:rPr>
          <w:rFonts w:ascii="Arial" w:cs="Arial" w:eastAsia="Arial" w:hAnsi="Arial"/>
          <w:sz w:val="18"/>
          <w:szCs w:val="18"/>
          <w:color w:val="auto"/>
        </w:rPr>
      </w:pPr>
      <w:r>
        <w:rPr>
          <w:rFonts w:ascii="Arial" w:cs="Arial" w:eastAsia="Arial" w:hAnsi="Arial"/>
          <w:sz w:val="18"/>
          <w:szCs w:val="18"/>
          <w:color w:val="auto"/>
        </w:rPr>
        <w:t>The Sponsor and each Insider agrees that it, he or she shall not Transfer any Private Placement Shares, until 30 days after the completion of a Business Combination (the “</w:t>
      </w:r>
      <w:r>
        <w:rPr>
          <w:rFonts w:ascii="Arial" w:cs="Arial" w:eastAsia="Arial" w:hAnsi="Arial"/>
          <w:sz w:val="18"/>
          <w:szCs w:val="18"/>
          <w:b w:val="1"/>
          <w:bCs w:val="1"/>
          <w:i w:val="1"/>
          <w:iCs w:val="1"/>
          <w:color w:val="auto"/>
        </w:rPr>
        <w:t>Private Placement Shares Lock-up Period</w:t>
      </w:r>
      <w:r>
        <w:rPr>
          <w:rFonts w:ascii="Arial" w:cs="Arial" w:eastAsia="Arial" w:hAnsi="Arial"/>
          <w:sz w:val="18"/>
          <w:szCs w:val="18"/>
          <w:color w:val="auto"/>
        </w:rPr>
        <w:t>”, together with the Founder Shares Lock-up Period, the “</w:t>
      </w:r>
      <w:r>
        <w:rPr>
          <w:rFonts w:ascii="Arial" w:cs="Arial" w:eastAsia="Arial" w:hAnsi="Arial"/>
          <w:sz w:val="18"/>
          <w:szCs w:val="18"/>
          <w:b w:val="1"/>
          <w:bCs w:val="1"/>
          <w:i w:val="1"/>
          <w:iCs w:val="1"/>
          <w:color w:val="auto"/>
        </w:rPr>
        <w:t>Lock-up</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Periods</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183" w:lineRule="exact"/>
        <w:rPr>
          <w:rFonts w:ascii="Arial" w:cs="Arial" w:eastAsia="Arial" w:hAnsi="Arial"/>
          <w:sz w:val="18"/>
          <w:szCs w:val="18"/>
          <w:color w:val="auto"/>
        </w:rPr>
      </w:pPr>
    </w:p>
    <w:p>
      <w:pPr>
        <w:jc w:val="both"/>
        <w:ind w:left="-20" w:firstLine="1304"/>
        <w:spacing w:after="0" w:line="286" w:lineRule="auto"/>
        <w:tabs>
          <w:tab w:leader="none" w:pos="1534" w:val="left"/>
        </w:tabs>
        <w:numPr>
          <w:ilvl w:val="1"/>
          <w:numId w:val="192"/>
        </w:numPr>
        <w:rPr>
          <w:rFonts w:ascii="Arial" w:cs="Arial" w:eastAsia="Arial" w:hAnsi="Arial"/>
          <w:sz w:val="16"/>
          <w:szCs w:val="16"/>
          <w:color w:val="auto"/>
        </w:rPr>
      </w:pPr>
      <w:r>
        <w:rPr>
          <w:rFonts w:ascii="Arial" w:cs="Arial" w:eastAsia="Arial" w:hAnsi="Arial"/>
          <w:sz w:val="16"/>
          <w:szCs w:val="16"/>
          <w:color w:val="auto"/>
        </w:rPr>
        <w:t xml:space="preserve">Notwithstanding the provisions set forth in paragraphs 7(a) and (b), Transfers of the Founder Shares, Private Placement Shares and shares of Class A Common Stock issued or issuable upon the conversion of the Founder Shares that are held by the Sponsor, any Insider or any of their permitted transferees (that have complied with this paragraph 7(c)), are permitted (a) to the Company’s officers or directors, any affiliate or family member of any of the Company’s officers or directors, any affiliate of the Sponsor or to any members of the Sponsor or any of their affiliates; (b) in the case of an individual, by gift to a member of such individual’s immediate family or to a trust, the beneficiary of which is a member of such individual’s immediate family, an affiliate of such individual or to a charitable organization; (c) in the case of an individual, by virtue of laws of descent and distribution upon death of such individual; (d) in the case of an individual, pursuant to a qualified domestic relations order; (e) by private sales or transfers made in connection with any forward purchase agreement or similar arrangement or in connection with the consummation of an initial Business Combination at prices no greater than the price at which the securities were originally purchased; (f) in the event of the Company’s liquidation prior to the completion of an initial Business Combination; (g) by virtue of the laws of the State of Delaware or the Sponsor’s limited liability company agreement upon dissolution of the Sponsor; or (h) in the event of the Company’s liquidation, merger, capital stock exchange or other similar transaction which results in all of the Company’s stockholders having the right to exchange their shares of Class A Common Stock for cash, securities or other property subsequent to the Company’s completion of an initial Business Combination;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case of clauses (a) through (e) or (g), these permitted transferees must enter into a written agreement with the Company agreeing to be bound by the transfer restrictions herein and the other restrictions contained in this Agreement (including provisions relating to voting, the Trust Account and liquidating distributions).</w:t>
      </w:r>
    </w:p>
    <w:p>
      <w:pPr>
        <w:spacing w:after="0" w:line="167" w:lineRule="exact"/>
        <w:rPr>
          <w:rFonts w:ascii="Arial" w:cs="Arial" w:eastAsia="Arial" w:hAnsi="Arial"/>
          <w:sz w:val="16"/>
          <w:szCs w:val="16"/>
          <w:color w:val="auto"/>
        </w:rPr>
      </w:pPr>
    </w:p>
    <w:p>
      <w:pPr>
        <w:jc w:val="both"/>
        <w:ind w:left="-20" w:firstLine="656"/>
        <w:spacing w:after="0" w:line="253" w:lineRule="auto"/>
        <w:tabs>
          <w:tab w:leader="none" w:pos="805"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Sponsor and each Insider represents and warrants that it, he or she has never been suspended or expelled from membership in any securities or commodities exchange or association or had a securities or commodities license or registration denied, suspended or revoked. Each Insider’s biographical information furnished to the Company (including any such information included in the Prospectus) is true and accurate in all respects and does not omit any material information with respect to the Insider’s background. The Sponsor and each Insider’s questionnaire furnished to the Company is true and accurate in all respects. The Sponsor and each Insider represents and warrants that: it, he or she is not subject to or a respondent in any legal action for, any injunction, cease-and-desist order or order or stipulation to desist or refrain from any act or practice relating to the offering of securities in any jurisdiction; it, he or she has never been convicted of, or pleaded guilty to, any crime (i) involving fraud, (ii) relating to any financial transaction or handling of funds of another person, or (iii) pertaining to any dealings in any securities and it, he or she is not currently a defendant in any such criminal proceeding.</w:t>
      </w:r>
    </w:p>
    <w:p>
      <w:pPr>
        <w:spacing w:after="0" w:line="196" w:lineRule="exact"/>
        <w:rPr>
          <w:rFonts w:ascii="Arial" w:cs="Arial" w:eastAsia="Arial" w:hAnsi="Arial"/>
          <w:sz w:val="18"/>
          <w:szCs w:val="18"/>
          <w:color w:val="auto"/>
        </w:rPr>
      </w:pPr>
    </w:p>
    <w:p>
      <w:pPr>
        <w:jc w:val="both"/>
        <w:ind w:left="-20" w:firstLine="656"/>
        <w:spacing w:after="0" w:line="286" w:lineRule="auto"/>
        <w:tabs>
          <w:tab w:leader="none" w:pos="811" w:val="left"/>
        </w:tabs>
        <w:numPr>
          <w:ilvl w:val="0"/>
          <w:numId w:val="193"/>
        </w:numPr>
        <w:rPr>
          <w:rFonts w:ascii="Arial" w:cs="Arial" w:eastAsia="Arial" w:hAnsi="Arial"/>
          <w:sz w:val="16"/>
          <w:szCs w:val="16"/>
          <w:color w:val="auto"/>
        </w:rPr>
      </w:pPr>
      <w:r>
        <w:rPr>
          <w:rFonts w:ascii="Arial" w:cs="Arial" w:eastAsia="Arial" w:hAnsi="Arial"/>
          <w:sz w:val="16"/>
          <w:szCs w:val="16"/>
          <w:color w:val="auto"/>
        </w:rPr>
        <w:t>Except as disclosed in the Prospectus, neither the Sponsor nor any officer, nor any affiliate of the Sponsor or any officer, nor any director of the Company, shall receive from the Company any finder’s fee, reimbursement, consulting fee, non-cash payments, monies in respect of any repayment of a loan or other compensation prior to, or in connection with any services rendered in order to effectuate, the consummation of the Company’s initial Business Combination (regardless of the type of transaction that it is), other than the following, none of which will be made from the proceeds held in the Trust Account prior to the completion of the initial Business Combination: repayment of a loan and advances up to an aggregate of $200,000 made to the Company by the Sponsor; payments to the Sponsor for certain office space, secretarial and administrative services as may be reasonably required by the Company of $10,000 per month; reimbursement for any reasonable out-of-pocket expenses related to identifying, investigating, negotiating and completing an initial Business Combination, and repayment of loans, if any, and on such terms as to be determined by the Company from time to time, made by the Sponsor or an affiliate of the Sponsor or any of the Company’s officers or directors to finance transaction costs in connection with an intended initial Business Combination, provided, that, if the Company does not consummate an initial Business Combination, a portion of the working capital held outside the Trust Account may be used by the Company to repay such loaned amounts so long as no proceeds from the Trust Account are used for such repayment. Up to $1,500,000 of such loans may be convertible into shares of Class A Common Stock at a price of $10.00 per share at the option of the lender. Such shares of Class A Common Stock would be identical to the Private Placement Shares.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248" w:name="page249"/>
    <w:bookmarkEnd w:id="248"/>
    <w:p>
      <w:pPr>
        <w:jc w:val="both"/>
        <w:ind w:left="-20" w:firstLine="656"/>
        <w:spacing w:after="0" w:line="259" w:lineRule="auto"/>
        <w:tabs>
          <w:tab w:leader="none" w:pos="895"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Sponsor and each Insider has full right and power, without violating any agreement to which it is bound (including, without limitation, any non-competition or non-solicitation agreement with any employer or former employer), to enter into this Letter Agreement and, as applicable, to serve as an officer and/or director on the board of directors of the Company and hereby consents to being named in the Prospectus as an officer and/or director of the Company.</w:t>
      </w:r>
    </w:p>
    <w:p>
      <w:pPr>
        <w:spacing w:after="0" w:line="186" w:lineRule="exact"/>
        <w:rPr>
          <w:rFonts w:ascii="Arial" w:cs="Arial" w:eastAsia="Arial" w:hAnsi="Arial"/>
          <w:sz w:val="18"/>
          <w:szCs w:val="18"/>
          <w:color w:val="auto"/>
        </w:rPr>
      </w:pPr>
    </w:p>
    <w:p>
      <w:pPr>
        <w:jc w:val="both"/>
        <w:ind w:left="-20" w:firstLine="656"/>
        <w:spacing w:after="0" w:line="286" w:lineRule="auto"/>
        <w:tabs>
          <w:tab w:leader="none" w:pos="889" w:val="left"/>
        </w:tabs>
        <w:numPr>
          <w:ilvl w:val="0"/>
          <w:numId w:val="194"/>
        </w:numPr>
        <w:rPr>
          <w:rFonts w:ascii="Arial" w:cs="Arial" w:eastAsia="Arial" w:hAnsi="Arial"/>
          <w:sz w:val="16"/>
          <w:szCs w:val="16"/>
          <w:color w:val="auto"/>
        </w:rPr>
      </w:pPr>
      <w:r>
        <w:rPr>
          <w:rFonts w:ascii="Arial" w:cs="Arial" w:eastAsia="Arial" w:hAnsi="Arial"/>
          <w:sz w:val="16"/>
          <w:szCs w:val="16"/>
          <w:color w:val="auto"/>
        </w:rPr>
        <w:t>As used herein, (i) “</w:t>
      </w:r>
      <w:r>
        <w:rPr>
          <w:rFonts w:ascii="Arial" w:cs="Arial" w:eastAsia="Arial" w:hAnsi="Arial"/>
          <w:sz w:val="16"/>
          <w:szCs w:val="16"/>
          <w:b w:val="1"/>
          <w:bCs w:val="1"/>
          <w:i w:val="1"/>
          <w:iCs w:val="1"/>
          <w:color w:val="auto"/>
        </w:rPr>
        <w:t>Business Combination</w:t>
      </w:r>
      <w:r>
        <w:rPr>
          <w:rFonts w:ascii="Arial" w:cs="Arial" w:eastAsia="Arial" w:hAnsi="Arial"/>
          <w:sz w:val="16"/>
          <w:szCs w:val="16"/>
          <w:color w:val="auto"/>
        </w:rPr>
        <w:t>” shall mean a merger, capital stock exchange, asset acquisition, stock purchase, reorganization or similar business combination, involving the Company and one or more businesses; (ii)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shall mean the Class A common stock and Class B common stock; (iii) “</w:t>
      </w:r>
      <w:r>
        <w:rPr>
          <w:rFonts w:ascii="Arial" w:cs="Arial" w:eastAsia="Arial" w:hAnsi="Arial"/>
          <w:sz w:val="16"/>
          <w:szCs w:val="16"/>
          <w:b w:val="1"/>
          <w:bCs w:val="1"/>
          <w:i w:val="1"/>
          <w:iCs w:val="1"/>
          <w:color w:val="auto"/>
        </w:rPr>
        <w:t>Founder Shares</w:t>
      </w:r>
      <w:r>
        <w:rPr>
          <w:rFonts w:ascii="Arial" w:cs="Arial" w:eastAsia="Arial" w:hAnsi="Arial"/>
          <w:sz w:val="16"/>
          <w:szCs w:val="16"/>
          <w:color w:val="auto"/>
        </w:rPr>
        <w:t>” shall mean the 2,875,000 shares of Class B common stock issued and outstanding (up to 375,000 Shares of which are subject to complete or partial forfeiture if the over-allotment option is not exercised by the Underwriter); (iv) “</w:t>
      </w:r>
      <w:r>
        <w:rPr>
          <w:rFonts w:ascii="Arial" w:cs="Arial" w:eastAsia="Arial" w:hAnsi="Arial"/>
          <w:sz w:val="16"/>
          <w:szCs w:val="16"/>
          <w:b w:val="1"/>
          <w:bCs w:val="1"/>
          <w:i w:val="1"/>
          <w:iCs w:val="1"/>
          <w:color w:val="auto"/>
        </w:rPr>
        <w:t>Initial Stockholders</w:t>
      </w:r>
      <w:r>
        <w:rPr>
          <w:rFonts w:ascii="Arial" w:cs="Arial" w:eastAsia="Arial" w:hAnsi="Arial"/>
          <w:sz w:val="16"/>
          <w:szCs w:val="16"/>
          <w:color w:val="auto"/>
        </w:rPr>
        <w:t>” shall mean the Sponsor and any Insider that holds Founder Shares; (v) “</w:t>
      </w:r>
      <w:r>
        <w:rPr>
          <w:rFonts w:ascii="Arial" w:cs="Arial" w:eastAsia="Arial" w:hAnsi="Arial"/>
          <w:sz w:val="16"/>
          <w:szCs w:val="16"/>
          <w:b w:val="1"/>
          <w:bCs w:val="1"/>
          <w:i w:val="1"/>
          <w:iCs w:val="1"/>
          <w:color w:val="auto"/>
        </w:rPr>
        <w:t>Private Placement Shares</w:t>
      </w:r>
      <w:r>
        <w:rPr>
          <w:rFonts w:ascii="Arial" w:cs="Arial" w:eastAsia="Arial" w:hAnsi="Arial"/>
          <w:sz w:val="16"/>
          <w:szCs w:val="16"/>
          <w:color w:val="auto"/>
        </w:rPr>
        <w:t>” shall mean the 400,000 Shares (or 430,000 Shares if the over-allotment option is exercised in full) that the Sponsor has agreed to purchase for an aggregate purchase price of $4,000,000 (or $4,300,000 if the over-allotment option is exercised in full), or $10.00 per Share, in a private placement that shall occur simultaneously with the consummation of the Public Offering; (vi)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shall mean the Private Placement Shares and public share; (vii) “</w:t>
      </w:r>
      <w:r>
        <w:rPr>
          <w:rFonts w:ascii="Arial" w:cs="Arial" w:eastAsia="Arial" w:hAnsi="Arial"/>
          <w:sz w:val="16"/>
          <w:szCs w:val="16"/>
          <w:b w:val="1"/>
          <w:bCs w:val="1"/>
          <w:i w:val="1"/>
          <w:iCs w:val="1"/>
          <w:color w:val="auto"/>
        </w:rPr>
        <w:t>Public Stockholders</w:t>
      </w:r>
      <w:r>
        <w:rPr>
          <w:rFonts w:ascii="Arial" w:cs="Arial" w:eastAsia="Arial" w:hAnsi="Arial"/>
          <w:sz w:val="16"/>
          <w:szCs w:val="16"/>
          <w:color w:val="auto"/>
        </w:rPr>
        <w:t>” shall mean the holders of securities issued in the Public Offering; (viii) “</w:t>
      </w:r>
      <w:r>
        <w:rPr>
          <w:rFonts w:ascii="Arial" w:cs="Arial" w:eastAsia="Arial" w:hAnsi="Arial"/>
          <w:sz w:val="16"/>
          <w:szCs w:val="16"/>
          <w:b w:val="1"/>
          <w:bCs w:val="1"/>
          <w:i w:val="1"/>
          <w:iCs w:val="1"/>
          <w:color w:val="auto"/>
        </w:rPr>
        <w:t>Trust Account</w:t>
      </w:r>
      <w:r>
        <w:rPr>
          <w:rFonts w:ascii="Arial" w:cs="Arial" w:eastAsia="Arial" w:hAnsi="Arial"/>
          <w:sz w:val="16"/>
          <w:szCs w:val="16"/>
          <w:color w:val="auto"/>
        </w:rPr>
        <w:t>” shall mean the trust fund into which a portion of the net proceeds of the Public Offering and the sale of the Private Placement Shares shall be deposited; and (ix) “</w:t>
      </w:r>
      <w:r>
        <w:rPr>
          <w:rFonts w:ascii="Arial" w:cs="Arial" w:eastAsia="Arial" w:hAnsi="Arial"/>
          <w:sz w:val="16"/>
          <w:szCs w:val="16"/>
          <w:b w:val="1"/>
          <w:bCs w:val="1"/>
          <w:i w:val="1"/>
          <w:iCs w:val="1"/>
          <w:color w:val="auto"/>
        </w:rPr>
        <w:t>Transfer</w:t>
      </w:r>
      <w:r>
        <w:rPr>
          <w:rFonts w:ascii="Arial" w:cs="Arial" w:eastAsia="Arial" w:hAnsi="Arial"/>
          <w:sz w:val="16"/>
          <w:szCs w:val="16"/>
          <w:color w:val="auto"/>
        </w:rPr>
        <w:t>” shall mean the (a) sale of, offer to sell, contract or agreement to sell, hypothecate, pledge, grant of any option to purchase or otherwise dispose of or agreement to dispose of, directly or indirectly, or establishment or increase of a put equivalent position or liquidation with respect to or decrease of a call equivalent position within the meaning of Section 16 of the Exchange Act, and the rules and regulations of the Commission promulgated thereunder with respect to, any security, (b) entry into any swap or other arrangement that transfers to another, in whole or in part, any of the economic consequences of ownership of any security, whether any such transaction is to be settled by delivery of such securities, in cash or otherwise, or (c) public announcement of any intention to effect any transaction specified in clause (a) or (b).</w:t>
      </w:r>
    </w:p>
    <w:p>
      <w:pPr>
        <w:spacing w:after="0" w:line="167" w:lineRule="exact"/>
        <w:rPr>
          <w:rFonts w:ascii="Arial" w:cs="Arial" w:eastAsia="Arial" w:hAnsi="Arial"/>
          <w:sz w:val="16"/>
          <w:szCs w:val="16"/>
          <w:color w:val="auto"/>
        </w:rPr>
      </w:pPr>
    </w:p>
    <w:p>
      <w:pPr>
        <w:jc w:val="both"/>
        <w:ind w:left="-20" w:right="20" w:firstLine="656"/>
        <w:spacing w:after="0" w:line="263" w:lineRule="auto"/>
        <w:tabs>
          <w:tab w:leader="none" w:pos="909"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Company will maintain an insurance policy or policies providing directors’ and officers’ liability insurance, and each Director shall be covered by such policy or policies, in accordance with its or their terms, to the maximum extent of the coverage available for any of the Company’s directors or officers.</w:t>
      </w:r>
    </w:p>
    <w:p>
      <w:pPr>
        <w:spacing w:after="0" w:line="183" w:lineRule="exact"/>
        <w:rPr>
          <w:rFonts w:ascii="Arial" w:cs="Arial" w:eastAsia="Arial" w:hAnsi="Arial"/>
          <w:sz w:val="18"/>
          <w:szCs w:val="18"/>
          <w:color w:val="auto"/>
        </w:rPr>
      </w:pPr>
    </w:p>
    <w:p>
      <w:pPr>
        <w:jc w:val="both"/>
        <w:ind w:left="-20" w:firstLine="656"/>
        <w:spacing w:after="0" w:line="279" w:lineRule="auto"/>
        <w:tabs>
          <w:tab w:leader="none" w:pos="915" w:val="left"/>
        </w:tabs>
        <w:numPr>
          <w:ilvl w:val="0"/>
          <w:numId w:val="194"/>
        </w:numPr>
        <w:rPr>
          <w:rFonts w:ascii="Arial" w:cs="Arial" w:eastAsia="Arial" w:hAnsi="Arial"/>
          <w:sz w:val="17"/>
          <w:szCs w:val="17"/>
          <w:color w:val="auto"/>
        </w:rPr>
      </w:pPr>
      <w:r>
        <w:rPr>
          <w:rFonts w:ascii="Arial" w:cs="Arial" w:eastAsia="Arial" w:hAnsi="Arial"/>
          <w:sz w:val="17"/>
          <w:szCs w:val="17"/>
          <w:color w:val="auto"/>
        </w:rPr>
        <w:t>This Letter Agreement constitutes the entire agreement and understanding of the parties hereto in respect of the subject matter hereof and supersedes all prior understandings, agreements, or representations by or among the parties hereto, written or oral, to the extent they relate in any way to the subject matter hereof or the transactions contemplated hereby. This Letter Agreement may not be changed, amended, modified or waived (other than to correct a typographical error) as to any particular provision, except by a written instrument executed by all parties hereto.</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249" w:name="page250"/>
    <w:bookmarkEnd w:id="249"/>
    <w:p>
      <w:pPr>
        <w:jc w:val="both"/>
        <w:ind w:firstLine="656"/>
        <w:spacing w:after="0" w:line="259" w:lineRule="auto"/>
        <w:tabs>
          <w:tab w:leader="none" w:pos="942" w:val="left"/>
        </w:tabs>
        <w:numPr>
          <w:ilvl w:val="0"/>
          <w:numId w:val="195"/>
        </w:numPr>
        <w:rPr>
          <w:rFonts w:ascii="Arial" w:cs="Arial" w:eastAsia="Arial" w:hAnsi="Arial"/>
          <w:sz w:val="18"/>
          <w:szCs w:val="18"/>
          <w:color w:val="auto"/>
        </w:rPr>
      </w:pPr>
      <w:r>
        <w:rPr>
          <w:rFonts w:ascii="Arial" w:cs="Arial" w:eastAsia="Arial" w:hAnsi="Arial"/>
          <w:sz w:val="18"/>
          <w:szCs w:val="18"/>
          <w:color w:val="auto"/>
        </w:rPr>
        <w:t>No party hereto may assign either this Letter Agreement or any of its rights, interests, or obligations hereunder without the prior written consent of the other parties. Any purported assignment in violation of this paragraph shall be void and ineffectual and shall not operate to transfer or assign any interest or title to the purported assignee. This Letter Agreement shall be binding on the Sponsor and each Insider and their respective successors, heirs and assigns and permitted transferees.</w:t>
      </w:r>
    </w:p>
    <w:p>
      <w:pPr>
        <w:spacing w:after="0" w:line="186" w:lineRule="exact"/>
        <w:rPr>
          <w:rFonts w:ascii="Arial" w:cs="Arial" w:eastAsia="Arial" w:hAnsi="Arial"/>
          <w:sz w:val="18"/>
          <w:szCs w:val="18"/>
          <w:color w:val="auto"/>
        </w:rPr>
      </w:pPr>
    </w:p>
    <w:p>
      <w:pPr>
        <w:jc w:val="both"/>
        <w:ind w:firstLine="656"/>
        <w:spacing w:after="0" w:line="259" w:lineRule="auto"/>
        <w:tabs>
          <w:tab w:leader="none" w:pos="934" w:val="left"/>
        </w:tabs>
        <w:numPr>
          <w:ilvl w:val="0"/>
          <w:numId w:val="195"/>
        </w:numPr>
        <w:rPr>
          <w:rFonts w:ascii="Arial" w:cs="Arial" w:eastAsia="Arial" w:hAnsi="Arial"/>
          <w:sz w:val="18"/>
          <w:szCs w:val="18"/>
          <w:color w:val="auto"/>
        </w:rPr>
      </w:pPr>
      <w:r>
        <w:rPr>
          <w:rFonts w:ascii="Arial" w:cs="Arial" w:eastAsia="Arial" w:hAnsi="Arial"/>
          <w:sz w:val="18"/>
          <w:szCs w:val="18"/>
          <w:color w:val="auto"/>
        </w:rPr>
        <w:t>Nothing in this Letter Agreement shall be construed to confer upon, or give to, any person or corporation other than the parties hereto any right, remedy or claim under or by reason of this Letter Agreement or of any covenant, condition, stipulation, promise or agreement hereof. All covenants, conditions, stipulations, promises and agreements contained in this Letter Agreement shall be for the sole and exclusive benefit of the parties hereto and their successors, heirs, personal representatives and assigns and permitted transferees.</w:t>
      </w:r>
    </w:p>
    <w:p>
      <w:pPr>
        <w:spacing w:after="0" w:line="186" w:lineRule="exact"/>
        <w:rPr>
          <w:rFonts w:ascii="Arial" w:cs="Arial" w:eastAsia="Arial" w:hAnsi="Arial"/>
          <w:sz w:val="18"/>
          <w:szCs w:val="18"/>
          <w:color w:val="auto"/>
        </w:rPr>
      </w:pPr>
    </w:p>
    <w:p>
      <w:pPr>
        <w:ind w:right="20" w:firstLine="656"/>
        <w:spacing w:after="0" w:line="277" w:lineRule="auto"/>
        <w:tabs>
          <w:tab w:leader="none" w:pos="944"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This Letter Agreement may be executed in any number of original or facsimile counterparts and each of such counterparts shall for all purposes be deemed to be an original, and all such counterparts shall together constitute but one and the same instrument.</w:t>
      </w:r>
    </w:p>
    <w:p>
      <w:pPr>
        <w:spacing w:after="0" w:line="170" w:lineRule="exact"/>
        <w:rPr>
          <w:rFonts w:ascii="Arial" w:cs="Arial" w:eastAsia="Arial" w:hAnsi="Arial"/>
          <w:sz w:val="18"/>
          <w:szCs w:val="18"/>
          <w:color w:val="auto"/>
        </w:rPr>
      </w:pPr>
    </w:p>
    <w:p>
      <w:pPr>
        <w:jc w:val="both"/>
        <w:ind w:firstLine="656"/>
        <w:spacing w:after="0" w:line="259" w:lineRule="auto"/>
        <w:tabs>
          <w:tab w:leader="none" w:pos="928"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This Letter Agreement shall be deemed severable, and the invalidity or unenforceability of any term or provision hereof shall not affect the validity or enforceability of this Letter Agreement or of any other term or provision hereof. Furthermore, in lieu of any such invalid or unenforceable term or provision, the parties hereto intend that there shall be added as a part of this Letter Agreement a provision as similar in terms to such invalid or unenforceable provision as may be possible and be valid and enforceable.</w:t>
      </w:r>
    </w:p>
    <w:p>
      <w:pPr>
        <w:spacing w:after="0" w:line="186" w:lineRule="exact"/>
        <w:rPr>
          <w:rFonts w:ascii="Arial" w:cs="Arial" w:eastAsia="Arial" w:hAnsi="Arial"/>
          <w:sz w:val="18"/>
          <w:szCs w:val="18"/>
          <w:color w:val="auto"/>
        </w:rPr>
      </w:pPr>
    </w:p>
    <w:p>
      <w:pPr>
        <w:jc w:val="both"/>
        <w:ind w:firstLine="656"/>
        <w:spacing w:after="0" w:line="279" w:lineRule="auto"/>
        <w:tabs>
          <w:tab w:leader="none" w:pos="928" w:val="left"/>
        </w:tabs>
        <w:numPr>
          <w:ilvl w:val="0"/>
          <w:numId w:val="195"/>
        </w:numPr>
        <w:rPr>
          <w:rFonts w:ascii="Arial" w:cs="Arial" w:eastAsia="Arial" w:hAnsi="Arial"/>
          <w:sz w:val="17"/>
          <w:szCs w:val="17"/>
          <w:color w:val="auto"/>
        </w:rPr>
      </w:pPr>
      <w:r>
        <w:rPr>
          <w:rFonts w:ascii="Arial" w:cs="Arial" w:eastAsia="Arial" w:hAnsi="Arial"/>
          <w:sz w:val="17"/>
          <w:szCs w:val="17"/>
          <w:color w:val="auto"/>
        </w:rPr>
        <w:t>This Letter Agreement shall be governed by and construed and enforced in accordance with the laws of the State of New York. The parties hereto (i) all agree that any action, proceeding, claim or dispute arising out of, or relating in any way to, this Letter Agreement shall be brought and enforced in the courts of New York City, in the State of New York, and irrevocably submit to such jurisdiction and venue, which jurisdiction and venue shall be exclusive and (ii) waive any objection to such exclusive jurisdiction and venue or that such courts represent an inconvenient forum.</w:t>
      </w:r>
    </w:p>
    <w:p>
      <w:pPr>
        <w:spacing w:after="0" w:line="171" w:lineRule="exact"/>
        <w:rPr>
          <w:rFonts w:ascii="Arial" w:cs="Arial" w:eastAsia="Arial" w:hAnsi="Arial"/>
          <w:sz w:val="17"/>
          <w:szCs w:val="17"/>
          <w:color w:val="auto"/>
        </w:rPr>
      </w:pPr>
    </w:p>
    <w:p>
      <w:pPr>
        <w:ind w:firstLine="656"/>
        <w:spacing w:after="0" w:line="342" w:lineRule="auto"/>
        <w:tabs>
          <w:tab w:leader="none" w:pos="917" w:val="left"/>
        </w:tabs>
        <w:numPr>
          <w:ilvl w:val="0"/>
          <w:numId w:val="195"/>
        </w:numPr>
        <w:rPr>
          <w:rFonts w:ascii="Arial" w:cs="Arial" w:eastAsia="Arial" w:hAnsi="Arial"/>
          <w:sz w:val="16"/>
          <w:szCs w:val="16"/>
          <w:color w:val="auto"/>
        </w:rPr>
      </w:pPr>
      <w:r>
        <w:rPr>
          <w:rFonts w:ascii="Arial" w:cs="Arial" w:eastAsia="Arial" w:hAnsi="Arial"/>
          <w:sz w:val="16"/>
          <w:szCs w:val="16"/>
          <w:color w:val="auto"/>
        </w:rPr>
        <w:t>Any notice, consent or request to be given in connection with any of the terms or provisions of this Letter Agreement shall be in writing and shall be sent by express mail or similar private courier service, by certified mail (return receipt requested), by hand delivery or facsimile transmission.</w:t>
      </w:r>
    </w:p>
    <w:p>
      <w:pPr>
        <w:spacing w:after="0" w:line="123" w:lineRule="exact"/>
        <w:rPr>
          <w:rFonts w:ascii="Arial" w:cs="Arial" w:eastAsia="Arial" w:hAnsi="Arial"/>
          <w:sz w:val="16"/>
          <w:szCs w:val="16"/>
          <w:color w:val="auto"/>
        </w:rPr>
      </w:pPr>
    </w:p>
    <w:p>
      <w:pPr>
        <w:jc w:val="both"/>
        <w:ind w:firstLine="656"/>
        <w:spacing w:after="0" w:line="263" w:lineRule="auto"/>
        <w:tabs>
          <w:tab w:leader="none" w:pos="942"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This Letter Agreement shall terminate on the earlier of (i) the expiration of the Lock-up Periods or (ii) the liquidation of the Company; provided, however, that this Letter Agreement shall earlier terminate in the event that the Public Offering is not consummated and closed by December 31, 2020; provided further that paragraph 4 of this Letter Agreement shall survive such liquidation.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0" w:name="page251"/>
    <w:bookmarkEnd w:id="250"/>
    <w:p>
      <w:pPr>
        <w:ind w:left="6760"/>
        <w:spacing w:after="0"/>
        <w:rPr>
          <w:sz w:val="20"/>
          <w:szCs w:val="20"/>
          <w:color w:val="auto"/>
        </w:rPr>
      </w:pPr>
      <w:r>
        <w:rPr>
          <w:rFonts w:ascii="Arial" w:cs="Arial" w:eastAsia="Arial" w:hAnsi="Arial"/>
          <w:sz w:val="18"/>
          <w:szCs w:val="18"/>
          <w:color w:val="auto"/>
        </w:rPr>
        <w:t>Sincerely,</w:t>
      </w:r>
    </w:p>
    <w:p>
      <w:pPr>
        <w:spacing w:after="0" w:line="221"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FS DEVELOPMENT HOLDINGS, LLC</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23495</wp:posOffset>
            </wp:positionV>
            <wp:extent cx="2562860" cy="171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9">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0"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280035</wp:posOffset>
            </wp:positionV>
            <wp:extent cx="2846070"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Jim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288925</wp:posOffset>
            </wp:positionV>
            <wp:extent cx="2846070"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Dennis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288925</wp:posOffset>
            </wp:positionV>
            <wp:extent cx="2846070"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Michael Rome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288925</wp:posOffset>
            </wp:positionV>
            <wp:extent cx="2846070"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Vikram Bajaj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288925</wp:posOffset>
            </wp:positionV>
            <wp:extent cx="2846070"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Robert Carey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288925</wp:posOffset>
            </wp:positionV>
            <wp:extent cx="2846070"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Daniel Dubin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288925</wp:posOffset>
            </wp:positionV>
            <wp:extent cx="2846070"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Deepa Pakianathan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FS DEVELOPMENT CORP.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562860"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Jim Tananbaum</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35" w:right="1440" w:bottom="1440" w:gutter="0" w:footer="0" w:header="0"/>
        </w:sectPr>
      </w:pPr>
    </w:p>
    <w:bookmarkStart w:id="251" w:name="page252"/>
    <w:bookmarkEnd w:id="251"/>
    <w:p>
      <w:pPr>
        <w:ind w:left="10320"/>
        <w:spacing w:after="0"/>
        <w:rPr>
          <w:sz w:val="20"/>
          <w:szCs w:val="20"/>
          <w:color w:val="auto"/>
        </w:rPr>
      </w:pPr>
      <w:r>
        <w:rPr>
          <w:rFonts w:ascii="Arial" w:cs="Arial" w:eastAsia="Arial" w:hAnsi="Arial"/>
          <w:sz w:val="16"/>
          <w:szCs w:val="16"/>
          <w:b w:val="1"/>
          <w:bCs w:val="1"/>
          <w:color w:val="auto"/>
        </w:rPr>
        <w:t>Exhibit 10.2</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 MANAGEMENT TRUST AGREEMENT</w:t>
      </w:r>
    </w:p>
    <w:p>
      <w:pPr>
        <w:spacing w:after="0" w:line="229" w:lineRule="exact"/>
        <w:rPr>
          <w:sz w:val="20"/>
          <w:szCs w:val="20"/>
          <w:color w:val="auto"/>
        </w:rPr>
      </w:pPr>
    </w:p>
    <w:p>
      <w:pPr>
        <w:ind w:left="660"/>
        <w:spacing w:after="0"/>
        <w:tabs>
          <w:tab w:leader="none" w:pos="7640" w:val="left"/>
        </w:tabs>
        <w:rPr>
          <w:sz w:val="20"/>
          <w:szCs w:val="20"/>
          <w:color w:val="auto"/>
        </w:rPr>
      </w:pPr>
      <w:r>
        <w:rPr>
          <w:rFonts w:ascii="Arial" w:cs="Arial" w:eastAsia="Arial" w:hAnsi="Arial"/>
          <w:sz w:val="18"/>
          <w:szCs w:val="18"/>
          <w:color w:val="auto"/>
        </w:rPr>
        <w:t>This Investment Management Trust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effective as of</w:t>
      </w:r>
      <w:r>
        <w:rPr>
          <w:sz w:val="20"/>
          <w:szCs w:val="20"/>
          <w:color w:val="auto"/>
        </w:rPr>
        <w:tab/>
      </w:r>
      <w:r>
        <w:rPr>
          <w:rFonts w:ascii="Arial" w:cs="Arial" w:eastAsia="Arial" w:hAnsi="Arial"/>
          <w:sz w:val="16"/>
          <w:szCs w:val="16"/>
          <w:color w:val="auto"/>
        </w:rPr>
        <w:t>, 2020 by and between FS Development Corp., 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and Continental Stock Transfer &amp; Trust Company, a New York corporation (the “</w:t>
      </w:r>
      <w:r>
        <w:rPr>
          <w:rFonts w:ascii="Arial" w:cs="Arial" w:eastAsia="Arial" w:hAnsi="Arial"/>
          <w:sz w:val="18"/>
          <w:szCs w:val="18"/>
          <w:b w:val="1"/>
          <w:bCs w:val="1"/>
          <w:i w:val="1"/>
          <w:iCs w:val="1"/>
          <w:color w:val="auto"/>
        </w:rPr>
        <w:t>Trustee</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WHEREAS, the Company’s registration statement on Form S-1, File No. 333-240098 (the “</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 and prospectus (the “</w:t>
      </w:r>
      <w:r>
        <w:rPr>
          <w:rFonts w:ascii="Arial" w:cs="Arial" w:eastAsia="Arial" w:hAnsi="Arial"/>
          <w:sz w:val="17"/>
          <w:szCs w:val="17"/>
          <w:b w:val="1"/>
          <w:bCs w:val="1"/>
          <w:i w:val="1"/>
          <w:iCs w:val="1"/>
          <w:color w:val="auto"/>
        </w:rPr>
        <w:t>Prospectus</w:t>
      </w:r>
      <w:r>
        <w:rPr>
          <w:rFonts w:ascii="Arial" w:cs="Arial" w:eastAsia="Arial" w:hAnsi="Arial"/>
          <w:sz w:val="17"/>
          <w:szCs w:val="17"/>
          <w:color w:val="auto"/>
        </w:rPr>
        <w:t>”) for the initial public offering (the “</w:t>
      </w:r>
      <w:r>
        <w:rPr>
          <w:rFonts w:ascii="Arial" w:cs="Arial" w:eastAsia="Arial" w:hAnsi="Arial"/>
          <w:sz w:val="17"/>
          <w:szCs w:val="17"/>
          <w:b w:val="1"/>
          <w:bCs w:val="1"/>
          <w:i w:val="1"/>
          <w:iCs w:val="1"/>
          <w:color w:val="auto"/>
        </w:rPr>
        <w:t>Offering</w:t>
      </w:r>
      <w:r>
        <w:rPr>
          <w:rFonts w:ascii="Arial" w:cs="Arial" w:eastAsia="Arial" w:hAnsi="Arial"/>
          <w:sz w:val="17"/>
          <w:szCs w:val="17"/>
          <w:color w:val="auto"/>
        </w:rPr>
        <w:t>”) of shares of the Company’s Class A common stock, par value $0.0001 per share (“</w:t>
      </w:r>
      <w:r>
        <w:rPr>
          <w:rFonts w:ascii="Arial" w:cs="Arial" w:eastAsia="Arial" w:hAnsi="Arial"/>
          <w:sz w:val="17"/>
          <w:szCs w:val="17"/>
          <w:b w:val="1"/>
          <w:bCs w:val="1"/>
          <w:i w:val="1"/>
          <w:iCs w:val="1"/>
          <w:color w:val="auto"/>
        </w:rPr>
        <w:t>Common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Stock</w:t>
      </w:r>
      <w:r>
        <w:rPr>
          <w:rFonts w:ascii="Arial" w:cs="Arial" w:eastAsia="Arial" w:hAnsi="Arial"/>
          <w:sz w:val="17"/>
          <w:szCs w:val="17"/>
          <w:color w:val="auto"/>
        </w:rPr>
        <w:t>”), has been declared effective as of the date hereof by the U.S. Securities and Exchange Commission; and</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Company has entered into an Underwriting Agreement (the “</w:t>
      </w:r>
      <w:r>
        <w:rPr>
          <w:rFonts w:ascii="Arial" w:cs="Arial" w:eastAsia="Arial" w:hAnsi="Arial"/>
          <w:sz w:val="18"/>
          <w:szCs w:val="18"/>
          <w:b w:val="1"/>
          <w:bCs w:val="1"/>
          <w:i w:val="1"/>
          <w:iCs w:val="1"/>
          <w:color w:val="auto"/>
        </w:rPr>
        <w:t>Underwriting Agreement</w:t>
      </w:r>
      <w:r>
        <w:rPr>
          <w:rFonts w:ascii="Arial" w:cs="Arial" w:eastAsia="Arial" w:hAnsi="Arial"/>
          <w:sz w:val="18"/>
          <w:szCs w:val="18"/>
          <w:color w:val="auto"/>
        </w:rPr>
        <w:t>”) with Jefferies LLC, as representative of the several underwriters named therein (the “</w:t>
      </w:r>
      <w:r>
        <w:rPr>
          <w:rFonts w:ascii="Arial" w:cs="Arial" w:eastAsia="Arial" w:hAnsi="Arial"/>
          <w:sz w:val="18"/>
          <w:szCs w:val="18"/>
          <w:b w:val="1"/>
          <w:bCs w:val="1"/>
          <w:i w:val="1"/>
          <w:iCs w:val="1"/>
          <w:color w:val="auto"/>
        </w:rPr>
        <w:t>Underwriters</w:t>
      </w:r>
      <w:r>
        <w:rPr>
          <w:rFonts w:ascii="Arial" w:cs="Arial" w:eastAsia="Arial" w:hAnsi="Arial"/>
          <w:sz w:val="18"/>
          <w:szCs w:val="18"/>
          <w:color w:val="auto"/>
        </w:rPr>
        <w:t>”); and</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WHEREAS, as described in the Prospectus, $100,000,000 of the net proceeds of the Offering and sale of the Private Placement Shares (as defined in the Underwriting Agreement) (or $115,000,000 if the Underwriters’ over-allotment option is exercised in full) will be, after deducting $2,000,000 in underwriting discounts and commissions payable upon the closing of this offering (or $2,300,000 if the Underwriters’ over-allotment option is exercised in full) and an aggregate of $2.0 million to pay fees and expenses in connection with the closing of this offering and for working capital following the closing of this offering, delivered to the Trustee to be deposited and held in a segregated trust account located at all times in the United States (the “</w:t>
      </w:r>
      <w:r>
        <w:rPr>
          <w:rFonts w:ascii="Arial" w:cs="Arial" w:eastAsia="Arial" w:hAnsi="Arial"/>
          <w:sz w:val="18"/>
          <w:szCs w:val="18"/>
          <w:b w:val="1"/>
          <w:bCs w:val="1"/>
          <w:i w:val="1"/>
          <w:iCs w:val="1"/>
          <w:color w:val="auto"/>
        </w:rPr>
        <w:t>Trust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Account</w:t>
      </w:r>
      <w:r>
        <w:rPr>
          <w:rFonts w:ascii="Arial" w:cs="Arial" w:eastAsia="Arial" w:hAnsi="Arial"/>
          <w:sz w:val="18"/>
          <w:szCs w:val="18"/>
          <w:color w:val="auto"/>
        </w:rPr>
        <w:t>”) for the benefit of the Company and the holders of the Common Stock issued in the Offering as hereinafter provided (the amount to be delivered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the Trustee (and any interest subsequently earned thereon) is referred to herein as the “</w:t>
      </w:r>
      <w:r>
        <w:rPr>
          <w:rFonts w:ascii="Arial" w:cs="Arial" w:eastAsia="Arial" w:hAnsi="Arial"/>
          <w:sz w:val="18"/>
          <w:szCs w:val="18"/>
          <w:b w:val="1"/>
          <w:bCs w:val="1"/>
          <w:i w:val="1"/>
          <w:iCs w:val="1"/>
          <w:color w:val="auto"/>
        </w:rPr>
        <w:t>Property</w:t>
      </w:r>
      <w:r>
        <w:rPr>
          <w:rFonts w:ascii="Arial" w:cs="Arial" w:eastAsia="Arial" w:hAnsi="Arial"/>
          <w:sz w:val="18"/>
          <w:szCs w:val="18"/>
          <w:i w:val="1"/>
          <w:iCs w:val="1"/>
          <w:color w:val="auto"/>
        </w:rPr>
        <w:t>,”</w:t>
      </w:r>
      <w:r>
        <w:rPr>
          <w:rFonts w:ascii="Arial" w:cs="Arial" w:eastAsia="Arial" w:hAnsi="Arial"/>
          <w:sz w:val="18"/>
          <w:szCs w:val="18"/>
          <w:color w:val="auto"/>
        </w:rPr>
        <w:t xml:space="preserve"> the stockholders for whose benefit the Trustee shall hold the Property will be referred to as the “</w:t>
      </w:r>
      <w:r>
        <w:rPr>
          <w:rFonts w:ascii="Arial" w:cs="Arial" w:eastAsia="Arial" w:hAnsi="Arial"/>
          <w:sz w:val="18"/>
          <w:szCs w:val="18"/>
          <w:b w:val="1"/>
          <w:bCs w:val="1"/>
          <w:i w:val="1"/>
          <w:iCs w:val="1"/>
          <w:color w:val="auto"/>
        </w:rPr>
        <w:t>Public Stockholders</w:t>
      </w:r>
      <w:r>
        <w:rPr>
          <w:rFonts w:ascii="Arial" w:cs="Arial" w:eastAsia="Arial" w:hAnsi="Arial"/>
          <w:sz w:val="18"/>
          <w:szCs w:val="18"/>
          <w:i w:val="1"/>
          <w:iCs w:val="1"/>
          <w:color w:val="auto"/>
        </w:rPr>
        <w:t>,”</w:t>
      </w:r>
      <w:r>
        <w:rPr>
          <w:rFonts w:ascii="Arial" w:cs="Arial" w:eastAsia="Arial" w:hAnsi="Arial"/>
          <w:sz w:val="18"/>
          <w:szCs w:val="18"/>
          <w:color w:val="auto"/>
        </w:rPr>
        <w:t xml:space="preserve"> and the Public Stockholders and the Company will be referred to together as the “</w:t>
      </w:r>
      <w:r>
        <w:rPr>
          <w:rFonts w:ascii="Arial" w:cs="Arial" w:eastAsia="Arial" w:hAnsi="Arial"/>
          <w:sz w:val="18"/>
          <w:szCs w:val="18"/>
          <w:b w:val="1"/>
          <w:bCs w:val="1"/>
          <w:i w:val="1"/>
          <w:iCs w:val="1"/>
          <w:color w:val="auto"/>
        </w:rPr>
        <w:t>Beneficiaries</w:t>
      </w:r>
      <w:r>
        <w:rPr>
          <w:rFonts w:ascii="Arial" w:cs="Arial" w:eastAsia="Arial" w:hAnsi="Arial"/>
          <w:sz w:val="18"/>
          <w:szCs w:val="18"/>
          <w:color w:val="auto"/>
        </w:rPr>
        <w:t>”); and</w:t>
      </w:r>
    </w:p>
    <w:p>
      <w:pPr>
        <w:spacing w:after="0" w:line="19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WHEREAS, pursuant to the Underwriting Agreement, a portion of the Property equal to $3,500,000, or $4,025,000 if the Underwriters’ over-allotment option is exercised in full, is attributable to deferred underwriting discounts and commissions that will be payable by the Company to the Underwriters upon and concurrently with the consummation of the Business Combination (as defined below) (the “</w:t>
      </w:r>
      <w:r>
        <w:rPr>
          <w:rFonts w:ascii="Arial" w:cs="Arial" w:eastAsia="Arial" w:hAnsi="Arial"/>
          <w:sz w:val="17"/>
          <w:szCs w:val="17"/>
          <w:b w:val="1"/>
          <w:bCs w:val="1"/>
          <w:i w:val="1"/>
          <w:iCs w:val="1"/>
          <w:color w:val="auto"/>
        </w:rPr>
        <w:t>Deferred Discount</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and</w:t>
      </w:r>
    </w:p>
    <w:p>
      <w:pPr>
        <w:spacing w:after="0" w:line="1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Company and the Trustee desire to enter into this Agreement to set forth the terms and conditions pursuant to which the Trustee shall hold the Property.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IT IS AGREED:</w:t>
      </w:r>
    </w:p>
    <w:p>
      <w:pPr>
        <w:spacing w:after="0" w:line="225" w:lineRule="exact"/>
        <w:rPr>
          <w:sz w:val="20"/>
          <w:szCs w:val="20"/>
          <w:color w:val="auto"/>
        </w:rPr>
      </w:pPr>
    </w:p>
    <w:p>
      <w:pPr>
        <w:ind w:left="180" w:hanging="172"/>
        <w:spacing w:after="0"/>
        <w:tabs>
          <w:tab w:leader="none" w:pos="180" w:val="left"/>
        </w:tabs>
        <w:numPr>
          <w:ilvl w:val="0"/>
          <w:numId w:val="196"/>
        </w:numPr>
        <w:rPr>
          <w:rFonts w:ascii="Arial" w:cs="Arial" w:eastAsia="Arial" w:hAnsi="Arial"/>
          <w:sz w:val="18"/>
          <w:szCs w:val="18"/>
          <w:color w:val="auto"/>
        </w:rPr>
      </w:pPr>
      <w:r>
        <w:rPr>
          <w:rFonts w:ascii="Arial" w:cs="Arial" w:eastAsia="Arial" w:hAnsi="Arial"/>
          <w:sz w:val="18"/>
          <w:szCs w:val="18"/>
          <w:u w:val="single" w:color="auto"/>
          <w:color w:val="auto"/>
        </w:rPr>
        <w:t>Agreements and Covenants of Trustee</w:t>
      </w:r>
      <w:r>
        <w:rPr>
          <w:rFonts w:ascii="Arial" w:cs="Arial" w:eastAsia="Arial" w:hAnsi="Arial"/>
          <w:sz w:val="18"/>
          <w:szCs w:val="18"/>
          <w:color w:val="auto"/>
        </w:rPr>
        <w:t>. The Trustee hereby agrees and covenants to:</w:t>
      </w:r>
    </w:p>
    <w:p>
      <w:pPr>
        <w:spacing w:after="0" w:line="225" w:lineRule="exact"/>
        <w:rPr>
          <w:rFonts w:ascii="Arial" w:cs="Arial" w:eastAsia="Arial" w:hAnsi="Arial"/>
          <w:sz w:val="18"/>
          <w:szCs w:val="18"/>
          <w:color w:val="auto"/>
        </w:rPr>
      </w:pPr>
    </w:p>
    <w:p>
      <w:pPr>
        <w:jc w:val="both"/>
        <w:ind w:firstLine="656"/>
        <w:spacing w:after="0" w:line="311" w:lineRule="auto"/>
        <w:tabs>
          <w:tab w:leader="none" w:pos="896" w:val="left"/>
        </w:tabs>
        <w:numPr>
          <w:ilvl w:val="1"/>
          <w:numId w:val="196"/>
        </w:numPr>
        <w:rPr>
          <w:rFonts w:ascii="Arial" w:cs="Arial" w:eastAsia="Arial" w:hAnsi="Arial"/>
          <w:sz w:val="16"/>
          <w:szCs w:val="16"/>
          <w:color w:val="auto"/>
        </w:rPr>
      </w:pPr>
      <w:r>
        <w:rPr>
          <w:rFonts w:ascii="Arial" w:cs="Arial" w:eastAsia="Arial" w:hAnsi="Arial"/>
          <w:sz w:val="16"/>
          <w:szCs w:val="16"/>
          <w:color w:val="auto"/>
        </w:rPr>
        <w:t>Hold the Property in trust for the Beneficiaries in accordance with the terms of this Agreement in the Trust Account established by the Trustee in the United States at J.P. Morgan Chase Bank, N.A. (or at another U.S. chartered commercial bank with consolidated assets of $100 billion or more) in the United States, maintained by the Trustee and at a brokerage institution selected by the Trustee that is reasonably satisfactory to the Company;</w:t>
      </w:r>
    </w:p>
    <w:p>
      <w:pPr>
        <w:spacing w:after="0" w:line="148" w:lineRule="exact"/>
        <w:rPr>
          <w:rFonts w:ascii="Arial" w:cs="Arial" w:eastAsia="Arial" w:hAnsi="Arial"/>
          <w:sz w:val="16"/>
          <w:szCs w:val="16"/>
          <w:color w:val="auto"/>
        </w:rPr>
      </w:pPr>
    </w:p>
    <w:p>
      <w:pPr>
        <w:ind w:left="920" w:hanging="264"/>
        <w:spacing w:after="0"/>
        <w:tabs>
          <w:tab w:leader="none" w:pos="92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Manage, supervise and administer the Trust Account subject to the terms and conditions set forth herein;</w:t>
      </w:r>
    </w:p>
    <w:p>
      <w:pPr>
        <w:spacing w:after="0" w:line="225" w:lineRule="exact"/>
        <w:rPr>
          <w:rFonts w:ascii="Arial" w:cs="Arial" w:eastAsia="Arial" w:hAnsi="Arial"/>
          <w:sz w:val="18"/>
          <w:szCs w:val="18"/>
          <w:color w:val="auto"/>
        </w:rPr>
      </w:pPr>
    </w:p>
    <w:p>
      <w:pPr>
        <w:jc w:val="both"/>
        <w:ind w:firstLine="656"/>
        <w:spacing w:after="0" w:line="255" w:lineRule="auto"/>
        <w:tabs>
          <w:tab w:leader="none" w:pos="894" w:val="left"/>
        </w:tabs>
        <w:numPr>
          <w:ilvl w:val="1"/>
          <w:numId w:val="196"/>
        </w:numPr>
        <w:rPr>
          <w:rFonts w:ascii="Arial" w:cs="Arial" w:eastAsia="Arial" w:hAnsi="Arial"/>
          <w:sz w:val="18"/>
          <w:szCs w:val="18"/>
          <w:color w:val="auto"/>
        </w:rPr>
      </w:pPr>
      <w:r>
        <w:rPr>
          <w:rFonts w:ascii="Arial" w:cs="Arial" w:eastAsia="Arial" w:hAnsi="Arial"/>
          <w:sz w:val="18"/>
          <w:szCs w:val="18"/>
          <w:color w:val="auto"/>
        </w:rPr>
        <w:t>In a timely manner, upon the written instruction of the Company, invest and reinvest the Property solely in United States government securities within the meaning of Section 2(a)(16) of the Investment Company Act of 1940, as amended, having a maturity of 185 days or less, or in money market funds meeting the conditions of paragraphs (d)(1), (d)(2), (d)(3) and (d)(4) of Rule 2a-7 promulgated under the Investment Company Act of 1940, as amended (or any successor rule), which invest only in direct U.S. government treasury obligations, as determined by the Company; it being understood that the Trust Account will earn no interest while account funds are uninvested awaiting the Company’s instructions hereunder and the Trustee may earn bank credits or other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2" w:name="page253"/>
    <w:bookmarkEnd w:id="252"/>
    <w:p>
      <w:pPr>
        <w:ind w:left="920" w:hanging="264"/>
        <w:spacing w:after="0"/>
        <w:tabs>
          <w:tab w:leader="none" w:pos="92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Collect and receive, when due, all interest or other income arising from the Property, which shall become part of the “Property,” as such term 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used herein;</w:t>
      </w:r>
    </w:p>
    <w:p>
      <w:pPr>
        <w:spacing w:after="0" w:line="210" w:lineRule="exact"/>
        <w:rPr>
          <w:rFonts w:ascii="Arial" w:cs="Arial" w:eastAsia="Arial" w:hAnsi="Arial"/>
          <w:sz w:val="16"/>
          <w:szCs w:val="16"/>
          <w:color w:val="auto"/>
        </w:rPr>
      </w:pPr>
    </w:p>
    <w:p>
      <w:pPr>
        <w:ind w:firstLine="656"/>
        <w:spacing w:after="0" w:line="277" w:lineRule="auto"/>
        <w:tabs>
          <w:tab w:leader="none" w:pos="902" w:val="left"/>
        </w:tabs>
        <w:numPr>
          <w:ilvl w:val="0"/>
          <w:numId w:val="197"/>
        </w:numPr>
        <w:rPr>
          <w:rFonts w:ascii="Arial" w:cs="Arial" w:eastAsia="Arial" w:hAnsi="Arial"/>
          <w:sz w:val="18"/>
          <w:szCs w:val="18"/>
          <w:color w:val="auto"/>
        </w:rPr>
      </w:pPr>
      <w:r>
        <w:rPr>
          <w:rFonts w:ascii="Arial" w:cs="Arial" w:eastAsia="Arial" w:hAnsi="Arial"/>
          <w:sz w:val="18"/>
          <w:szCs w:val="18"/>
          <w:color w:val="auto"/>
        </w:rPr>
        <w:t>Promptly notify the Company and Jefferies LLC of all communications received by the Trustee with respect to any Property requiring action by the Company;</w:t>
      </w:r>
    </w:p>
    <w:p>
      <w:pPr>
        <w:spacing w:after="0" w:line="170" w:lineRule="exact"/>
        <w:rPr>
          <w:rFonts w:ascii="Arial" w:cs="Arial" w:eastAsia="Arial" w:hAnsi="Arial"/>
          <w:sz w:val="18"/>
          <w:szCs w:val="18"/>
          <w:color w:val="auto"/>
        </w:rPr>
      </w:pPr>
    </w:p>
    <w:p>
      <w:pPr>
        <w:ind w:firstLine="656"/>
        <w:spacing w:after="0" w:line="277" w:lineRule="auto"/>
        <w:tabs>
          <w:tab w:leader="none" w:pos="904" w:val="left"/>
        </w:tabs>
        <w:numPr>
          <w:ilvl w:val="0"/>
          <w:numId w:val="197"/>
        </w:numPr>
        <w:rPr>
          <w:rFonts w:ascii="Arial" w:cs="Arial" w:eastAsia="Arial" w:hAnsi="Arial"/>
          <w:sz w:val="18"/>
          <w:szCs w:val="18"/>
          <w:color w:val="auto"/>
        </w:rPr>
      </w:pPr>
      <w:r>
        <w:rPr>
          <w:rFonts w:ascii="Arial" w:cs="Arial" w:eastAsia="Arial" w:hAnsi="Arial"/>
          <w:sz w:val="18"/>
          <w:szCs w:val="18"/>
          <w:color w:val="auto"/>
        </w:rPr>
        <w:t>Supply any necessary information or documents as may be requested by the Company (or its authorized agents) in connection with the Company’s preparation of the tax returns relating to assets held in the Trust Account;</w:t>
      </w:r>
    </w:p>
    <w:p>
      <w:pPr>
        <w:spacing w:after="0" w:line="170" w:lineRule="exact"/>
        <w:rPr>
          <w:rFonts w:ascii="Arial" w:cs="Arial" w:eastAsia="Arial" w:hAnsi="Arial"/>
          <w:sz w:val="18"/>
          <w:szCs w:val="18"/>
          <w:color w:val="auto"/>
        </w:rPr>
      </w:pPr>
    </w:p>
    <w:p>
      <w:pPr>
        <w:ind w:firstLine="656"/>
        <w:spacing w:after="0" w:line="277" w:lineRule="auto"/>
        <w:tabs>
          <w:tab w:leader="none" w:pos="903" w:val="left"/>
        </w:tabs>
        <w:numPr>
          <w:ilvl w:val="0"/>
          <w:numId w:val="197"/>
        </w:numPr>
        <w:rPr>
          <w:rFonts w:ascii="Arial" w:cs="Arial" w:eastAsia="Arial" w:hAnsi="Arial"/>
          <w:sz w:val="18"/>
          <w:szCs w:val="18"/>
          <w:color w:val="auto"/>
        </w:rPr>
      </w:pPr>
      <w:r>
        <w:rPr>
          <w:rFonts w:ascii="Arial" w:cs="Arial" w:eastAsia="Arial" w:hAnsi="Arial"/>
          <w:sz w:val="18"/>
          <w:szCs w:val="18"/>
          <w:color w:val="auto"/>
        </w:rPr>
        <w:t>Participate in any plan or proceeding for protecting or enforcing any right or interest arising from the Property if, as and when instructed by the Company to do so;</w:t>
      </w:r>
    </w:p>
    <w:p>
      <w:pPr>
        <w:spacing w:after="0" w:line="170" w:lineRule="exact"/>
        <w:rPr>
          <w:rFonts w:ascii="Arial" w:cs="Arial" w:eastAsia="Arial" w:hAnsi="Arial"/>
          <w:sz w:val="18"/>
          <w:szCs w:val="18"/>
          <w:color w:val="auto"/>
        </w:rPr>
      </w:pPr>
    </w:p>
    <w:p>
      <w:pPr>
        <w:ind w:right="20" w:firstLine="656"/>
        <w:spacing w:after="0" w:line="277" w:lineRule="auto"/>
        <w:tabs>
          <w:tab w:leader="none" w:pos="941" w:val="left"/>
        </w:tabs>
        <w:numPr>
          <w:ilvl w:val="0"/>
          <w:numId w:val="197"/>
        </w:numPr>
        <w:rPr>
          <w:rFonts w:ascii="Arial" w:cs="Arial" w:eastAsia="Arial" w:hAnsi="Arial"/>
          <w:sz w:val="18"/>
          <w:szCs w:val="18"/>
          <w:color w:val="auto"/>
        </w:rPr>
      </w:pPr>
      <w:r>
        <w:rPr>
          <w:rFonts w:ascii="Arial" w:cs="Arial" w:eastAsia="Arial" w:hAnsi="Arial"/>
          <w:sz w:val="18"/>
          <w:szCs w:val="18"/>
          <w:color w:val="auto"/>
        </w:rPr>
        <w:t>Render to the Company monthly written statements of the activities of, and amounts in, the Trust Account reflecting all receipts and disbursements of the Trust Account;</w:t>
      </w:r>
    </w:p>
    <w:p>
      <w:pPr>
        <w:spacing w:after="0" w:line="170" w:lineRule="exact"/>
        <w:rPr>
          <w:rFonts w:ascii="Arial" w:cs="Arial" w:eastAsia="Arial" w:hAnsi="Arial"/>
          <w:sz w:val="18"/>
          <w:szCs w:val="18"/>
          <w:color w:val="auto"/>
        </w:rPr>
      </w:pPr>
    </w:p>
    <w:p>
      <w:pPr>
        <w:jc w:val="both"/>
        <w:ind w:firstLine="656"/>
        <w:spacing w:after="0" w:line="269" w:lineRule="auto"/>
        <w:tabs>
          <w:tab w:leader="none" w:pos="866" w:val="left"/>
        </w:tabs>
        <w:numPr>
          <w:ilvl w:val="0"/>
          <w:numId w:val="197"/>
        </w:numPr>
        <w:rPr>
          <w:rFonts w:ascii="Arial" w:cs="Arial" w:eastAsia="Arial" w:hAnsi="Arial"/>
          <w:sz w:val="17"/>
          <w:szCs w:val="17"/>
          <w:color w:val="auto"/>
        </w:rPr>
      </w:pPr>
      <w:r>
        <w:rPr>
          <w:rFonts w:ascii="Arial" w:cs="Arial" w:eastAsia="Arial" w:hAnsi="Arial"/>
          <w:sz w:val="17"/>
          <w:szCs w:val="17"/>
          <w:color w:val="auto"/>
        </w:rPr>
        <w:t>Commence liquidation of the Trust Account only after and promptly after (x) receipt of, and only in accordance with, the terms of a letter from the Company (“</w:t>
      </w:r>
      <w:r>
        <w:rPr>
          <w:rFonts w:ascii="Arial" w:cs="Arial" w:eastAsia="Arial" w:hAnsi="Arial"/>
          <w:sz w:val="17"/>
          <w:szCs w:val="17"/>
          <w:b w:val="1"/>
          <w:bCs w:val="1"/>
          <w:i w:val="1"/>
          <w:iCs w:val="1"/>
          <w:color w:val="auto"/>
        </w:rPr>
        <w:t>Termination Letter</w:t>
      </w:r>
      <w:r>
        <w:rPr>
          <w:rFonts w:ascii="Arial" w:cs="Arial" w:eastAsia="Arial" w:hAnsi="Arial"/>
          <w:sz w:val="17"/>
          <w:szCs w:val="17"/>
          <w:color w:val="auto"/>
        </w:rPr>
        <w:t xml:space="preserve">”) in a form substantially similar to that attached hereto as either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Exhibit B</w:t>
      </w:r>
      <w:r>
        <w:rPr>
          <w:rFonts w:ascii="Arial" w:cs="Arial" w:eastAsia="Arial" w:hAnsi="Arial"/>
          <w:sz w:val="17"/>
          <w:szCs w:val="17"/>
          <w:color w:val="auto"/>
        </w:rPr>
        <w:t>, as applicable, signed on behalf of the Company by its Chief Executive Officer, Chief Financial Officer, President, Executive Vice President, Vice President, Secretary or Chairman of the board of directors of the Company (the “</w:t>
      </w:r>
      <w:r>
        <w:rPr>
          <w:rFonts w:ascii="Arial" w:cs="Arial" w:eastAsia="Arial" w:hAnsi="Arial"/>
          <w:sz w:val="17"/>
          <w:szCs w:val="17"/>
          <w:b w:val="1"/>
          <w:bCs w:val="1"/>
          <w:i w:val="1"/>
          <w:iCs w:val="1"/>
          <w:color w:val="auto"/>
        </w:rPr>
        <w:t>Board</w:t>
      </w:r>
      <w:r>
        <w:rPr>
          <w:rFonts w:ascii="Arial" w:cs="Arial" w:eastAsia="Arial" w:hAnsi="Arial"/>
          <w:sz w:val="17"/>
          <w:szCs w:val="17"/>
          <w:i w:val="1"/>
          <w:iCs w:val="1"/>
          <w:color w:val="auto"/>
        </w:rPr>
        <w:t>”</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or other authorized officer of the Company, and complete the liquidation of the Trust Account and distribute the Property in the Trust Account, including interest earned on the funds held in the Trust Account and not previously released to the Company to pay its taxes (less up to $100,000 of interest to pay dissolution expenses), only as directed in the Termination Letter and the other documents referred to therein, or (y) upon the date which is, the later of (1) 24 months after the closing of the Offering and (2) such later date as may be approved by the Company’s stockholders in accordance with the Company’s amended and restated certificate of incorporation, as amended from time to time, if a Termination Letter has not been received by the Trustee prior to such date, in which case the Trust Account shall be liquidated in accordance with the procedures set forth in the Termination Letter attached as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and the Property in the Trust Account, including interest earned on the funds held in the Trust Account and not previously released to the Company to pay its taxes (less up to $100,000 of interest to pay dissolution expenses), shall be distributed to the Public Stockholders of record as of such date;</w:t>
      </w:r>
    </w:p>
    <w:p>
      <w:pPr>
        <w:spacing w:after="0" w:line="178" w:lineRule="exact"/>
        <w:rPr>
          <w:rFonts w:ascii="Arial" w:cs="Arial" w:eastAsia="Arial" w:hAnsi="Arial"/>
          <w:sz w:val="17"/>
          <w:szCs w:val="17"/>
          <w:color w:val="auto"/>
        </w:rPr>
      </w:pPr>
    </w:p>
    <w:p>
      <w:pPr>
        <w:jc w:val="both"/>
        <w:ind w:firstLine="656"/>
        <w:spacing w:after="0" w:line="269" w:lineRule="auto"/>
        <w:tabs>
          <w:tab w:leader="none" w:pos="886" w:val="left"/>
        </w:tabs>
        <w:numPr>
          <w:ilvl w:val="0"/>
          <w:numId w:val="197"/>
        </w:numPr>
        <w:rPr>
          <w:rFonts w:ascii="Arial" w:cs="Arial" w:eastAsia="Arial" w:hAnsi="Arial"/>
          <w:sz w:val="17"/>
          <w:szCs w:val="17"/>
          <w:color w:val="auto"/>
        </w:rPr>
      </w:pPr>
      <w:r>
        <w:rPr>
          <w:rFonts w:ascii="Arial" w:cs="Arial" w:eastAsia="Arial" w:hAnsi="Arial"/>
          <w:sz w:val="17"/>
          <w:szCs w:val="17"/>
          <w:color w:val="auto"/>
        </w:rPr>
        <w:t xml:space="preserve">Upon written request from the Company, which may be given from time to time in a form substantially similar to that attached hereto as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(a “</w:t>
      </w:r>
      <w:r>
        <w:rPr>
          <w:rFonts w:ascii="Arial" w:cs="Arial" w:eastAsia="Arial" w:hAnsi="Arial"/>
          <w:sz w:val="17"/>
          <w:szCs w:val="17"/>
          <w:b w:val="1"/>
          <w:bCs w:val="1"/>
          <w:i w:val="1"/>
          <w:iCs w:val="1"/>
          <w:color w:val="auto"/>
        </w:rPr>
        <w:t>Tax Payment Withdrawal Instruction</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withdraw from the Trust Account and distribute to the Company the amount of interest earned on the Property requested by the Company to cover any tax obligation owed by the Company as a result of assets of the Company or interest or other income earned on the Property, which amount shall be delivered directly to the Company by electronic funds transfer or other method of prompt payment, and the Company shall forward such payment to the relevant taxing authority, so long as there is no reduction in the principal amount per share initially deposited in the Trust Account;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to the extent there is not sufficient cash in the Trust Account to pay such tax obligation, the Trustee shall liquidate such assets held in the Trust Account as shall be designated by the Company in writing to make such distribution (it being acknowledged and agreed that any such amount in excess of interest income earned on the Property shall not be payable from the Trust Account). The written request of the Company referenced above shall constitute presumptive evidence that the Company is entitled to said funds, and the Trustee shall have no responsibility to look beyond said request;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3" w:name="page254"/>
    <w:bookmarkEnd w:id="253"/>
    <w:p>
      <w:pPr>
        <w:jc w:val="both"/>
        <w:ind w:left="-8" w:firstLine="656"/>
        <w:spacing w:after="0" w:line="290" w:lineRule="auto"/>
        <w:tabs>
          <w:tab w:leader="none" w:pos="917" w:val="left"/>
        </w:tabs>
        <w:numPr>
          <w:ilvl w:val="1"/>
          <w:numId w:val="198"/>
        </w:numPr>
        <w:rPr>
          <w:rFonts w:ascii="Arial" w:cs="Arial" w:eastAsia="Arial" w:hAnsi="Arial"/>
          <w:sz w:val="16"/>
          <w:szCs w:val="16"/>
          <w:color w:val="auto"/>
        </w:rPr>
      </w:pPr>
      <w:r>
        <w:rPr>
          <w:rFonts w:ascii="Arial" w:cs="Arial" w:eastAsia="Arial" w:hAnsi="Arial"/>
          <w:sz w:val="16"/>
          <w:szCs w:val="16"/>
          <w:color w:val="auto"/>
        </w:rPr>
        <w:t xml:space="preserve">Upon written request from the Company, which may be given from time to time in a form substantially similar to that attached hereto as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(a “</w:t>
      </w:r>
      <w:r>
        <w:rPr>
          <w:rFonts w:ascii="Arial" w:cs="Arial" w:eastAsia="Arial" w:hAnsi="Arial"/>
          <w:sz w:val="16"/>
          <w:szCs w:val="16"/>
          <w:b w:val="1"/>
          <w:bCs w:val="1"/>
          <w:i w:val="1"/>
          <w:iCs w:val="1"/>
          <w:color w:val="auto"/>
        </w:rPr>
        <w:t>Stockholder Redemption Withdrawal Instruction</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the Trustee shall distribute on behalf of the Company the amount requested by the Company to be used to redeem shares of Common Stock from Public Stockholders properly submitted in connection with a stockholder vote to approve an amendment to the Company’s amended and restated certificate of incorporation to modify the substance or timing of the Company’s obligation to redeem 100% of shares of Common Stock sold in the Offering (the </w:t>
      </w:r>
      <w:r>
        <w:rPr>
          <w:rFonts w:ascii="Arial" w:cs="Arial" w:eastAsia="Arial" w:hAnsi="Arial"/>
          <w:sz w:val="16"/>
          <w:szCs w:val="16"/>
          <w:i w:val="1"/>
          <w:iCs w:val="1"/>
          <w:color w:val="auto"/>
        </w:rPr>
        <w:t>‘</w:t>
      </w:r>
      <w:r>
        <w:rPr>
          <w:rFonts w:ascii="Arial" w:cs="Arial" w:eastAsia="Arial" w:hAnsi="Arial"/>
          <w:sz w:val="16"/>
          <w:szCs w:val="16"/>
          <w:color w:val="auto"/>
        </w:rPr>
        <w:t>“</w:t>
      </w:r>
      <w:r>
        <w:rPr>
          <w:rFonts w:ascii="Arial" w:cs="Arial" w:eastAsia="Arial" w:hAnsi="Arial"/>
          <w:sz w:val="16"/>
          <w:szCs w:val="16"/>
          <w:b w:val="1"/>
          <w:bCs w:val="1"/>
          <w:i w:val="1"/>
          <w:iCs w:val="1"/>
          <w:color w:val="auto"/>
        </w:rPr>
        <w:t>public shares</w:t>
      </w:r>
      <w:r>
        <w:rPr>
          <w:rFonts w:ascii="Arial" w:cs="Arial" w:eastAsia="Arial" w:hAnsi="Arial"/>
          <w:sz w:val="16"/>
          <w:szCs w:val="16"/>
          <w:color w:val="auto"/>
        </w:rPr>
        <w:t>”) if the Company has not consummated an initial Business Combination within such time as is described in the Company’s amended and restated certificate of incorporation or with respect to any other material provisions relating to stockholders’ rights or pre-initial Business Combination activity. The written request of the Company referenced above shall constitute presumptive evidence that the Company is entitled to distribute said funds, and the Trustee shall have no responsibility to look beyond said request; and</w:t>
      </w:r>
    </w:p>
    <w:p>
      <w:pPr>
        <w:spacing w:after="0" w:line="165" w:lineRule="exact"/>
        <w:rPr>
          <w:rFonts w:ascii="Arial" w:cs="Arial" w:eastAsia="Arial" w:hAnsi="Arial"/>
          <w:sz w:val="16"/>
          <w:szCs w:val="16"/>
          <w:color w:val="auto"/>
        </w:rPr>
      </w:pPr>
    </w:p>
    <w:p>
      <w:pPr>
        <w:ind w:left="872" w:hanging="224"/>
        <w:spacing w:after="0"/>
        <w:tabs>
          <w:tab w:leader="none" w:pos="872" w:val="left"/>
        </w:tabs>
        <w:numPr>
          <w:ilvl w:val="1"/>
          <w:numId w:val="198"/>
        </w:numPr>
        <w:rPr>
          <w:rFonts w:ascii="Arial" w:cs="Arial" w:eastAsia="Arial" w:hAnsi="Arial"/>
          <w:sz w:val="18"/>
          <w:szCs w:val="18"/>
          <w:color w:val="auto"/>
        </w:rPr>
      </w:pPr>
      <w:r>
        <w:rPr>
          <w:rFonts w:ascii="Arial" w:cs="Arial" w:eastAsia="Arial" w:hAnsi="Arial"/>
          <w:sz w:val="18"/>
          <w:szCs w:val="18"/>
          <w:color w:val="auto"/>
        </w:rPr>
        <w:t xml:space="preserve">Not make any withdrawals or distributions from the Trust Account other than pursuant to </w:t>
      </w:r>
      <w:r>
        <w:rPr>
          <w:rFonts w:ascii="Arial" w:cs="Arial" w:eastAsia="Arial" w:hAnsi="Arial"/>
          <w:sz w:val="18"/>
          <w:szCs w:val="18"/>
          <w:u w:val="single" w:color="auto"/>
          <w:color w:val="auto"/>
        </w:rPr>
        <w:t>Section 1(i)</w:t>
      </w:r>
      <w:r>
        <w:rPr>
          <w:rFonts w:ascii="Arial" w:cs="Arial" w:eastAsia="Arial" w:hAnsi="Arial"/>
          <w:sz w:val="18"/>
          <w:szCs w:val="18"/>
          <w:color w:val="auto"/>
        </w:rPr>
        <w:t xml:space="preserve">, </w:t>
      </w:r>
      <w:r>
        <w:rPr>
          <w:rFonts w:ascii="Arial" w:cs="Arial" w:eastAsia="Arial" w:hAnsi="Arial"/>
          <w:sz w:val="18"/>
          <w:szCs w:val="18"/>
          <w:u w:val="single" w:color="auto"/>
          <w:color w:val="auto"/>
        </w:rPr>
        <w:t>(j)</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(k)</w:t>
      </w:r>
      <w:r>
        <w:rPr>
          <w:rFonts w:ascii="Arial" w:cs="Arial" w:eastAsia="Arial" w:hAnsi="Arial"/>
          <w:sz w:val="18"/>
          <w:szCs w:val="18"/>
          <w:color w:val="auto"/>
        </w:rPr>
        <w:t xml:space="preserve"> above.</w:t>
      </w:r>
    </w:p>
    <w:p>
      <w:pPr>
        <w:spacing w:after="0" w:line="225" w:lineRule="exact"/>
        <w:rPr>
          <w:rFonts w:ascii="Arial" w:cs="Arial" w:eastAsia="Arial" w:hAnsi="Arial"/>
          <w:sz w:val="18"/>
          <w:szCs w:val="18"/>
          <w:color w:val="auto"/>
        </w:rPr>
      </w:pPr>
    </w:p>
    <w:p>
      <w:pPr>
        <w:ind w:left="172" w:hanging="172"/>
        <w:spacing w:after="0"/>
        <w:tabs>
          <w:tab w:leader="none" w:pos="172" w:val="left"/>
        </w:tabs>
        <w:numPr>
          <w:ilvl w:val="0"/>
          <w:numId w:val="199"/>
        </w:numPr>
        <w:rPr>
          <w:rFonts w:ascii="Arial" w:cs="Arial" w:eastAsia="Arial" w:hAnsi="Arial"/>
          <w:sz w:val="18"/>
          <w:szCs w:val="18"/>
          <w:color w:val="auto"/>
        </w:rPr>
      </w:pPr>
      <w:r>
        <w:rPr>
          <w:rFonts w:ascii="Arial" w:cs="Arial" w:eastAsia="Arial" w:hAnsi="Arial"/>
          <w:sz w:val="18"/>
          <w:szCs w:val="18"/>
          <w:u w:val="single" w:color="auto"/>
          <w:color w:val="auto"/>
        </w:rPr>
        <w:t>Agreements and Covenants of the Company</w:t>
      </w:r>
      <w:r>
        <w:rPr>
          <w:rFonts w:ascii="Arial" w:cs="Arial" w:eastAsia="Arial" w:hAnsi="Arial"/>
          <w:sz w:val="18"/>
          <w:szCs w:val="18"/>
          <w:color w:val="auto"/>
        </w:rPr>
        <w:t>. The Company hereby agrees and covenants to:</w:t>
      </w:r>
    </w:p>
    <w:p>
      <w:pPr>
        <w:spacing w:after="0" w:line="225" w:lineRule="exact"/>
        <w:rPr>
          <w:rFonts w:ascii="Arial" w:cs="Arial" w:eastAsia="Arial" w:hAnsi="Arial"/>
          <w:sz w:val="18"/>
          <w:szCs w:val="18"/>
          <w:color w:val="auto"/>
        </w:rPr>
      </w:pPr>
    </w:p>
    <w:p>
      <w:pPr>
        <w:jc w:val="both"/>
        <w:ind w:left="-8" w:firstLine="656"/>
        <w:spacing w:after="0" w:line="257" w:lineRule="auto"/>
        <w:tabs>
          <w:tab w:leader="none" w:pos="905" w:val="left"/>
        </w:tabs>
        <w:numPr>
          <w:ilvl w:val="1"/>
          <w:numId w:val="199"/>
        </w:numPr>
        <w:rPr>
          <w:rFonts w:ascii="Arial" w:cs="Arial" w:eastAsia="Arial" w:hAnsi="Arial"/>
          <w:sz w:val="18"/>
          <w:szCs w:val="18"/>
          <w:color w:val="auto"/>
        </w:rPr>
      </w:pPr>
      <w:r>
        <w:rPr>
          <w:rFonts w:ascii="Arial" w:cs="Arial" w:eastAsia="Arial" w:hAnsi="Arial"/>
          <w:sz w:val="18"/>
          <w:szCs w:val="18"/>
          <w:color w:val="auto"/>
        </w:rPr>
        <w:t xml:space="preserve">Give all instructions to the Trustee hereunder in writing, signed by the Company’s Chairman of the Board, Chief Executive Officer, Chief Financial Officer, President, Executive Vice President, Vice President or Secretary. In addition, except with respect to its duties under </w:t>
      </w:r>
      <w:r>
        <w:rPr>
          <w:rFonts w:ascii="Arial" w:cs="Arial" w:eastAsia="Arial" w:hAnsi="Arial"/>
          <w:sz w:val="18"/>
          <w:szCs w:val="18"/>
          <w:u w:val="single" w:color="auto"/>
          <w:color w:val="auto"/>
        </w:rPr>
        <w:t>Sections 1(i)</w:t>
      </w:r>
      <w:r>
        <w:rPr>
          <w:rFonts w:ascii="Arial" w:cs="Arial" w:eastAsia="Arial" w:hAnsi="Arial"/>
          <w:sz w:val="18"/>
          <w:szCs w:val="18"/>
          <w:color w:val="auto"/>
        </w:rPr>
        <w:t xml:space="preserve">, </w:t>
      </w:r>
      <w:r>
        <w:rPr>
          <w:rFonts w:ascii="Arial" w:cs="Arial" w:eastAsia="Arial" w:hAnsi="Arial"/>
          <w:sz w:val="18"/>
          <w:szCs w:val="18"/>
          <w:u w:val="single" w:color="auto"/>
          <w:color w:val="auto"/>
        </w:rPr>
        <w:t>1(j)</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1(k)</w:t>
      </w:r>
      <w:r>
        <w:rPr>
          <w:rFonts w:ascii="Arial" w:cs="Arial" w:eastAsia="Arial" w:hAnsi="Arial"/>
          <w:sz w:val="18"/>
          <w:szCs w:val="18"/>
          <w:color w:val="auto"/>
        </w:rPr>
        <w:t xml:space="preserve"> hereof, the Trustee shall be entitled to rely on, and shall be protected in relying on, any verbal or telephonic advice or instruction which it, in good faith and with reasonable care, believes to be given by any one of the persons authorized above to give written instructions, provided that the Company shall promptly confirm such instructions in writing;</w:t>
      </w:r>
    </w:p>
    <w:p>
      <w:pPr>
        <w:spacing w:after="0" w:line="187" w:lineRule="exact"/>
        <w:rPr>
          <w:rFonts w:ascii="Arial" w:cs="Arial" w:eastAsia="Arial" w:hAnsi="Arial"/>
          <w:sz w:val="18"/>
          <w:szCs w:val="18"/>
          <w:color w:val="auto"/>
        </w:rPr>
      </w:pPr>
    </w:p>
    <w:p>
      <w:pPr>
        <w:jc w:val="both"/>
        <w:ind w:left="-8" w:firstLine="656"/>
        <w:spacing w:after="0" w:line="288" w:lineRule="auto"/>
        <w:tabs>
          <w:tab w:leader="none" w:pos="899" w:val="left"/>
        </w:tabs>
        <w:numPr>
          <w:ilvl w:val="1"/>
          <w:numId w:val="199"/>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hereof, hold the Trustee harmless and indemnify the Trustee from and against any and all expenses, including reasonable counsel fees and disbursements, or losses suffered by the Trustee in connection with any action taken by it hereunder and in connection with any action, suit or other proceeding brought against the Trustee involving any claim, or in connection with any claim or demand, which in any way arises out of or relates to this Agreement, the services of the Trustee hereunder, or the Property or any interest earned on the Property, except for expenses and losses resulting from the Trustee’s gross negligence, fraud or willful misconduct. Promptly after the receipt by the Trustee of notice of demand or claim or the commencement of any action, suit or proceeding, pursuant to which the Trustee intends to seek indemnification under this </w:t>
      </w:r>
      <w:r>
        <w:rPr>
          <w:rFonts w:ascii="Arial" w:cs="Arial" w:eastAsia="Arial" w:hAnsi="Arial"/>
          <w:sz w:val="16"/>
          <w:szCs w:val="16"/>
          <w:u w:val="single" w:color="auto"/>
          <w:color w:val="auto"/>
        </w:rPr>
        <w:t>Section 2(b)</w:t>
      </w:r>
      <w:r>
        <w:rPr>
          <w:rFonts w:ascii="Arial" w:cs="Arial" w:eastAsia="Arial" w:hAnsi="Arial"/>
          <w:sz w:val="16"/>
          <w:szCs w:val="16"/>
          <w:color w:val="auto"/>
        </w:rPr>
        <w:t>, it shall notify the Company in writing of such claim (hereinafter referred to as the “</w:t>
      </w:r>
      <w:r>
        <w:rPr>
          <w:rFonts w:ascii="Arial" w:cs="Arial" w:eastAsia="Arial" w:hAnsi="Arial"/>
          <w:sz w:val="16"/>
          <w:szCs w:val="16"/>
          <w:b w:val="1"/>
          <w:bCs w:val="1"/>
          <w:i w:val="1"/>
          <w:iCs w:val="1"/>
          <w:color w:val="auto"/>
        </w:rPr>
        <w:t>Indemnified Claim</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The Trustee shall have the right to conduct and manage the defense against such Indemnified Claim;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Trustee shall obtain the consent of the Company with respect to the selection of counsel, which consent shall not be unreasonably withheld. The Trustee may not agree to settle any Indemnified Claim without the prior written consent of the Company, which such consent shall not be unreasonably withheld. The Company may participate in such action with its own counsel;</w:t>
      </w:r>
    </w:p>
    <w:p>
      <w:pPr>
        <w:spacing w:after="0" w:line="168" w:lineRule="exact"/>
        <w:rPr>
          <w:rFonts w:ascii="Arial" w:cs="Arial" w:eastAsia="Arial" w:hAnsi="Arial"/>
          <w:sz w:val="16"/>
          <w:szCs w:val="16"/>
          <w:color w:val="auto"/>
        </w:rPr>
      </w:pPr>
    </w:p>
    <w:p>
      <w:pPr>
        <w:jc w:val="both"/>
        <w:ind w:left="-8" w:firstLine="656"/>
        <w:spacing w:after="0" w:line="275" w:lineRule="auto"/>
        <w:tabs>
          <w:tab w:leader="none" w:pos="919" w:val="left"/>
        </w:tabs>
        <w:numPr>
          <w:ilvl w:val="1"/>
          <w:numId w:val="199"/>
        </w:numPr>
        <w:rPr>
          <w:rFonts w:ascii="Arial" w:cs="Arial" w:eastAsia="Arial" w:hAnsi="Arial"/>
          <w:sz w:val="17"/>
          <w:szCs w:val="17"/>
          <w:color w:val="auto"/>
        </w:rPr>
      </w:pPr>
      <w:r>
        <w:rPr>
          <w:rFonts w:ascii="Arial" w:cs="Arial" w:eastAsia="Arial" w:hAnsi="Arial"/>
          <w:sz w:val="17"/>
          <w:szCs w:val="17"/>
          <w:color w:val="auto"/>
        </w:rPr>
        <w:t xml:space="preserve">Pay the Trustee the fees set forth on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hereto, including an initial acceptance fee, annual administration fee, and transaction processing fee which fees shall be subject to modification by the parties from time to time. It is expressly understood that the Property shall not be used to pay such fees unless and until it is distributed to the Company pursuant to </w:t>
      </w:r>
      <w:r>
        <w:rPr>
          <w:rFonts w:ascii="Arial" w:cs="Arial" w:eastAsia="Arial" w:hAnsi="Arial"/>
          <w:sz w:val="17"/>
          <w:szCs w:val="17"/>
          <w:u w:val="single" w:color="auto"/>
          <w:color w:val="auto"/>
        </w:rPr>
        <w:t>Sections 1(i)</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1(j)</w:t>
      </w:r>
      <w:r>
        <w:rPr>
          <w:rFonts w:ascii="Arial" w:cs="Arial" w:eastAsia="Arial" w:hAnsi="Arial"/>
          <w:sz w:val="17"/>
          <w:szCs w:val="17"/>
          <w:color w:val="auto"/>
        </w:rPr>
        <w:t xml:space="preserve"> hereof. The Company shall pay the Trustee the initial acceptance fee and the first annual administration fee at the consummation of the Offering. The Company shall not be responsible for any other fees or charges of the Trustee except as set forth in this </w:t>
      </w:r>
      <w:r>
        <w:rPr>
          <w:rFonts w:ascii="Arial" w:cs="Arial" w:eastAsia="Arial" w:hAnsi="Arial"/>
          <w:sz w:val="17"/>
          <w:szCs w:val="17"/>
          <w:u w:val="single" w:color="auto"/>
          <w:color w:val="auto"/>
        </w:rPr>
        <w:t>Section 2(c)</w:t>
      </w:r>
      <w:r>
        <w:rPr>
          <w:rFonts w:ascii="Arial" w:cs="Arial" w:eastAsia="Arial" w:hAnsi="Arial"/>
          <w:sz w:val="17"/>
          <w:szCs w:val="17"/>
          <w:color w:val="auto"/>
        </w:rPr>
        <w:t xml:space="preserve">, Schedule A and as may be provided in </w:t>
      </w:r>
      <w:r>
        <w:rPr>
          <w:rFonts w:ascii="Arial" w:cs="Arial" w:eastAsia="Arial" w:hAnsi="Arial"/>
          <w:sz w:val="17"/>
          <w:szCs w:val="17"/>
          <w:u w:val="single" w:color="auto"/>
          <w:color w:val="auto"/>
        </w:rPr>
        <w:t>Section 2(b)</w:t>
      </w:r>
      <w:r>
        <w:rPr>
          <w:rFonts w:ascii="Arial" w:cs="Arial" w:eastAsia="Arial" w:hAnsi="Arial"/>
          <w:sz w:val="17"/>
          <w:szCs w:val="17"/>
          <w:color w:val="auto"/>
        </w:rPr>
        <w:t xml:space="preserve"> hereof;</w:t>
      </w:r>
    </w:p>
    <w:p>
      <w:pPr>
        <w:spacing w:after="0" w:line="39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254" w:name="page255"/>
    <w:bookmarkEnd w:id="254"/>
    <w:p>
      <w:pPr>
        <w:jc w:val="both"/>
        <w:ind w:left="-8" w:firstLine="656"/>
        <w:spacing w:after="0" w:line="259" w:lineRule="auto"/>
        <w:tabs>
          <w:tab w:leader="none" w:pos="918" w:val="left"/>
        </w:tabs>
        <w:numPr>
          <w:ilvl w:val="1"/>
          <w:numId w:val="200"/>
        </w:numPr>
        <w:rPr>
          <w:rFonts w:ascii="Arial" w:cs="Arial" w:eastAsia="Arial" w:hAnsi="Arial"/>
          <w:sz w:val="18"/>
          <w:szCs w:val="18"/>
          <w:color w:val="auto"/>
        </w:rPr>
      </w:pPr>
      <w:r>
        <w:rPr>
          <w:rFonts w:ascii="Arial" w:cs="Arial" w:eastAsia="Arial" w:hAnsi="Arial"/>
          <w:sz w:val="18"/>
          <w:szCs w:val="18"/>
          <w:color w:val="auto"/>
        </w:rPr>
        <w:t>In connection with any vote of the Company’s stockholders regarding a merger, capital stock exchange, asset acquisition, stock purchase, reorganization or similar business combination involving the Company and one or more businesses (the “</w:t>
      </w:r>
      <w:r>
        <w:rPr>
          <w:rFonts w:ascii="Arial" w:cs="Arial" w:eastAsia="Arial" w:hAnsi="Arial"/>
          <w:sz w:val="18"/>
          <w:szCs w:val="18"/>
          <w:b w:val="1"/>
          <w:bCs w:val="1"/>
          <w:i w:val="1"/>
          <w:iCs w:val="1"/>
          <w:color w:val="auto"/>
        </w:rPr>
        <w:t>Business Combination</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provide to the Trustee an affidavit or certificate of the inspector of elections for the stockholder meeting verifying the vote of such stockholders regarding such Business Combination;</w:t>
      </w:r>
    </w:p>
    <w:p>
      <w:pPr>
        <w:spacing w:after="0" w:line="186" w:lineRule="exact"/>
        <w:rPr>
          <w:rFonts w:ascii="Arial" w:cs="Arial" w:eastAsia="Arial" w:hAnsi="Arial"/>
          <w:sz w:val="18"/>
          <w:szCs w:val="18"/>
          <w:color w:val="auto"/>
        </w:rPr>
      </w:pPr>
    </w:p>
    <w:p>
      <w:pPr>
        <w:ind w:left="-8" w:firstLine="656"/>
        <w:spacing w:after="0" w:line="277" w:lineRule="auto"/>
        <w:tabs>
          <w:tab w:leader="none" w:pos="89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Provide Jefferies LLC with a copy of any Termination Letter(s) and/or any other correspondence that is sent to the Trustee with respect to any proposed withdrawal from the Trust Account promptly after it issues the same;</w:t>
      </w:r>
    </w:p>
    <w:p>
      <w:pPr>
        <w:spacing w:after="0" w:line="170" w:lineRule="exact"/>
        <w:rPr>
          <w:rFonts w:ascii="Arial" w:cs="Arial" w:eastAsia="Arial" w:hAnsi="Arial"/>
          <w:sz w:val="18"/>
          <w:szCs w:val="18"/>
          <w:color w:val="auto"/>
        </w:rPr>
      </w:pPr>
    </w:p>
    <w:p>
      <w:pPr>
        <w:jc w:val="both"/>
        <w:ind w:left="-8" w:firstLine="656"/>
        <w:spacing w:after="0" w:line="286" w:lineRule="auto"/>
        <w:tabs>
          <w:tab w:leader="none" w:pos="873" w:val="left"/>
        </w:tabs>
        <w:numPr>
          <w:ilvl w:val="1"/>
          <w:numId w:val="200"/>
        </w:numPr>
        <w:rPr>
          <w:rFonts w:ascii="Arial" w:cs="Arial" w:eastAsia="Arial" w:hAnsi="Arial"/>
          <w:sz w:val="17"/>
          <w:szCs w:val="17"/>
          <w:color w:val="auto"/>
        </w:rPr>
      </w:pPr>
      <w:r>
        <w:rPr>
          <w:rFonts w:ascii="Arial" w:cs="Arial" w:eastAsia="Arial" w:hAnsi="Arial"/>
          <w:sz w:val="17"/>
          <w:szCs w:val="17"/>
          <w:color w:val="auto"/>
        </w:rPr>
        <w:t xml:space="preserve">Unless otherwise agreed between the Company and the Underwriters, ensure that any Instruction Letter (as defined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delivered in connection with a Termination Letter in the form of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expressly provides that the Deferred Discount is paid directly to the account or accounts directed by Jefferies LLC prior to any transfer of the funds held in the Trust Account to the Company or any other person;</w:t>
      </w:r>
    </w:p>
    <w:p>
      <w:pPr>
        <w:spacing w:after="0" w:line="165" w:lineRule="exact"/>
        <w:rPr>
          <w:rFonts w:ascii="Arial" w:cs="Arial" w:eastAsia="Arial" w:hAnsi="Arial"/>
          <w:sz w:val="17"/>
          <w:szCs w:val="17"/>
          <w:color w:val="auto"/>
        </w:rPr>
      </w:pPr>
    </w:p>
    <w:p>
      <w:pPr>
        <w:ind w:left="-8" w:right="20" w:firstLine="656"/>
        <w:spacing w:after="0" w:line="277" w:lineRule="auto"/>
        <w:tabs>
          <w:tab w:leader="none" w:pos="90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Instruct the Trustee to make only those distributions that are permitted under this Agreement, and refrain from instructing the Trustee to make any distributions that are not permitted under this Agreement; and</w:t>
      </w:r>
    </w:p>
    <w:p>
      <w:pPr>
        <w:spacing w:after="0" w:line="170" w:lineRule="exact"/>
        <w:rPr>
          <w:rFonts w:ascii="Arial" w:cs="Arial" w:eastAsia="Arial" w:hAnsi="Arial"/>
          <w:sz w:val="18"/>
          <w:szCs w:val="18"/>
          <w:color w:val="auto"/>
        </w:rPr>
      </w:pPr>
    </w:p>
    <w:p>
      <w:pPr>
        <w:ind w:left="-8" w:firstLine="656"/>
        <w:spacing w:after="0" w:line="277" w:lineRule="auto"/>
        <w:tabs>
          <w:tab w:leader="none" w:pos="913" w:val="left"/>
        </w:tabs>
        <w:numPr>
          <w:ilvl w:val="1"/>
          <w:numId w:val="200"/>
        </w:numPr>
        <w:rPr>
          <w:rFonts w:ascii="Arial" w:cs="Arial" w:eastAsia="Arial" w:hAnsi="Arial"/>
          <w:sz w:val="18"/>
          <w:szCs w:val="18"/>
          <w:color w:val="auto"/>
        </w:rPr>
      </w:pPr>
      <w:r>
        <w:rPr>
          <w:rFonts w:ascii="Arial" w:cs="Arial" w:eastAsia="Arial" w:hAnsi="Arial"/>
          <w:sz w:val="18"/>
          <w:szCs w:val="18"/>
          <w:color w:val="auto"/>
        </w:rPr>
        <w:t>Within four (4) business days after the Underwriter exercises the over-allotment option (or any unexercised portion thereof) or such over-allotment option expires, provide the Trustee with a notice in writing of the total amount of the Deferred Discount.</w:t>
      </w:r>
    </w:p>
    <w:p>
      <w:pPr>
        <w:spacing w:after="0" w:line="170" w:lineRule="exact"/>
        <w:rPr>
          <w:rFonts w:ascii="Arial" w:cs="Arial" w:eastAsia="Arial" w:hAnsi="Arial"/>
          <w:sz w:val="18"/>
          <w:szCs w:val="18"/>
          <w:color w:val="auto"/>
        </w:rPr>
      </w:pPr>
    </w:p>
    <w:p>
      <w:pPr>
        <w:ind w:left="172" w:hanging="172"/>
        <w:spacing w:after="0"/>
        <w:tabs>
          <w:tab w:leader="none" w:pos="172" w:val="left"/>
        </w:tabs>
        <w:numPr>
          <w:ilvl w:val="0"/>
          <w:numId w:val="201"/>
        </w:numPr>
        <w:rPr>
          <w:rFonts w:ascii="Arial" w:cs="Arial" w:eastAsia="Arial" w:hAnsi="Arial"/>
          <w:sz w:val="18"/>
          <w:szCs w:val="18"/>
          <w:color w:val="auto"/>
        </w:rPr>
      </w:pPr>
      <w:r>
        <w:rPr>
          <w:rFonts w:ascii="Arial" w:cs="Arial" w:eastAsia="Arial" w:hAnsi="Arial"/>
          <w:sz w:val="18"/>
          <w:szCs w:val="18"/>
          <w:u w:val="single" w:color="auto"/>
          <w:color w:val="auto"/>
        </w:rPr>
        <w:t>Limitations of Liability</w:t>
      </w:r>
      <w:r>
        <w:rPr>
          <w:rFonts w:ascii="Arial" w:cs="Arial" w:eastAsia="Arial" w:hAnsi="Arial"/>
          <w:sz w:val="18"/>
          <w:szCs w:val="18"/>
          <w:color w:val="auto"/>
        </w:rPr>
        <w:t>. The Trustee shall have no responsibility or liability to:</w:t>
      </w:r>
    </w:p>
    <w:p>
      <w:pPr>
        <w:spacing w:after="0" w:line="225" w:lineRule="exact"/>
        <w:rPr>
          <w:rFonts w:ascii="Arial" w:cs="Arial" w:eastAsia="Arial" w:hAnsi="Arial"/>
          <w:sz w:val="18"/>
          <w:szCs w:val="18"/>
          <w:color w:val="auto"/>
        </w:rPr>
      </w:pPr>
    </w:p>
    <w:p>
      <w:pPr>
        <w:ind w:left="-8" w:firstLine="656"/>
        <w:spacing w:after="0" w:line="277" w:lineRule="auto"/>
        <w:tabs>
          <w:tab w:leader="none" w:pos="894" w:val="left"/>
        </w:tabs>
        <w:numPr>
          <w:ilvl w:val="1"/>
          <w:numId w:val="201"/>
        </w:numPr>
        <w:rPr>
          <w:rFonts w:ascii="Arial" w:cs="Arial" w:eastAsia="Arial" w:hAnsi="Arial"/>
          <w:sz w:val="18"/>
          <w:szCs w:val="18"/>
          <w:color w:val="auto"/>
        </w:rPr>
      </w:pPr>
      <w:r>
        <w:rPr>
          <w:rFonts w:ascii="Arial" w:cs="Arial" w:eastAsia="Arial" w:hAnsi="Arial"/>
          <w:sz w:val="18"/>
          <w:szCs w:val="18"/>
          <w:color w:val="auto"/>
        </w:rPr>
        <w:t>Imply obligations, perform duties, inquire or otherwise be subject to the provisions of any agreement or document other than this Agreement and that which is expressly set forth herein;</w:t>
      </w:r>
    </w:p>
    <w:p>
      <w:pPr>
        <w:spacing w:after="0" w:line="170" w:lineRule="exact"/>
        <w:rPr>
          <w:rFonts w:ascii="Arial" w:cs="Arial" w:eastAsia="Arial" w:hAnsi="Arial"/>
          <w:sz w:val="18"/>
          <w:szCs w:val="18"/>
          <w:color w:val="auto"/>
        </w:rPr>
      </w:pPr>
    </w:p>
    <w:p>
      <w:pPr>
        <w:ind w:left="-8" w:firstLine="656"/>
        <w:spacing w:after="0" w:line="277" w:lineRule="auto"/>
        <w:tabs>
          <w:tab w:leader="none" w:pos="892" w:val="left"/>
        </w:tabs>
        <w:numPr>
          <w:ilvl w:val="1"/>
          <w:numId w:val="201"/>
        </w:numPr>
        <w:rPr>
          <w:rFonts w:ascii="Arial" w:cs="Arial" w:eastAsia="Arial" w:hAnsi="Arial"/>
          <w:sz w:val="18"/>
          <w:szCs w:val="18"/>
          <w:color w:val="auto"/>
        </w:rPr>
      </w:pPr>
      <w:r>
        <w:rPr>
          <w:rFonts w:ascii="Arial" w:cs="Arial" w:eastAsia="Arial" w:hAnsi="Arial"/>
          <w:sz w:val="18"/>
          <w:szCs w:val="18"/>
          <w:color w:val="auto"/>
        </w:rPr>
        <w:t xml:space="preserve">Take any action with respect to the Property, other than as directed in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hereof, and the Trustee shall have no liability to any third party except for liability arising out of the Trustee’s gross negligence, fraud or willful misconduct;</w:t>
      </w:r>
    </w:p>
    <w:p>
      <w:pPr>
        <w:spacing w:after="0" w:line="170" w:lineRule="exact"/>
        <w:rPr>
          <w:rFonts w:ascii="Arial" w:cs="Arial" w:eastAsia="Arial" w:hAnsi="Arial"/>
          <w:sz w:val="18"/>
          <w:szCs w:val="18"/>
          <w:color w:val="auto"/>
        </w:rPr>
      </w:pPr>
    </w:p>
    <w:p>
      <w:pPr>
        <w:jc w:val="both"/>
        <w:ind w:left="-8" w:firstLine="656"/>
        <w:spacing w:after="0" w:line="263" w:lineRule="auto"/>
        <w:tabs>
          <w:tab w:leader="none" w:pos="899" w:val="left"/>
        </w:tabs>
        <w:numPr>
          <w:ilvl w:val="1"/>
          <w:numId w:val="201"/>
        </w:numPr>
        <w:rPr>
          <w:rFonts w:ascii="Arial" w:cs="Arial" w:eastAsia="Arial" w:hAnsi="Arial"/>
          <w:sz w:val="18"/>
          <w:szCs w:val="18"/>
          <w:color w:val="auto"/>
        </w:rPr>
      </w:pPr>
      <w:r>
        <w:rPr>
          <w:rFonts w:ascii="Arial" w:cs="Arial" w:eastAsia="Arial" w:hAnsi="Arial"/>
          <w:sz w:val="18"/>
          <w:szCs w:val="18"/>
          <w:color w:val="auto"/>
        </w:rPr>
        <w:t>Institute any proceeding for the collection of any principal and income arising from, or institute, appear in or defend any proceeding of any kind with respect to, any of the Property unless and until it shall have received instructions from the Company given as provided herein to do so and the Company shall have advanced or guaranteed to it funds sufficient to pay any expenses incident thereto;</w:t>
      </w:r>
    </w:p>
    <w:p>
      <w:pPr>
        <w:spacing w:after="0" w:line="183" w:lineRule="exact"/>
        <w:rPr>
          <w:rFonts w:ascii="Arial" w:cs="Arial" w:eastAsia="Arial" w:hAnsi="Arial"/>
          <w:sz w:val="18"/>
          <w:szCs w:val="18"/>
          <w:color w:val="auto"/>
        </w:rPr>
      </w:pPr>
    </w:p>
    <w:p>
      <w:pPr>
        <w:ind w:left="912" w:hanging="264"/>
        <w:spacing w:after="0"/>
        <w:tabs>
          <w:tab w:leader="none" w:pos="912" w:val="left"/>
        </w:tabs>
        <w:numPr>
          <w:ilvl w:val="1"/>
          <w:numId w:val="201"/>
        </w:numPr>
        <w:rPr>
          <w:rFonts w:ascii="Arial" w:cs="Arial" w:eastAsia="Arial" w:hAnsi="Arial"/>
          <w:sz w:val="18"/>
          <w:szCs w:val="18"/>
          <w:color w:val="auto"/>
        </w:rPr>
      </w:pPr>
      <w:r>
        <w:rPr>
          <w:rFonts w:ascii="Arial" w:cs="Arial" w:eastAsia="Arial" w:hAnsi="Arial"/>
          <w:sz w:val="18"/>
          <w:szCs w:val="18"/>
          <w:color w:val="auto"/>
        </w:rPr>
        <w:t>Refund any depreciation in principal of any Property;</w:t>
      </w:r>
    </w:p>
    <w:p>
      <w:pPr>
        <w:spacing w:after="0" w:line="225" w:lineRule="exact"/>
        <w:rPr>
          <w:rFonts w:ascii="Arial" w:cs="Arial" w:eastAsia="Arial" w:hAnsi="Arial"/>
          <w:sz w:val="18"/>
          <w:szCs w:val="18"/>
          <w:color w:val="auto"/>
        </w:rPr>
      </w:pPr>
    </w:p>
    <w:p>
      <w:pPr>
        <w:ind w:left="-8" w:firstLine="656"/>
        <w:spacing w:after="0" w:line="277" w:lineRule="auto"/>
        <w:tabs>
          <w:tab w:leader="none" w:pos="892" w:val="left"/>
        </w:tabs>
        <w:numPr>
          <w:ilvl w:val="1"/>
          <w:numId w:val="201"/>
        </w:numPr>
        <w:rPr>
          <w:rFonts w:ascii="Arial" w:cs="Arial" w:eastAsia="Arial" w:hAnsi="Arial"/>
          <w:sz w:val="18"/>
          <w:szCs w:val="18"/>
          <w:color w:val="auto"/>
        </w:rPr>
      </w:pPr>
      <w:r>
        <w:rPr>
          <w:rFonts w:ascii="Arial" w:cs="Arial" w:eastAsia="Arial" w:hAnsi="Arial"/>
          <w:sz w:val="18"/>
          <w:szCs w:val="18"/>
          <w:color w:val="auto"/>
        </w:rPr>
        <w:t>Assume that the authority of any person designated by the Company to give instructions hereunder shall not be continuing unless provided otherwise in such designation, or unless the Company shall have delivered a written revocation of such authority to the Trustee;</w:t>
      </w:r>
    </w:p>
    <w:p>
      <w:pPr>
        <w:spacing w:after="0" w:line="170" w:lineRule="exact"/>
        <w:rPr>
          <w:rFonts w:ascii="Arial" w:cs="Arial" w:eastAsia="Arial" w:hAnsi="Arial"/>
          <w:sz w:val="18"/>
          <w:szCs w:val="18"/>
          <w:color w:val="auto"/>
        </w:rPr>
      </w:pPr>
    </w:p>
    <w:p>
      <w:pPr>
        <w:jc w:val="both"/>
        <w:ind w:left="-8" w:firstLine="656"/>
        <w:spacing w:after="0" w:line="290" w:lineRule="auto"/>
        <w:tabs>
          <w:tab w:leader="none" w:pos="864" w:val="left"/>
        </w:tabs>
        <w:numPr>
          <w:ilvl w:val="1"/>
          <w:numId w:val="201"/>
        </w:numPr>
        <w:rPr>
          <w:rFonts w:ascii="Arial" w:cs="Arial" w:eastAsia="Arial" w:hAnsi="Arial"/>
          <w:sz w:val="16"/>
          <w:szCs w:val="16"/>
          <w:color w:val="auto"/>
        </w:rPr>
      </w:pPr>
      <w:r>
        <w:rPr>
          <w:rFonts w:ascii="Arial" w:cs="Arial" w:eastAsia="Arial" w:hAnsi="Arial"/>
          <w:sz w:val="16"/>
          <w:szCs w:val="16"/>
          <w:color w:val="auto"/>
        </w:rPr>
        <w:t>The other parties hereto or to anyone else for any action taken or omitted by it, or any action suffered by it to be taken or omitted, in good faith and in the Trustee’s best judgment, except for the Trustee’s gross negligence, fraud or willful misconduct. The Trustee may rely conclusively and shall be protected in acting upon any order, notice, demand, certificate, opinion or advice of counsel (including counsel chosen by the Trustee, which counsel may be the Company’s counsel), statement, instrument, report or other paper or document (not only as to its due execution and the validity and effectiveness of its provisions, but also as to the truth and acceptability of any information therein contained) which the Trustee believes, in good faith and with reasonable care, to be genuine and to be signed or presented by the proper person or persons. The Trustee shall not be bound by any notice or demand, or any waiver, modification, termination or rescission of this Agreement or any of the terms hereof, unless evidenced by a written instrument delivered to the Trustee, signed by the proper party or parties and, if the duties or rights of the Trustee are affected, unless it shall give its prior written consent thereto;</w:t>
      </w:r>
    </w:p>
    <w:p>
      <w:pPr>
        <w:spacing w:after="0" w:line="165" w:lineRule="exact"/>
        <w:rPr>
          <w:rFonts w:ascii="Arial" w:cs="Arial" w:eastAsia="Arial" w:hAnsi="Arial"/>
          <w:sz w:val="16"/>
          <w:szCs w:val="16"/>
          <w:color w:val="auto"/>
        </w:rPr>
      </w:pPr>
    </w:p>
    <w:p>
      <w:pPr>
        <w:ind w:left="892" w:hanging="244"/>
        <w:spacing w:after="0"/>
        <w:tabs>
          <w:tab w:leader="none" w:pos="892" w:val="left"/>
        </w:tabs>
        <w:numPr>
          <w:ilvl w:val="1"/>
          <w:numId w:val="201"/>
        </w:numPr>
        <w:rPr>
          <w:rFonts w:ascii="Arial" w:cs="Arial" w:eastAsia="Arial" w:hAnsi="Arial"/>
          <w:sz w:val="18"/>
          <w:szCs w:val="18"/>
          <w:color w:val="auto"/>
        </w:rPr>
      </w:pPr>
      <w:r>
        <w:rPr>
          <w:rFonts w:ascii="Arial" w:cs="Arial" w:eastAsia="Arial" w:hAnsi="Arial"/>
          <w:sz w:val="18"/>
          <w:szCs w:val="18"/>
          <w:color w:val="auto"/>
        </w:rPr>
        <w:t>Verify the accuracy of the information contained in the Registration Statement;</w:t>
      </w:r>
    </w:p>
    <w:p>
      <w:pPr>
        <w:spacing w:after="0" w:line="200" w:lineRule="exact"/>
        <w:rPr>
          <w:sz w:val="20"/>
          <w:szCs w:val="20"/>
          <w:color w:val="auto"/>
        </w:rPr>
      </w:pPr>
    </w:p>
    <w:p>
      <w:pPr>
        <w:spacing w:after="0" w:line="24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255" w:name="page256"/>
    <w:bookmarkEnd w:id="255"/>
    <w:p>
      <w:pPr>
        <w:ind w:left="-8" w:firstLine="656"/>
        <w:spacing w:after="0" w:line="277" w:lineRule="auto"/>
        <w:tabs>
          <w:tab w:leader="none" w:pos="934" w:val="left"/>
        </w:tabs>
        <w:numPr>
          <w:ilvl w:val="1"/>
          <w:numId w:val="202"/>
        </w:numPr>
        <w:rPr>
          <w:rFonts w:ascii="Arial" w:cs="Arial" w:eastAsia="Arial" w:hAnsi="Arial"/>
          <w:sz w:val="18"/>
          <w:szCs w:val="18"/>
          <w:color w:val="auto"/>
        </w:rPr>
      </w:pPr>
      <w:r>
        <w:rPr>
          <w:rFonts w:ascii="Arial" w:cs="Arial" w:eastAsia="Arial" w:hAnsi="Arial"/>
          <w:sz w:val="18"/>
          <w:szCs w:val="18"/>
          <w:color w:val="auto"/>
        </w:rPr>
        <w:t>Provide any assurance that any Business Combination entered into by the Company or any other action taken by the Company is as contemplated by the Registration Statement;</w:t>
      </w:r>
    </w:p>
    <w:p>
      <w:pPr>
        <w:spacing w:after="0" w:line="170" w:lineRule="exact"/>
        <w:rPr>
          <w:rFonts w:ascii="Arial" w:cs="Arial" w:eastAsia="Arial" w:hAnsi="Arial"/>
          <w:sz w:val="18"/>
          <w:szCs w:val="18"/>
          <w:color w:val="auto"/>
        </w:rPr>
      </w:pPr>
    </w:p>
    <w:p>
      <w:pPr>
        <w:ind w:left="-8" w:right="20" w:firstLine="656"/>
        <w:spacing w:after="0" w:line="277" w:lineRule="auto"/>
        <w:tabs>
          <w:tab w:leader="none" w:pos="855" w:val="left"/>
        </w:tabs>
        <w:numPr>
          <w:ilvl w:val="1"/>
          <w:numId w:val="202"/>
        </w:numPr>
        <w:rPr>
          <w:rFonts w:ascii="Arial" w:cs="Arial" w:eastAsia="Arial" w:hAnsi="Arial"/>
          <w:sz w:val="18"/>
          <w:szCs w:val="18"/>
          <w:color w:val="auto"/>
        </w:rPr>
      </w:pPr>
      <w:r>
        <w:rPr>
          <w:rFonts w:ascii="Arial" w:cs="Arial" w:eastAsia="Arial" w:hAnsi="Arial"/>
          <w:sz w:val="18"/>
          <w:szCs w:val="18"/>
          <w:color w:val="auto"/>
        </w:rPr>
        <w:t>File information returns with respect to the Trust Account with any local, state or federal taxing authority or provide periodic written statements to the Company documenting the taxes payable by the Company, if any, relating to any interest income earned on the Property;</w:t>
      </w:r>
    </w:p>
    <w:p>
      <w:pPr>
        <w:spacing w:after="0" w:line="170" w:lineRule="exact"/>
        <w:rPr>
          <w:rFonts w:ascii="Arial" w:cs="Arial" w:eastAsia="Arial" w:hAnsi="Arial"/>
          <w:sz w:val="18"/>
          <w:szCs w:val="18"/>
          <w:color w:val="auto"/>
        </w:rPr>
      </w:pPr>
    </w:p>
    <w:p>
      <w:pPr>
        <w:jc w:val="both"/>
        <w:ind w:left="-8" w:firstLine="656"/>
        <w:spacing w:after="0" w:line="263" w:lineRule="auto"/>
        <w:tabs>
          <w:tab w:leader="none" w:pos="872" w:val="left"/>
        </w:tabs>
        <w:numPr>
          <w:ilvl w:val="1"/>
          <w:numId w:val="202"/>
        </w:numPr>
        <w:rPr>
          <w:rFonts w:ascii="Arial" w:cs="Arial" w:eastAsia="Arial" w:hAnsi="Arial"/>
          <w:sz w:val="18"/>
          <w:szCs w:val="18"/>
          <w:color w:val="auto"/>
        </w:rPr>
      </w:pPr>
      <w:r>
        <w:rPr>
          <w:rFonts w:ascii="Arial" w:cs="Arial" w:eastAsia="Arial" w:hAnsi="Arial"/>
          <w:sz w:val="18"/>
          <w:szCs w:val="18"/>
          <w:color w:val="auto"/>
        </w:rPr>
        <w:t xml:space="preserve">Prepare, execute and file tax reports, income or other tax returns and pay any taxes with respect to any income generated by, and activities relating to, the Trust Account, regardless of whether such tax is payable by the Trust Account or the Company, including, but not limited to, tax obligations, except pursuant to </w:t>
      </w:r>
      <w:r>
        <w:rPr>
          <w:rFonts w:ascii="Arial" w:cs="Arial" w:eastAsia="Arial" w:hAnsi="Arial"/>
          <w:sz w:val="18"/>
          <w:szCs w:val="18"/>
          <w:u w:val="single" w:color="auto"/>
          <w:color w:val="auto"/>
        </w:rPr>
        <w:t>Section 1(j)</w:t>
      </w:r>
      <w:r>
        <w:rPr>
          <w:rFonts w:ascii="Arial" w:cs="Arial" w:eastAsia="Arial" w:hAnsi="Arial"/>
          <w:sz w:val="18"/>
          <w:szCs w:val="18"/>
          <w:color w:val="auto"/>
        </w:rPr>
        <w:t xml:space="preserve"> hereof; or</w:t>
      </w:r>
    </w:p>
    <w:p>
      <w:pPr>
        <w:spacing w:after="0" w:line="183" w:lineRule="exact"/>
        <w:rPr>
          <w:rFonts w:ascii="Arial" w:cs="Arial" w:eastAsia="Arial" w:hAnsi="Arial"/>
          <w:sz w:val="18"/>
          <w:szCs w:val="18"/>
          <w:color w:val="auto"/>
        </w:rPr>
      </w:pPr>
    </w:p>
    <w:p>
      <w:pPr>
        <w:ind w:left="892" w:hanging="244"/>
        <w:spacing w:after="0"/>
        <w:tabs>
          <w:tab w:leader="none" w:pos="892" w:val="left"/>
        </w:tabs>
        <w:numPr>
          <w:ilvl w:val="1"/>
          <w:numId w:val="202"/>
        </w:numPr>
        <w:rPr>
          <w:rFonts w:ascii="Arial" w:cs="Arial" w:eastAsia="Arial" w:hAnsi="Arial"/>
          <w:sz w:val="16"/>
          <w:szCs w:val="16"/>
          <w:color w:val="auto"/>
        </w:rPr>
      </w:pPr>
      <w:r>
        <w:rPr>
          <w:rFonts w:ascii="Arial" w:cs="Arial" w:eastAsia="Arial" w:hAnsi="Arial"/>
          <w:sz w:val="16"/>
          <w:szCs w:val="16"/>
          <w:color w:val="auto"/>
        </w:rPr>
        <w:t xml:space="preserve">Verify calculations, qualify or otherwise approve the Company’s written requests for distributions pursuant to </w:t>
      </w:r>
      <w:r>
        <w:rPr>
          <w:rFonts w:ascii="Arial" w:cs="Arial" w:eastAsia="Arial" w:hAnsi="Arial"/>
          <w:sz w:val="16"/>
          <w:szCs w:val="16"/>
          <w:u w:val="single" w:color="auto"/>
          <w:color w:val="auto"/>
        </w:rPr>
        <w:t>Sections 1(i)</w:t>
      </w:r>
      <w:r>
        <w:rPr>
          <w:rFonts w:ascii="Arial" w:cs="Arial" w:eastAsia="Arial" w:hAnsi="Arial"/>
          <w:sz w:val="16"/>
          <w:szCs w:val="16"/>
          <w:color w:val="auto"/>
        </w:rPr>
        <w:t xml:space="preserve">, </w:t>
      </w:r>
      <w:r>
        <w:rPr>
          <w:rFonts w:ascii="Arial" w:cs="Arial" w:eastAsia="Arial" w:hAnsi="Arial"/>
          <w:sz w:val="16"/>
          <w:szCs w:val="16"/>
          <w:u w:val="single" w:color="auto"/>
          <w:color w:val="auto"/>
        </w:rPr>
        <w:t>1(j)</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1(k)</w:t>
      </w:r>
      <w:r>
        <w:rPr>
          <w:rFonts w:ascii="Arial" w:cs="Arial" w:eastAsia="Arial" w:hAnsi="Arial"/>
          <w:sz w:val="16"/>
          <w:szCs w:val="16"/>
          <w:color w:val="auto"/>
        </w:rPr>
        <w:t xml:space="preserve"> hereof.</w:t>
      </w:r>
    </w:p>
    <w:p>
      <w:pPr>
        <w:spacing w:after="0" w:line="248" w:lineRule="exact"/>
        <w:rPr>
          <w:rFonts w:ascii="Arial" w:cs="Arial" w:eastAsia="Arial" w:hAnsi="Arial"/>
          <w:sz w:val="16"/>
          <w:szCs w:val="16"/>
          <w:color w:val="auto"/>
        </w:rPr>
      </w:pPr>
    </w:p>
    <w:p>
      <w:pPr>
        <w:jc w:val="both"/>
        <w:ind w:left="-8" w:firstLine="8"/>
        <w:spacing w:after="0" w:line="301" w:lineRule="auto"/>
        <w:tabs>
          <w:tab w:leader="none" w:pos="172" w:val="left"/>
        </w:tabs>
        <w:numPr>
          <w:ilvl w:val="0"/>
          <w:numId w:val="203"/>
        </w:numPr>
        <w:rPr>
          <w:rFonts w:ascii="Arial" w:cs="Arial" w:eastAsia="Arial" w:hAnsi="Arial"/>
          <w:sz w:val="16"/>
          <w:szCs w:val="16"/>
          <w:color w:val="auto"/>
        </w:rPr>
      </w:pPr>
      <w:r>
        <w:rPr>
          <w:rFonts w:ascii="Arial" w:cs="Arial" w:eastAsia="Arial" w:hAnsi="Arial"/>
          <w:sz w:val="16"/>
          <w:szCs w:val="16"/>
          <w:u w:val="single" w:color="auto"/>
          <w:color w:val="auto"/>
        </w:rPr>
        <w:t>Trust Account Waiver</w:t>
      </w:r>
      <w:r>
        <w:rPr>
          <w:rFonts w:ascii="Arial" w:cs="Arial" w:eastAsia="Arial" w:hAnsi="Arial"/>
          <w:sz w:val="16"/>
          <w:szCs w:val="16"/>
          <w:color w:val="auto"/>
        </w:rPr>
        <w:t>. The Trustee has no right of set-off or any right, title, interest or claim of any kind (“</w:t>
      </w:r>
      <w:r>
        <w:rPr>
          <w:rFonts w:ascii="Arial" w:cs="Arial" w:eastAsia="Arial" w:hAnsi="Arial"/>
          <w:sz w:val="16"/>
          <w:szCs w:val="16"/>
          <w:b w:val="1"/>
          <w:bCs w:val="1"/>
          <w:i w:val="1"/>
          <w:iCs w:val="1"/>
          <w:color w:val="auto"/>
        </w:rPr>
        <w:t>Claim</w:t>
      </w:r>
      <w:r>
        <w:rPr>
          <w:rFonts w:ascii="Arial" w:cs="Arial" w:eastAsia="Arial" w:hAnsi="Arial"/>
          <w:sz w:val="16"/>
          <w:szCs w:val="16"/>
          <w:color w:val="auto"/>
        </w:rPr>
        <w:t xml:space="preserve">”) to, or to any monies in, the Trust Account, and hereby irrevocably waives any Claim to, or to any monies in, the Trust Account that it may have now or in the future. In the event the Trustee has any Claim against the Company under this Agreement, including, without limitation, under </w:t>
      </w:r>
      <w:r>
        <w:rPr>
          <w:rFonts w:ascii="Arial" w:cs="Arial" w:eastAsia="Arial" w:hAnsi="Arial"/>
          <w:sz w:val="16"/>
          <w:szCs w:val="16"/>
          <w:u w:val="single" w:color="auto"/>
          <w:color w:val="auto"/>
        </w:rPr>
        <w:t>Section 2(b)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2(c)</w:t>
      </w:r>
      <w:r>
        <w:rPr>
          <w:rFonts w:ascii="Arial" w:cs="Arial" w:eastAsia="Arial" w:hAnsi="Arial"/>
          <w:sz w:val="16"/>
          <w:szCs w:val="16"/>
          <w:color w:val="auto"/>
        </w:rPr>
        <w:t xml:space="preserve"> hereof, the Trustee shall pursue such Claim solely against the Company and its assets outside the Trust Account and not against the Property or any monies in the Trust Account.</w:t>
      </w:r>
    </w:p>
    <w:p>
      <w:pPr>
        <w:spacing w:after="0" w:line="157" w:lineRule="exact"/>
        <w:rPr>
          <w:rFonts w:ascii="Arial" w:cs="Arial" w:eastAsia="Arial" w:hAnsi="Arial"/>
          <w:sz w:val="16"/>
          <w:szCs w:val="16"/>
          <w:color w:val="auto"/>
        </w:rPr>
      </w:pPr>
    </w:p>
    <w:p>
      <w:pPr>
        <w:ind w:left="172" w:hanging="172"/>
        <w:spacing w:after="0"/>
        <w:tabs>
          <w:tab w:leader="none" w:pos="172" w:val="left"/>
        </w:tabs>
        <w:numPr>
          <w:ilvl w:val="0"/>
          <w:numId w:val="203"/>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shall terminate as follows:</w:t>
      </w:r>
    </w:p>
    <w:p>
      <w:pPr>
        <w:spacing w:after="0" w:line="225" w:lineRule="exact"/>
        <w:rPr>
          <w:rFonts w:ascii="Arial" w:cs="Arial" w:eastAsia="Arial" w:hAnsi="Arial"/>
          <w:sz w:val="18"/>
          <w:szCs w:val="18"/>
          <w:color w:val="auto"/>
        </w:rPr>
      </w:pPr>
    </w:p>
    <w:p>
      <w:pPr>
        <w:jc w:val="both"/>
        <w:ind w:left="-8" w:firstLine="656"/>
        <w:spacing w:after="0" w:line="271" w:lineRule="auto"/>
        <w:tabs>
          <w:tab w:leader="none" w:pos="892" w:val="left"/>
        </w:tabs>
        <w:numPr>
          <w:ilvl w:val="1"/>
          <w:numId w:val="203"/>
        </w:numPr>
        <w:rPr>
          <w:rFonts w:ascii="Arial" w:cs="Arial" w:eastAsia="Arial" w:hAnsi="Arial"/>
          <w:sz w:val="17"/>
          <w:szCs w:val="17"/>
          <w:color w:val="auto"/>
        </w:rPr>
      </w:pPr>
      <w:r>
        <w:rPr>
          <w:rFonts w:ascii="Arial" w:cs="Arial" w:eastAsia="Arial" w:hAnsi="Arial"/>
          <w:sz w:val="17"/>
          <w:szCs w:val="17"/>
          <w:color w:val="auto"/>
        </w:rPr>
        <w:t xml:space="preserve">If the Trustee gives written notice to the Company that it desires to resign under this Agreement, the Company shall use its reasonable efforts to locate a successor trustee, pending which the Trustee shall continue to act in accordance with this Agreement. At such time that the Company notifies the Trustee that a successor trustee has been appointed and has agreed to become subject to the terms of this Agreement, the Trustee shall transfer the management of the Trust Account to the successor trustee, including but not limited to the transfer of copies of the reports and statements relating to the Trust Account, whereupon this Agreement shall terminate;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that the Company does not locate a successor trustee within ninety (90) days of receipt of the resignation notice from the Trustee, the Trustee may submit an application to have the Property deposited with any court in the State of New York or with the United States District Court for the Southern District of New York and upon such deposit, the Trustee shall be immune from any liability whatsoever; or</w:t>
      </w:r>
    </w:p>
    <w:p>
      <w:pPr>
        <w:spacing w:after="0" w:line="178" w:lineRule="exact"/>
        <w:rPr>
          <w:rFonts w:ascii="Arial" w:cs="Arial" w:eastAsia="Arial" w:hAnsi="Arial"/>
          <w:sz w:val="17"/>
          <w:szCs w:val="17"/>
          <w:color w:val="auto"/>
        </w:rPr>
      </w:pPr>
    </w:p>
    <w:p>
      <w:pPr>
        <w:jc w:val="both"/>
        <w:ind w:left="-8" w:firstLine="656"/>
        <w:spacing w:after="0" w:line="263" w:lineRule="auto"/>
        <w:tabs>
          <w:tab w:leader="none" w:pos="908" w:val="left"/>
        </w:tabs>
        <w:numPr>
          <w:ilvl w:val="1"/>
          <w:numId w:val="203"/>
        </w:numPr>
        <w:rPr>
          <w:rFonts w:ascii="Arial" w:cs="Arial" w:eastAsia="Arial" w:hAnsi="Arial"/>
          <w:sz w:val="18"/>
          <w:szCs w:val="18"/>
          <w:color w:val="auto"/>
        </w:rPr>
      </w:pPr>
      <w:r>
        <w:rPr>
          <w:rFonts w:ascii="Arial" w:cs="Arial" w:eastAsia="Arial" w:hAnsi="Arial"/>
          <w:sz w:val="18"/>
          <w:szCs w:val="18"/>
          <w:color w:val="auto"/>
        </w:rPr>
        <w:t xml:space="preserve">At such time that the Trustee has completed the liquidation of the Trust Account and its obligations in accordance with the provisions of </w:t>
      </w:r>
      <w:r>
        <w:rPr>
          <w:rFonts w:ascii="Arial" w:cs="Arial" w:eastAsia="Arial" w:hAnsi="Arial"/>
          <w:sz w:val="18"/>
          <w:szCs w:val="18"/>
          <w:u w:val="single" w:color="auto"/>
          <w:color w:val="auto"/>
        </w:rPr>
        <w:t>Section 1(i)</w:t>
      </w:r>
      <w:r>
        <w:rPr>
          <w:rFonts w:ascii="Arial" w:cs="Arial" w:eastAsia="Arial" w:hAnsi="Arial"/>
          <w:sz w:val="18"/>
          <w:szCs w:val="18"/>
          <w:color w:val="auto"/>
        </w:rPr>
        <w:t xml:space="preserve"> hereof and distributed the Property in accordance with the provisions of the Termination Letter, this Agreement shall terminate except with respect to </w:t>
      </w:r>
      <w:r>
        <w:rPr>
          <w:rFonts w:ascii="Arial" w:cs="Arial" w:eastAsia="Arial" w:hAnsi="Arial"/>
          <w:sz w:val="18"/>
          <w:szCs w:val="18"/>
          <w:u w:val="single" w:color="auto"/>
          <w:color w:val="auto"/>
        </w:rPr>
        <w:t>Section 2(b)</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172" w:hanging="172"/>
        <w:spacing w:after="0"/>
        <w:tabs>
          <w:tab w:leader="none" w:pos="172" w:val="left"/>
        </w:tabs>
        <w:numPr>
          <w:ilvl w:val="0"/>
          <w:numId w:val="203"/>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8" w:firstLine="656"/>
        <w:spacing w:after="0" w:line="272" w:lineRule="auto"/>
        <w:tabs>
          <w:tab w:leader="none" w:pos="900" w:val="left"/>
        </w:tabs>
        <w:numPr>
          <w:ilvl w:val="1"/>
          <w:numId w:val="203"/>
        </w:numPr>
        <w:rPr>
          <w:rFonts w:ascii="Arial" w:cs="Arial" w:eastAsia="Arial" w:hAnsi="Arial"/>
          <w:sz w:val="17"/>
          <w:szCs w:val="17"/>
          <w:color w:val="auto"/>
        </w:rPr>
      </w:pPr>
      <w:r>
        <w:rPr>
          <w:rFonts w:ascii="Arial" w:cs="Arial" w:eastAsia="Arial" w:hAnsi="Arial"/>
          <w:sz w:val="17"/>
          <w:szCs w:val="17"/>
          <w:color w:val="auto"/>
        </w:rPr>
        <w:t>The Company and the Trustee each acknowledge that the Trustee will follow the security procedures set forth below with respect to funds transferred from the Trust Account. The Company and the Trustee will each restrict access to confidential information relating to such security procedures to authorized persons. Each party must notify the other party immediately if it has reason to believe unauthorized persons may have obtained access to such confidential information, or of any change in its authorized personnel. In executing funds transfers, the Trustee shall rely upon all information supplied to it by the Company, including, account names, account numbers, and all other identifying information relating to a Beneficiary, Beneficiary’s bank or intermediary bank. Except for any liability arising out of the Trustee’s gross negligence, fraud or willful misconduct, the Trustee shall not be liable for any loss, liability or expense resulting from any error in the information or transmission of the funds.</w:t>
      </w:r>
    </w:p>
    <w:p>
      <w:pPr>
        <w:spacing w:after="0" w:line="39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171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256" w:name="page257"/>
    <w:bookmarkEnd w:id="256"/>
    <w:p>
      <w:pPr>
        <w:ind w:left="-20" w:firstLine="656"/>
        <w:spacing w:after="0" w:line="342" w:lineRule="auto"/>
        <w:tabs>
          <w:tab w:leader="none" w:pos="884" w:val="left"/>
        </w:tabs>
        <w:numPr>
          <w:ilvl w:val="0"/>
          <w:numId w:val="204"/>
        </w:numPr>
        <w:rPr>
          <w:rFonts w:ascii="Arial" w:cs="Arial" w:eastAsia="Arial" w:hAnsi="Arial"/>
          <w:sz w:val="16"/>
          <w:szCs w:val="16"/>
          <w:color w:val="auto"/>
        </w:rPr>
      </w:pPr>
      <w:r>
        <w:rPr>
          <w:rFonts w:ascii="Arial" w:cs="Arial" w:eastAsia="Arial" w:hAnsi="Arial"/>
          <w:sz w:val="16"/>
          <w:szCs w:val="16"/>
          <w:color w:val="auto"/>
        </w:rPr>
        <w:t>This Agreement shall be governed by and construed and enforced in accordance with the laws of the State of New York. This Agreement may be executed in several original or facsimile counterparts, each one of which shall constitute an original, and together shall constitute but one instrument.</w:t>
      </w:r>
    </w:p>
    <w:p>
      <w:pPr>
        <w:spacing w:after="0" w:line="123" w:lineRule="exact"/>
        <w:rPr>
          <w:rFonts w:ascii="Arial" w:cs="Arial" w:eastAsia="Arial" w:hAnsi="Arial"/>
          <w:sz w:val="16"/>
          <w:szCs w:val="16"/>
          <w:color w:val="auto"/>
        </w:rPr>
      </w:pPr>
    </w:p>
    <w:p>
      <w:pPr>
        <w:jc w:val="both"/>
        <w:ind w:left="-20" w:firstLine="656"/>
        <w:spacing w:after="0" w:line="263" w:lineRule="auto"/>
        <w:tabs>
          <w:tab w:leader="none" w:pos="889" w:val="left"/>
        </w:tabs>
        <w:numPr>
          <w:ilvl w:val="0"/>
          <w:numId w:val="204"/>
        </w:numPr>
        <w:rPr>
          <w:rFonts w:ascii="Arial" w:cs="Arial" w:eastAsia="Arial" w:hAnsi="Arial"/>
          <w:sz w:val="18"/>
          <w:szCs w:val="18"/>
          <w:color w:val="auto"/>
        </w:rPr>
      </w:pPr>
      <w:r>
        <w:rPr>
          <w:rFonts w:ascii="Arial" w:cs="Arial" w:eastAsia="Arial" w:hAnsi="Arial"/>
          <w:sz w:val="18"/>
          <w:szCs w:val="18"/>
          <w:color w:val="auto"/>
        </w:rPr>
        <w:t xml:space="preserve">This Agreement contains the entire agreement and understanding of the parties hereto with respect to the subject matter hereof. Subject to </w:t>
      </w:r>
      <w:r>
        <w:rPr>
          <w:rFonts w:ascii="Arial" w:cs="Arial" w:eastAsia="Arial" w:hAnsi="Arial"/>
          <w:sz w:val="18"/>
          <w:szCs w:val="18"/>
          <w:u w:val="single" w:color="auto"/>
          <w:color w:val="auto"/>
        </w:rPr>
        <w:t>Section 6(d)</w:t>
      </w:r>
      <w:r>
        <w:rPr>
          <w:rFonts w:ascii="Arial" w:cs="Arial" w:eastAsia="Arial" w:hAnsi="Arial"/>
          <w:sz w:val="18"/>
          <w:szCs w:val="18"/>
          <w:color w:val="auto"/>
        </w:rPr>
        <w:t xml:space="preserve"> hereof, this Agreement or any provision hereof may only be changed, amended or modified (other than to correct a typographical error) by a writing signed by each of the parties hereto.</w:t>
      </w:r>
    </w:p>
    <w:p>
      <w:pPr>
        <w:spacing w:after="0" w:line="183" w:lineRule="exact"/>
        <w:rPr>
          <w:rFonts w:ascii="Arial" w:cs="Arial" w:eastAsia="Arial" w:hAnsi="Arial"/>
          <w:sz w:val="18"/>
          <w:szCs w:val="18"/>
          <w:color w:val="auto"/>
        </w:rPr>
      </w:pPr>
    </w:p>
    <w:p>
      <w:pPr>
        <w:jc w:val="both"/>
        <w:ind w:left="-20" w:firstLine="656"/>
        <w:spacing w:after="0" w:line="287" w:lineRule="auto"/>
        <w:tabs>
          <w:tab w:leader="none" w:pos="89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 xml:space="preserve">This Agreement or any provision hereof may only be changed, amended or modified pursuant to </w:t>
      </w:r>
      <w:r>
        <w:rPr>
          <w:rFonts w:ascii="Arial" w:cs="Arial" w:eastAsia="Arial" w:hAnsi="Arial"/>
          <w:sz w:val="16"/>
          <w:szCs w:val="16"/>
          <w:u w:val="single" w:color="auto"/>
          <w:color w:val="auto"/>
        </w:rPr>
        <w:t>Section 6(c)</w:t>
      </w:r>
      <w:r>
        <w:rPr>
          <w:rFonts w:ascii="Arial" w:cs="Arial" w:eastAsia="Arial" w:hAnsi="Arial"/>
          <w:sz w:val="16"/>
          <w:szCs w:val="16"/>
          <w:color w:val="auto"/>
        </w:rPr>
        <w:t xml:space="preserve"> hereof with the Consent of the Stockholders. For purposes of this </w:t>
      </w:r>
      <w:r>
        <w:rPr>
          <w:rFonts w:ascii="Arial" w:cs="Arial" w:eastAsia="Arial" w:hAnsi="Arial"/>
          <w:sz w:val="16"/>
          <w:szCs w:val="16"/>
          <w:u w:val="single" w:color="auto"/>
          <w:color w:val="auto"/>
        </w:rPr>
        <w:t>Section 6(d)</w:t>
      </w:r>
      <w:r>
        <w:rPr>
          <w:rFonts w:ascii="Arial" w:cs="Arial" w:eastAsia="Arial" w:hAnsi="Arial"/>
          <w:sz w:val="16"/>
          <w:szCs w:val="16"/>
          <w:color w:val="auto"/>
        </w:rPr>
        <w:t>, the “Consent of the Stockholders” means receipt by the Trustee of a certificate from the inspector of elections of the stockholder meeting certifying that the Company’s stockholders of record as of a record date established in accordance with Section 213(a) of the Delaware General Corporation Law, as amended (“</w:t>
      </w:r>
      <w:r>
        <w:rPr>
          <w:rFonts w:ascii="Arial" w:cs="Arial" w:eastAsia="Arial" w:hAnsi="Arial"/>
          <w:sz w:val="16"/>
          <w:szCs w:val="16"/>
          <w:b w:val="1"/>
          <w:bCs w:val="1"/>
          <w:color w:val="auto"/>
        </w:rPr>
        <w:t>DGCL</w:t>
      </w:r>
      <w:r>
        <w:rPr>
          <w:rFonts w:ascii="Arial" w:cs="Arial" w:eastAsia="Arial" w:hAnsi="Arial"/>
          <w:sz w:val="16"/>
          <w:szCs w:val="16"/>
          <w:color w:val="auto"/>
        </w:rPr>
        <w:t>”) (or any successor rule), who hold sixty-five percent (65%) or more of all then outstanding shares of the Common Stock and Class B common stock, par value $0.0001 per share, of the Company voting together as a single class, have voted in favor of such change, amendment or modification. No such amendment will affect any Public Stockholder who has otherwise indicated his election to redeem his shares of Common Stock in connection with a stockholder vote sought to amend this Agreement or the amended and restated certificate of incorporation to modify the substance or timing of the Company’s obligation to redeem 100% of the Common Stock if the Company does not complete its initial Business Combination within the time frame specified in the Company’s amended and restated certificate of incorporation or with respect to any other material provisions relating to stockholders’ rights or pre-initial Business Combination activity. Except for any liability arising out of the Trustee’s gross negligence, fraud or willful misconduct, the Trustee may rely conclusively on the certification from the inspector or elections referenced above and shall be relieved of all liability to any party for executing the proposed amendment in reliance thereon.</w:t>
      </w:r>
    </w:p>
    <w:p>
      <w:pPr>
        <w:spacing w:after="0" w:line="167" w:lineRule="exact"/>
        <w:rPr>
          <w:rFonts w:ascii="Arial" w:cs="Arial" w:eastAsia="Arial" w:hAnsi="Arial"/>
          <w:sz w:val="16"/>
          <w:szCs w:val="16"/>
          <w:color w:val="auto"/>
        </w:rPr>
      </w:pPr>
    </w:p>
    <w:p>
      <w:pPr>
        <w:jc w:val="both"/>
        <w:ind w:left="-20" w:firstLine="656"/>
        <w:spacing w:after="0" w:line="263" w:lineRule="auto"/>
        <w:tabs>
          <w:tab w:leader="none" w:pos="879"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parties hereto consent to the jurisdiction and venue of any state or federal court located in the City of New York, State of New York, for purposes of resolving any disputes hereunder. AS TO ANY CLAIM, CROSS-CLAIM OR COUNTERCLAIM IN ANY WAY RELATING TO THIS AGREEMENT, EACH PARTY WAIVES THE RIGHT TO TRIAL BY JURY.</w:t>
      </w:r>
    </w:p>
    <w:p>
      <w:pPr>
        <w:spacing w:after="0" w:line="183" w:lineRule="exact"/>
        <w:rPr>
          <w:rFonts w:ascii="Arial" w:cs="Arial" w:eastAsia="Arial" w:hAnsi="Arial"/>
          <w:sz w:val="18"/>
          <w:szCs w:val="18"/>
          <w:color w:val="auto"/>
        </w:rPr>
      </w:pPr>
    </w:p>
    <w:p>
      <w:pPr>
        <w:ind w:left="-20" w:firstLine="656"/>
        <w:spacing w:after="0" w:line="308" w:lineRule="auto"/>
        <w:tabs>
          <w:tab w:leader="none" w:pos="848" w:val="left"/>
        </w:tabs>
        <w:numPr>
          <w:ilvl w:val="0"/>
          <w:numId w:val="204"/>
        </w:numPr>
        <w:rPr>
          <w:rFonts w:ascii="Arial" w:cs="Arial" w:eastAsia="Arial" w:hAnsi="Arial"/>
          <w:sz w:val="17"/>
          <w:szCs w:val="17"/>
          <w:color w:val="auto"/>
        </w:rPr>
      </w:pPr>
      <w:r>
        <w:rPr>
          <w:rFonts w:ascii="Arial" w:cs="Arial" w:eastAsia="Arial" w:hAnsi="Arial"/>
          <w:sz w:val="17"/>
          <w:szCs w:val="17"/>
          <w:color w:val="auto"/>
        </w:rPr>
        <w:t>Any notice, consent or request to be given in connection with any of the terms or provisions of this Agreement shall be in writing and shall be sent by express mail or similar private courier service, by certified mail (return receipt requested), by hand delivery or by electronic mail:</w:t>
      </w:r>
    </w:p>
    <w:p>
      <w:pPr>
        <w:spacing w:after="0" w:line="14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if to the Trustee, to:</w:t>
      </w:r>
    </w:p>
    <w:p>
      <w:pPr>
        <w:spacing w:after="0" w:line="22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1 State Street, 30th Floor</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Attn: Francis Wolf and Celeste Gonzalez</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Email: cgonzalez@continentalstock.com</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Email: fwolf@continentalstock.com</w:t>
      </w:r>
    </w:p>
    <w:p>
      <w:pPr>
        <w:spacing w:after="0" w:line="21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FS Development Corp.</w:t>
      </w:r>
    </w:p>
    <w:p>
      <w:pPr>
        <w:spacing w:after="0" w:line="2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600 Montgomery Street, Suite 4500</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San Francisco, California 94111</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Attn: Jim Tananbaum</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Email: jim@foresitecapital.com</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257" w:name="page258"/>
    <w:bookmarkEnd w:id="257"/>
    <w:p>
      <w:pPr>
        <w:ind w:left="1280"/>
        <w:spacing w:after="0"/>
        <w:rPr>
          <w:sz w:val="20"/>
          <w:szCs w:val="20"/>
          <w:color w:val="auto"/>
        </w:rPr>
      </w:pPr>
      <w:r>
        <w:rPr>
          <w:rFonts w:ascii="Arial" w:cs="Arial" w:eastAsia="Arial" w:hAnsi="Arial"/>
          <w:sz w:val="18"/>
          <w:szCs w:val="18"/>
          <w:color w:val="auto"/>
        </w:rPr>
        <w:t>in each case, with copies to:</w:t>
      </w:r>
    </w:p>
    <w:p>
      <w:pPr>
        <w:spacing w:after="0" w:line="22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White &amp; Case LLP</w:t>
      </w:r>
    </w:p>
    <w:p>
      <w:pPr>
        <w:spacing w:after="0" w:line="2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1221 Avenue of the Americas</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New York, New York 10020</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Attn: Joel L. Rubinstein</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Email: joel.rubinstein@whitecase.com</w:t>
      </w:r>
    </w:p>
    <w:p>
      <w:pPr>
        <w:spacing w:after="0" w:line="21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Facsimile: (646) 619-4437</w:t>
      </w:r>
    </w:p>
    <w:p>
      <w:pPr>
        <w:spacing w:after="0" w:line="15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Skadden, Arps, Slate, Meagher &amp; Flom LLP</w:t>
      </w:r>
    </w:p>
    <w:p>
      <w:pPr>
        <w:spacing w:after="0" w:line="2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525 University Avenue, Suite 1400</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Palo Alto, California 94301</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Attn.: Gregg Noel</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Email: gregg.noel@skadden.com</w:t>
      </w:r>
    </w:p>
    <w:p>
      <w:pPr>
        <w:spacing w:after="0" w:line="211" w:lineRule="exact"/>
        <w:rPr>
          <w:sz w:val="20"/>
          <w:szCs w:val="20"/>
          <w:color w:val="auto"/>
        </w:rPr>
      </w:pPr>
    </w:p>
    <w:p>
      <w:pPr>
        <w:jc w:val="both"/>
        <w:ind w:left="-20" w:firstLine="656"/>
        <w:spacing w:after="0" w:line="311" w:lineRule="auto"/>
        <w:tabs>
          <w:tab w:leader="none" w:pos="90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Each of the Company and the Trustee hereby represents that it has the full right and power and has been duly authorized to enter into this Agreement and to perform its respective obligations as contemplated hereunder. The Trustee acknowledges and agrees that it shall not make any claims or proceed against the Trust Account, including by way of set-off, and shall not be entitled to any funds in the Trust Account under any circumstance.</w:t>
      </w:r>
    </w:p>
    <w:p>
      <w:pPr>
        <w:spacing w:after="0" w:line="148" w:lineRule="exact"/>
        <w:rPr>
          <w:rFonts w:ascii="Arial" w:cs="Arial" w:eastAsia="Arial" w:hAnsi="Arial"/>
          <w:sz w:val="16"/>
          <w:szCs w:val="16"/>
          <w:color w:val="auto"/>
        </w:rPr>
      </w:pPr>
    </w:p>
    <w:p>
      <w:pPr>
        <w:ind w:left="-20" w:firstLine="656"/>
        <w:spacing w:after="0" w:line="277" w:lineRule="auto"/>
        <w:tabs>
          <w:tab w:leader="none" w:pos="894"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This Agreement is the joint product of the Trustee and the Company and each provision hereof has been subject to the mutual consultation, negotiation and agreement of such parties and shall not be construed for or against any party hereto.</w:t>
      </w:r>
    </w:p>
    <w:p>
      <w:pPr>
        <w:spacing w:after="0" w:line="170" w:lineRule="exact"/>
        <w:rPr>
          <w:rFonts w:ascii="Arial" w:cs="Arial" w:eastAsia="Arial" w:hAnsi="Arial"/>
          <w:sz w:val="18"/>
          <w:szCs w:val="18"/>
          <w:color w:val="auto"/>
        </w:rPr>
      </w:pPr>
    </w:p>
    <w:p>
      <w:pPr>
        <w:jc w:val="both"/>
        <w:ind w:left="-20" w:right="20" w:firstLine="656"/>
        <w:spacing w:after="0" w:line="263" w:lineRule="auto"/>
        <w:tabs>
          <w:tab w:leader="none" w:pos="855"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This Agreement may be executed in any number of counterparts, each of which shall be deemed to be an original, but all such counterparts shall together constitute one and the same instrument. Delivery of a signed counterpart of this Agreement by facsimile or electronic transmission shall constitute valid and sufficient delivery thereof.</w:t>
      </w:r>
    </w:p>
    <w:p>
      <w:pPr>
        <w:spacing w:after="0" w:line="183" w:lineRule="exact"/>
        <w:rPr>
          <w:rFonts w:ascii="Arial" w:cs="Arial" w:eastAsia="Arial" w:hAnsi="Arial"/>
          <w:sz w:val="18"/>
          <w:szCs w:val="18"/>
          <w:color w:val="auto"/>
        </w:rPr>
      </w:pPr>
    </w:p>
    <w:p>
      <w:pPr>
        <w:ind w:left="860" w:hanging="224"/>
        <w:spacing w:after="0"/>
        <w:tabs>
          <w:tab w:leader="none" w:pos="860" w:val="left"/>
        </w:tabs>
        <w:numPr>
          <w:ilvl w:val="0"/>
          <w:numId w:val="205"/>
        </w:numPr>
        <w:rPr>
          <w:rFonts w:ascii="Arial" w:cs="Arial" w:eastAsia="Arial" w:hAnsi="Arial"/>
          <w:sz w:val="17"/>
          <w:szCs w:val="17"/>
          <w:color w:val="auto"/>
        </w:rPr>
      </w:pPr>
      <w:r>
        <w:rPr>
          <w:rFonts w:ascii="Arial" w:cs="Arial" w:eastAsia="Arial" w:hAnsi="Arial"/>
          <w:sz w:val="17"/>
          <w:szCs w:val="17"/>
          <w:color w:val="auto"/>
        </w:rPr>
        <w:t>Each of the Company and the Trustee hereby acknowledges and agrees that Jefferies LLC is a third- party beneficiary of this Agreement.</w:t>
      </w:r>
    </w:p>
    <w:p>
      <w:pPr>
        <w:spacing w:after="0" w:line="236" w:lineRule="exact"/>
        <w:rPr>
          <w:rFonts w:ascii="Arial" w:cs="Arial" w:eastAsia="Arial" w:hAnsi="Arial"/>
          <w:sz w:val="17"/>
          <w:szCs w:val="17"/>
          <w:color w:val="auto"/>
        </w:rPr>
      </w:pPr>
    </w:p>
    <w:p>
      <w:pPr>
        <w:ind w:left="900" w:hanging="264"/>
        <w:spacing w:after="0"/>
        <w:tabs>
          <w:tab w:leader="none" w:pos="90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Except as specified herein, no party to this Agreement may assign its rights or delegate its obligations hereunder to any other person or entity.</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258" w:name="page259"/>
    <w:bookmarkEnd w:id="258"/>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duly executed this Investment Management Trust Agreement as of the date first written above.</w:t>
      </w:r>
    </w:p>
    <w:p>
      <w:pPr>
        <w:spacing w:after="0" w:line="252"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CONTINENTAL STOCK TRANSFER &amp; TRUST</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COMPANY, as Trustee</w:t>
      </w:r>
    </w:p>
    <w:p>
      <w:pPr>
        <w:spacing w:after="0" w:line="21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23495</wp:posOffset>
            </wp:positionV>
            <wp:extent cx="2562860"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0"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Francis Wolf</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FS DEVELOPMENT CORP.</w:t>
      </w:r>
    </w:p>
    <w:p>
      <w:pPr>
        <w:spacing w:after="0" w:line="225"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14605</wp:posOffset>
            </wp:positionV>
            <wp:extent cx="2562860" cy="171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Jim Tananbaum</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[Signature Page to Investment Management Trust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426085</wp:posOffset>
            </wp:positionV>
            <wp:extent cx="7132320"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980" w:top="904" w:right="799" w:bottom="1440" w:gutter="0" w:footer="0" w:header="0"/>
        </w:sectPr>
      </w:pPr>
    </w:p>
    <w:bookmarkStart w:id="259" w:name="page260"/>
    <w:bookmarkEnd w:id="259"/>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00" w:type="dxa"/>
            <w:vAlign w:val="bottom"/>
            <w:gridSpan w:val="4"/>
          </w:tcPr>
          <w:p>
            <w:pPr>
              <w:ind w:left="420"/>
              <w:spacing w:after="0"/>
              <w:rPr>
                <w:sz w:val="20"/>
                <w:szCs w:val="20"/>
                <w:color w:val="auto"/>
              </w:rPr>
            </w:pPr>
            <w:r>
              <w:rPr>
                <w:rFonts w:ascii="Arial" w:cs="Arial" w:eastAsia="Arial" w:hAnsi="Arial"/>
                <w:sz w:val="18"/>
                <w:szCs w:val="18"/>
                <w:b w:val="1"/>
                <w:bCs w:val="1"/>
                <w:color w:val="auto"/>
              </w:rPr>
              <w:t>SCHEDULE A</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2"/>
        </w:trPr>
        <w:tc>
          <w:tcPr>
            <w:tcW w:w="4620" w:type="dxa"/>
            <w:vAlign w:val="bottom"/>
            <w:gridSpan w:val="7"/>
          </w:tcPr>
          <w:p>
            <w:pPr>
              <w:spacing w:after="0"/>
              <w:rPr>
                <w:sz w:val="20"/>
                <w:szCs w:val="20"/>
                <w:color w:val="auto"/>
              </w:rPr>
            </w:pPr>
            <w:r>
              <w:rPr>
                <w:rFonts w:ascii="Arial" w:cs="Arial" w:eastAsia="Arial" w:hAnsi="Arial"/>
                <w:sz w:val="18"/>
                <w:szCs w:val="18"/>
                <w:b w:val="1"/>
                <w:bCs w:val="1"/>
                <w:color w:val="auto"/>
              </w:rPr>
              <w:t>Fee Item</w:t>
            </w:r>
          </w:p>
        </w:tc>
        <w:tc>
          <w:tcPr>
            <w:tcW w:w="460" w:type="dxa"/>
            <w:vAlign w:val="bottom"/>
          </w:tcPr>
          <w:p>
            <w:pPr>
              <w:spacing w:after="0"/>
              <w:rPr>
                <w:sz w:val="24"/>
                <w:szCs w:val="24"/>
                <w:color w:val="auto"/>
              </w:rPr>
            </w:pPr>
          </w:p>
        </w:tc>
        <w:tc>
          <w:tcPr>
            <w:tcW w:w="4040" w:type="dxa"/>
            <w:vAlign w:val="bottom"/>
            <w:gridSpan w:val="3"/>
          </w:tcPr>
          <w:p>
            <w:pPr>
              <w:ind w:left="660"/>
              <w:spacing w:after="0"/>
              <w:rPr>
                <w:sz w:val="20"/>
                <w:szCs w:val="20"/>
                <w:color w:val="auto"/>
              </w:rPr>
            </w:pPr>
            <w:r>
              <w:rPr>
                <w:rFonts w:ascii="Arial" w:cs="Arial" w:eastAsia="Arial" w:hAnsi="Arial"/>
                <w:sz w:val="18"/>
                <w:szCs w:val="18"/>
                <w:b w:val="1"/>
                <w:bCs w:val="1"/>
                <w:color w:val="auto"/>
              </w:rPr>
              <w:t>Time and method of payment</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40" w:type="dxa"/>
            <w:vAlign w:val="bottom"/>
            <w:gridSpan w:val="2"/>
          </w:tcPr>
          <w:p>
            <w:pPr>
              <w:ind w:left="260"/>
              <w:spacing w:after="0"/>
              <w:rPr>
                <w:sz w:val="20"/>
                <w:szCs w:val="20"/>
                <w:color w:val="auto"/>
              </w:rPr>
            </w:pPr>
            <w:r>
              <w:rPr>
                <w:rFonts w:ascii="Arial" w:cs="Arial" w:eastAsia="Arial" w:hAnsi="Arial"/>
                <w:sz w:val="18"/>
                <w:szCs w:val="18"/>
                <w:b w:val="1"/>
                <w:bCs w:val="1"/>
                <w:color w:val="auto"/>
              </w:rPr>
              <w:t>Amount</w:t>
            </w:r>
          </w:p>
        </w:tc>
      </w:tr>
      <w:tr>
        <w:trPr>
          <w:trHeight w:val="216"/>
        </w:trPr>
        <w:tc>
          <w:tcPr>
            <w:tcW w:w="4500" w:type="dxa"/>
            <w:vAlign w:val="bottom"/>
            <w:tcBorders>
              <w:top w:val="single" w:sz="8" w:color="auto"/>
            </w:tcBorders>
            <w:gridSpan w:val="6"/>
            <w:shd w:val="clear" w:color="auto" w:fill="CCEEFF"/>
          </w:tcPr>
          <w:p>
            <w:pPr>
              <w:spacing w:after="0"/>
              <w:rPr>
                <w:sz w:val="20"/>
                <w:szCs w:val="20"/>
                <w:color w:val="auto"/>
              </w:rPr>
            </w:pPr>
            <w:r>
              <w:rPr>
                <w:rFonts w:ascii="Arial" w:cs="Arial" w:eastAsia="Arial" w:hAnsi="Arial"/>
                <w:sz w:val="18"/>
                <w:szCs w:val="18"/>
                <w:color w:val="auto"/>
              </w:rPr>
              <w:t>Initial set-up fee</w:t>
            </w:r>
          </w:p>
        </w:tc>
        <w:tc>
          <w:tcPr>
            <w:tcW w:w="120" w:type="dxa"/>
            <w:vAlign w:val="bottom"/>
            <w:tcBorders>
              <w:top w:val="single" w:sz="8" w:color="CCEEFF"/>
            </w:tcBorders>
            <w:shd w:val="clear" w:color="auto" w:fill="CCEEFF"/>
          </w:tcPr>
          <w:p>
            <w:pPr>
              <w:spacing w:after="0"/>
              <w:rPr>
                <w:sz w:val="18"/>
                <w:szCs w:val="18"/>
                <w:color w:val="auto"/>
              </w:rPr>
            </w:pPr>
          </w:p>
        </w:tc>
        <w:tc>
          <w:tcPr>
            <w:tcW w:w="4500" w:type="dxa"/>
            <w:vAlign w:val="bottom"/>
            <w:tcBorders>
              <w:top w:val="single" w:sz="8" w:color="auto"/>
            </w:tcBorders>
            <w:gridSpan w:val="4"/>
            <w:shd w:val="clear" w:color="auto" w:fill="CCEEFF"/>
          </w:tcPr>
          <w:p>
            <w:pPr>
              <w:spacing w:after="0"/>
              <w:rPr>
                <w:sz w:val="20"/>
                <w:szCs w:val="20"/>
                <w:color w:val="auto"/>
              </w:rPr>
            </w:pPr>
            <w:r>
              <w:rPr>
                <w:rFonts w:ascii="Arial" w:cs="Arial" w:eastAsia="Arial" w:hAnsi="Arial"/>
                <w:sz w:val="18"/>
                <w:szCs w:val="18"/>
                <w:color w:val="auto"/>
              </w:rPr>
              <w:t>Initial closing of Offering by wire transfer.</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02"/>
        </w:trPr>
        <w:tc>
          <w:tcPr>
            <w:tcW w:w="4620" w:type="dxa"/>
            <w:vAlign w:val="bottom"/>
            <w:gridSpan w:val="7"/>
          </w:tcPr>
          <w:p>
            <w:pPr>
              <w:spacing w:after="0" w:line="201" w:lineRule="exact"/>
              <w:rPr>
                <w:sz w:val="20"/>
                <w:szCs w:val="20"/>
                <w:color w:val="auto"/>
              </w:rPr>
            </w:pPr>
            <w:r>
              <w:rPr>
                <w:rFonts w:ascii="Arial" w:cs="Arial" w:eastAsia="Arial" w:hAnsi="Arial"/>
                <w:sz w:val="18"/>
                <w:szCs w:val="18"/>
                <w:color w:val="auto"/>
              </w:rPr>
              <w:t>Trustee administration fee</w:t>
            </w:r>
          </w:p>
        </w:tc>
        <w:tc>
          <w:tcPr>
            <w:tcW w:w="4500" w:type="dxa"/>
            <w:vAlign w:val="bottom"/>
            <w:gridSpan w:val="4"/>
          </w:tcPr>
          <w:p>
            <w:pPr>
              <w:spacing w:after="0" w:line="201" w:lineRule="exact"/>
              <w:rPr>
                <w:sz w:val="20"/>
                <w:szCs w:val="20"/>
                <w:color w:val="auto"/>
              </w:rPr>
            </w:pPr>
            <w:r>
              <w:rPr>
                <w:rFonts w:ascii="Arial" w:cs="Arial" w:eastAsia="Arial" w:hAnsi="Arial"/>
                <w:sz w:val="18"/>
                <w:szCs w:val="18"/>
                <w:color w:val="auto"/>
                <w:w w:val="94"/>
              </w:rPr>
              <w:t>Payable annually. First year fee payable, at initial closing of</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00" w:type="dxa"/>
            <w:vAlign w:val="bottom"/>
            <w:gridSpan w:val="4"/>
          </w:tcPr>
          <w:p>
            <w:pPr>
              <w:spacing w:after="0"/>
              <w:rPr>
                <w:sz w:val="20"/>
                <w:szCs w:val="20"/>
                <w:color w:val="auto"/>
              </w:rPr>
            </w:pPr>
            <w:r>
              <w:rPr>
                <w:rFonts w:ascii="Arial" w:cs="Arial" w:eastAsia="Arial" w:hAnsi="Arial"/>
                <w:sz w:val="18"/>
                <w:szCs w:val="18"/>
                <w:color w:val="auto"/>
                <w:w w:val="92"/>
              </w:rPr>
              <w:t>Offering by wire transfer, thereafter by wire transfer or check.</w:t>
            </w:r>
          </w:p>
        </w:tc>
        <w:tc>
          <w:tcPr>
            <w:tcW w:w="4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10,000.00</w:t>
            </w:r>
          </w:p>
        </w:tc>
      </w:tr>
      <w:tr>
        <w:trPr>
          <w:trHeight w:val="202"/>
        </w:trPr>
        <w:tc>
          <w:tcPr>
            <w:tcW w:w="4620" w:type="dxa"/>
            <w:vAlign w:val="bottom"/>
            <w:gridSpan w:val="7"/>
            <w:shd w:val="clear" w:color="auto" w:fill="CCEEFF"/>
          </w:tcPr>
          <w:p>
            <w:pPr>
              <w:spacing w:after="0" w:line="201" w:lineRule="exact"/>
              <w:rPr>
                <w:sz w:val="20"/>
                <w:szCs w:val="20"/>
                <w:color w:val="auto"/>
              </w:rPr>
            </w:pPr>
            <w:r>
              <w:rPr>
                <w:rFonts w:ascii="Arial" w:cs="Arial" w:eastAsia="Arial" w:hAnsi="Arial"/>
                <w:sz w:val="18"/>
                <w:szCs w:val="18"/>
                <w:color w:val="auto"/>
                <w:w w:val="98"/>
              </w:rPr>
              <w:t>Transaction processing fee for disbursements to Company</w:t>
            </w:r>
          </w:p>
        </w:tc>
        <w:tc>
          <w:tcPr>
            <w:tcW w:w="450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w w:val="92"/>
              </w:rPr>
              <w:t>Billed to Company following disbursement made to Company</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0"/>
        </w:trPr>
        <w:tc>
          <w:tcPr>
            <w:tcW w:w="4620" w:type="dxa"/>
            <w:vAlign w:val="bottom"/>
            <w:gridSpan w:val="7"/>
            <w:shd w:val="clear" w:color="auto" w:fill="CCEEFF"/>
          </w:tcPr>
          <w:p>
            <w:pPr>
              <w:spacing w:after="0" w:line="190" w:lineRule="exact"/>
              <w:rPr>
                <w:sz w:val="20"/>
                <w:szCs w:val="20"/>
                <w:color w:val="auto"/>
              </w:rPr>
            </w:pPr>
            <w:r>
              <w:rPr>
                <w:rFonts w:ascii="Arial" w:cs="Arial" w:eastAsia="Arial" w:hAnsi="Arial"/>
                <w:sz w:val="18"/>
                <w:szCs w:val="18"/>
                <w:color w:val="auto"/>
              </w:rPr>
              <w:t>under Sections 1 and 2</w:t>
            </w:r>
          </w:p>
        </w:tc>
        <w:tc>
          <w:tcPr>
            <w:tcW w:w="4500" w:type="dxa"/>
            <w:vAlign w:val="bottom"/>
            <w:gridSpan w:val="4"/>
            <w:shd w:val="clear" w:color="auto" w:fill="CCEEFF"/>
          </w:tcPr>
          <w:p>
            <w:pPr>
              <w:spacing w:after="0" w:line="190" w:lineRule="exact"/>
              <w:rPr>
                <w:sz w:val="20"/>
                <w:szCs w:val="20"/>
                <w:color w:val="auto"/>
              </w:rPr>
            </w:pPr>
            <w:r>
              <w:rPr>
                <w:rFonts w:ascii="Arial" w:cs="Arial" w:eastAsia="Arial" w:hAnsi="Arial"/>
                <w:sz w:val="18"/>
                <w:szCs w:val="18"/>
                <w:color w:val="auto"/>
              </w:rPr>
              <w:t>under Sections 1 and 2.</w:t>
            </w:r>
          </w:p>
        </w:tc>
        <w:tc>
          <w:tcPr>
            <w:tcW w:w="480" w:type="dxa"/>
            <w:vAlign w:val="bottom"/>
            <w:gridSpan w:val="2"/>
            <w:shd w:val="clear" w:color="auto" w:fill="CCEEFF"/>
          </w:tcPr>
          <w:p>
            <w:pPr>
              <w:jc w:val="right"/>
              <w:ind w:right="190"/>
              <w:spacing w:after="0" w:line="190" w:lineRule="exact"/>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00"/>
              <w:spacing w:after="0" w:line="190" w:lineRule="exact"/>
              <w:rPr>
                <w:sz w:val="20"/>
                <w:szCs w:val="20"/>
                <w:color w:val="auto"/>
              </w:rPr>
            </w:pPr>
            <w:r>
              <w:rPr>
                <w:rFonts w:ascii="Arial" w:cs="Arial" w:eastAsia="Arial" w:hAnsi="Arial"/>
                <w:sz w:val="18"/>
                <w:szCs w:val="18"/>
                <w:color w:val="auto"/>
              </w:rPr>
              <w:t>250.00</w:t>
            </w:r>
          </w:p>
        </w:tc>
      </w:tr>
      <w:tr>
        <w:trPr>
          <w:trHeight w:val="20"/>
        </w:trPr>
        <w:tc>
          <w:tcPr>
            <w:tcW w:w="4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620" w:type="dxa"/>
            <w:vAlign w:val="bottom"/>
            <w:gridSpan w:val="7"/>
          </w:tcPr>
          <w:p>
            <w:pPr>
              <w:spacing w:after="0" w:line="176" w:lineRule="exact"/>
              <w:rPr>
                <w:sz w:val="20"/>
                <w:szCs w:val="20"/>
                <w:color w:val="auto"/>
              </w:rPr>
            </w:pPr>
            <w:r>
              <w:rPr>
                <w:rFonts w:ascii="Arial" w:cs="Arial" w:eastAsia="Arial" w:hAnsi="Arial"/>
                <w:sz w:val="18"/>
                <w:szCs w:val="18"/>
                <w:color w:val="auto"/>
                <w:w w:val="97"/>
              </w:rPr>
              <w:t>Paying Agent services as required pursuant to Sections 1(i)</w:t>
            </w:r>
          </w:p>
        </w:tc>
        <w:tc>
          <w:tcPr>
            <w:tcW w:w="4500" w:type="dxa"/>
            <w:vAlign w:val="bottom"/>
            <w:gridSpan w:val="4"/>
          </w:tcPr>
          <w:p>
            <w:pPr>
              <w:spacing w:after="0" w:line="176" w:lineRule="exact"/>
              <w:rPr>
                <w:sz w:val="20"/>
                <w:szCs w:val="20"/>
                <w:color w:val="auto"/>
              </w:rPr>
            </w:pPr>
            <w:r>
              <w:rPr>
                <w:rFonts w:ascii="Arial" w:cs="Arial" w:eastAsia="Arial" w:hAnsi="Arial"/>
                <w:sz w:val="18"/>
                <w:szCs w:val="18"/>
                <w:color w:val="auto"/>
              </w:rPr>
              <w:t>Billed to Company upon delivery of service pursuant to</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620" w:type="dxa"/>
            <w:vAlign w:val="bottom"/>
            <w:gridSpan w:val="2"/>
          </w:tcPr>
          <w:p>
            <w:pPr>
              <w:spacing w:after="0" w:line="196" w:lineRule="exact"/>
              <w:rPr>
                <w:sz w:val="20"/>
                <w:szCs w:val="20"/>
                <w:color w:val="auto"/>
              </w:rPr>
            </w:pPr>
            <w:r>
              <w:rPr>
                <w:rFonts w:ascii="Arial" w:cs="Arial" w:eastAsia="Arial" w:hAnsi="Arial"/>
                <w:sz w:val="18"/>
                <w:szCs w:val="18"/>
                <w:color w:val="auto"/>
                <w:w w:val="90"/>
              </w:rPr>
              <w:t>and 1(k)</w:t>
            </w:r>
          </w:p>
        </w:tc>
        <w:tc>
          <w:tcPr>
            <w:tcW w:w="2740" w:type="dxa"/>
            <w:vAlign w:val="bottom"/>
            <w:gridSpan w:val="2"/>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60" w:type="dxa"/>
            <w:vAlign w:val="bottom"/>
            <w:gridSpan w:val="2"/>
          </w:tcPr>
          <w:p>
            <w:pPr>
              <w:spacing w:after="0"/>
              <w:rPr>
                <w:sz w:val="17"/>
                <w:szCs w:val="17"/>
                <w:color w:val="auto"/>
              </w:rPr>
            </w:pPr>
          </w:p>
        </w:tc>
        <w:tc>
          <w:tcPr>
            <w:tcW w:w="4500" w:type="dxa"/>
            <w:vAlign w:val="bottom"/>
            <w:gridSpan w:val="4"/>
          </w:tcPr>
          <w:p>
            <w:pPr>
              <w:spacing w:after="0" w:line="196" w:lineRule="exact"/>
              <w:rPr>
                <w:sz w:val="20"/>
                <w:szCs w:val="20"/>
                <w:color w:val="auto"/>
              </w:rPr>
            </w:pPr>
            <w:r>
              <w:rPr>
                <w:rFonts w:ascii="Arial" w:cs="Arial" w:eastAsia="Arial" w:hAnsi="Arial"/>
                <w:sz w:val="18"/>
                <w:szCs w:val="18"/>
                <w:color w:val="auto"/>
              </w:rPr>
              <w:t>Sections 1(i) and 1(k).</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40" w:type="dxa"/>
            <w:vAlign w:val="bottom"/>
            <w:gridSpan w:val="2"/>
          </w:tcPr>
          <w:p>
            <w:pPr>
              <w:ind w:left="400"/>
              <w:spacing w:after="0" w:line="196" w:lineRule="exact"/>
              <w:rPr>
                <w:sz w:val="20"/>
                <w:szCs w:val="20"/>
                <w:color w:val="auto"/>
              </w:rPr>
            </w:pPr>
            <w:r>
              <w:rPr>
                <w:rFonts w:ascii="Arial" w:cs="Arial" w:eastAsia="Arial" w:hAnsi="Arial"/>
                <w:sz w:val="18"/>
                <w:szCs w:val="18"/>
                <w:color w:val="auto"/>
                <w:w w:val="98"/>
              </w:rPr>
              <w:t>Prevailing rates</w:t>
            </w:r>
          </w:p>
        </w:tc>
      </w:tr>
      <w:tr>
        <w:trPr>
          <w:trHeight w:val="20"/>
        </w:trPr>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0" w:name="page261"/>
    <w:bookmarkEnd w:id="260"/>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[Letterhead of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[Insert 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State Street, 30th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Francis Wolf and Celeste Gonzalez</w:t>
      </w:r>
    </w:p>
    <w:p>
      <w:pPr>
        <w:spacing w:after="0" w:line="21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Trust Account - Termination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Mr. Wolf and Ms. Gonzalez:</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Pursuant to </w:t>
      </w:r>
      <w:r>
        <w:rPr>
          <w:rFonts w:ascii="Arial" w:cs="Arial" w:eastAsia="Arial" w:hAnsi="Arial"/>
          <w:sz w:val="18"/>
          <w:szCs w:val="18"/>
          <w:u w:val="single" w:color="auto"/>
          <w:color w:val="auto"/>
        </w:rPr>
        <w:t>Section 1(i)</w:t>
      </w:r>
      <w:r>
        <w:rPr>
          <w:rFonts w:ascii="Arial" w:cs="Arial" w:eastAsia="Arial" w:hAnsi="Arial"/>
          <w:sz w:val="18"/>
          <w:szCs w:val="18"/>
          <w:color w:val="auto"/>
        </w:rPr>
        <w:t xml:space="preserve"> of the Investment Management Trust Agreement between FS Development Corp.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Continental Stock Transfer &amp; Trust Company (the “</w:t>
      </w:r>
      <w:r>
        <w:rPr>
          <w:rFonts w:ascii="Arial" w:cs="Arial" w:eastAsia="Arial" w:hAnsi="Arial"/>
          <w:sz w:val="18"/>
          <w:szCs w:val="18"/>
          <w:b w:val="1"/>
          <w:bCs w:val="1"/>
          <w:i w:val="1"/>
          <w:iCs w:val="1"/>
          <w:color w:val="auto"/>
        </w:rPr>
        <w:t>Trustee</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dated as of , 2020 (the “</w:t>
      </w:r>
      <w:r>
        <w:rPr>
          <w:rFonts w:ascii="Arial" w:cs="Arial" w:eastAsia="Arial" w:hAnsi="Arial"/>
          <w:sz w:val="18"/>
          <w:szCs w:val="18"/>
          <w:b w:val="1"/>
          <w:bCs w:val="1"/>
          <w:i w:val="1"/>
          <w:iCs w:val="1"/>
          <w:color w:val="auto"/>
        </w:rPr>
        <w:t>Trust Agreement</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this is to advise you that the Company has entered into an agreement with (the “</w:t>
      </w:r>
      <w:r>
        <w:rPr>
          <w:rFonts w:ascii="Arial" w:cs="Arial" w:eastAsia="Arial" w:hAnsi="Arial"/>
          <w:sz w:val="18"/>
          <w:szCs w:val="18"/>
          <w:b w:val="1"/>
          <w:bCs w:val="1"/>
          <w:i w:val="1"/>
          <w:iCs w:val="1"/>
          <w:color w:val="auto"/>
        </w:rPr>
        <w:t>Target Business</w:t>
      </w:r>
      <w:r>
        <w:rPr>
          <w:rFonts w:ascii="Arial" w:cs="Arial" w:eastAsia="Arial" w:hAnsi="Arial"/>
          <w:sz w:val="18"/>
          <w:szCs w:val="18"/>
          <w:color w:val="auto"/>
        </w:rPr>
        <w:t>”) to consummate a business combination with the Target Business (the “</w:t>
      </w:r>
      <w:r>
        <w:rPr>
          <w:rFonts w:ascii="Arial" w:cs="Arial" w:eastAsia="Arial" w:hAnsi="Arial"/>
          <w:sz w:val="18"/>
          <w:szCs w:val="18"/>
          <w:b w:val="1"/>
          <w:bCs w:val="1"/>
          <w:i w:val="1"/>
          <w:iCs w:val="1"/>
          <w:color w:val="auto"/>
        </w:rPr>
        <w:t>Business Combination</w:t>
      </w:r>
      <w:r>
        <w:rPr>
          <w:rFonts w:ascii="Arial" w:cs="Arial" w:eastAsia="Arial" w:hAnsi="Arial"/>
          <w:sz w:val="18"/>
          <w:szCs w:val="18"/>
          <w:color w:val="auto"/>
        </w:rPr>
        <w:t xml:space="preserve">”) on or about </w:t>
      </w:r>
      <w:r>
        <w:rPr>
          <w:rFonts w:ascii="Arial" w:cs="Arial" w:eastAsia="Arial" w:hAnsi="Arial"/>
          <w:sz w:val="18"/>
          <w:szCs w:val="18"/>
          <w:b w:val="1"/>
          <w:bCs w:val="1"/>
          <w:color w:val="auto"/>
        </w:rPr>
        <w:t>[insert</w:t>
      </w:r>
      <w:r>
        <w:rPr>
          <w:rFonts w:ascii="Arial" w:cs="Arial" w:eastAsia="Arial" w:hAnsi="Arial"/>
          <w:sz w:val="18"/>
          <w:szCs w:val="18"/>
          <w:color w:val="auto"/>
        </w:rPr>
        <w:t xml:space="preserve"> </w:t>
      </w:r>
      <w:r>
        <w:rPr>
          <w:rFonts w:ascii="Arial" w:cs="Arial" w:eastAsia="Arial" w:hAnsi="Arial"/>
          <w:sz w:val="18"/>
          <w:szCs w:val="18"/>
          <w:b w:val="1"/>
          <w:bCs w:val="1"/>
          <w:color w:val="auto"/>
        </w:rPr>
        <w:t>date]</w:t>
      </w:r>
      <w:r>
        <w:rPr>
          <w:rFonts w:ascii="Arial" w:cs="Arial" w:eastAsia="Arial" w:hAnsi="Arial"/>
          <w:sz w:val="18"/>
          <w:szCs w:val="18"/>
          <w:color w:val="auto"/>
        </w:rPr>
        <w:t>. The Company shall notify you at least seventy-two (72) hours in advance of the actual date (or such shorter period as you may agree)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consummation of the Business Combination (the “</w:t>
      </w:r>
      <w:r>
        <w:rPr>
          <w:rFonts w:ascii="Arial" w:cs="Arial" w:eastAsia="Arial" w:hAnsi="Arial"/>
          <w:sz w:val="18"/>
          <w:szCs w:val="18"/>
          <w:b w:val="1"/>
          <w:bCs w:val="1"/>
          <w:i w:val="1"/>
          <w:iCs w:val="1"/>
          <w:color w:val="auto"/>
        </w:rPr>
        <w:t>Consummation Date</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Capitalized terms used but not defined herein shall have the meanings set forth in the Trust Agreement.</w:t>
      </w:r>
    </w:p>
    <w:p>
      <w:pPr>
        <w:spacing w:after="0" w:line="19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In accordance with the terms of the Trust Agreement, we hereby authorize you to commence to liquidate all of the assets of the Trust Account and to transfer the proceeds to a segregated account held by you on behalf of the Beneficiaries to the effect that, on the Consummation Date, all of the funds held in the Trust Operating Account at JPMorgan Chase Bank, N.A., will be immediately available for transfer to the account or accounts that the Company shall direct on the Consummation Date (including as directed to it by Jefferies LLC (with respect to the Deferred Discount)).</w:t>
      </w:r>
    </w:p>
    <w:p>
      <w:pPr>
        <w:spacing w:after="0" w:line="15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the Consummation Date (i) counsel for the Company shall deliver to you written notification that the Business Combination has been consummated, or will be consummated concurrently with your transfer of funds to the accounts as directed by the Company (the “</w:t>
      </w:r>
      <w:r>
        <w:rPr>
          <w:rFonts w:ascii="Arial" w:cs="Arial" w:eastAsia="Arial" w:hAnsi="Arial"/>
          <w:sz w:val="17"/>
          <w:szCs w:val="17"/>
          <w:b w:val="1"/>
          <w:bCs w:val="1"/>
          <w:i w:val="1"/>
          <w:iCs w:val="1"/>
          <w:color w:val="auto"/>
        </w:rPr>
        <w:t>Notification</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and (ii) the Company shall deliver to you (a) a certificate by the Chief Executive Officer, Chief Financial Officer, Co-Executive Chairman or Vice Chairman, which verifies that the Business Combination has been approved by a vote of the Company’s stockholders, if a vote is held and (b) a joint written instruction signed by the Company and Jefferies LLC with respect to the transfer of the funds held in the Trust Account, including payment of amounts owed to public stockholders who have properly exercised their redemption rights and payment of the Deferred Discount directly to the account or accounts directed by Jefferies LLC from the Trust Account (the “</w:t>
      </w:r>
      <w:r>
        <w:rPr>
          <w:rFonts w:ascii="Arial" w:cs="Arial" w:eastAsia="Arial" w:hAnsi="Arial"/>
          <w:sz w:val="17"/>
          <w:szCs w:val="17"/>
          <w:b w:val="1"/>
          <w:bCs w:val="1"/>
          <w:i w:val="1"/>
          <w:iCs w:val="1"/>
          <w:color w:val="auto"/>
        </w:rPr>
        <w:t>Instruction Letter</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You are hereby directed and authorized to transfer the funds held in the Trust Account immediately upon your receipt of the Notification and the Instruction Letter, in accordance with the terms of the Instruction Letter. In the event that certain deposits held in the Trust Account may not be liquidated by the Consummation Date without penalty, you will notify the Company in writing of the same and the Company shall direct you as to whether such funds should remain in the Trust Account and be distributed after the Consummation Date to the Company. Upon the distribution of all the funds, net of any payments necessary for reasonable unreimbursed expenses related to liquidating the Trust Account, your obligations under the Trust Agreement shall be terminated.</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In the event that the Business Combination is not consummated on the Consummation Date described in the notice thereof and we have not notified you on or before the original Consummation Date of a new Consummation Date, then upon receipt by the Trustee of written instructions from the Company, the funds held in the Trust Account shall be reinvested as provided in </w:t>
      </w:r>
      <w:r>
        <w:rPr>
          <w:rFonts w:ascii="Arial" w:cs="Arial" w:eastAsia="Arial" w:hAnsi="Arial"/>
          <w:sz w:val="18"/>
          <w:szCs w:val="18"/>
          <w:u w:val="single" w:color="auto"/>
          <w:color w:val="auto"/>
        </w:rPr>
        <w:t>Section 1(c)</w:t>
      </w:r>
      <w:r>
        <w:rPr>
          <w:rFonts w:ascii="Arial" w:cs="Arial" w:eastAsia="Arial" w:hAnsi="Arial"/>
          <w:sz w:val="18"/>
          <w:szCs w:val="18"/>
          <w:color w:val="auto"/>
        </w:rPr>
        <w:t xml:space="preserve"> of the Trust Agreement on the business day immediately following the Consummation Date as set forth in such notice as soon thereafter as possible.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1" w:name="page262"/>
    <w:bookmarkEnd w:id="261"/>
    <w:p>
      <w:pPr>
        <w:ind w:left="67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FS Development Corp.</w:t>
      </w:r>
    </w:p>
    <w:p>
      <w:pPr>
        <w:spacing w:after="0" w:line="24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1">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cc: Jefferies LLC</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262" w:name="page263"/>
    <w:bookmarkEnd w:id="262"/>
    <w:p>
      <w:pPr>
        <w:jc w:val="center"/>
        <w:ind w:right="-19"/>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[Letterhead of Company]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[Insert 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State Street, 30th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Francis Wolf and Ms. Gonzalez</w:t>
      </w:r>
    </w:p>
    <w:p>
      <w:pPr>
        <w:spacing w:after="0" w:line="21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Trust Account - Termination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Mr. Wolf and Ms. Gonzalez:</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Pursuant to </w:t>
      </w:r>
      <w:r>
        <w:rPr>
          <w:rFonts w:ascii="Arial" w:cs="Arial" w:eastAsia="Arial" w:hAnsi="Arial"/>
          <w:sz w:val="18"/>
          <w:szCs w:val="18"/>
          <w:u w:val="single" w:color="auto"/>
          <w:color w:val="auto"/>
        </w:rPr>
        <w:t>Section 1(i)</w:t>
      </w:r>
      <w:r>
        <w:rPr>
          <w:rFonts w:ascii="Arial" w:cs="Arial" w:eastAsia="Arial" w:hAnsi="Arial"/>
          <w:sz w:val="18"/>
          <w:szCs w:val="18"/>
          <w:color w:val="auto"/>
        </w:rPr>
        <w:t xml:space="preserve"> of the Investment Management Trust Agreement between FS Development Corp.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Continental Stock Transfer &amp; Trust Company (the “</w:t>
      </w:r>
      <w:r>
        <w:rPr>
          <w:rFonts w:ascii="Arial" w:cs="Arial" w:eastAsia="Arial" w:hAnsi="Arial"/>
          <w:sz w:val="18"/>
          <w:szCs w:val="18"/>
          <w:b w:val="1"/>
          <w:bCs w:val="1"/>
          <w:i w:val="1"/>
          <w:iCs w:val="1"/>
          <w:color w:val="auto"/>
        </w:rPr>
        <w:t>Trustee</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dated as of , 2020 (the “</w:t>
      </w:r>
      <w:r>
        <w:rPr>
          <w:rFonts w:ascii="Arial" w:cs="Arial" w:eastAsia="Arial" w:hAnsi="Arial"/>
          <w:sz w:val="18"/>
          <w:szCs w:val="18"/>
          <w:b w:val="1"/>
          <w:bCs w:val="1"/>
          <w:i w:val="1"/>
          <w:iCs w:val="1"/>
          <w:color w:val="auto"/>
        </w:rPr>
        <w:t>Trust Agreement</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this is to advise you that the Company has been unable to effect a business combination with a Target Business (the “</w:t>
      </w:r>
      <w:r>
        <w:rPr>
          <w:rFonts w:ascii="Arial" w:cs="Arial" w:eastAsia="Arial" w:hAnsi="Arial"/>
          <w:sz w:val="18"/>
          <w:szCs w:val="18"/>
          <w:b w:val="1"/>
          <w:bCs w:val="1"/>
          <w:i w:val="1"/>
          <w:iCs w:val="1"/>
          <w:color w:val="auto"/>
        </w:rPr>
        <w:t>Business Combination</w:t>
      </w:r>
      <w:r>
        <w:rPr>
          <w:rFonts w:ascii="Arial" w:cs="Arial" w:eastAsia="Arial" w:hAnsi="Arial"/>
          <w:sz w:val="18"/>
          <w:szCs w:val="18"/>
          <w:color w:val="auto"/>
        </w:rPr>
        <w:t>”) within the time frame specified in the Company’s Amended and Restated Certificate of Incorporation, as described in the Company’s Prospectus relating to the Offering. Capitalized terms used but not defined herein shall have the meanings set forth in the Trust Agreement.</w:t>
      </w:r>
    </w:p>
    <w:p>
      <w:pPr>
        <w:spacing w:after="0" w:line="18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accordance with the terms of the Trust Agreement, we hereby authorize you to liquidate all of the assets in the Trust Operating Account and to transfer the total proceeds into a segregated account held by you on behalf of the Beneficiaries to await distribution to the Public Stockholders. The</w:t>
      </w:r>
    </w:p>
    <w:p>
      <w:pPr>
        <w:jc w:val="both"/>
        <w:spacing w:after="0" w:line="264" w:lineRule="auto"/>
        <w:rPr>
          <w:sz w:val="20"/>
          <w:szCs w:val="20"/>
          <w:color w:val="auto"/>
        </w:rPr>
      </w:pPr>
      <w:r>
        <w:rPr>
          <w:rFonts w:ascii="Arial" w:cs="Arial" w:eastAsia="Arial" w:hAnsi="Arial"/>
          <w:sz w:val="16"/>
          <w:szCs w:val="16"/>
          <w:color w:val="auto"/>
        </w:rPr>
        <w:t>Company has selected</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as the effective date for the purpose of determining when the Public Stockholders will be entitled to receive their share of the liquidation proceeds. You agree to be the Paying Agent of record and, in your separate capacity as Paying Agent, agree to distribute said funds directly to the Company’s Public Stockholders in accordance with the terms of the Trust Agreement and the Amended and Restated Certificate of Incorporation of the Company. Upon the distribution of all the funds, net of any payments necessary for reasonable unreimbursed expenses related to liquidating the Trust Account, your obligations under the Trust Agreement shall be terminated, except to the extent otherwise provided in </w:t>
      </w:r>
      <w:r>
        <w:rPr>
          <w:rFonts w:ascii="Arial" w:cs="Arial" w:eastAsia="Arial" w:hAnsi="Arial"/>
          <w:sz w:val="16"/>
          <w:szCs w:val="16"/>
          <w:u w:val="single" w:color="auto"/>
          <w:color w:val="auto"/>
        </w:rPr>
        <w:t>Section 1(i)</w:t>
      </w:r>
      <w:r>
        <w:rPr>
          <w:rFonts w:ascii="Arial" w:cs="Arial" w:eastAsia="Arial" w:hAnsi="Arial"/>
          <w:sz w:val="16"/>
          <w:szCs w:val="16"/>
          <w:color w:val="auto"/>
        </w:rPr>
        <w:t xml:space="preserve"> of the Trust Agreement.</w:t>
      </w:r>
    </w:p>
    <w:p>
      <w:pPr>
        <w:spacing w:after="0" w:line="18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FS Development Corp.</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3">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cc:  Jefferies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783080"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6" w:lineRule="exact"/>
        <w:rPr>
          <w:sz w:val="20"/>
          <w:szCs w:val="20"/>
          <w:color w:val="auto"/>
        </w:rPr>
      </w:pPr>
    </w:p>
    <w:p>
      <w:pPr>
        <w:ind w:left="320" w:hanging="312"/>
        <w:spacing w:after="0" w:line="194" w:lineRule="auto"/>
        <w:tabs>
          <w:tab w:leader="none" w:pos="320" w:val="left"/>
        </w:tabs>
        <w:numPr>
          <w:ilvl w:val="0"/>
          <w:numId w:val="206"/>
        </w:numPr>
        <w:rPr>
          <w:rFonts w:ascii="Arial" w:cs="Arial" w:eastAsia="Arial" w:hAnsi="Arial"/>
          <w:sz w:val="30"/>
          <w:szCs w:val="30"/>
          <w:color w:val="auto"/>
          <w:vertAlign w:val="superscript"/>
        </w:rPr>
      </w:pPr>
      <w:r>
        <w:rPr>
          <w:rFonts w:ascii="Arial" w:cs="Arial" w:eastAsia="Arial" w:hAnsi="Arial"/>
          <w:sz w:val="18"/>
          <w:szCs w:val="18"/>
          <w:color w:val="auto"/>
        </w:rPr>
        <w:t>24 months from the closing of the Offering or such later date as may be approved by the Company’s stockholders in accordance with the Company’s amended and restated certificate of incorporation.</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3" w:name="page264"/>
    <w:bookmarkEnd w:id="263"/>
    <w:p>
      <w:pPr>
        <w:jc w:val="center"/>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[Letterhead of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[Insert 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State Street, 30th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Francis Wolf and Ms. Gonzalez</w:t>
      </w:r>
    </w:p>
    <w:p>
      <w:pPr>
        <w:spacing w:after="0" w:line="21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Trust Account - Tax Payment Withdrawal Instruction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Mr. Wolf and Ms. Gonzalez:</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 xml:space="preserve">Pursuant to </w:t>
      </w:r>
      <w:r>
        <w:rPr>
          <w:rFonts w:ascii="Arial" w:cs="Arial" w:eastAsia="Arial" w:hAnsi="Arial"/>
          <w:sz w:val="16"/>
          <w:szCs w:val="16"/>
          <w:u w:val="single" w:color="auto"/>
          <w:color w:val="auto"/>
        </w:rPr>
        <w:t>Section 1(j)</w:t>
      </w:r>
      <w:r>
        <w:rPr>
          <w:rFonts w:ascii="Arial" w:cs="Arial" w:eastAsia="Arial" w:hAnsi="Arial"/>
          <w:sz w:val="16"/>
          <w:szCs w:val="16"/>
          <w:color w:val="auto"/>
        </w:rPr>
        <w:t xml:space="preserve"> of the Investment Management Trust Agreement between FS Development Corp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Continental Stock Transfer &amp; Trust Company (the “</w:t>
      </w:r>
      <w:r>
        <w:rPr>
          <w:rFonts w:ascii="Arial" w:cs="Arial" w:eastAsia="Arial" w:hAnsi="Arial"/>
          <w:sz w:val="16"/>
          <w:szCs w:val="16"/>
          <w:b w:val="1"/>
          <w:bCs w:val="1"/>
          <w:i w:val="1"/>
          <w:iCs w:val="1"/>
          <w:color w:val="auto"/>
        </w:rPr>
        <w:t>Trustee</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dated as of , 2020 (the “</w:t>
      </w:r>
      <w:r>
        <w:rPr>
          <w:rFonts w:ascii="Arial" w:cs="Arial" w:eastAsia="Arial" w:hAnsi="Arial"/>
          <w:sz w:val="16"/>
          <w:szCs w:val="16"/>
          <w:b w:val="1"/>
          <w:bCs w:val="1"/>
          <w:i w:val="1"/>
          <w:iCs w:val="1"/>
          <w:color w:val="auto"/>
        </w:rPr>
        <w:t>Trust Agreement</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the Company hereby requests that you deliver to the Company</w:t>
      </w:r>
    </w:p>
    <w:p>
      <w:pPr>
        <w:ind w:firstLine="8"/>
        <w:spacing w:after="0" w:line="260" w:lineRule="auto"/>
        <w:tabs>
          <w:tab w:leader="none" w:pos="14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of the interest income earned on the Property as of the date hereof. Capitalized terms used but not defined herein shall have the meanings set forth in the Trust Agreement.</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needs such funds to pay for the tax obligations as set forth on the attached tax return or tax statement. In accordance with the terms of the Trust Agreement, you are hereby directed and authorized to transfer (via wire transfer) such funds promptly upon your receipt of this letter to the Company’s operating account at: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[WIRE INSTRUCTION INFORMATION]</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FS Development Corp.</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23495</wp:posOffset>
            </wp:positionV>
            <wp:extent cx="2562860" cy="171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0"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cc:  Jefferies LLC</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4" w:name="page265"/>
    <w:bookmarkEnd w:id="264"/>
    <w:p>
      <w:pPr>
        <w:jc w:val="center"/>
        <w:spacing w:after="0"/>
        <w:rPr>
          <w:sz w:val="20"/>
          <w:szCs w:val="20"/>
          <w:color w:val="auto"/>
        </w:rPr>
      </w:pPr>
      <w:r>
        <w:rPr>
          <w:rFonts w:ascii="Arial" w:cs="Arial" w:eastAsia="Arial" w:hAnsi="Arial"/>
          <w:sz w:val="18"/>
          <w:szCs w:val="18"/>
          <w:b w:val="1"/>
          <w:bCs w:val="1"/>
          <w:color w:val="auto"/>
        </w:rPr>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[Letterhead of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[Insert 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State Street, 30th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Francis Wolf and Ms. Gonzalez</w:t>
      </w:r>
    </w:p>
    <w:p>
      <w:pPr>
        <w:spacing w:after="0" w:line="21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Trust Account - Stockholder Redemption Withdrawal Instruction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Mr. Wolf and Ms. Gonzalez:</w:t>
      </w:r>
    </w:p>
    <w:p>
      <w:pPr>
        <w:spacing w:after="0" w:line="22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 xml:space="preserve">Pursuant to </w:t>
      </w:r>
      <w:r>
        <w:rPr>
          <w:rFonts w:ascii="Arial" w:cs="Arial" w:eastAsia="Arial" w:hAnsi="Arial"/>
          <w:sz w:val="17"/>
          <w:szCs w:val="17"/>
          <w:u w:val="single" w:color="auto"/>
          <w:color w:val="auto"/>
        </w:rPr>
        <w:t>Section 1(k)</w:t>
      </w:r>
      <w:r>
        <w:rPr>
          <w:rFonts w:ascii="Arial" w:cs="Arial" w:eastAsia="Arial" w:hAnsi="Arial"/>
          <w:sz w:val="17"/>
          <w:szCs w:val="17"/>
          <w:color w:val="auto"/>
        </w:rPr>
        <w:t xml:space="preserve"> of the Investment Management Trust Agreement between FS Development Corp.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 Continental Stock Transfer &amp; Trust Company (the “</w:t>
      </w:r>
      <w:r>
        <w:rPr>
          <w:rFonts w:ascii="Arial" w:cs="Arial" w:eastAsia="Arial" w:hAnsi="Arial"/>
          <w:sz w:val="17"/>
          <w:szCs w:val="17"/>
          <w:b w:val="1"/>
          <w:bCs w:val="1"/>
          <w:i w:val="1"/>
          <w:iCs w:val="1"/>
          <w:color w:val="auto"/>
        </w:rPr>
        <w:t>Trustee</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dated as of , 2020 (the “</w:t>
      </w:r>
      <w:r>
        <w:rPr>
          <w:rFonts w:ascii="Arial" w:cs="Arial" w:eastAsia="Arial" w:hAnsi="Arial"/>
          <w:sz w:val="17"/>
          <w:szCs w:val="17"/>
          <w:b w:val="1"/>
          <w:bCs w:val="1"/>
          <w:i w:val="1"/>
          <w:iCs w:val="1"/>
          <w:color w:val="auto"/>
        </w:rPr>
        <w:t>Trust Agreement</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the Company hereby requests that you deliver to the</w:t>
      </w:r>
    </w:p>
    <w:p>
      <w:pPr>
        <w:jc w:val="both"/>
        <w:spacing w:after="0" w:line="323" w:lineRule="auto"/>
        <w:rPr>
          <w:sz w:val="20"/>
          <w:szCs w:val="20"/>
          <w:color w:val="auto"/>
        </w:rPr>
      </w:pPr>
      <w:r>
        <w:rPr>
          <w:rFonts w:ascii="Arial" w:cs="Arial" w:eastAsia="Arial" w:hAnsi="Arial"/>
          <w:sz w:val="16"/>
          <w:szCs w:val="16"/>
          <w:color w:val="auto"/>
        </w:rPr>
        <w:t>redeeming Public Stockholders of the Company $ of the principal and interest income earned on the Property as of the date hereof to a segregated account held by you on behalf of the Beneficiaries. Capitalized terms used but not defined herein shall have the meanings set forth in the Trust Agreement.</w:t>
      </w:r>
    </w:p>
    <w:p>
      <w:pPr>
        <w:spacing w:after="0" w:line="13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needs such funds to pay its Public Stockholders who have properly elected to have their shares of Common Stock redeemed by the Company in connection with a stockholder vote to approve an amendment to the Company’s amended and restated certificate of incorporation to modify the substance or timing of the Company’s obligation to redeem 100% of public shares of Common Stock if the Company has not consummated an initial Business Combination within such time as is described in the Company’s amended and restated certificate of incorporation or with respect to any other material provisions relating to stockholders’ rights or pre-initial Business Combination activity. As such, you are hereby directed and authorized to transfer (via wire transfer) such funds promptly upon your receipt of this letter to a segregated account held by you on behalf of the Beneficiaries.</w:t>
      </w:r>
    </w:p>
    <w:p>
      <w:pPr>
        <w:spacing w:after="0" w:line="16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FS Development Corp.</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cc:  Jefferies LLC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5" w:name="page266"/>
    <w:bookmarkEnd w:id="265"/>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 AGREEMENT</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THIS REGISTRATION RIGHTS AGREEMENT (this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dated as of , 2020, is made and entered into by and among FS Development Corp.,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FS Development Holdings, LLC, a Delaware limited liability company (the “</w:t>
      </w:r>
      <w:r>
        <w:rPr>
          <w:rFonts w:ascii="Arial" w:cs="Arial" w:eastAsia="Arial" w:hAnsi="Arial"/>
          <w:sz w:val="17"/>
          <w:szCs w:val="17"/>
          <w:b w:val="1"/>
          <w:bCs w:val="1"/>
          <w:i w:val="1"/>
          <w:iCs w:val="1"/>
          <w:color w:val="auto"/>
        </w:rPr>
        <w:t>Sponsor</w:t>
      </w:r>
      <w:r>
        <w:rPr>
          <w:rFonts w:ascii="Arial" w:cs="Arial" w:eastAsia="Arial" w:hAnsi="Arial"/>
          <w:sz w:val="17"/>
          <w:szCs w:val="17"/>
          <w:color w:val="auto"/>
        </w:rPr>
        <w:t xml:space="preserve">”) and the undersigned parties listed on the signature page hereto under “Holders” (each such party, together with the Sponsor and any person or entity who hereafter becomes a party to this Agreement pursuant to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of this Agreement, a “</w:t>
      </w:r>
      <w:r>
        <w:rPr>
          <w:rFonts w:ascii="Arial" w:cs="Arial" w:eastAsia="Arial" w:hAnsi="Arial"/>
          <w:sz w:val="17"/>
          <w:szCs w:val="17"/>
          <w:b w:val="1"/>
          <w:bCs w:val="1"/>
          <w:i w:val="1"/>
          <w:iCs w:val="1"/>
          <w:color w:val="auto"/>
        </w:rPr>
        <w:t>Holder</w:t>
      </w:r>
      <w:r>
        <w:rPr>
          <w:rFonts w:ascii="Arial" w:cs="Arial" w:eastAsia="Arial" w:hAnsi="Arial"/>
          <w:sz w:val="17"/>
          <w:szCs w:val="17"/>
          <w:color w:val="auto"/>
        </w:rPr>
        <w:t>” and collectively the “</w:t>
      </w:r>
      <w:r>
        <w:rPr>
          <w:rFonts w:ascii="Arial" w:cs="Arial" w:eastAsia="Arial" w:hAnsi="Arial"/>
          <w:sz w:val="17"/>
          <w:szCs w:val="17"/>
          <w:b w:val="1"/>
          <w:bCs w:val="1"/>
          <w:i w:val="1"/>
          <w:iCs w:val="1"/>
          <w:color w:val="auto"/>
        </w:rPr>
        <w:t>Holders</w:t>
      </w:r>
      <w:r>
        <w:rPr>
          <w:rFonts w:ascii="Arial" w:cs="Arial" w:eastAsia="Arial" w:hAnsi="Arial"/>
          <w:sz w:val="17"/>
          <w:szCs w:val="17"/>
          <w:color w:val="auto"/>
        </w:rPr>
        <w:t>”)</w:t>
      </w:r>
      <w:r>
        <w:rPr>
          <w:rFonts w:ascii="Arial" w:cs="Arial" w:eastAsia="Arial" w:hAnsi="Arial"/>
          <w:sz w:val="17"/>
          <w:szCs w:val="17"/>
          <w:i w:val="1"/>
          <w:iCs w:val="1"/>
          <w:color w:val="auto"/>
        </w:rPr>
        <w: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has 2,875,000 shares of Class B common stock, par value $0.0001 per share (the “</w:t>
      </w:r>
      <w:r>
        <w:rPr>
          <w:rFonts w:ascii="Arial" w:cs="Arial" w:eastAsia="Arial" w:hAnsi="Arial"/>
          <w:sz w:val="18"/>
          <w:szCs w:val="18"/>
          <w:b w:val="1"/>
          <w:bCs w:val="1"/>
          <w:i w:val="1"/>
          <w:iCs w:val="1"/>
          <w:color w:val="auto"/>
        </w:rPr>
        <w:t>Founder Shares</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issued and</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 up to 375,000 of which will be forfeited to the Company for no consideration depending on the extent to which the underwriters of the Company’s initial public offering exercise their over-allotment option;</w:t>
      </w:r>
    </w:p>
    <w:p>
      <w:pPr>
        <w:spacing w:after="0" w:line="176"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Founder Shares are convertible into shares of the Company’s Class A common stock, par value $0.0001 per share (“</w:t>
      </w:r>
      <w:r>
        <w:rPr>
          <w:rFonts w:ascii="Arial" w:cs="Arial" w:eastAsia="Arial" w:hAnsi="Arial"/>
          <w:sz w:val="16"/>
          <w:szCs w:val="16"/>
          <w:b w:val="1"/>
          <w:bCs w:val="1"/>
          <w:i w:val="1"/>
          <w:iCs w:val="1"/>
          <w:color w:val="auto"/>
        </w:rPr>
        <w:t>Common</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Stock</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the terms and conditions provided in the Company’s amended and restated certificate of incorporation, as may be amended from time to time;</w:t>
      </w:r>
    </w:p>
    <w:p>
      <w:pPr>
        <w:spacing w:after="0" w:line="11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on , 2020, the Company and the Sponsor entered into that certain Private Placement Class A Common Stock Purchase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(the “</w:t>
      </w:r>
      <w:r>
        <w:rPr>
          <w:rFonts w:ascii="Arial" w:cs="Arial" w:eastAsia="Arial" w:hAnsi="Arial"/>
          <w:sz w:val="18"/>
          <w:szCs w:val="18"/>
          <w:b w:val="1"/>
          <w:bCs w:val="1"/>
          <w:i w:val="1"/>
          <w:iCs w:val="1"/>
          <w:color w:val="auto"/>
        </w:rPr>
        <w:t>Private Placement Class A Common Stock Purchase Agreement</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pursuant to which the Sponsor agreed to purchase 400,000 shares of Common Stock (or up to 430,000 shares of Common Stock to the extent that the over-allotment option in connection with the Company’s initial public offering is exercised in full) (the “</w:t>
      </w:r>
      <w:r>
        <w:rPr>
          <w:rFonts w:ascii="Arial" w:cs="Arial" w:eastAsia="Arial" w:hAnsi="Arial"/>
          <w:sz w:val="18"/>
          <w:szCs w:val="18"/>
          <w:b w:val="1"/>
          <w:bCs w:val="1"/>
          <w:i w:val="1"/>
          <w:iCs w:val="1"/>
          <w:color w:val="auto"/>
        </w:rPr>
        <w:t>Private Placement Shares</w:t>
      </w:r>
      <w:r>
        <w:rPr>
          <w:rFonts w:ascii="Arial" w:cs="Arial" w:eastAsia="Arial" w:hAnsi="Arial"/>
          <w:sz w:val="18"/>
          <w:szCs w:val="18"/>
          <w:color w:val="auto"/>
        </w:rPr>
        <w:t>”) in a private placement transaction occurring simultaneously with the closing of the Company’s initial public offering;</w:t>
      </w:r>
    </w:p>
    <w:p>
      <w:pPr>
        <w:spacing w:after="0" w:line="183"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in order to finance the Company’s transaction costs in connection with its search for and consummation of an initial Business</w:t>
      </w:r>
      <w:r>
        <w:rPr>
          <w:rFonts w:ascii="Arial" w:cs="Arial" w:eastAsia="Arial" w:hAnsi="Arial"/>
          <w:sz w:val="17"/>
          <w:szCs w:val="17"/>
          <w:b w:val="1"/>
          <w:bCs w:val="1"/>
          <w:color w:val="auto"/>
        </w:rPr>
        <w:t xml:space="preserve"> </w:t>
      </w:r>
      <w:r>
        <w:rPr>
          <w:rFonts w:ascii="Arial" w:cs="Arial" w:eastAsia="Arial" w:hAnsi="Arial"/>
          <w:sz w:val="17"/>
          <w:szCs w:val="17"/>
          <w:color w:val="auto"/>
        </w:rPr>
        <w:t>Combination (as defined below), the Sponsor or an affiliate of the Sponsor or certain of the Company’s officers and directors may loan to the Company funds as the Company may require, of which up to $1,500,000 of such loans may be convertible into shares of Common Stock equivalent to the Private Placement Shares (“</w:t>
      </w:r>
      <w:r>
        <w:rPr>
          <w:rFonts w:ascii="Arial" w:cs="Arial" w:eastAsia="Arial" w:hAnsi="Arial"/>
          <w:sz w:val="17"/>
          <w:szCs w:val="17"/>
          <w:b w:val="1"/>
          <w:bCs w:val="1"/>
          <w:i w:val="1"/>
          <w:iCs w:val="1"/>
          <w:color w:val="auto"/>
        </w:rPr>
        <w:t>Working Capital Shares</w:t>
      </w:r>
      <w:r>
        <w:rPr>
          <w:rFonts w:ascii="Arial" w:cs="Arial" w:eastAsia="Arial" w:hAnsi="Arial"/>
          <w:sz w:val="17"/>
          <w:szCs w:val="17"/>
          <w:color w:val="auto"/>
        </w:rPr>
        <w:t>”) at a price of $10.00 per share at the option of the lender; and</w:t>
      </w:r>
    </w:p>
    <w:p>
      <w:pPr>
        <w:spacing w:after="0" w:line="16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Holders desire to enter into this Agreement, pursuant to which the Company shall grant the Holders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registration rights with respect to certain securities of the Company, as set forth in this Agreement.</w:t>
      </w:r>
    </w:p>
    <w:p>
      <w:pPr>
        <w:spacing w:after="0" w:line="162"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NOW</w:t>
      </w:r>
      <w:r>
        <w:rPr>
          <w:rFonts w:ascii="Arial" w:cs="Arial" w:eastAsia="Arial" w:hAnsi="Arial"/>
          <w:sz w:val="16"/>
          <w:szCs w:val="16"/>
          <w:color w:val="auto"/>
        </w:rPr>
        <w:t>,</w:t>
      </w:r>
      <w:r>
        <w:rPr>
          <w:rFonts w:ascii="Arial" w:cs="Arial" w:eastAsia="Arial" w:hAnsi="Arial"/>
          <w:sz w:val="16"/>
          <w:szCs w:val="16"/>
          <w:b w:val="1"/>
          <w:bCs w:val="1"/>
          <w:color w:val="auto"/>
        </w:rPr>
        <w:t xml:space="preserve"> THEREFORE</w:t>
      </w:r>
      <w:r>
        <w:rPr>
          <w:rFonts w:ascii="Arial" w:cs="Arial" w:eastAsia="Arial" w:hAnsi="Arial"/>
          <w:sz w:val="16"/>
          <w:szCs w:val="16"/>
          <w:color w:val="auto"/>
        </w:rPr>
        <w:t>, in consideration of the representations, covenants and agreements contained herein, and certain other good and valuable</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consideration, the receipt and sufficiency of which are hereby acknowledged, the parties hereto, intending to be legally bound, hereby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376555</wp:posOffset>
            </wp:positionV>
            <wp:extent cx="7132320" cy="17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6" w:name="page267"/>
    <w:bookmarkEnd w:id="266"/>
    <w:p>
      <w:pPr>
        <w:jc w:val="center"/>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Definitions</w:t>
      </w:r>
      <w:r>
        <w:rPr>
          <w:rFonts w:ascii="Arial" w:cs="Arial" w:eastAsia="Arial" w:hAnsi="Arial"/>
          <w:sz w:val="16"/>
          <w:szCs w:val="16"/>
          <w:color w:val="auto"/>
        </w:rPr>
        <w:t xml:space="preserve">. The terms defined in this </w:t>
      </w:r>
      <w:r>
        <w:rPr>
          <w:rFonts w:ascii="Arial" w:cs="Arial" w:eastAsia="Arial" w:hAnsi="Arial"/>
          <w:sz w:val="16"/>
          <w:szCs w:val="16"/>
          <w:i w:val="1"/>
          <w:iCs w:val="1"/>
          <w:u w:val="single" w:color="auto"/>
          <w:color w:val="auto"/>
        </w:rPr>
        <w:t>Article I</w:t>
      </w:r>
      <w:r>
        <w:rPr>
          <w:rFonts w:ascii="Arial" w:cs="Arial" w:eastAsia="Arial" w:hAnsi="Arial"/>
          <w:sz w:val="16"/>
          <w:szCs w:val="16"/>
          <w:color w:val="auto"/>
        </w:rPr>
        <w:t xml:space="preserve"> shall, for all purposes of this Agreement, have the respective meanings set forth below:</w:t>
      </w:r>
    </w:p>
    <w:p>
      <w:pPr>
        <w:spacing w:after="0" w:line="24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Adverse Disclosure</w:t>
      </w:r>
      <w:r>
        <w:rPr>
          <w:rFonts w:ascii="Arial" w:cs="Arial" w:eastAsia="Arial" w:hAnsi="Arial"/>
          <w:sz w:val="16"/>
          <w:szCs w:val="16"/>
          <w:color w:val="auto"/>
        </w:rPr>
        <w:t>” shall mean any public disclosure of material non-public information, which disclosure, in the good faith judgment of the Chief Executive Officer or principal financial officer of the Company, after consultation with counsel to the Company, (i) would be required to be made in any Registration Statement or Prospectus in order for the applicable Registration Statement or Prospectus not to contain any untrue statement of a material fact or omit to state a material fact necessary to make the statements contained therein (in the case of any prospectus and any preliminary prospectus, in the light of the circumstances under which they were made) not misleading, (ii) would not be required to be made at such time if the Registration Statement were not being filed, and (iii) the Company has a bona fide business purpose for not making such information public.</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shall have the meaning given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shall mean the Board of Directors of the Company.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Combination</w:t>
      </w:r>
      <w:r>
        <w:rPr>
          <w:rFonts w:ascii="Arial" w:cs="Arial" w:eastAsia="Arial" w:hAnsi="Arial"/>
          <w:sz w:val="18"/>
          <w:szCs w:val="18"/>
          <w:color w:val="auto"/>
        </w:rPr>
        <w:t>” shall mean any merger, capital stock exchange, asset acquisition, stock purchase, reorganization or other similar business combination with one or more businesses, involving the Company.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shall mean the Securities and Exchange Commission.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shall have the meaning given in the Recitals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shall have the meaning given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Demand Registration</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Demanding Holder</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shall mean the Securities Exchange Act of 1934, as it may be amended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Form S-1</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Form S-3</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2.3</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Founder Shares</w:t>
      </w:r>
      <w:r>
        <w:rPr>
          <w:rFonts w:ascii="Arial" w:cs="Arial" w:eastAsia="Arial" w:hAnsi="Arial"/>
          <w:sz w:val="18"/>
          <w:szCs w:val="18"/>
          <w:color w:val="auto"/>
        </w:rPr>
        <w:t>” shall have the meaning given in the Recitals hereto and shall be deemed to include the shares of Common Stock issuable upon conversion thereof.</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Founder Shares Lock-up Period</w:t>
      </w:r>
      <w:r>
        <w:rPr>
          <w:rFonts w:ascii="Arial" w:cs="Arial" w:eastAsia="Arial" w:hAnsi="Arial"/>
          <w:sz w:val="17"/>
          <w:szCs w:val="17"/>
          <w:color w:val="auto"/>
        </w:rPr>
        <w:t>” shall mean, with respect to the Founder Shares, the period ending on the earlier of (A) one year after the completion of the Company’s initial Business Combination and (B) subsequent to the Business Combination, (x) if the closing price of the Common Stock equals or exceeds $12.00 per share (as adjusted for stock splits, stock dividends, reorganizations, recapitalizations and the like) for any 20 trading days within any 30-trading day period commencing at least 150 days after the Company’s initial Business Combination or (y) the date on which the Company completes a liquidation, merger, capital stock exchange, reorganization or other similar transaction that results in all of the Company’s stockholders having the right to exchange their shares of Common Stock for cash, securities or other property.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Holders</w:t>
      </w:r>
      <w:r>
        <w:rPr>
          <w:rFonts w:ascii="Arial" w:cs="Arial" w:eastAsia="Arial" w:hAnsi="Arial"/>
          <w:sz w:val="18"/>
          <w:szCs w:val="18"/>
          <w:color w:val="auto"/>
        </w:rPr>
        <w:t>” shall have the meaning given in the Preamble.</w:t>
      </w:r>
    </w:p>
    <w:p>
      <w:pPr>
        <w:sectPr>
          <w:pgSz w:w="11900" w:h="16838" w:orient="portrait"/>
          <w:cols w:equalWidth="0" w:num="1">
            <w:col w:w="11240"/>
          </w:cols>
          <w:pgMar w:left="320" w:top="908" w:right="339" w:bottom="1440" w:gutter="0" w:footer="0" w:header="0"/>
        </w:sectPr>
      </w:pP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Insider Letter</w:t>
      </w:r>
      <w:r>
        <w:rPr>
          <w:rFonts w:ascii="Arial" w:cs="Arial" w:eastAsia="Arial" w:hAnsi="Arial"/>
          <w:sz w:val="18"/>
          <w:szCs w:val="18"/>
          <w:color w:val="auto"/>
        </w:rPr>
        <w:t>” shall mean that certain letter agreement, dated as of Company’s officers, directors and director nominees.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 2020, by and among the Company, the Sponsor and each of the</w:t>
      </w:r>
    </w:p>
    <w:p>
      <w:pPr>
        <w:spacing w:after="0" w:line="463" w:lineRule="exact"/>
        <w:rPr>
          <w:sz w:val="20"/>
          <w:szCs w:val="20"/>
          <w:color w:val="auto"/>
        </w:rPr>
      </w:pPr>
    </w:p>
    <w:p>
      <w:pPr>
        <w:sectPr>
          <w:pgSz w:w="11900" w:h="16838" w:orient="portrait"/>
          <w:cols w:equalWidth="0" w:num="2">
            <w:col w:w="5740" w:space="720"/>
            <w:col w:w="4780"/>
          </w:cols>
          <w:pgMar w:left="320" w:top="908" w:right="339" w:bottom="1440" w:gutter="0" w:footer="0" w:header="0"/>
          <w:type w:val="continuous"/>
        </w:sect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Maximum Number of Securities</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2.1.4</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Misstatement</w:t>
      </w:r>
      <w:r>
        <w:rPr>
          <w:rFonts w:ascii="Arial" w:cs="Arial" w:eastAsia="Arial" w:hAnsi="Arial"/>
          <w:sz w:val="18"/>
          <w:szCs w:val="18"/>
          <w:color w:val="auto"/>
        </w:rPr>
        <w:t>” shall mean an untrue statement of a material fact or an omission to state a material fact required to be stated in a Registration Statement or Prospectus, or necessary to make the statements in a Registration Statement or Prospectus (in the case of a Prospectus, in the light of the circumstances under which they were made) not misleading.</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267" w:name="page268"/>
    <w:bookmarkEnd w:id="267"/>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Transferees</w:t>
      </w:r>
      <w:r>
        <w:rPr>
          <w:rFonts w:ascii="Arial" w:cs="Arial" w:eastAsia="Arial" w:hAnsi="Arial"/>
          <w:sz w:val="18"/>
          <w:szCs w:val="18"/>
          <w:color w:val="auto"/>
        </w:rPr>
        <w:t>” shall mean any person or entity to whom a Holder of Registrable Securities is permitted to transfer such Registrable Securities prior to the expiration of the Founder Shares Lock-up Period, Private Placement Lock-up Period or any other lock-up period, as the case may be, under the Insider Letter, the Private Placement Class A Common Stock Purchase Agreement, this Agreement and any other applicable agreement between such Holder and the Company, and to any transferee thereafter.</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Piggyback Registration</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2.2.1</w:t>
      </w:r>
      <w:r>
        <w:rPr>
          <w:rFonts w:ascii="Arial" w:cs="Arial" w:eastAsia="Arial" w:hAnsi="Arial"/>
          <w:sz w:val="18"/>
          <w:szCs w:val="18"/>
          <w:color w:val="auto"/>
        </w:rPr>
        <w:t>.</w:t>
      </w:r>
    </w:p>
    <w:p>
      <w:pPr>
        <w:spacing w:after="0" w:line="225"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Private Placement Lock-up Period</w:t>
      </w:r>
      <w:r>
        <w:rPr>
          <w:rFonts w:ascii="Arial" w:cs="Arial" w:eastAsia="Arial" w:hAnsi="Arial"/>
          <w:sz w:val="16"/>
          <w:szCs w:val="16"/>
          <w:color w:val="auto"/>
        </w:rPr>
        <w:t>” shall mean, with respect to Private Placement Shares that are held by the initial purchasers of such Private Placement Shares or their Permitted Transferees, the period ending 30 days after the completion of the Company’s initial Business Combination.</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Private Placement Shares</w:t>
      </w:r>
      <w:r>
        <w:rPr>
          <w:rFonts w:ascii="Arial" w:cs="Arial" w:eastAsia="Arial" w:hAnsi="Arial"/>
          <w:sz w:val="18"/>
          <w:szCs w:val="18"/>
          <w:color w:val="auto"/>
        </w:rPr>
        <w:t>” shall have the meaning given in the Recitals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Private Placement Class A Common Stock Purchase Agreement</w:t>
      </w:r>
      <w:r>
        <w:rPr>
          <w:rFonts w:ascii="Arial" w:cs="Arial" w:eastAsia="Arial" w:hAnsi="Arial"/>
          <w:sz w:val="18"/>
          <w:szCs w:val="18"/>
          <w:color w:val="auto"/>
        </w:rPr>
        <w:t>” shall have the meaning given in the Recitals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 Rata</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2.1.4</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Prospectus</w:t>
      </w:r>
      <w:r>
        <w:rPr>
          <w:rFonts w:ascii="Arial" w:cs="Arial" w:eastAsia="Arial" w:hAnsi="Arial"/>
          <w:sz w:val="17"/>
          <w:szCs w:val="17"/>
          <w:color w:val="auto"/>
        </w:rPr>
        <w:t>” shall mean the prospectus included in any Registration Statement, as supplemented by any and all prospectus supplements and as amended by any and all post-effective amendments and including all material incorporated by reference in such prospectus.</w:t>
      </w:r>
    </w:p>
    <w:p>
      <w:pPr>
        <w:spacing w:after="0" w:line="14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Registrable Security</w:t>
      </w:r>
      <w:r>
        <w:rPr>
          <w:rFonts w:ascii="Arial" w:cs="Arial" w:eastAsia="Arial" w:hAnsi="Arial"/>
          <w:sz w:val="17"/>
          <w:szCs w:val="17"/>
          <w:color w:val="auto"/>
        </w:rPr>
        <w:t xml:space="preserve">” shall mean (a) the Founder Shares and the shares of Common Stock issued or issuable upon the conversion of the Founder Shares, (b) the Private Placement Shares, (c) any outstanding shares of Common Stock or any other equity security (including the shares of Common Stock issued or issuable upon the conversion of any other equity security) of the Company held by a Holder as of the date of this Agreement, (d) the Working Capital Shares and (e) any other equity security of the Company issued or issuable with respect to any such share of Common Stock by way of a stock dividend or stock split or in connection with a combination of shares, recapitalization, merger, consolidation or reorganization;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as to any particular Registrable Security, such securities shall cease to be Registrable Securities when: (A) a Registration Statement with respect to the sale of such securities shall have become effective under the Securities Act and such securities shall have been sold, transferred, disposed of or exchanged in accordance with such Registration Statement; (B) such securities shall have been otherwise transferred, new certificates for such securities not bearing a legend restricting further transfer shall have been delivered by the Company and subsequent public distribution of such securities shall not require registration under the Securities Act; (C) such securities shall have ceased to be outstanding; (D) such securities may be sold without registration pursuant to Rule 144 promulgated under the Securities Act (or any successor rule promulgated thereafter by the Commission) (but with no volume or other restrictions or limitations); or (E) such securities have been sold to, or through, a broker, dealer or underwriter in a public distribution or other public securities transaction.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8" w:name="page269"/>
    <w:bookmarkEnd w:id="268"/>
    <w:p>
      <w:pPr>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Registration</w:t>
      </w:r>
      <w:r>
        <w:rPr>
          <w:rFonts w:ascii="Arial" w:cs="Arial" w:eastAsia="Arial" w:hAnsi="Arial"/>
          <w:sz w:val="16"/>
          <w:szCs w:val="16"/>
          <w:color w:val="auto"/>
        </w:rPr>
        <w:t>” shall mean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Registration Expenses</w:t>
      </w:r>
      <w:r>
        <w:rPr>
          <w:rFonts w:ascii="Arial" w:cs="Arial" w:eastAsia="Arial" w:hAnsi="Arial"/>
          <w:sz w:val="18"/>
          <w:szCs w:val="18"/>
          <w:color w:val="auto"/>
        </w:rPr>
        <w:t>” shall mean the out-of-pocket expenses of a Registration, including, without limitation, the following:</w:t>
      </w:r>
    </w:p>
    <w:p>
      <w:pPr>
        <w:spacing w:after="0" w:line="225" w:lineRule="exact"/>
        <w:rPr>
          <w:sz w:val="20"/>
          <w:szCs w:val="20"/>
          <w:color w:val="auto"/>
        </w:rPr>
      </w:pPr>
    </w:p>
    <w:p>
      <w:pPr>
        <w:ind w:left="660" w:firstLine="644"/>
        <w:spacing w:after="0" w:line="277" w:lineRule="auto"/>
        <w:tabs>
          <w:tab w:leader="none" w:pos="1579"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all registration and filing fees (including fees with respect to filings required to be made with the Financial Industry Regulatory Authority, Inc.) and any securities exchange on which the Common Stock is then listed;</w:t>
      </w:r>
    </w:p>
    <w:p>
      <w:pPr>
        <w:spacing w:after="0" w:line="170" w:lineRule="exact"/>
        <w:rPr>
          <w:rFonts w:ascii="Arial" w:cs="Arial" w:eastAsia="Arial" w:hAnsi="Arial"/>
          <w:sz w:val="18"/>
          <w:szCs w:val="18"/>
          <w:color w:val="auto"/>
        </w:rPr>
      </w:pPr>
    </w:p>
    <w:p>
      <w:pPr>
        <w:ind w:left="660" w:firstLine="644"/>
        <w:spacing w:after="0" w:line="277" w:lineRule="auto"/>
        <w:tabs>
          <w:tab w:leader="none" w:pos="1582" w:val="left"/>
        </w:tabs>
        <w:numPr>
          <w:ilvl w:val="0"/>
          <w:numId w:val="208"/>
        </w:numPr>
        <w:rPr>
          <w:rFonts w:ascii="Arial" w:cs="Arial" w:eastAsia="Arial" w:hAnsi="Arial"/>
          <w:sz w:val="18"/>
          <w:szCs w:val="18"/>
          <w:color w:val="auto"/>
        </w:rPr>
      </w:pPr>
      <w:r>
        <w:rPr>
          <w:rFonts w:ascii="Arial" w:cs="Arial" w:eastAsia="Arial" w:hAnsi="Arial"/>
          <w:sz w:val="18"/>
          <w:szCs w:val="18"/>
          <w:color w:val="auto"/>
        </w:rPr>
        <w:t>fees and expenses of compliance with securities or blue sky laws (including reasonable fees and disbursements of counsel for the Underwriters in connection with blue sky qualifications of Registrable Securities);</w:t>
      </w:r>
    </w:p>
    <w:p>
      <w:pPr>
        <w:spacing w:after="0" w:line="170" w:lineRule="exact"/>
        <w:rPr>
          <w:rFonts w:ascii="Arial" w:cs="Arial" w:eastAsia="Arial" w:hAnsi="Arial"/>
          <w:sz w:val="18"/>
          <w:szCs w:val="18"/>
          <w:color w:val="auto"/>
        </w:rPr>
      </w:pPr>
    </w:p>
    <w:p>
      <w:pPr>
        <w:ind w:left="1540" w:hanging="236"/>
        <w:spacing w:after="0"/>
        <w:tabs>
          <w:tab w:leader="none" w:pos="154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printing, messenger, telephone and delivery expenses;</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reasonable fees and disbursements of counsel for the Company;</w:t>
      </w:r>
    </w:p>
    <w:p>
      <w:pPr>
        <w:spacing w:after="0" w:line="225" w:lineRule="exact"/>
        <w:rPr>
          <w:rFonts w:ascii="Arial" w:cs="Arial" w:eastAsia="Arial" w:hAnsi="Arial"/>
          <w:sz w:val="18"/>
          <w:szCs w:val="18"/>
          <w:color w:val="auto"/>
        </w:rPr>
      </w:pPr>
    </w:p>
    <w:p>
      <w:pPr>
        <w:ind w:left="660" w:firstLine="644"/>
        <w:spacing w:after="0" w:line="277" w:lineRule="auto"/>
        <w:tabs>
          <w:tab w:leader="none" w:pos="1603" w:val="left"/>
        </w:tabs>
        <w:numPr>
          <w:ilvl w:val="0"/>
          <w:numId w:val="208"/>
        </w:numPr>
        <w:rPr>
          <w:rFonts w:ascii="Arial" w:cs="Arial" w:eastAsia="Arial" w:hAnsi="Arial"/>
          <w:sz w:val="18"/>
          <w:szCs w:val="18"/>
          <w:color w:val="auto"/>
        </w:rPr>
      </w:pPr>
      <w:r>
        <w:rPr>
          <w:rFonts w:ascii="Arial" w:cs="Arial" w:eastAsia="Arial" w:hAnsi="Arial"/>
          <w:sz w:val="18"/>
          <w:szCs w:val="18"/>
          <w:color w:val="auto"/>
        </w:rPr>
        <w:t>reasonable fees and disbursements of all independent registered public accountants of the Company incurred specifically in connection with such Registration; and</w:t>
      </w:r>
    </w:p>
    <w:p>
      <w:pPr>
        <w:spacing w:after="0" w:line="170" w:lineRule="exact"/>
        <w:rPr>
          <w:rFonts w:ascii="Arial" w:cs="Arial" w:eastAsia="Arial" w:hAnsi="Arial"/>
          <w:sz w:val="18"/>
          <w:szCs w:val="18"/>
          <w:color w:val="auto"/>
        </w:rPr>
      </w:pPr>
    </w:p>
    <w:p>
      <w:pPr>
        <w:ind w:left="660" w:firstLine="644"/>
        <w:spacing w:after="0" w:line="277" w:lineRule="auto"/>
        <w:tabs>
          <w:tab w:leader="none" w:pos="15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reasonable fees and expenses of one (1) legal counsel selected by the majority-in-interest of the Demanding Holders initiating a Demand Registration to be registered for offer and sale in the applicable Registration.</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shall mean any registration statement that covers the Registrable Securities pursuant to the provisions of this Agreement, including the Prospectus included in such registration statement, amendments (including post-effective amendments) and supplements to such registration statement, and all exhibits to and all material incorporated by reference in such registration statement.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Requesting Holder</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shall mean the Securities Act of 1933, as amended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Sponsor</w:t>
      </w:r>
      <w:r>
        <w:rPr>
          <w:rFonts w:ascii="Arial" w:cs="Arial" w:eastAsia="Arial" w:hAnsi="Arial"/>
          <w:sz w:val="18"/>
          <w:szCs w:val="18"/>
          <w:color w:val="auto"/>
        </w:rPr>
        <w:t>” shall have the meaning given in the Recitals hereto.</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Underwriter</w:t>
      </w:r>
      <w:r>
        <w:rPr>
          <w:rFonts w:ascii="Arial" w:cs="Arial" w:eastAsia="Arial" w:hAnsi="Arial"/>
          <w:sz w:val="18"/>
          <w:szCs w:val="18"/>
          <w:color w:val="auto"/>
        </w:rPr>
        <w:t>” shall mean a securities dealer who purchases any Registrable Securities as principal in an Underwritten Offering and not as part of such dealer’s market-making activities.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Underwritten Registration</w:t>
      </w:r>
      <w:r>
        <w:rPr>
          <w:rFonts w:ascii="Arial" w:cs="Arial" w:eastAsia="Arial" w:hAnsi="Arial"/>
          <w:sz w:val="18"/>
          <w:szCs w:val="18"/>
          <w:color w:val="auto"/>
        </w:rPr>
        <w:t>” or “</w:t>
      </w:r>
      <w:r>
        <w:rPr>
          <w:rFonts w:ascii="Arial" w:cs="Arial" w:eastAsia="Arial" w:hAnsi="Arial"/>
          <w:sz w:val="18"/>
          <w:szCs w:val="18"/>
          <w:b w:val="1"/>
          <w:bCs w:val="1"/>
          <w:i w:val="1"/>
          <w:iCs w:val="1"/>
          <w:color w:val="auto"/>
        </w:rPr>
        <w:t>Underwritten Offering</w:t>
      </w:r>
      <w:r>
        <w:rPr>
          <w:rFonts w:ascii="Arial" w:cs="Arial" w:eastAsia="Arial" w:hAnsi="Arial"/>
          <w:sz w:val="18"/>
          <w:szCs w:val="18"/>
          <w:color w:val="auto"/>
        </w:rPr>
        <w:t>” shall mean a Registration in which securities of the Company are sold to an Underwriter in a firm commitment underwriting for distribution to the public.</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Working Capital Shares</w:t>
      </w:r>
      <w:r>
        <w:rPr>
          <w:rFonts w:ascii="Arial" w:cs="Arial" w:eastAsia="Arial" w:hAnsi="Arial"/>
          <w:sz w:val="18"/>
          <w:szCs w:val="18"/>
          <w:color w:val="auto"/>
        </w:rPr>
        <w:t>” shall have the meaning given in the Recitals hereto.</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9" w:name="page270"/>
    <w:bookmarkEnd w:id="269"/>
    <w:p>
      <w:pPr>
        <w:jc w:val="center"/>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2.1 Demand Registration.</w:t>
      </w:r>
    </w:p>
    <w:p>
      <w:pPr>
        <w:spacing w:after="0" w:line="225"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u w:val="single" w:color="auto"/>
          <w:color w:val="auto"/>
        </w:rPr>
        <w:t>Request for Registration</w:t>
      </w:r>
      <w:r>
        <w:rPr>
          <w:rFonts w:ascii="Arial" w:cs="Arial" w:eastAsia="Arial" w:hAnsi="Arial"/>
          <w:sz w:val="16"/>
          <w:szCs w:val="16"/>
          <w:color w:val="auto"/>
        </w:rPr>
        <w:t xml:space="preserve">. Subject to the provisions of </w:t>
      </w:r>
      <w:r>
        <w:rPr>
          <w:rFonts w:ascii="Arial" w:cs="Arial" w:eastAsia="Arial" w:hAnsi="Arial"/>
          <w:sz w:val="16"/>
          <w:szCs w:val="16"/>
          <w:u w:val="single" w:color="auto"/>
          <w:color w:val="auto"/>
        </w:rPr>
        <w:t>subsection 2.1.4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hereof, at any time and from time to time on or after the date the Company consummates the Business Combination, the Holders of at least fifteen percent (15%) of the then-outstanding number of Registrable Securities (the “</w:t>
      </w:r>
      <w:r>
        <w:rPr>
          <w:rFonts w:ascii="Arial" w:cs="Arial" w:eastAsia="Arial" w:hAnsi="Arial"/>
          <w:sz w:val="16"/>
          <w:szCs w:val="16"/>
          <w:b w:val="1"/>
          <w:bCs w:val="1"/>
          <w:i w:val="1"/>
          <w:iCs w:val="1"/>
          <w:color w:val="auto"/>
        </w:rPr>
        <w:t>Demanding Holders</w:t>
      </w:r>
      <w:r>
        <w:rPr>
          <w:rFonts w:ascii="Arial" w:cs="Arial" w:eastAsia="Arial" w:hAnsi="Arial"/>
          <w:sz w:val="16"/>
          <w:szCs w:val="16"/>
          <w:color w:val="auto"/>
        </w:rPr>
        <w:t>”) may make a written demand for Registration under the Securities Act of all or part of their Registrable Securities, which written demand shall describe the amount and type of securities to be included in such Registration and the intended method(s) of distribution thereof (such written demand a “</w:t>
      </w:r>
      <w:r>
        <w:rPr>
          <w:rFonts w:ascii="Arial" w:cs="Arial" w:eastAsia="Arial" w:hAnsi="Arial"/>
          <w:sz w:val="16"/>
          <w:szCs w:val="16"/>
          <w:b w:val="1"/>
          <w:bCs w:val="1"/>
          <w:i w:val="1"/>
          <w:iCs w:val="1"/>
          <w:color w:val="auto"/>
        </w:rPr>
        <w:t>Demand Registration</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The Company shall, within ten (10) days of the Company’s receipt of the Demand Registration, notify, in writing, all other Holders of Registrable Securities of such demand, and each Holder of Registrable Securities who thereafter wishes to include all or a portion of such Holder’s Registrable Securities in a Registration pursuant to a Demand Registration (each such Holder that includes all or a portion of such Holder’s Registrable Securities in such Registration, a “</w:t>
      </w:r>
      <w:r>
        <w:rPr>
          <w:rFonts w:ascii="Arial" w:cs="Arial" w:eastAsia="Arial" w:hAnsi="Arial"/>
          <w:sz w:val="16"/>
          <w:szCs w:val="16"/>
          <w:b w:val="1"/>
          <w:bCs w:val="1"/>
          <w:i w:val="1"/>
          <w:iCs w:val="1"/>
          <w:color w:val="auto"/>
        </w:rPr>
        <w:t>Requesting Holder</w:t>
      </w:r>
      <w:r>
        <w:rPr>
          <w:rFonts w:ascii="Arial" w:cs="Arial" w:eastAsia="Arial" w:hAnsi="Arial"/>
          <w:sz w:val="16"/>
          <w:szCs w:val="16"/>
          <w:color w:val="auto"/>
        </w:rPr>
        <w:t xml:space="preserve">” shall so notify the Company, in writing, within five (5) days after the receipt by the Holder of the notice from the Company. Upon receipt by the Company of any such written notification from a Requesting Holder(s) to the Company, such Requesting Holder(s) shall be entitled to have their Registrable Securities included in a Registration pursuant to a Demand Registration and the Company shall effect, as soon thereafter as practicable, but not more than forty five (45) days immediately after the Company’s receipt of the Demand Registration, the Registration of all Registrable Securities requested by the Demanding Holders and Requesting Holders pursuant to such Demand Registration. Under no circumstances shall the Company be obligated to effect more than an aggregate of three (3) Registrations pursuant to a Demand Registration under this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with respect to any or all Registrable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Registration shall not be counted for such purposes unless a Form S-1 or any similar long-form registration statement that may be available at such time (“</w:t>
      </w:r>
      <w:r>
        <w:rPr>
          <w:rFonts w:ascii="Arial" w:cs="Arial" w:eastAsia="Arial" w:hAnsi="Arial"/>
          <w:sz w:val="16"/>
          <w:szCs w:val="16"/>
          <w:b w:val="1"/>
          <w:bCs w:val="1"/>
          <w:i w:val="1"/>
          <w:iCs w:val="1"/>
          <w:color w:val="auto"/>
        </w:rPr>
        <w:t>Form S-1</w:t>
      </w:r>
      <w:r>
        <w:rPr>
          <w:rFonts w:ascii="Arial" w:cs="Arial" w:eastAsia="Arial" w:hAnsi="Arial"/>
          <w:sz w:val="16"/>
          <w:szCs w:val="16"/>
          <w:color w:val="auto"/>
        </w:rPr>
        <w:t xml:space="preserve">”) has become effective and all of the Registrable Securities requested by the Requesting Holders to be registered on behalf of the Requesting Holders in such Form S-1 Registration have been sold, in accordance with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of this Agreement.</w:t>
      </w:r>
    </w:p>
    <w:p>
      <w:pPr>
        <w:spacing w:after="0" w:line="174"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2.1.2 </w:t>
      </w:r>
      <w:r>
        <w:rPr>
          <w:rFonts w:ascii="Arial" w:cs="Arial" w:eastAsia="Arial" w:hAnsi="Arial"/>
          <w:sz w:val="17"/>
          <w:szCs w:val="17"/>
          <w:u w:val="single" w:color="auto"/>
          <w:color w:val="auto"/>
        </w:rPr>
        <w:t>Effective Registration</w:t>
      </w:r>
      <w:r>
        <w:rPr>
          <w:rFonts w:ascii="Arial" w:cs="Arial" w:eastAsia="Arial" w:hAnsi="Arial"/>
          <w:sz w:val="17"/>
          <w:szCs w:val="17"/>
          <w:color w:val="auto"/>
        </w:rPr>
        <w:t xml:space="preserve">. Notwithstanding the provisions of </w:t>
      </w:r>
      <w:r>
        <w:rPr>
          <w:rFonts w:ascii="Arial" w:cs="Arial" w:eastAsia="Arial" w:hAnsi="Arial"/>
          <w:sz w:val="17"/>
          <w:szCs w:val="17"/>
          <w:u w:val="single" w:color="auto"/>
          <w:color w:val="auto"/>
        </w:rPr>
        <w:t>subsection 2.1.1</w:t>
      </w:r>
      <w:r>
        <w:rPr>
          <w:rFonts w:ascii="Arial" w:cs="Arial" w:eastAsia="Arial" w:hAnsi="Arial"/>
          <w:sz w:val="17"/>
          <w:szCs w:val="17"/>
          <w:color w:val="auto"/>
        </w:rPr>
        <w:t xml:space="preserve"> above or any other part of this Agreement, a Registration pursuant to a Demand Registration shall not count as a Registration unless and until (i) the Registration Statement filed with the Commission with respect to a Registration pursuant to a Demand Registration has been declared effective by the Commission and (ii) the Company has complied with all of its obligations under this Agreement with respect thereto;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if, after such Registration Statement has been declared effective, an offering of Registrable Securities in a Registration pursuant to a Demand Registration is subsequently interfered with by any stop order or injunction of the Commission, federal or state court or any other governmental agency the Registration Statement with respect to such Registration shall be deemed not to have been declared effective, unless and until, (i) such stop order or injunction is removed, rescinded or otherwise terminated, and (ii) a majority-in-interest of the Demanding Holders initiating such Demand Registration thereafter affirmatively elect to continue with such Registration and accordingly notify the Company in writing, but in no event later than five (5) days, of such election;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Company shall not be obligated or required to file another Registration Statement until the Registration Statement that has been previously filed with respect to a Registration pursuant to a Demand Registration becomes effective or is subsequently terminated.</w:t>
      </w:r>
    </w:p>
    <w:p>
      <w:pPr>
        <w:spacing w:after="0" w:line="182"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 xml:space="preserve">2.1.3 </w:t>
      </w:r>
      <w:r>
        <w:rPr>
          <w:rFonts w:ascii="Arial" w:cs="Arial" w:eastAsia="Arial" w:hAnsi="Arial"/>
          <w:sz w:val="16"/>
          <w:szCs w:val="16"/>
          <w:u w:val="single" w:color="auto"/>
          <w:color w:val="auto"/>
        </w:rPr>
        <w:t>Underwritten Offering</w:t>
      </w:r>
      <w:r>
        <w:rPr>
          <w:rFonts w:ascii="Arial" w:cs="Arial" w:eastAsia="Arial" w:hAnsi="Arial"/>
          <w:sz w:val="16"/>
          <w:szCs w:val="16"/>
          <w:color w:val="auto"/>
        </w:rPr>
        <w:t xml:space="preserve">. Subject to the provisions of </w:t>
      </w:r>
      <w:r>
        <w:rPr>
          <w:rFonts w:ascii="Arial" w:cs="Arial" w:eastAsia="Arial" w:hAnsi="Arial"/>
          <w:sz w:val="16"/>
          <w:szCs w:val="16"/>
          <w:u w:val="single" w:color="auto"/>
          <w:color w:val="auto"/>
        </w:rPr>
        <w:t>subsection 2.1.4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hereof, if a majority-in-interest of the Demanding Holders so advise the Company as part of their Demand Registration that the offering of the Registrable Securities pursuant to such Demand Registration shall be in the form of an Underwritten Offering, then the right of such Demanding Holder or Requesting Holder (if any) to include its Registrable Securities in such Registration shall be conditioned upon such Holder’s participation in such Underwritten Offering and the inclusion of such Holder’s Registrable Securities in such Underwritten Offering to the extent provided herein. All such Holders proposing to distribute their Registrable Securities through an Underwritten Offering under this </w:t>
      </w:r>
      <w:r>
        <w:rPr>
          <w:rFonts w:ascii="Arial" w:cs="Arial" w:eastAsia="Arial" w:hAnsi="Arial"/>
          <w:sz w:val="16"/>
          <w:szCs w:val="16"/>
          <w:u w:val="single" w:color="auto"/>
          <w:color w:val="auto"/>
        </w:rPr>
        <w:t>subsection 2.1.3</w:t>
      </w:r>
      <w:r>
        <w:rPr>
          <w:rFonts w:ascii="Arial" w:cs="Arial" w:eastAsia="Arial" w:hAnsi="Arial"/>
          <w:sz w:val="16"/>
          <w:szCs w:val="16"/>
          <w:color w:val="auto"/>
        </w:rPr>
        <w:t xml:space="preserve"> shall enter into an underwriting agreement in customary form with the Underwriter(s) selected for such Underwritten Offering by the majority-in-interest of the Demanding Holders initiating the Demand Registration.</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0" w:name="page271"/>
    <w:bookmarkEnd w:id="270"/>
    <w:p>
      <w:pPr>
        <w:jc w:val="both"/>
        <w:ind w:firstLine="1296"/>
        <w:spacing w:after="0" w:line="267" w:lineRule="auto"/>
        <w:rPr>
          <w:sz w:val="20"/>
          <w:szCs w:val="20"/>
          <w:color w:val="auto"/>
        </w:rPr>
      </w:pPr>
      <w:r>
        <w:rPr>
          <w:rFonts w:ascii="Arial" w:cs="Arial" w:eastAsia="Arial" w:hAnsi="Arial"/>
          <w:sz w:val="17"/>
          <w:szCs w:val="17"/>
          <w:color w:val="auto"/>
        </w:rPr>
        <w:t xml:space="preserve">2.1.4 </w:t>
      </w:r>
      <w:r>
        <w:rPr>
          <w:rFonts w:ascii="Arial" w:cs="Arial" w:eastAsia="Arial" w:hAnsi="Arial"/>
          <w:sz w:val="17"/>
          <w:szCs w:val="17"/>
          <w:u w:val="single" w:color="auto"/>
          <w:color w:val="auto"/>
        </w:rPr>
        <w:t>Reduction of Underwritten Offering</w:t>
      </w:r>
      <w:r>
        <w:rPr>
          <w:rFonts w:ascii="Arial" w:cs="Arial" w:eastAsia="Arial" w:hAnsi="Arial"/>
          <w:sz w:val="17"/>
          <w:szCs w:val="17"/>
          <w:color w:val="auto"/>
        </w:rPr>
        <w:t>. If the managing Underwriter or Underwriters in an Underwritten Registration pursuant to a Demand Registration, in good faith, advises the Company, the Demanding Holders and the Requesting Holders (if any) in writing that the dollar amount or number of Registrable Securities that the Demanding Holders and the Requesting Holders (if any) desire to sell, taken together with all other shares of Common Stock or other equity securities that the Company desires to sell and the shares of Common Stock, if any, as to which a Registration has been requested pursuant to separate written contractual piggy-back registration rights held by any other stockholders who desire to sell, exceeds the maximum dollar amount or maximum number of equity securities that can be sold in the Underwritten Offering without adversely affecting the proposed offering price, the timing, the distribution method, or the probability of success of such offering (such maximum dollar amount or maximum number of such securities, as applicable, the “</w:t>
      </w:r>
      <w:r>
        <w:rPr>
          <w:rFonts w:ascii="Arial" w:cs="Arial" w:eastAsia="Arial" w:hAnsi="Arial"/>
          <w:sz w:val="17"/>
          <w:szCs w:val="17"/>
          <w:b w:val="1"/>
          <w:bCs w:val="1"/>
          <w:i w:val="1"/>
          <w:iCs w:val="1"/>
          <w:color w:val="auto"/>
        </w:rPr>
        <w:t>Maximum Number of Securities</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then the Company shall include in such Underwritten Offering, as follows: (i) first, the Registrable Securities of the Demanding Holders and the Requesting Holders (if any) (pro rata based on the respective number of Registrable Securities that each Demanding Holder and Requesting Holder (if any) has requested be included in such Underwritten Registration and the aggregate number of Registrable Securities that the Demanding Holders and Requesting Holders have requested be included in such Underwritten Registration (such proportion is referred to herein as “</w:t>
      </w:r>
      <w:r>
        <w:rPr>
          <w:rFonts w:ascii="Arial" w:cs="Arial" w:eastAsia="Arial" w:hAnsi="Arial"/>
          <w:sz w:val="17"/>
          <w:szCs w:val="17"/>
          <w:b w:val="1"/>
          <w:bCs w:val="1"/>
          <w:i w:val="1"/>
          <w:iCs w:val="1"/>
          <w:color w:val="auto"/>
        </w:rPr>
        <w:t>Pro Rata</w:t>
      </w:r>
      <w:r>
        <w:rPr>
          <w:rFonts w:ascii="Arial" w:cs="Arial" w:eastAsia="Arial" w:hAnsi="Arial"/>
          <w:sz w:val="17"/>
          <w:szCs w:val="17"/>
          <w:color w:val="auto"/>
        </w:rPr>
        <w:t xml:space="preserve">”)) that can be sold without exceeding the Maximum Number of Securities; (ii) second, to the extent that the Maximum Number of Securities has not been reached under the foregoing clause (i), the Registrable Securities of Holders (Pro Rata, based on the respective number of Registrable Securities that each Holder has so requested) exercising their rights to register their Registrable Securities pursuant to </w:t>
      </w:r>
      <w:r>
        <w:rPr>
          <w:rFonts w:ascii="Arial" w:cs="Arial" w:eastAsia="Arial" w:hAnsi="Arial"/>
          <w:sz w:val="17"/>
          <w:szCs w:val="17"/>
          <w:u w:val="single" w:color="auto"/>
          <w:color w:val="auto"/>
        </w:rPr>
        <w:t>subsection 2.2.1</w:t>
      </w:r>
      <w:r>
        <w:rPr>
          <w:rFonts w:ascii="Arial" w:cs="Arial" w:eastAsia="Arial" w:hAnsi="Arial"/>
          <w:sz w:val="17"/>
          <w:szCs w:val="17"/>
          <w:color w:val="auto"/>
        </w:rPr>
        <w:t xml:space="preserve"> hereof, without exceeding the Maximum Number of Securities; and (iii) third, to the extent that the Maximum Number of Securities has not been reached under the foregoing clauses (i) and (ii), the shares of Common Stock or other equity securities that the Company desires to sell, which can be sold without exceeding the Maximum Number of Securities; and (iv) fourth, to the extent that the Maximum Number of Securities has not been reached under the foregoing clauses (i), (ii) and (iii), the shares of Common Stock or other equity securities of other persons or entities that the Company is obligated to register in a Registration pursuant to separate written contractual arrangements with such persons and that can be sold without exceeding the Maximum Number of Securities.</w:t>
      </w:r>
    </w:p>
    <w:p>
      <w:pPr>
        <w:spacing w:after="0" w:line="187"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u w:val="single" w:color="auto"/>
          <w:color w:val="auto"/>
        </w:rPr>
        <w:t>Demand Registration Withdrawal</w:t>
      </w:r>
      <w:r>
        <w:rPr>
          <w:rFonts w:ascii="Arial" w:cs="Arial" w:eastAsia="Arial" w:hAnsi="Arial"/>
          <w:sz w:val="18"/>
          <w:szCs w:val="18"/>
          <w:color w:val="auto"/>
        </w:rPr>
        <w:t xml:space="preserve">. A majority-in-interest of the Demanding Holders initiating a Demand Registration or a majority-in- interest of the Requesting Holders (if any), pursuant to a Registration under </w:t>
      </w:r>
      <w:r>
        <w:rPr>
          <w:rFonts w:ascii="Arial" w:cs="Arial" w:eastAsia="Arial" w:hAnsi="Arial"/>
          <w:sz w:val="18"/>
          <w:szCs w:val="18"/>
          <w:u w:val="single" w:color="auto"/>
          <w:color w:val="auto"/>
        </w:rPr>
        <w:t>subsection 2.1.1</w:t>
      </w:r>
      <w:r>
        <w:rPr>
          <w:rFonts w:ascii="Arial" w:cs="Arial" w:eastAsia="Arial" w:hAnsi="Arial"/>
          <w:sz w:val="18"/>
          <w:szCs w:val="18"/>
          <w:color w:val="auto"/>
        </w:rPr>
        <w:t xml:space="preserve"> hereof shall have the right to withdraw from a Registration pursuant to such Demand Registration for any or no reason whatsoever upon written notification to the Company and the Underwriter or Underwriters (if any) of their intention to withdraw from such Registration prior to the effectiveness of the Registration Statement filed with the Commission with respect to the Registration of their Registrable Securities pursuant to such Demand Registration. Notwithstanding anything to the contrary in this Agreement, the Company shall be responsible for the Registration Expenses incurred in connection with a Registration pursuant to a Demand Registration prior to its withdrawal under this </w:t>
      </w:r>
      <w:r>
        <w:rPr>
          <w:rFonts w:ascii="Arial" w:cs="Arial" w:eastAsia="Arial" w:hAnsi="Arial"/>
          <w:sz w:val="18"/>
          <w:szCs w:val="18"/>
          <w:u w:val="single" w:color="auto"/>
          <w:color w:val="auto"/>
        </w:rPr>
        <w:t>subsection 2.1.5</w:t>
      </w:r>
      <w:r>
        <w:rPr>
          <w:rFonts w:ascii="Arial" w:cs="Arial" w:eastAsia="Arial" w:hAnsi="Arial"/>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1" w:name="page272"/>
    <w:bookmarkEnd w:id="271"/>
    <w:p>
      <w:pPr>
        <w:ind w:left="660"/>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Piggyback Registration.</w:t>
      </w:r>
    </w:p>
    <w:p>
      <w:pPr>
        <w:spacing w:after="0" w:line="225"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6"/>
          <w:szCs w:val="16"/>
          <w:color w:val="auto"/>
        </w:rPr>
        <w:t xml:space="preserve">2.2.1 </w:t>
      </w:r>
      <w:r>
        <w:rPr>
          <w:rFonts w:ascii="Arial" w:cs="Arial" w:eastAsia="Arial" w:hAnsi="Arial"/>
          <w:sz w:val="16"/>
          <w:szCs w:val="16"/>
          <w:u w:val="single" w:color="auto"/>
          <w:color w:val="auto"/>
        </w:rPr>
        <w:t>Piggyback Rights</w:t>
      </w:r>
      <w:r>
        <w:rPr>
          <w:rFonts w:ascii="Arial" w:cs="Arial" w:eastAsia="Arial" w:hAnsi="Arial"/>
          <w:sz w:val="16"/>
          <w:szCs w:val="16"/>
          <w:color w:val="auto"/>
        </w:rPr>
        <w:t xml:space="preserve">. If, at any time on or after the date the Company consummates a Business Combination, the Company proposes to file a Registration Statement under the Securities Act with respect to an offering of equity securities, or securities or other obligations exercisable or exchangeable for, or convertible into equity securities, for its own account or for the account of stockholders of the Company (or by the Company and by the stockholders of the Company including, without limitation,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hereof), other than a Registration Statement (i) filed in connection with any employee stock option or other benefit plan, (ii) for an exchange offer or offering of securities solely to the Company’s existing stockholders, (iii) for an offering of debt that is convertible into equity securities of the Company or (iv) for a dividend reinvestment plan, then the Company shall give written notice of such proposed filing to all of the Holders of Registrable Securities as soon as practicable but not less than ten (10) days before the anticipated filing date of such Registration Statement, which notice shall (A) describe the amount and type of securities to be included in such offering, the intended method(s) of distribution, and the name of the proposed managing Underwriter or Underwriters, if any, in such offering, and (B) offer to all of the Holders of Registrable Securities the opportunity to register the sale of such number of Registrable Securities as such Holders may request in writing within five (5) days after receipt of such written notice (such Registration a “</w:t>
      </w:r>
      <w:r>
        <w:rPr>
          <w:rFonts w:ascii="Arial" w:cs="Arial" w:eastAsia="Arial" w:hAnsi="Arial"/>
          <w:sz w:val="16"/>
          <w:szCs w:val="16"/>
          <w:b w:val="1"/>
          <w:bCs w:val="1"/>
          <w:i w:val="1"/>
          <w:iCs w:val="1"/>
          <w:color w:val="auto"/>
        </w:rPr>
        <w:t>Piggyback Registration</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The Company shall, in good faith, cause such Registrable Securities to be included in such Piggyback Registration and shall use its best efforts to cause the managing Underwriter or Underwriters of a proposed Underwritten Offering to permit the Registrable Securities requested by the Holders pursuant to this </w:t>
      </w:r>
      <w:r>
        <w:rPr>
          <w:rFonts w:ascii="Arial" w:cs="Arial" w:eastAsia="Arial" w:hAnsi="Arial"/>
          <w:sz w:val="16"/>
          <w:szCs w:val="16"/>
          <w:u w:val="single" w:color="auto"/>
          <w:color w:val="auto"/>
        </w:rPr>
        <w:t>subsection 2.2.1</w:t>
      </w:r>
      <w:r>
        <w:rPr>
          <w:rFonts w:ascii="Arial" w:cs="Arial" w:eastAsia="Arial" w:hAnsi="Arial"/>
          <w:sz w:val="16"/>
          <w:szCs w:val="16"/>
          <w:color w:val="auto"/>
        </w:rPr>
        <w:t xml:space="preserve"> to be included in a Piggyback Registration on the same terms and conditions as any similar securities of the Company included in such Registration and to permit the sale or other disposition of such Registrable Securities in accordance with the intended method(s) of distribution thereof. All such Holders proposing to distribute their Registrable Securities through an Underwritten Offering under this </w:t>
      </w:r>
      <w:r>
        <w:rPr>
          <w:rFonts w:ascii="Arial" w:cs="Arial" w:eastAsia="Arial" w:hAnsi="Arial"/>
          <w:sz w:val="16"/>
          <w:szCs w:val="16"/>
          <w:u w:val="single" w:color="auto"/>
          <w:color w:val="auto"/>
        </w:rPr>
        <w:t>subsection 2.2.1</w:t>
      </w:r>
      <w:r>
        <w:rPr>
          <w:rFonts w:ascii="Arial" w:cs="Arial" w:eastAsia="Arial" w:hAnsi="Arial"/>
          <w:sz w:val="16"/>
          <w:szCs w:val="16"/>
          <w:color w:val="auto"/>
        </w:rPr>
        <w:t xml:space="preserve"> shall enter into an underwriting agreement in customary form with the Underwriter(s) selected for such Underwritten Offering by the Company.</w:t>
      </w:r>
    </w:p>
    <w:p>
      <w:pPr>
        <w:spacing w:after="0" w:line="174"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 xml:space="preserve">2.2.2 </w:t>
      </w:r>
      <w:r>
        <w:rPr>
          <w:rFonts w:ascii="Arial" w:cs="Arial" w:eastAsia="Arial" w:hAnsi="Arial"/>
          <w:sz w:val="17"/>
          <w:szCs w:val="17"/>
          <w:u w:val="single" w:color="auto"/>
          <w:color w:val="auto"/>
        </w:rPr>
        <w:t>Reduction of Piggyback Registration</w:t>
      </w:r>
      <w:r>
        <w:rPr>
          <w:rFonts w:ascii="Arial" w:cs="Arial" w:eastAsia="Arial" w:hAnsi="Arial"/>
          <w:sz w:val="17"/>
          <w:szCs w:val="17"/>
          <w:color w:val="auto"/>
        </w:rPr>
        <w:t xml:space="preserve">. If the managing Underwriter or Underwriters in an Underwritten Registration that is to be a Piggyback Registration, in good faith, advises the Company and the Holders of Registrable Securities participating in the Piggyback Registration in writing that the dollar amount or number of the shares of Common Stock that the Company desires to sell, taken together with (i) the shares of Common Stock, if any, as to which Registration has been demanded pursuant to separate written contractual arrangements with persons or entities other than the Holders of Registrable Securities hereunder (ii) the Registrable Securities as to which registration has been requested pursuant to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hereof, and (iii) the shares of Common Stock, if any, as to which Registration has been requested pursuant to separate written contractual piggy-back registration rights of other stockholders of the Company, exceeds the Maximum Number of Securities, then:</w:t>
      </w:r>
    </w:p>
    <w:p>
      <w:pPr>
        <w:spacing w:after="0" w:line="177" w:lineRule="exact"/>
        <w:rPr>
          <w:sz w:val="20"/>
          <w:szCs w:val="20"/>
          <w:color w:val="auto"/>
        </w:rPr>
      </w:pPr>
    </w:p>
    <w:p>
      <w:pPr>
        <w:jc w:val="both"/>
        <w:ind w:left="660" w:firstLine="1292"/>
        <w:spacing w:after="0" w:line="290" w:lineRule="auto"/>
        <w:tabs>
          <w:tab w:leader="none" w:pos="2214" w:val="left"/>
        </w:tabs>
        <w:numPr>
          <w:ilvl w:val="0"/>
          <w:numId w:val="209"/>
        </w:numPr>
        <w:rPr>
          <w:rFonts w:ascii="Arial" w:cs="Arial" w:eastAsia="Arial" w:hAnsi="Arial"/>
          <w:sz w:val="16"/>
          <w:szCs w:val="16"/>
          <w:color w:val="auto"/>
        </w:rPr>
      </w:pPr>
      <w:r>
        <w:rPr>
          <w:rFonts w:ascii="Arial" w:cs="Arial" w:eastAsia="Arial" w:hAnsi="Arial"/>
          <w:sz w:val="16"/>
          <w:szCs w:val="16"/>
          <w:color w:val="auto"/>
        </w:rPr>
        <w:t xml:space="preserve">If the Registration is undertaken for the Company’s account, the Company shall include in any such Registration (A) first, the Common Stock or other equity securities that the Company desires to sell, which can be sold without exceeding the Maximum Number of Securities; (B) second, to the extent that the Maximum Number of Securities has not been reached under the foregoing clause (A), the Registrable Securities of Holders exercising their rights to register their Registrable Securities pursuant to </w:t>
      </w:r>
      <w:r>
        <w:rPr>
          <w:rFonts w:ascii="Arial" w:cs="Arial" w:eastAsia="Arial" w:hAnsi="Arial"/>
          <w:sz w:val="16"/>
          <w:szCs w:val="16"/>
          <w:u w:val="single" w:color="auto"/>
          <w:color w:val="auto"/>
        </w:rPr>
        <w:t>subsection 2.2.1</w:t>
      </w:r>
      <w:r>
        <w:rPr>
          <w:rFonts w:ascii="Arial" w:cs="Arial" w:eastAsia="Arial" w:hAnsi="Arial"/>
          <w:sz w:val="16"/>
          <w:szCs w:val="16"/>
          <w:color w:val="auto"/>
        </w:rPr>
        <w:t xml:space="preserve"> hereof (pro rata based on the respective number of Registrable Securities that such Holder has requested be included in such Registration), which can be sold without exceeding the Maximum Number of Securities; and (C) third, to the extent that the Maximum Number of Securities has not been reached under the foregoing clauses (A) and (B), the shares of Common Stock, if any, as to which Registration has been requested pursuant to written contractual piggy-back registration rights of other stockholders of the Company, which can be sold without exceeding the Maximum Number of Securities;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2" w:name="page273"/>
    <w:bookmarkEnd w:id="272"/>
    <w:p>
      <w:pPr>
        <w:jc w:val="both"/>
        <w:ind w:left="660" w:firstLine="1292"/>
        <w:spacing w:after="0" w:line="287" w:lineRule="auto"/>
        <w:tabs>
          <w:tab w:leader="none" w:pos="2226" w:val="left"/>
        </w:tabs>
        <w:numPr>
          <w:ilvl w:val="0"/>
          <w:numId w:val="210"/>
        </w:numPr>
        <w:rPr>
          <w:rFonts w:ascii="Arial" w:cs="Arial" w:eastAsia="Arial" w:hAnsi="Arial"/>
          <w:sz w:val="16"/>
          <w:szCs w:val="16"/>
          <w:color w:val="auto"/>
        </w:rPr>
      </w:pPr>
      <w:r>
        <w:rPr>
          <w:rFonts w:ascii="Arial" w:cs="Arial" w:eastAsia="Arial" w:hAnsi="Arial"/>
          <w:sz w:val="16"/>
          <w:szCs w:val="16"/>
          <w:color w:val="auto"/>
        </w:rPr>
        <w:t xml:space="preserve">If the Registration is pursuant to a request by persons or entities other than the Holders of Registrable Securities, then the Company shall include in any such Registration (A) first, the shares of Common Stock or other equity securities, if any, of such requesting persons or entities, other than the Holders of Registrable Securities, which can be sold without exceeding the Maximum Number of Securities; (B) second, to the extent that the Maximum Number of Securities has not been reached under the foregoing clause (A), the Registrable Securities of Holders exercising their rights to register their Registrable Securities pursuant to </w:t>
      </w:r>
      <w:r>
        <w:rPr>
          <w:rFonts w:ascii="Arial" w:cs="Arial" w:eastAsia="Arial" w:hAnsi="Arial"/>
          <w:sz w:val="16"/>
          <w:szCs w:val="16"/>
          <w:u w:val="single" w:color="auto"/>
          <w:color w:val="auto"/>
        </w:rPr>
        <w:t>subsection 2.2.1</w:t>
      </w:r>
      <w:r>
        <w:rPr>
          <w:rFonts w:ascii="Arial" w:cs="Arial" w:eastAsia="Arial" w:hAnsi="Arial"/>
          <w:sz w:val="16"/>
          <w:szCs w:val="16"/>
          <w:color w:val="auto"/>
        </w:rPr>
        <w:t xml:space="preserve"> hereof, pro rata based on the respective number of Registrable Securities that each Holder has requested be included in such Registration and the aggregate number of Registrable Securities that the Holders have requested to be included in such Registration, which can be sold without exceeding the Maximum Number of Securities; (C) third, to the extent that the Maximum Number of Securities has not been reached under the foregoing clauses (A) and (B), the shares of Common Stock or other equity securities that the Company desires to sell, which can be sold without exceeding the Maximum Number of Securities; and (D) fourth, to the extent that the Maximum Number of Securities has not been reached under the foregoing clauses (A), (B) and (C), the shares of Common Stock or other equity securities for the account of other persons or entities that the Company is obligated to register pursuant to separate written contractual arrangements with such persons or entities, which can be sold without exceeding the Maximum Number of Securities.</w:t>
      </w:r>
    </w:p>
    <w:p>
      <w:pPr>
        <w:spacing w:after="0" w:line="168"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 xml:space="preserve">2.2.3 </w:t>
      </w:r>
      <w:r>
        <w:rPr>
          <w:rFonts w:ascii="Arial" w:cs="Arial" w:eastAsia="Arial" w:hAnsi="Arial"/>
          <w:sz w:val="16"/>
          <w:szCs w:val="16"/>
          <w:u w:val="single" w:color="auto"/>
          <w:color w:val="auto"/>
        </w:rPr>
        <w:t>Piggyback Registration Withdrawal</w:t>
      </w:r>
      <w:r>
        <w:rPr>
          <w:rFonts w:ascii="Arial" w:cs="Arial" w:eastAsia="Arial" w:hAnsi="Arial"/>
          <w:sz w:val="16"/>
          <w:szCs w:val="16"/>
          <w:color w:val="auto"/>
        </w:rPr>
        <w:t xml:space="preserve">. Any Holder of Registrable Securities shall have the right to withdraw from a Piggyback Registration for any or no reason whatsoever upon written notification to the Company and the Underwriter or Underwriters (if any) of his, her or its intention to withdraw from such Piggyback Registration prior to the effectiveness of the Registration Statement filed with the Commission with respect to such Piggyback Registration. The Company (whether on its own good faith determination or as the result of a request for withdrawal by persons pursuant to separate written contractual obligations) may withdraw a Registration Statement filed with the Commission in connection with a Piggyback Registration at any time prior to the effectiveness of such Registration Statement. Notwithstanding anything to the contrary in this Agreement, the Company shall be responsible for the Registration Expenses incurred in connection with the Piggyback Registration prior to its withdrawal under this </w:t>
      </w:r>
      <w:r>
        <w:rPr>
          <w:rFonts w:ascii="Arial" w:cs="Arial" w:eastAsia="Arial" w:hAnsi="Arial"/>
          <w:sz w:val="16"/>
          <w:szCs w:val="16"/>
          <w:u w:val="single" w:color="auto"/>
          <w:color w:val="auto"/>
        </w:rPr>
        <w:t>subsection 2.2.3</w:t>
      </w:r>
      <w:r>
        <w:rPr>
          <w:rFonts w:ascii="Arial" w:cs="Arial" w:eastAsia="Arial" w:hAnsi="Arial"/>
          <w:sz w:val="16"/>
          <w:szCs w:val="16"/>
          <w:color w:val="auto"/>
        </w:rPr>
        <w:t>.</w:t>
      </w:r>
    </w:p>
    <w:p>
      <w:pPr>
        <w:spacing w:after="0" w:line="166"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2.2.4 </w:t>
      </w:r>
      <w:r>
        <w:rPr>
          <w:rFonts w:ascii="Arial" w:cs="Arial" w:eastAsia="Arial" w:hAnsi="Arial"/>
          <w:sz w:val="18"/>
          <w:szCs w:val="18"/>
          <w:u w:val="single" w:color="auto"/>
          <w:color w:val="auto"/>
        </w:rPr>
        <w:t>Unlimited Piggyback Registration Rights</w:t>
      </w:r>
      <w:r>
        <w:rPr>
          <w:rFonts w:ascii="Arial" w:cs="Arial" w:eastAsia="Arial" w:hAnsi="Arial"/>
          <w:sz w:val="18"/>
          <w:szCs w:val="18"/>
          <w:color w:val="auto"/>
        </w:rPr>
        <w:t xml:space="preserve">. For purposes of clarity, any Registration effected pursuant to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hereof shall not be counted as a Registration pursuant to a Demand Registration effected under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hereof.</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Section 2.3 </w:t>
      </w:r>
      <w:r>
        <w:rPr>
          <w:rFonts w:ascii="Arial" w:cs="Arial" w:eastAsia="Arial" w:hAnsi="Arial"/>
          <w:sz w:val="16"/>
          <w:szCs w:val="16"/>
          <w:u w:val="single" w:color="auto"/>
          <w:color w:val="auto"/>
        </w:rPr>
        <w:t>Registrations on Form S-3</w:t>
      </w:r>
      <w:r>
        <w:rPr>
          <w:rFonts w:ascii="Arial" w:cs="Arial" w:eastAsia="Arial" w:hAnsi="Arial"/>
          <w:sz w:val="16"/>
          <w:szCs w:val="16"/>
          <w:color w:val="auto"/>
        </w:rPr>
        <w:t>. The Holders of Registrable Securities may at any time, and from time to time, request in writing that the Company, pursuant to Rule 415 under the Securities Act (or any successor rule promulgated thereafter by the Commission), register the resale of any or all of their Registrable Securities on Form S-3 or any similar short form registration statement that may be available at such time (“</w:t>
      </w:r>
      <w:r>
        <w:rPr>
          <w:rFonts w:ascii="Arial" w:cs="Arial" w:eastAsia="Arial" w:hAnsi="Arial"/>
          <w:sz w:val="16"/>
          <w:szCs w:val="16"/>
          <w:b w:val="1"/>
          <w:bCs w:val="1"/>
          <w:i w:val="1"/>
          <w:iCs w:val="1"/>
          <w:color w:val="auto"/>
        </w:rPr>
        <w:t>Form S-3</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Company shall not be obligated to effect such request through an Underwritten Offering. Within five (5) days of the Company’s receipt of a written request from a Holder or Holders of Registrable Securities for a Registration on Form S-3, the Company shall promptly give written notice of the proposed Registration on Form S-3 to all other Holders of Registrable Securities, and each Holder of Registrable Securities who thereafter wishes to include all or a portion of such Holder’s Registrable Securities in such Registration on Form S-3 shall so notify the Company, in writing, within ten (10) days after the receipt by the Holder of the notice from the Company. As soon as practicable thereafter, but not more than twelve (12) days after the Company’s initial receipt of such written request for a Registration on Form S-3, the Company shall register all or such portion of such Holder’s Registrable Securities as are specified in such written request, together with all or such portion of Registrable Securities of any other Holder or Holders joining in such request as are specified in the written notification given by such Holder or 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Company shall not be obligated to effect any such Registration pursuant to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hereof if (i) a Form S-3 is not available for such offering; or (ii) the Holders of Registrable Securities, together with the Holders of any other equity securities of the Company entitled to inclusion in such Registration, propose to sell the Registrable Securities and such other equity securities (if any) at any aggregate price to the public of less than $10,000,000.</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3" w:name="page274"/>
    <w:bookmarkEnd w:id="273"/>
    <w:p>
      <w:pPr>
        <w:jc w:val="both"/>
        <w:ind w:firstLine="648"/>
        <w:spacing w:after="0" w:line="286" w:lineRule="auto"/>
        <w:rPr>
          <w:sz w:val="20"/>
          <w:szCs w:val="20"/>
          <w:color w:val="auto"/>
        </w:rPr>
      </w:pPr>
      <w:r>
        <w:rPr>
          <w:rFonts w:ascii="Arial" w:cs="Arial" w:eastAsia="Arial" w:hAnsi="Arial"/>
          <w:sz w:val="16"/>
          <w:szCs w:val="16"/>
          <w:color w:val="auto"/>
        </w:rPr>
        <w:t xml:space="preserve">Section 2.4 </w:t>
      </w:r>
      <w:r>
        <w:rPr>
          <w:rFonts w:ascii="Arial" w:cs="Arial" w:eastAsia="Arial" w:hAnsi="Arial"/>
          <w:sz w:val="16"/>
          <w:szCs w:val="16"/>
          <w:u w:val="single" w:color="auto"/>
          <w:color w:val="auto"/>
        </w:rPr>
        <w:t>Restrictions on Registration Rights</w:t>
      </w:r>
      <w:r>
        <w:rPr>
          <w:rFonts w:ascii="Arial" w:cs="Arial" w:eastAsia="Arial" w:hAnsi="Arial"/>
          <w:sz w:val="16"/>
          <w:szCs w:val="16"/>
          <w:color w:val="auto"/>
        </w:rPr>
        <w:t xml:space="preserve">. If (A) during the period starting with the date sixty (60) days prior to the Company’s good faith estimate of the date of the filing of, and ending on a date one hundred and twenty (120) days after the effective date of, a Company initiated Registration and provided that the Company has delivered written notice to the Holders prior to receipt of a Demand Registration pursuant to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hereof and it continues to actively employ, in good faith, all reasonable efforts to cause the applicable Registration Statement to become effective; (B) the Holders have requested an Underwritten Registration and the Company and the Holders are unable to obtain the commitment of underwriters to firmly underwrite the offer; or (C) in the good faith judgment of the Board such Registration would be seriously detrimental to the Company and the Board concludes as a result that it is essential to defer the filing of such Registration Statement at such time, then in each case the Company shall furnish to such Holders a certificate signed by the Chairman of the Board stating that in the good faith judgment of the Board it would be seriously detrimental to the Company for such Registration Statement to be filed in the near future and that it is therefore essential to defer the filing of such Registration Statement. In such event, the Company shall have the right to defer such filing for a period of not more than thirty (30) days;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shall not defer its obligation in this manner more than once in any 12-month period. Notwithstanding anything to the contrary contained in this Agreement, the Company shall not be required to effect or permit any Registration or cause any Registration Statement to become effective, with respect to any Registrable Securities held by any Holder, until after the expiration of the Founder Shares Lock-Up Period or the Private Placement Lock-Up Period, as the case may be.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COMPANY PROCEDURES</w:t>
      </w:r>
    </w:p>
    <w:p>
      <w:pPr>
        <w:spacing w:after="0" w:line="21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Section 3.1 </w:t>
      </w:r>
      <w:r>
        <w:rPr>
          <w:rFonts w:ascii="Arial" w:cs="Arial" w:eastAsia="Arial" w:hAnsi="Arial"/>
          <w:sz w:val="16"/>
          <w:szCs w:val="16"/>
          <w:u w:val="single" w:color="auto"/>
          <w:color w:val="auto"/>
        </w:rPr>
        <w:t>General Procedures</w:t>
      </w:r>
      <w:r>
        <w:rPr>
          <w:rFonts w:ascii="Arial" w:cs="Arial" w:eastAsia="Arial" w:hAnsi="Arial"/>
          <w:sz w:val="16"/>
          <w:szCs w:val="16"/>
          <w:color w:val="auto"/>
        </w:rPr>
        <w:t>. If at any time on or after the date the Company consummates a Business Combination the Company is required to effect the Registration of Registrable Securities, the Company shall use its best efforts to effect such Registration to permit the sale of such Registrable Securities in accordance with the intended plan of distribution thereof, and pursuant thereto the Company shall, as expeditiously as possible:</w:t>
      </w:r>
    </w:p>
    <w:p>
      <w:pPr>
        <w:spacing w:after="0" w:line="149"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3.1.1 prepare and file with the Commission as soon as practicable a Registration Statement with respect to such Registrable Securities and use its reasonable best efforts to cause such Registration Statement to become effective and remain effective until all Registrable Securities covered by such Registration Statement have been sold;</w:t>
      </w:r>
    </w:p>
    <w:p>
      <w:pPr>
        <w:spacing w:after="0" w:line="184"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3.1.2 prepare and file with the Commission such amendments and post-effective amendments to the Registration Statement, and such supplements to the Prospectus, as may be requested by the Holders or any Underwriter of Registrable Securities or as may be required by the rules, regulations or instructions applicable to the registration form used by the Company or by the Securities Act or rules and regulations thereunder to keep the Registration Statement effective until all Registrable Securities covered by such Registration Statement are sold in accordance with the intended plan of distribution set forth in such Registration Statement or supplement to the Prospectus;</w:t>
      </w:r>
    </w:p>
    <w:p>
      <w:pPr>
        <w:spacing w:after="0" w:line="188"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3.1.3 prior to filing a Registration Statement or Prospectus, or any amendment or supplement thereto, furnish without charge to the Underwriters, if any, and the Holders of Registrable Securities included in such Registration, and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Underwriters and the Holders of Registrable Securities included in such Registration or the legal counsel for any such Holders may request in order to facilitate the disposition of the Registrable Securities owned by such Holders;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4" w:name="page275"/>
    <w:bookmarkEnd w:id="274"/>
    <w:p>
      <w:pPr>
        <w:jc w:val="both"/>
        <w:ind w:firstLine="1296"/>
        <w:spacing w:after="0" w:line="253" w:lineRule="auto"/>
        <w:rPr>
          <w:sz w:val="20"/>
          <w:szCs w:val="20"/>
          <w:color w:val="auto"/>
        </w:rPr>
      </w:pPr>
      <w:r>
        <w:rPr>
          <w:rFonts w:ascii="Arial" w:cs="Arial" w:eastAsia="Arial" w:hAnsi="Arial"/>
          <w:sz w:val="18"/>
          <w:szCs w:val="18"/>
          <w:color w:val="auto"/>
        </w:rPr>
        <w:t xml:space="preserve">3.1.4 prior to any public offering of Registrable Securities, use its best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request and (ii) take such action necessary to cause such Registrable Securities covered by the Registration Statement to be registered with or approved by such other governmental authorities as may be necessary by virtue of the business and operations of the Company and do any and all other acts and things that may be necessary or advisable to enable the Holders of Registrable Securities included in such Registration Statement to consummate the disposition of such Registrable Securities in such jurisdictions;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shall not be required to qualify generally to do business in any jurisdiction where it would not otherwise be required to qualify or take any action to which it would be subject to general service of process or taxation in any such jurisdiction where it is not then otherwise so subject;</w:t>
      </w:r>
    </w:p>
    <w:p>
      <w:pPr>
        <w:spacing w:after="0" w:line="196"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3.1.5 cause all such Registrable Securities to be listed on each securities exchange or automated quotation system on which similar securities issued by the Company are then listed;</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3.1.6 provide a transfer agent and registrar for all such Registrable Securities no later than the effective date of such Registration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Statement;</w:t>
      </w:r>
    </w:p>
    <w:p>
      <w:pPr>
        <w:spacing w:after="0" w:line="211" w:lineRule="exact"/>
        <w:rPr>
          <w:sz w:val="20"/>
          <w:szCs w:val="20"/>
          <w:color w:val="auto"/>
        </w:rPr>
      </w:pPr>
    </w:p>
    <w:p>
      <w:pPr>
        <w:jc w:val="both"/>
        <w:ind w:firstLine="1296"/>
        <w:spacing w:after="0" w:line="311" w:lineRule="auto"/>
        <w:rPr>
          <w:sz w:val="20"/>
          <w:szCs w:val="20"/>
          <w:color w:val="auto"/>
        </w:rPr>
      </w:pPr>
      <w:r>
        <w:rPr>
          <w:rFonts w:ascii="Arial" w:cs="Arial" w:eastAsia="Arial" w:hAnsi="Arial"/>
          <w:sz w:val="16"/>
          <w:szCs w:val="16"/>
          <w:color w:val="auto"/>
        </w:rPr>
        <w:t>3.1.7 advise each seller of such Registrable Securities, promptly after it shall receive notice or obtain knowledge thereof, of the issuance of any stop order by the Commission suspending the effectiveness of such Registration Statement or the initiation or threatening of any proceeding for such purpose and promptly use its reasonable best efforts to prevent the issuance of any stop order or to obtain its withdrawal if such stop order should be issued;</w:t>
      </w:r>
    </w:p>
    <w:p>
      <w:pPr>
        <w:spacing w:after="0" w:line="149"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3.1.8 at least five (5) days prior to the filing of any Registration Statement or Prospectus or any amendment or supplement to such Registration Statement or Prospectus furnish a copy thereof to each seller of such Registrable Securities and its counsel, including, without limitation, providing copies promptly upon receipt of any comment letters received with respect to any such Registration Statement or Prospectus;</w:t>
      </w:r>
    </w:p>
    <w:p>
      <w:pPr>
        <w:spacing w:after="0" w:line="16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3.1.9 notify the Holders at any time when a Prospectus relating to such Registration Statement is required to be delivered under the Securities Act, of the happening of any event as a result of which the Prospectus included in such Registration Statement, as then in effect, includes a Misstatement, and then to correct such Misstatement as set forth in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hereof;</w:t>
      </w:r>
    </w:p>
    <w:p>
      <w:pPr>
        <w:spacing w:after="0" w:line="184"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3.1.10 permit a representative of the Holders (such representative to be selected by a majority of the participating Holders), the Underwriters, if any, and any attorney or accountant retained by such Holders or Underwriter to participate, at each such person’s own expense, in the preparation of the Registration Statement, and cause the Company’s officers, directors and employees to supply all information reasonably requested by any such representative, Underwriter, attorney or accountant in connection with the Registration;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such representatives or Underwriters enter into a confidentiality agreement, in form and substance reasonably satisfactory to the Company, prior to the release or disclosure of any such information;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the Company may not include the name of any Holder or Underwriter or any information regarding any Holder or Underwriter in any Registration Statement or Prospectus, any amendment or supplement to such Registration Statement or Prospectus, any document that is to be incorporated by reference into such Registration Statement or Prospectus, or any response to any comment letter, without the prior written consent of such Holder or Underwriter and providing each such Holder or Underwriter a reasonable amount of time to review and comment on such applicable document, which comments the Company shall include unless contrary to applicable law;</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5" w:name="page276"/>
    <w:bookmarkEnd w:id="275"/>
    <w:p>
      <w:pPr>
        <w:jc w:val="both"/>
        <w:ind w:firstLine="1296"/>
        <w:spacing w:after="0" w:line="311" w:lineRule="auto"/>
        <w:rPr>
          <w:sz w:val="20"/>
          <w:szCs w:val="20"/>
          <w:color w:val="auto"/>
        </w:rPr>
      </w:pPr>
      <w:r>
        <w:rPr>
          <w:rFonts w:ascii="Arial" w:cs="Arial" w:eastAsia="Arial" w:hAnsi="Arial"/>
          <w:sz w:val="16"/>
          <w:szCs w:val="16"/>
          <w:color w:val="auto"/>
        </w:rPr>
        <w:t>3.1.11 obtain a “cold comfort” letter from the Company’s independent registered public accountants in the event of an Underwritten Registration which the participating Holders may rely on, in customary form and covering such matters of the type customarily covered by “cold comfort” letters as the managing Underwriter may reasonably request, and reasonably satisfactory to a majority-in-interest of the participating Holders;</w:t>
      </w:r>
    </w:p>
    <w:p>
      <w:pPr>
        <w:spacing w:after="0" w:line="149"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3.1.12 on the date the Registrable Securities are delivered for sale pursuant to such Registration, obtain an opinion, dated such date, of counsel representing the Company for the purposes of such Registration, addressed to the Holders, the placement agent or sales agent, if any, and the Underwriters, if any, covering such legal matters with respect to the Registration in respect of which such opinion is being given as the Holders, placement agent, sales agent, or Underwriter may reasonably request and as are customarily included in such opinions and negative assurance letters, and reasonably satisfactory to a majority in interest of the participating Holders;</w:t>
      </w:r>
    </w:p>
    <w:p>
      <w:pPr>
        <w:spacing w:after="0" w:line="188"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3.1.13 in the event of any Underwritten Offering, enter into and perform its obligations under an underwriting agreement, in usual and customary form, with the managing Underwriter of such offering;</w:t>
      </w:r>
    </w:p>
    <w:p>
      <w:pPr>
        <w:spacing w:after="0" w:line="170" w:lineRule="exact"/>
        <w:rPr>
          <w:sz w:val="20"/>
          <w:szCs w:val="20"/>
          <w:color w:val="auto"/>
        </w:rPr>
      </w:pPr>
    </w:p>
    <w:p>
      <w:pPr>
        <w:jc w:val="both"/>
        <w:ind w:firstLine="1296"/>
        <w:spacing w:after="0" w:line="311" w:lineRule="auto"/>
        <w:rPr>
          <w:sz w:val="20"/>
          <w:szCs w:val="20"/>
          <w:color w:val="auto"/>
        </w:rPr>
      </w:pPr>
      <w:r>
        <w:rPr>
          <w:rFonts w:ascii="Arial" w:cs="Arial" w:eastAsia="Arial" w:hAnsi="Arial"/>
          <w:sz w:val="16"/>
          <w:szCs w:val="16"/>
          <w:color w:val="auto"/>
        </w:rPr>
        <w:t>3.1.14 make available to its security holders, as soon as reasonably practicable, an earnings statement covering the period of at least twelve (12) months beginning with the first day of the Company’s first full calendar quarter after the effective date of the Registration Statement which satisfies the provisions of Section 11(a) of the Securities Act and Rule 158 thereunder (or any successor rule promulgated thereafter by the Commission);</w:t>
      </w:r>
    </w:p>
    <w:p>
      <w:pPr>
        <w:spacing w:after="0" w:line="149"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3.1.15 if the Registration involves the Registration of Registrable Securities involving gross proceeds in excess of $25,000,000, use its reasonable efforts to make available senior executives of the Company to participate in customary “road show” presentations that may be reasonably requested by the Underwriter in any Underwritten Offering; and</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3.1.16 otherwise, in good faith, cooperate reasonably with, and take such customary actions as may reasonably be requested by the Holders, in connection with such Registration.</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Registration Expenses</w:t>
      </w:r>
      <w:r>
        <w:rPr>
          <w:rFonts w:ascii="Arial" w:cs="Arial" w:eastAsia="Arial" w:hAnsi="Arial"/>
          <w:sz w:val="18"/>
          <w:szCs w:val="18"/>
          <w:color w:val="auto"/>
        </w:rPr>
        <w:t>. The Registration Expenses of all Registrations shall be borne by the Company. It is acknowledged by the Holders that the Holders shall bear all incremental selling expenses relating to the sale of Registrable Securities, such as Underwriters’ commissions and discounts, brokerage fees, Underwriter marketing costs and, other than as set forth in the definition of “Registration Expenses,” all reasonable fees and expenses of any legal counsel representing the Holders.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Requirements for Participation in Underwritten Offerings</w:t>
      </w:r>
      <w:r>
        <w:rPr>
          <w:rFonts w:ascii="Arial" w:cs="Arial" w:eastAsia="Arial" w:hAnsi="Arial"/>
          <w:sz w:val="18"/>
          <w:szCs w:val="18"/>
          <w:color w:val="auto"/>
        </w:rPr>
        <w:t>. No person may participate in any Underwritten Offering for equity securities of the Company pursuant to a Registration initiated by the Company hereunder unless such person (i) agrees to sell such person’s securities on the basis provided in any underwriting arrangements approved by the Company and (ii) completes and executes all customary questionnaires, powers of attorney, indemnities, lock-up agreements, underwriting agreements and other customary documents as may be reasonably required under the terms of such underwriting arrangements.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6" w:name="page277"/>
    <w:bookmarkEnd w:id="276"/>
    <w:p>
      <w:pPr>
        <w:jc w:val="both"/>
        <w:ind w:firstLine="648"/>
        <w:spacing w:after="0" w:line="269" w:lineRule="auto"/>
        <w:rPr>
          <w:sz w:val="20"/>
          <w:szCs w:val="20"/>
          <w:color w:val="auto"/>
        </w:rPr>
      </w:pPr>
      <w:r>
        <w:rPr>
          <w:rFonts w:ascii="Arial" w:cs="Arial" w:eastAsia="Arial" w:hAnsi="Arial"/>
          <w:sz w:val="17"/>
          <w:szCs w:val="17"/>
          <w:color w:val="auto"/>
        </w:rPr>
        <w:t xml:space="preserve">Section 3.4 </w:t>
      </w:r>
      <w:r>
        <w:rPr>
          <w:rFonts w:ascii="Arial" w:cs="Arial" w:eastAsia="Arial" w:hAnsi="Arial"/>
          <w:sz w:val="17"/>
          <w:szCs w:val="17"/>
          <w:u w:val="single" w:color="auto"/>
          <w:color w:val="auto"/>
        </w:rPr>
        <w:t>Suspension of Sales; Adverse Disclosure</w:t>
      </w:r>
      <w:r>
        <w:rPr>
          <w:rFonts w:ascii="Arial" w:cs="Arial" w:eastAsia="Arial" w:hAnsi="Arial"/>
          <w:sz w:val="17"/>
          <w:szCs w:val="17"/>
          <w:color w:val="auto"/>
        </w:rPr>
        <w:t xml:space="preserve">. Upon receipt of written notice from the Company that a Registration Statement or Prospectus contains a Misstatement, each of the Holders shall forthwith discontinue disposition of Registrable Securities until he, she or it has received copies of a supplemented or amended Prospectus correcting the Misstatement (it being understood that the Company hereby covenants to prepare and file such supplement or amendment as soon as practicable after the time of such notice), or until he, she or it is advised in writing by the Company that the use of the Prospectus may be resumed. If the filing, initial effectiveness or continued use of a Registration Statement in respect of any Registration at any time would require the Company to make an Adverse Disclosure or would require the inclusion in such Registration Statement of financial statements that are unavailable to the Company for reasons beyond the Company’s control, the Company may, upon giving prompt written notice of such action to the Holders, delay the filing or initial effectiveness of, or suspend use of, such Registration Statement for the shortest period of time, but in no event more than thirty (30) days, determined in good faith by the Company to be necessary for such purpose. In the event the Company exercises its rights under the preceding sentence, the Holders agree to suspend, immediately upon their receipt of the notice referred to above, their use of the Prospectus relating to any Registration in connection with any sale or offer to sell Registrable Securities. The Company shall immediately notify the Holders of the expiration of any period during which it exercised its rights under this </w:t>
      </w:r>
      <w:r>
        <w:rPr>
          <w:rFonts w:ascii="Arial" w:cs="Arial" w:eastAsia="Arial" w:hAnsi="Arial"/>
          <w:sz w:val="17"/>
          <w:szCs w:val="17"/>
          <w:u w:val="single" w:color="auto"/>
          <w:color w:val="auto"/>
        </w:rPr>
        <w:t>Section 3.4</w:t>
      </w:r>
      <w:r>
        <w:rPr>
          <w:rFonts w:ascii="Arial" w:cs="Arial" w:eastAsia="Arial" w:hAnsi="Arial"/>
          <w:sz w:val="17"/>
          <w:szCs w:val="17"/>
          <w:color w:val="auto"/>
        </w:rPr>
        <w:t>.</w:t>
      </w:r>
    </w:p>
    <w:p>
      <w:pPr>
        <w:spacing w:after="0" w:line="17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Section 3.5 </w:t>
      </w:r>
      <w:r>
        <w:rPr>
          <w:rFonts w:ascii="Arial" w:cs="Arial" w:eastAsia="Arial" w:hAnsi="Arial"/>
          <w:sz w:val="17"/>
          <w:szCs w:val="17"/>
          <w:u w:val="single" w:color="auto"/>
          <w:color w:val="auto"/>
        </w:rPr>
        <w:t>Reporting Obligations</w:t>
      </w:r>
      <w:r>
        <w:rPr>
          <w:rFonts w:ascii="Arial" w:cs="Arial" w:eastAsia="Arial" w:hAnsi="Arial"/>
          <w:sz w:val="17"/>
          <w:szCs w:val="17"/>
          <w:color w:val="auto"/>
        </w:rPr>
        <w:t>. As long as any Holder shall own Registrable Securities, the Company, at all times while it shall be a reporting company under the Exchange Act, covenants to file timely (or obtain extensions in respect thereof and file within the applicable grace period) all reports required to be filed by the Company after the date hereof pursuant to Sections 13(a) or 15(d) of the Exchange Act and to promptly furnish the Holders with true and complete copies of all such filings. The Company further covenants that it shall take such further action as any Holder may reasonably request, all to the extent required from time to time to enable such Holder to sell shares of Common Stock held by such Holder without registration under the Securities Act within the limitation of the exemptions provided by Rule 144 promulgated under the Securities Act (or any successor rule promulgated thereafter by the Commission), including providing any legal opinions. Upon the request of any Holder, the Company shall deliver to such Holder a written certification of a duly authorized officer as to whether it has complied with such requirements.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INDEMNIFICATION AND CONTRIBUTION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Indemnification.</w:t>
      </w:r>
    </w:p>
    <w:p>
      <w:pPr>
        <w:spacing w:after="0" w:line="22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4.1.1 The Company agrees to indemnify, to the extent permitted by law, each Holder of Registrable Securities, its officers and directors and each person who controls such Holder (within the meaning of the Securities Act) against all losses, claims, damages, liabilities and expenses (including attorneys’ fees) caused by any untrue or alleged untrue statement of material fact contained in any Registration Statement, Prospectus or preliminary Prospectus or any amendment thereof or supplement thereto or any omission or alleged omission of a material fact required to be stated therein or necessary to make the statements therein not misleading, except insofar as the same are caused by or contained in any information furnished in writing to the Company by such Holder expressly for use therein. The Company shall indemnify the Underwriters, their officers and directors and each person who controls such Underwriters (within the meaning of the Securities Act) to the same extent as provided in the foregoing with respect to the indemnification of the Holder.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7" w:name="page278"/>
    <w:bookmarkEnd w:id="277"/>
    <w:p>
      <w:pPr>
        <w:jc w:val="both"/>
        <w:ind w:firstLine="1296"/>
        <w:spacing w:after="0" w:line="287" w:lineRule="auto"/>
        <w:rPr>
          <w:sz w:val="20"/>
          <w:szCs w:val="20"/>
          <w:color w:val="auto"/>
        </w:rPr>
      </w:pPr>
      <w:r>
        <w:rPr>
          <w:rFonts w:ascii="Arial" w:cs="Arial" w:eastAsia="Arial" w:hAnsi="Arial"/>
          <w:sz w:val="16"/>
          <w:szCs w:val="16"/>
          <w:color w:val="auto"/>
        </w:rPr>
        <w:t xml:space="preserve">4.1.2 In connection with any Registration Statement in which a Holder of Registrable Securities is participating, such Holder shall furnish to the Company in writing such information and affidavits as the Company reasonably requests for use in connection with any such Registration Statement or Prospectus and, to the extent permitted by law, shall indemnify the Company, its directors and officers and agents and each person who controls the Company (within the meaning of the Securities Act) against any losses, claims, damages, liabilities and expenses (including without limitation reasonable attorneys’ fees) resulting from any untrue statement of material fact contained in the Registration Statement, Prospectus or preliminary Prospectus or any amendment thereof or supplement thereto or any omission of a material fact required to be stated therein or necessary to make the statements therein not misleading, but only to the extent that such untrue statement or omission is contained in any information or affidavit so furnished in writing by such Holder expressly for use therein;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obligation to indemnify shall be several, not joint and several, among such Holders of Registrable Securities, and the liability of each such Holder of Registrable Securities shall be in proportion to and limited to the net proceeds received by such Holder from the sale of Registrable Securities pursuant to such Registration Statement. The Holders of Registrable Securities shall indemnify the Underwriters, their officers, directors and each person who controls such Underwriters (within the meaning of the Securities Act) to the same extent as provided in the foregoing with respect to indemnification of the Company.</w:t>
      </w:r>
    </w:p>
    <w:p>
      <w:pPr>
        <w:spacing w:after="0" w:line="168"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4.1.3 Any person entitled to indemnification herein shall (i) give prompt written notice to the indemnifying party of any claim with respect to which it seeks indemnification (provided that the failure to give prompt notice shall not impair any person’s right to indemnification hereunder to the extent such failure has not materially prejudiced the indemnifying party)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An indemnifying party who is not entitled to, or elects not to, assume the defense of a claim shall not be obligated to pay the fees and expenses of more than one counsel (plus local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all liability in respect to such claim or litigation.</w:t>
      </w:r>
    </w:p>
    <w:p>
      <w:pPr>
        <w:spacing w:after="0" w:line="186"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16"/>
          <w:szCs w:val="16"/>
          <w:color w:val="auto"/>
        </w:rPr>
        <w:t>4.1.4 The indemnification provided for under this Agreement shall remain in full force and effect regardless of any investigation made by or on behalf of the indemnified party or any officer, director or controlling person of such indemnified party and shall survive the transfer of securities. The Company and each Holder of Registrable Securities participating in an offering also agrees to make such provisions as are reasonably requested by any indemnified party for contribution to such party in the event the Company’s or such Holder’s indemnification is unavailable for any reason.</w:t>
      </w:r>
    </w:p>
    <w:p>
      <w:pPr>
        <w:spacing w:after="0" w:line="157"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 xml:space="preserve">4.1.5 If the indemnification provided under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hereof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liability of any Holder under this </w:t>
      </w:r>
      <w:r>
        <w:rPr>
          <w:rFonts w:ascii="Arial" w:cs="Arial" w:eastAsia="Arial" w:hAnsi="Arial"/>
          <w:sz w:val="16"/>
          <w:szCs w:val="16"/>
          <w:u w:val="single" w:color="auto"/>
          <w:color w:val="auto"/>
        </w:rPr>
        <w:t>subsection 4.1.5</w:t>
      </w:r>
      <w:r>
        <w:rPr>
          <w:rFonts w:ascii="Arial" w:cs="Arial" w:eastAsia="Arial" w:hAnsi="Arial"/>
          <w:sz w:val="16"/>
          <w:szCs w:val="16"/>
          <w:color w:val="auto"/>
        </w:rPr>
        <w:t xml:space="preserve"> shall be limited to the amount of the net proceeds received by such Holder in such offering giving rise to such liability. The amount paid or payable by a party as a result of the losses or other liabilities referred to above shall be deemed to include, subject to the limitations set forth in </w:t>
      </w:r>
      <w:r>
        <w:rPr>
          <w:rFonts w:ascii="Arial" w:cs="Arial" w:eastAsia="Arial" w:hAnsi="Arial"/>
          <w:sz w:val="16"/>
          <w:szCs w:val="16"/>
          <w:u w:val="single" w:color="auto"/>
          <w:color w:val="auto"/>
        </w:rPr>
        <w:t>subsections 4.1.1</w:t>
      </w:r>
      <w:r>
        <w:rPr>
          <w:rFonts w:ascii="Arial" w:cs="Arial" w:eastAsia="Arial" w:hAnsi="Arial"/>
          <w:sz w:val="16"/>
          <w:szCs w:val="16"/>
          <w:color w:val="auto"/>
        </w:rPr>
        <w:t xml:space="preserve">, </w:t>
      </w:r>
      <w:r>
        <w:rPr>
          <w:rFonts w:ascii="Arial" w:cs="Arial" w:eastAsia="Arial" w:hAnsi="Arial"/>
          <w:sz w:val="16"/>
          <w:szCs w:val="16"/>
          <w:u w:val="single" w:color="auto"/>
          <w:color w:val="auto"/>
        </w:rPr>
        <w:t>4.1.2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4.1.3</w:t>
      </w:r>
      <w:r>
        <w:rPr>
          <w:rFonts w:ascii="Arial" w:cs="Arial" w:eastAsia="Arial" w:hAnsi="Arial"/>
          <w:sz w:val="16"/>
          <w:szCs w:val="16"/>
          <w:color w:val="auto"/>
        </w:rPr>
        <w:t xml:space="preserve"> above, any legal or other fees, charges or expenses reasonably incurred by such party in connection with any investigation or proceeding. The parties hereto agree that it would not be just and equitable if contribution pursuant to this </w:t>
      </w:r>
      <w:r>
        <w:rPr>
          <w:rFonts w:ascii="Arial" w:cs="Arial" w:eastAsia="Arial" w:hAnsi="Arial"/>
          <w:sz w:val="16"/>
          <w:szCs w:val="16"/>
          <w:u w:val="single" w:color="auto"/>
          <w:color w:val="auto"/>
        </w:rPr>
        <w:t>subsection 4.1.5</w:t>
      </w:r>
      <w:r>
        <w:rPr>
          <w:rFonts w:ascii="Arial" w:cs="Arial" w:eastAsia="Arial" w:hAnsi="Arial"/>
          <w:sz w:val="16"/>
          <w:szCs w:val="16"/>
          <w:color w:val="auto"/>
        </w:rPr>
        <w:t xml:space="preserve"> were determined by pro rata allocation or by any other method of allocation, which does not take account of the equitable considerations referred to in this </w:t>
      </w:r>
      <w:r>
        <w:rPr>
          <w:rFonts w:ascii="Arial" w:cs="Arial" w:eastAsia="Arial" w:hAnsi="Arial"/>
          <w:sz w:val="16"/>
          <w:szCs w:val="16"/>
          <w:u w:val="single" w:color="auto"/>
          <w:color w:val="auto"/>
        </w:rPr>
        <w:t>subsection 4.1.5</w:t>
      </w:r>
      <w:r>
        <w:rPr>
          <w:rFonts w:ascii="Arial" w:cs="Arial" w:eastAsia="Arial" w:hAnsi="Arial"/>
          <w:sz w:val="16"/>
          <w:szCs w:val="16"/>
          <w:color w:val="auto"/>
        </w:rPr>
        <w:t xml:space="preserve">. No person guilty of fraudulent misrepresentation (within the meaning of Section 11(f) of the Securities Act) shall be entitled to contribution pursuant to this </w:t>
      </w:r>
      <w:r>
        <w:rPr>
          <w:rFonts w:ascii="Arial" w:cs="Arial" w:eastAsia="Arial" w:hAnsi="Arial"/>
          <w:sz w:val="16"/>
          <w:szCs w:val="16"/>
          <w:u w:val="single" w:color="auto"/>
          <w:color w:val="auto"/>
        </w:rPr>
        <w:t>subsection 4.1.5</w:t>
      </w:r>
      <w:r>
        <w:rPr>
          <w:rFonts w:ascii="Arial" w:cs="Arial" w:eastAsia="Arial" w:hAnsi="Arial"/>
          <w:sz w:val="16"/>
          <w:szCs w:val="16"/>
          <w:color w:val="auto"/>
        </w:rPr>
        <w:t xml:space="preserve"> from any person who was not guilty of such fraudulent misrepresentation.</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8" w:name="page279"/>
    <w:bookmarkEnd w:id="278"/>
    <w:p>
      <w:pPr>
        <w:jc w:val="center"/>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Section 5.1 </w:t>
      </w:r>
      <w:r>
        <w:rPr>
          <w:rFonts w:ascii="Arial" w:cs="Arial" w:eastAsia="Arial" w:hAnsi="Arial"/>
          <w:sz w:val="16"/>
          <w:szCs w:val="16"/>
          <w:u w:val="single" w:color="auto"/>
          <w:color w:val="auto"/>
        </w:rPr>
        <w:t>Notices</w:t>
      </w:r>
      <w:r>
        <w:rPr>
          <w:rFonts w:ascii="Arial" w:cs="Arial" w:eastAsia="Arial" w:hAnsi="Arial"/>
          <w:sz w:val="16"/>
          <w:szCs w:val="16"/>
          <w:color w:val="auto"/>
        </w:rPr>
        <w:t xml:space="preserve">. Any notice or communication under this Agreement must be in writing and given by (i) deposit in the United States mail, addressed to the party to be notified, postage prepaid and registered or certified with return receipt requested, (ii) delivery in person or by courier service providing evidence of delivery, or (iii) transmission by hand delivery, electronic mail, telecopy, telegram or facsimile. Each notice or communication that is mailed, delivered, or transmitted in the manner described above shall be deemed sufficiently given, served, sent, and received, in the case of mailed notices, on the third business day following the date on which it is mailed and, in the case of notices delivered by courier service, hand delivery, electronic mail, telecopy, telegram or facsimile, at such time as it is delivered to the addressee (with the delivery receipt or the affidavit of messenger) or at such time as delivery is refused by the addressee upon presentation. Any notice or communication under this Agreement must be addressed, if to the Company, to: 600 Montgomery Street, Suite 4500, San Francisco, California 94111, and, if to any Holder, at such Holder’s address or contact information as set forth in the Company’s books and records. Any party may change its address for notice at any time and from time to time by written notice to the other parties hereto, and such change of address shall become effective thirty (30) days after delivery of such notice as provided in this </w:t>
      </w:r>
      <w:r>
        <w:rPr>
          <w:rFonts w:ascii="Arial" w:cs="Arial" w:eastAsia="Arial" w:hAnsi="Arial"/>
          <w:sz w:val="16"/>
          <w:szCs w:val="16"/>
          <w:u w:val="single" w:color="auto"/>
          <w:color w:val="auto"/>
        </w:rPr>
        <w:t>Section 5.1</w:t>
      </w:r>
      <w:r>
        <w:rPr>
          <w:rFonts w:ascii="Arial" w:cs="Arial" w:eastAsia="Arial" w:hAnsi="Arial"/>
          <w:sz w:val="16"/>
          <w:szCs w:val="16"/>
          <w:color w:val="auto"/>
        </w:rPr>
        <w:t>.</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Assignment; No Third Party Beneficiaries.</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5.2.1 This Agreement and the rights, duties and obligations of the Company hereunder may not be assigned or delegated by the Company in whole or in part.</w:t>
      </w:r>
    </w:p>
    <w:p>
      <w:pPr>
        <w:spacing w:after="0" w:line="17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5.2.2 Prior to the expiration of the Founder Shares Lock-up Period or the Private Placement Lock-up Period, as the case may be, no Holder may assign or delegate such Holder’s rights, duties or obligations under this Agreement, in whole or in part, except in connection with a transfer of Registrable Securities by such Holder to a Permitted Transferee but only if such Permitted Transferee agrees to become bound by the transfer restrictions set forth in this Agreement.</w:t>
      </w:r>
    </w:p>
    <w:p>
      <w:pPr>
        <w:spacing w:after="0" w:line="18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5.2.3 This Agreement and the provisions hereof shall be binding upon and shall inure to the benefit of each of the parties and its successors and the permitted assigns of the Holders, which shall include Permitted Transferees.</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5.2.4 This Agreement shall not confer any rights or benefits on any persons that are not parties hereto, other than as expressly set forth in this Agreement and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hereof.</w:t>
      </w:r>
    </w:p>
    <w:p>
      <w:pPr>
        <w:spacing w:after="0" w:line="170"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5.2.5 No assignment by any party hereto of such party’s rights, duties and obligations hereunder shall be binding upon or obligate the Company unless and until the Company shall have received (i) written notice of such assignment as provided in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hereof and (ii) the written agreement of the assignee, in a form reasonably satisfactory to the Company, to be bound by the terms and provisions of this Agreement (which may be accomplished by an addendum or certificate of joinder to this Agreement). Any transfer or assignment made other than as provided in this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shall be null and void.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9" w:name="page280"/>
    <w:bookmarkEnd w:id="279"/>
    <w:p>
      <w:pPr>
        <w:jc w:val="both"/>
        <w:ind w:right="20" w:firstLine="648"/>
        <w:spacing w:after="0" w:line="308" w:lineRule="auto"/>
        <w:rPr>
          <w:sz w:val="20"/>
          <w:szCs w:val="20"/>
          <w:color w:val="auto"/>
        </w:rPr>
      </w:pPr>
      <w:r>
        <w:rPr>
          <w:rFonts w:ascii="Arial" w:cs="Arial" w:eastAsia="Arial" w:hAnsi="Arial"/>
          <w:sz w:val="17"/>
          <w:szCs w:val="17"/>
          <w:color w:val="auto"/>
        </w:rPr>
        <w:t xml:space="preserve">Section 5.3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multiple counterparts (including facsimile or PDF counterparts), each of which shall be deemed an original, and all of which together shall constitute the same instrument, but only one of which need be produced.</w:t>
      </w:r>
    </w:p>
    <w:p>
      <w:pPr>
        <w:spacing w:after="0" w:line="14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Section 5.4 </w:t>
      </w:r>
      <w:r>
        <w:rPr>
          <w:rFonts w:ascii="Arial" w:cs="Arial" w:eastAsia="Arial" w:hAnsi="Arial"/>
          <w:sz w:val="17"/>
          <w:szCs w:val="17"/>
          <w:u w:val="single" w:color="auto"/>
          <w:color w:val="auto"/>
        </w:rPr>
        <w:t>Governing Law; Venue</w:t>
      </w:r>
      <w:r>
        <w:rPr>
          <w:rFonts w:ascii="Arial" w:cs="Arial" w:eastAsia="Arial" w:hAnsi="Arial"/>
          <w:sz w:val="17"/>
          <w:szCs w:val="17"/>
          <w:color w:val="auto"/>
        </w:rPr>
        <w:t>. NOTWITHSTANDING THE PLACE WHERE THIS AGREEMENT MAY BE EXECUTED BY ANY OF THE PARTIES HERETO, THE PARTIES EXPRESSLY AGREE THAT (I) THIS AGREEMENT SHALL BE GOVERNED BY AND CONSTRUED UNDER THE LAWS OF THE STATE OF NEW YORK AS APPLIED TO AGREEMENTS AMONG NEW YORK RESIDENTS ENTERED INTO AND TO BE PERFORMED ENTIRELY WITHIN NEW YORK AND (II) THE VENUE FOR ANY ACTION TAKEN WITH RESPECT TO THIS AGREEMENT SHALL BE ANY STATE OR FEDERAL COURT IN NEW YORK COUNTY IN THE STATE OF NEW YORK.</w:t>
      </w:r>
    </w:p>
    <w:p>
      <w:pPr>
        <w:spacing w:after="0" w:line="17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u w:val="single" w:color="auto"/>
          <w:color w:val="auto"/>
        </w:rPr>
        <w:t>Amendments and Modifications</w:t>
      </w:r>
      <w:r>
        <w:rPr>
          <w:rFonts w:ascii="Arial" w:cs="Arial" w:eastAsia="Arial" w:hAnsi="Arial"/>
          <w:sz w:val="18"/>
          <w:szCs w:val="18"/>
          <w:color w:val="auto"/>
        </w:rPr>
        <w:t xml:space="preserve">. Upon the written consent of the Company and the Holders of at least a majority in interest of the Registrable Securities at the time in question, compliance with any of the provisions, covenants and conditions set forth in this Agreement may be waived, or any of such provisions, covenants or conditions may be amended or modified;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notwithstanding the foregoing, any amendment hereto or waiver hereof that adversely affects one Holder, solely in his, her or its capacity as a holder of the shares of capital stock of the Company, in a manner that is materially different from the other Holders (in such capacity) shall require the consent of the Holder so affected. No course of dealing between any Holder or the Company and any other party hereto or any failure or delay on the part of a Holder or the Company in exercising any rights or remedies under this Agreement shall operate as a waiver of any rights or remedies of any Holder or the Company. No single or partial exercise of any rights or remedies under this Agreement by a party shall operate as a waiver or preclude the exercise of any other rights or remedies hereunder or thereunder by such party.</w:t>
      </w:r>
    </w:p>
    <w:p>
      <w:pPr>
        <w:spacing w:after="0" w:line="19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Section 5.6 </w:t>
      </w:r>
      <w:r>
        <w:rPr>
          <w:rFonts w:ascii="Arial" w:cs="Arial" w:eastAsia="Arial" w:hAnsi="Arial"/>
          <w:sz w:val="17"/>
          <w:szCs w:val="17"/>
          <w:u w:val="single" w:color="auto"/>
          <w:color w:val="auto"/>
        </w:rPr>
        <w:t>Other Registration Rights</w:t>
      </w:r>
      <w:r>
        <w:rPr>
          <w:rFonts w:ascii="Arial" w:cs="Arial" w:eastAsia="Arial" w:hAnsi="Arial"/>
          <w:sz w:val="17"/>
          <w:szCs w:val="17"/>
          <w:color w:val="auto"/>
        </w:rPr>
        <w:t>. The Company represents and warrants that no person, other than a Holder of Registrable Securities, has any right to require the Company to register any securities of the Company for sale or to include such securities of the Company in any Registration filed by the Company for the sale of securities for its own account or for the account of any other person. Further, the Company represents and warrants that this Agreement supersedes any other registration rights agreement or agreement with similar terms and conditions and in the event of a conflict between any such agreement or agreements and this Agreement, the terms of this Agreement shall prevail.</w:t>
      </w:r>
    </w:p>
    <w:p>
      <w:pPr>
        <w:spacing w:after="0" w:line="17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Section 5.7 </w:t>
      </w:r>
      <w:r>
        <w:rPr>
          <w:rFonts w:ascii="Arial" w:cs="Arial" w:eastAsia="Arial" w:hAnsi="Arial"/>
          <w:sz w:val="16"/>
          <w:szCs w:val="16"/>
          <w:u w:val="single" w:color="auto"/>
          <w:color w:val="auto"/>
        </w:rPr>
        <w:t>Term</w:t>
      </w:r>
      <w:r>
        <w:rPr>
          <w:rFonts w:ascii="Arial" w:cs="Arial" w:eastAsia="Arial" w:hAnsi="Arial"/>
          <w:sz w:val="16"/>
          <w:szCs w:val="16"/>
          <w:color w:val="auto"/>
        </w:rPr>
        <w:t xml:space="preserve">. This Agreement shall terminate upon the earlier of (i) the tenth anniversary of the date of this Agreement or (ii) the date as of which (A) all of the Registrable Securities have been sold pursuant to a Registration Statement (but in no event prior to the applicable period referred to in Section 4(a)(3) of the Securities Act and Rule 174 thereunder (or any successor rule promulgated thereafter by the Commission)) or (B) the Holders of all Registrable Securities are permitted to sell the Registrable Securities without registration pursuant to Rule 144 (or any similar provision) under the Securities Act with no volume or other restrictions or limitations. The provisions of </w:t>
      </w:r>
      <w:r>
        <w:rPr>
          <w:rFonts w:ascii="Arial" w:cs="Arial" w:eastAsia="Arial" w:hAnsi="Arial"/>
          <w:sz w:val="16"/>
          <w:szCs w:val="16"/>
          <w:u w:val="single" w:color="auto"/>
          <w:color w:val="auto"/>
        </w:rPr>
        <w:t>Section 3.5</w:t>
      </w:r>
      <w:r>
        <w:rPr>
          <w:rFonts w:ascii="Arial" w:cs="Arial" w:eastAsia="Arial" w:hAnsi="Arial"/>
          <w:sz w:val="16"/>
          <w:szCs w:val="16"/>
          <w:color w:val="auto"/>
        </w:rPr>
        <w:t xml:space="preserve"> and </w:t>
      </w:r>
      <w:r>
        <w:rPr>
          <w:rFonts w:ascii="Arial" w:cs="Arial" w:eastAsia="Arial" w:hAnsi="Arial"/>
          <w:sz w:val="16"/>
          <w:szCs w:val="16"/>
          <w:i w:val="1"/>
          <w:iCs w:val="1"/>
          <w:u w:val="single" w:color="auto"/>
          <w:color w:val="auto"/>
        </w:rPr>
        <w:t>Article IV</w:t>
      </w:r>
      <w:r>
        <w:rPr>
          <w:rFonts w:ascii="Arial" w:cs="Arial" w:eastAsia="Arial" w:hAnsi="Arial"/>
          <w:sz w:val="16"/>
          <w:szCs w:val="16"/>
          <w:color w:val="auto"/>
        </w:rPr>
        <w:t xml:space="preserve"> hereof shall survive any termination.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0" w:name="page281"/>
    <w:bookmarkEnd w:id="280"/>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have caused this Agreement to be executed as of the date first written above.</w:t>
      </w:r>
    </w:p>
    <w:p>
      <w:pPr>
        <w:spacing w:after="0" w:line="22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COMPANY:</w:t>
      </w:r>
    </w:p>
    <w:p>
      <w:pPr>
        <w:spacing w:after="0" w:line="225"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FS DEVELOPMENT CORP., a Delaware corporation</w:t>
      </w:r>
    </w:p>
    <w:p>
      <w:pPr>
        <w:spacing w:after="0" w:line="225"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14605</wp:posOffset>
            </wp:positionV>
            <wp:extent cx="2562860" cy="171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Jim Tananbaum</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HOLDERS:</w:t>
      </w:r>
    </w:p>
    <w:p>
      <w:pPr>
        <w:spacing w:after="0" w:line="225"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FS DEVELOPMENT HOLDINGS, LLC, a Delaware limited</w:t>
      </w:r>
    </w:p>
    <w:p>
      <w:pPr>
        <w:spacing w:after="0" w:line="35"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liability company</w:t>
      </w:r>
    </w:p>
    <w:p>
      <w:pPr>
        <w:spacing w:after="0" w:line="21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14605</wp:posOffset>
            </wp:positionV>
            <wp:extent cx="2562860" cy="171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297180</wp:posOffset>
            </wp:positionV>
            <wp:extent cx="2846070" cy="171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288925</wp:posOffset>
            </wp:positionV>
            <wp:extent cx="2846070" cy="171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288925</wp:posOffset>
            </wp:positionV>
            <wp:extent cx="2846070" cy="171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288925</wp:posOffset>
            </wp:positionV>
            <wp:extent cx="2846070" cy="171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288925</wp:posOffset>
            </wp:positionV>
            <wp:extent cx="2846070" cy="171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426085</wp:posOffset>
            </wp:positionV>
            <wp:extent cx="7132320" cy="171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20"/>
          </w:cols>
          <w:pgMar w:left="980" w:top="904" w:right="399" w:bottom="1440" w:gutter="0" w:footer="0" w:header="0"/>
        </w:sectPr>
      </w:pPr>
    </w:p>
    <w:bookmarkStart w:id="281" w:name="page282"/>
    <w:bookmarkEnd w:id="281"/>
    <w:p>
      <w:pPr>
        <w:ind w:left="10320"/>
        <w:spacing w:after="0"/>
        <w:rPr>
          <w:sz w:val="20"/>
          <w:szCs w:val="20"/>
          <w:color w:val="auto"/>
        </w:rPr>
      </w:pPr>
      <w:r>
        <w:rPr>
          <w:rFonts w:ascii="Arial" w:cs="Arial" w:eastAsia="Arial" w:hAnsi="Arial"/>
          <w:sz w:val="16"/>
          <w:szCs w:val="16"/>
          <w:b w:val="1"/>
          <w:bCs w:val="1"/>
          <w:color w:val="auto"/>
        </w:rPr>
        <w:t>Exhibit 10.4</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PRIVATE PLACEMENT CLASS A COMMON STOCK PURCHASE AGREEMENT</w:t>
      </w:r>
    </w:p>
    <w:p>
      <w:pPr>
        <w:spacing w:after="0" w:line="229" w:lineRule="exact"/>
        <w:rPr>
          <w:sz w:val="20"/>
          <w:szCs w:val="20"/>
          <w:color w:val="auto"/>
        </w:rPr>
      </w:pPr>
    </w:p>
    <w:p>
      <w:pPr>
        <w:ind w:left="660"/>
        <w:spacing w:after="0"/>
        <w:tabs>
          <w:tab w:leader="none" w:pos="9040" w:val="left"/>
        </w:tabs>
        <w:rPr>
          <w:sz w:val="20"/>
          <w:szCs w:val="20"/>
          <w:color w:val="auto"/>
        </w:rPr>
      </w:pPr>
      <w:r>
        <w:rPr>
          <w:rFonts w:ascii="Arial" w:cs="Arial" w:eastAsia="Arial" w:hAnsi="Arial"/>
          <w:sz w:val="18"/>
          <w:szCs w:val="18"/>
          <w:color w:val="auto"/>
        </w:rPr>
        <w:t>THIS PRIVATE PLACEMENT CLASS A COMMON STOCK PURCHASE AGREEMENT, dated as of</w:t>
      </w:r>
      <w:r>
        <w:rPr>
          <w:sz w:val="20"/>
          <w:szCs w:val="20"/>
          <w:color w:val="auto"/>
        </w:rPr>
        <w:tab/>
      </w:r>
      <w:r>
        <w:rPr>
          <w:rFonts w:ascii="Arial" w:cs="Arial" w:eastAsia="Arial" w:hAnsi="Arial"/>
          <w:sz w:val="16"/>
          <w:szCs w:val="16"/>
          <w:color w:val="auto"/>
        </w:rPr>
        <w:t>, 2020 (as it may from time to</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time be amended and including all exhibits referenced herein, this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by and between FS Development Corp.,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FS Development Holdings, LLC, a Delaware limited liability company (the “</w:t>
      </w:r>
      <w:r>
        <w:rPr>
          <w:rFonts w:ascii="Arial" w:cs="Arial" w:eastAsia="Arial" w:hAnsi="Arial"/>
          <w:sz w:val="18"/>
          <w:szCs w:val="18"/>
          <w:b w:val="1"/>
          <w:bCs w:val="1"/>
          <w:color w:val="auto"/>
        </w:rPr>
        <w:t>Purchaser</w:t>
      </w:r>
      <w:r>
        <w:rPr>
          <w:rFonts w:ascii="Arial" w:cs="Arial" w:eastAsia="Arial" w:hAnsi="Arial"/>
          <w:sz w:val="18"/>
          <w:szCs w:val="18"/>
          <w:color w:val="auto"/>
        </w:rPr>
        <w:t>”).</w:t>
      </w:r>
    </w:p>
    <w:p>
      <w:pPr>
        <w:spacing w:after="0" w:line="181"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WHEREAS, the Company intends to consummate an initial public offering (the “</w:t>
      </w:r>
      <w:r>
        <w:rPr>
          <w:rFonts w:ascii="Arial" w:cs="Arial" w:eastAsia="Arial" w:hAnsi="Arial"/>
          <w:sz w:val="16"/>
          <w:szCs w:val="16"/>
          <w:b w:val="1"/>
          <w:bCs w:val="1"/>
          <w:color w:val="auto"/>
        </w:rPr>
        <w:t>Public Offering</w:t>
      </w:r>
      <w:r>
        <w:rPr>
          <w:rFonts w:ascii="Arial" w:cs="Arial" w:eastAsia="Arial" w:hAnsi="Arial"/>
          <w:sz w:val="16"/>
          <w:szCs w:val="16"/>
          <w:color w:val="auto"/>
        </w:rPr>
        <w:t>”) of shares of the Company’s Class A common stock, par value $0.0001 per share (the “</w:t>
      </w:r>
      <w:r>
        <w:rPr>
          <w:rFonts w:ascii="Arial" w:cs="Arial" w:eastAsia="Arial" w:hAnsi="Arial"/>
          <w:sz w:val="16"/>
          <w:szCs w:val="16"/>
          <w:b w:val="1"/>
          <w:bCs w:val="1"/>
          <w:color w:val="auto"/>
        </w:rPr>
        <w:t>Shares</w:t>
      </w:r>
      <w:r>
        <w:rPr>
          <w:rFonts w:ascii="Arial" w:cs="Arial" w:eastAsia="Arial" w:hAnsi="Arial"/>
          <w:sz w:val="16"/>
          <w:szCs w:val="16"/>
          <w:color w:val="auto"/>
        </w:rPr>
        <w:t>”). The Purchaser has agreed to purchase an aggregate of 400,000 Shares (or 430,000 Shares in the aggregate to the extent the over-allotment option in connection with the Public Offering is exercised in full) (the “</w:t>
      </w:r>
      <w:r>
        <w:rPr>
          <w:rFonts w:ascii="Arial" w:cs="Arial" w:eastAsia="Arial" w:hAnsi="Arial"/>
          <w:sz w:val="16"/>
          <w:szCs w:val="16"/>
          <w:b w:val="1"/>
          <w:bCs w:val="1"/>
          <w:color w:val="auto"/>
        </w:rPr>
        <w:t>Private Placement Shares</w:t>
      </w:r>
      <w:r>
        <w:rPr>
          <w:rFonts w:ascii="Arial" w:cs="Arial" w:eastAsia="Arial" w:hAnsi="Arial"/>
          <w:sz w:val="16"/>
          <w:szCs w:val="16"/>
          <w:color w:val="auto"/>
        </w:rPr>
        <w:t>”).</w:t>
      </w:r>
    </w:p>
    <w:p>
      <w:pPr>
        <w:spacing w:after="0" w:line="14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NOW THEREFORE, in consideration of the mutual promises contained in this Agreement and other good and valuable consideration, the receipt and sufficiency of which are hereby acknowledged, the parties to this Agreement hereby, intending legally to be bound, agree as follows: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AGREEMENT</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 Authorization, Purchase and Sale; Terms of the Private Placement Shares.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Authorization of the Private Placement Shares.</w:t>
      </w:r>
      <w:r>
        <w:rPr>
          <w:rFonts w:ascii="Arial" w:cs="Arial" w:eastAsia="Arial" w:hAnsi="Arial"/>
          <w:sz w:val="18"/>
          <w:szCs w:val="18"/>
          <w:color w:val="auto"/>
        </w:rPr>
        <w:t xml:space="preserve"> The Company has duly authorized the issuance and sale of the Private Placement Shares to the Purchaser.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Purchase and Sale of the Private Placement Shares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On the date of the consummation of the Public Offering or on such earlier time and date as may be mutually agreed by the Purchaser and the Company (the “</w:t>
      </w:r>
      <w:r>
        <w:rPr>
          <w:rFonts w:ascii="Arial" w:cs="Arial" w:eastAsia="Arial" w:hAnsi="Arial"/>
          <w:sz w:val="16"/>
          <w:szCs w:val="16"/>
          <w:b w:val="1"/>
          <w:bCs w:val="1"/>
          <w:color w:val="auto"/>
        </w:rPr>
        <w:t>Initial Closing Date</w:t>
      </w:r>
      <w:r>
        <w:rPr>
          <w:rFonts w:ascii="Arial" w:cs="Arial" w:eastAsia="Arial" w:hAnsi="Arial"/>
          <w:sz w:val="16"/>
          <w:szCs w:val="16"/>
          <w:color w:val="auto"/>
        </w:rPr>
        <w:t>”), the Company shall issue and sell to the Purchaser, and the Purchaser shall purchase from the Company, an aggregate of 400,000 Private Placement Shares at a price of $10.00 per share for an aggregate purchase price of $4,000,000 (the “</w:t>
      </w:r>
      <w:r>
        <w:rPr>
          <w:rFonts w:ascii="Arial" w:cs="Arial" w:eastAsia="Arial" w:hAnsi="Arial"/>
          <w:sz w:val="16"/>
          <w:szCs w:val="16"/>
          <w:b w:val="1"/>
          <w:bCs w:val="1"/>
          <w:color w:val="auto"/>
        </w:rPr>
        <w:t>Purchase Price</w:t>
      </w:r>
      <w:r>
        <w:rPr>
          <w:rFonts w:ascii="Arial" w:cs="Arial" w:eastAsia="Arial" w:hAnsi="Arial"/>
          <w:sz w:val="16"/>
          <w:szCs w:val="16"/>
          <w:color w:val="auto"/>
        </w:rPr>
        <w:t>”), which shall be paid by wire transfer of immediately available funds to the Company in accordance with the Company’s wiring instructions at least one business day prior to the date of effectiveness of the registration statement on Form S-1 (File No. 333-240098) filed in connection with the Public Offering. On the Initial Closing Date, the Company, shall either, at its option, deliver certificates evidencing the Private Placement Shares purchased by the Purchaser on such date duly registered in the Purchaser’s name to the Purchaser, or effect such delivery in book-entry form. On the date of any closing of the over-allotment option in connection with the Public Offering or on such earlier time and date as may be mutually agreed by the Purchaser and the Company (each such date, an “</w:t>
      </w:r>
      <w:r>
        <w:rPr>
          <w:rFonts w:ascii="Arial" w:cs="Arial" w:eastAsia="Arial" w:hAnsi="Arial"/>
          <w:sz w:val="16"/>
          <w:szCs w:val="16"/>
          <w:b w:val="1"/>
          <w:bCs w:val="1"/>
          <w:color w:val="auto"/>
        </w:rPr>
        <w:t>Over-allotment Closing Date</w:t>
      </w:r>
      <w:r>
        <w:rPr>
          <w:rFonts w:ascii="Arial" w:cs="Arial" w:eastAsia="Arial" w:hAnsi="Arial"/>
          <w:sz w:val="16"/>
          <w:szCs w:val="16"/>
          <w:color w:val="auto"/>
        </w:rPr>
        <w:t>,” and each Over-allotment Closing Date (if any) and the Initial Closing Date being sometimes referred to herein as a “</w:t>
      </w:r>
      <w:r>
        <w:rPr>
          <w:rFonts w:ascii="Arial" w:cs="Arial" w:eastAsia="Arial" w:hAnsi="Arial"/>
          <w:sz w:val="16"/>
          <w:szCs w:val="16"/>
          <w:b w:val="1"/>
          <w:bCs w:val="1"/>
          <w:color w:val="auto"/>
        </w:rPr>
        <w:t>Closing Date</w:t>
      </w:r>
      <w:r>
        <w:rPr>
          <w:rFonts w:ascii="Arial" w:cs="Arial" w:eastAsia="Arial" w:hAnsi="Arial"/>
          <w:sz w:val="16"/>
          <w:szCs w:val="16"/>
          <w:color w:val="auto"/>
        </w:rPr>
        <w:t>”), the Company shall issue and sell to the Purchaser, and the Purchaser shall purchase from the Company, up to an aggregate of 30,000 Private Placement Shares, in the same proportion as the amount of the over-allotment option that is exercised, at a price of $10.00 per share for an aggregate purchase price of up to $300,000 (if the over-allotment option in connection with the Public Offering is exercised in full) (the “</w:t>
      </w:r>
      <w:r>
        <w:rPr>
          <w:rFonts w:ascii="Arial" w:cs="Arial" w:eastAsia="Arial" w:hAnsi="Arial"/>
          <w:sz w:val="16"/>
          <w:szCs w:val="16"/>
          <w:b w:val="1"/>
          <w:bCs w:val="1"/>
          <w:color w:val="auto"/>
        </w:rPr>
        <w:t>Over-allotment Purchase Price</w:t>
      </w:r>
      <w:r>
        <w:rPr>
          <w:rFonts w:ascii="Arial" w:cs="Arial" w:eastAsia="Arial" w:hAnsi="Arial"/>
          <w:sz w:val="16"/>
          <w:szCs w:val="16"/>
          <w:color w:val="auto"/>
        </w:rPr>
        <w:t>”), which shall be paid by wire transfer of immediately available funds to the Company in accordance with the Company’s</w:t>
      </w:r>
      <w:r>
        <w:rPr>
          <w:rFonts w:ascii="Arial" w:cs="Arial" w:eastAsia="Arial" w:hAnsi="Arial"/>
          <w:sz w:val="16"/>
          <w:szCs w:val="16"/>
          <w:b w:val="1"/>
          <w:bCs w:val="1"/>
          <w:color w:val="auto"/>
        </w:rPr>
        <w:t xml:space="preserve"> </w:t>
      </w:r>
      <w:r>
        <w:rPr>
          <w:rFonts w:ascii="Arial" w:cs="Arial" w:eastAsia="Arial" w:hAnsi="Arial"/>
          <w:sz w:val="16"/>
          <w:szCs w:val="16"/>
          <w:color w:val="auto"/>
        </w:rPr>
        <w:t>wiring instructions. On the Over-allotment Closing Date, upon the payment by the Purchaser of the Over-allotment Purchase Price payable by them by wire transfer of immediately available funds to the Company, the Company shall either, at its option, deliver certificates evidencing the Private Placement Shares purchased by the Purchaser on such date duly registered in the Purchaser’s name to the Purchaser, or effect such delivery in book-entry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412750</wp:posOffset>
            </wp:positionV>
            <wp:extent cx="7132320" cy="171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2" w:name="page283"/>
    <w:bookmarkEnd w:id="282"/>
    <w:p>
      <w:pPr>
        <w:ind w:left="660"/>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Terms of the Private Placement Shares.</w:t>
      </w:r>
    </w:p>
    <w:p>
      <w:pPr>
        <w:spacing w:after="0" w:line="225" w:lineRule="exact"/>
        <w:rPr>
          <w:sz w:val="20"/>
          <w:szCs w:val="20"/>
          <w:color w:val="auto"/>
        </w:rPr>
      </w:pPr>
    </w:p>
    <w:p>
      <w:pPr>
        <w:ind w:left="660" w:right="20" w:firstLine="644"/>
        <w:spacing w:after="0" w:line="277" w:lineRule="auto"/>
        <w:tabs>
          <w:tab w:leader="none" w:pos="154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Private Placement Shares shall be subject to a letter agreement, dated as of the date hereof, by and among the Purchaser, the Company and certain of the Company’s directors and officers (a “</w:t>
      </w:r>
      <w:r>
        <w:rPr>
          <w:rFonts w:ascii="Arial" w:cs="Arial" w:eastAsia="Arial" w:hAnsi="Arial"/>
          <w:sz w:val="18"/>
          <w:szCs w:val="18"/>
          <w:b w:val="1"/>
          <w:bCs w:val="1"/>
          <w:color w:val="auto"/>
        </w:rPr>
        <w:t>Letter Agreement</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left="660" w:firstLine="644"/>
        <w:spacing w:after="0" w:line="263" w:lineRule="auto"/>
        <w:tabs>
          <w:tab w:leader="none" w:pos="1567"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At or prior to the time of the Initial Closing Date, the Company and the Purchaser shall enter into a registration rights agreement (the “</w:t>
      </w:r>
      <w:r>
        <w:rPr>
          <w:rFonts w:ascii="Arial" w:cs="Arial" w:eastAsia="Arial" w:hAnsi="Arial"/>
          <w:sz w:val="18"/>
          <w:szCs w:val="18"/>
          <w:b w:val="1"/>
          <w:bCs w:val="1"/>
          <w:color w:val="auto"/>
        </w:rPr>
        <w:t>Registration Rights Agreement</w:t>
      </w:r>
      <w:r>
        <w:rPr>
          <w:rFonts w:ascii="Arial" w:cs="Arial" w:eastAsia="Arial" w:hAnsi="Arial"/>
          <w:sz w:val="18"/>
          <w:szCs w:val="18"/>
          <w:color w:val="auto"/>
        </w:rPr>
        <w:t>”) pursuant to which the Company will grant certain registration rights to the Purchaser relating to the Private Placement Shares.</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2 Representations and Warranties of the Company. </w:t>
      </w:r>
      <w:r>
        <w:rPr>
          <w:rFonts w:ascii="Arial" w:cs="Arial" w:eastAsia="Arial" w:hAnsi="Arial"/>
          <w:sz w:val="18"/>
          <w:szCs w:val="18"/>
          <w:color w:val="auto"/>
        </w:rPr>
        <w:t>As a material inducement to the Purchaser to enter into this Agreement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 the Private Placement Shares, the Company hereby represents and warrants to the Purchaser (which representations and warranties shall survive each Closing Date) that:</w:t>
      </w:r>
    </w:p>
    <w:p>
      <w:pPr>
        <w:spacing w:after="0" w:line="18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u w:val="single" w:color="auto"/>
          <w:color w:val="auto"/>
        </w:rPr>
        <w:t>Organization and Corporate Power.</w:t>
      </w:r>
      <w:r>
        <w:rPr>
          <w:rFonts w:ascii="Arial" w:cs="Arial" w:eastAsia="Arial" w:hAnsi="Arial"/>
          <w:sz w:val="17"/>
          <w:szCs w:val="17"/>
          <w:color w:val="auto"/>
        </w:rPr>
        <w:t xml:space="preserve"> The Company is a corporation duly organized, validly existing and in good standing under the laws of the State of Delaware and is qualified to do business in every jurisdiction in which the failure to so qualify would reasonably be expected to have a material adverse effect on the financial condition, operating results or assets of the Company. The Company possesses all requisite corporate power and authority necessary to carry out the transactions contemplated by this Agreement and the Letter Agreement.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Authorization; No Breach.</w:t>
      </w:r>
    </w:p>
    <w:p>
      <w:pPr>
        <w:spacing w:after="0" w:line="225" w:lineRule="exact"/>
        <w:rPr>
          <w:sz w:val="20"/>
          <w:szCs w:val="20"/>
          <w:color w:val="auto"/>
        </w:rPr>
      </w:pPr>
    </w:p>
    <w:p>
      <w:pPr>
        <w:jc w:val="both"/>
        <w:ind w:firstLine="1304"/>
        <w:spacing w:after="0" w:line="263" w:lineRule="auto"/>
        <w:tabs>
          <w:tab w:leader="none" w:pos="1508" w:val="left"/>
        </w:tabs>
        <w:numPr>
          <w:ilvl w:val="1"/>
          <w:numId w:val="212"/>
        </w:numPr>
        <w:rPr>
          <w:rFonts w:ascii="Arial" w:cs="Arial" w:eastAsia="Arial" w:hAnsi="Arial"/>
          <w:sz w:val="18"/>
          <w:szCs w:val="18"/>
          <w:color w:val="auto"/>
        </w:rPr>
      </w:pPr>
      <w:r>
        <w:rPr>
          <w:rFonts w:ascii="Arial" w:cs="Arial" w:eastAsia="Arial" w:hAnsi="Arial"/>
          <w:sz w:val="18"/>
          <w:szCs w:val="18"/>
          <w:color w:val="auto"/>
        </w:rPr>
        <w:t>The execution, delivery and performance of this Agreement and the Private Placement Shares have been duly authorized and approved by the Company as of each Closing Date. This Agreement constitutes a valid and binding obligation of the Company, enforceable in accordance with its terms.</w:t>
      </w:r>
    </w:p>
    <w:p>
      <w:pPr>
        <w:spacing w:after="0" w:line="183" w:lineRule="exact"/>
        <w:rPr>
          <w:rFonts w:ascii="Arial" w:cs="Arial" w:eastAsia="Arial" w:hAnsi="Arial"/>
          <w:sz w:val="18"/>
          <w:szCs w:val="18"/>
          <w:color w:val="auto"/>
        </w:rPr>
      </w:pPr>
    </w:p>
    <w:p>
      <w:pPr>
        <w:jc w:val="both"/>
        <w:ind w:firstLine="1304"/>
        <w:spacing w:after="0" w:line="290" w:lineRule="auto"/>
        <w:tabs>
          <w:tab w:leader="none" w:pos="1561" w:val="left"/>
        </w:tabs>
        <w:numPr>
          <w:ilvl w:val="1"/>
          <w:numId w:val="212"/>
        </w:numPr>
        <w:rPr>
          <w:rFonts w:ascii="Arial" w:cs="Arial" w:eastAsia="Arial" w:hAnsi="Arial"/>
          <w:sz w:val="16"/>
          <w:szCs w:val="16"/>
          <w:color w:val="auto"/>
        </w:rPr>
      </w:pPr>
      <w:r>
        <w:rPr>
          <w:rFonts w:ascii="Arial" w:cs="Arial" w:eastAsia="Arial" w:hAnsi="Arial"/>
          <w:sz w:val="16"/>
          <w:szCs w:val="16"/>
          <w:color w:val="auto"/>
        </w:rPr>
        <w:t>The execution and delivery by the Company of this Agreement and the Private Placement Shares, the issuance and sale of the Private Placement Shares and the fulfillment of, and compliance with, the respective terms hereof and thereof by the Company, do not and will not as of each Closing Date (a) conflict with or result in a breach of the terms, conditions or provisions of, (b) constitute a default under, (c) result in the creation of any lien, security interest, charge or encumbrance upon the Company’s capital stock or assets under, (d) result in a violation of, or (e) require any authorization, consent, approval, exemption, action, notice, declaration or filing, in each case, by or to any court or administrative or governmental body or agency pursuant to the amended and restated certificate of incorporation or the bylaws of the Company (in effect on the date hereof or as may be amended prior to completion of the contemplated Public Offering), or any material law, statute, rule or regulation to which the Company is subject, or any agreement, order, judgment or decree to which the Company is subject, except for any filings required after the date hereof under federal or state securities laws.</w:t>
      </w:r>
    </w:p>
    <w:p>
      <w:pPr>
        <w:spacing w:after="0" w:line="165" w:lineRule="exact"/>
        <w:rPr>
          <w:rFonts w:ascii="Arial" w:cs="Arial" w:eastAsia="Arial" w:hAnsi="Arial"/>
          <w:sz w:val="16"/>
          <w:szCs w:val="16"/>
          <w:color w:val="auto"/>
        </w:rPr>
      </w:pPr>
    </w:p>
    <w:p>
      <w:pPr>
        <w:jc w:val="both"/>
        <w:ind w:firstLine="656"/>
        <w:spacing w:after="0" w:line="257" w:lineRule="auto"/>
        <w:tabs>
          <w:tab w:leader="none" w:pos="858" w:val="left"/>
        </w:tabs>
        <w:numPr>
          <w:ilvl w:val="0"/>
          <w:numId w:val="213"/>
        </w:numPr>
        <w:rPr>
          <w:rFonts w:ascii="Arial" w:cs="Arial" w:eastAsia="Arial" w:hAnsi="Arial"/>
          <w:sz w:val="18"/>
          <w:szCs w:val="18"/>
          <w:color w:val="auto"/>
        </w:rPr>
      </w:pPr>
      <w:r>
        <w:rPr>
          <w:rFonts w:ascii="Arial" w:cs="Arial" w:eastAsia="Arial" w:hAnsi="Arial"/>
          <w:sz w:val="18"/>
          <w:szCs w:val="18"/>
          <w:u w:val="single" w:color="auto"/>
          <w:color w:val="auto"/>
        </w:rPr>
        <w:t>Title to Securities.</w:t>
      </w:r>
      <w:r>
        <w:rPr>
          <w:rFonts w:ascii="Arial" w:cs="Arial" w:eastAsia="Arial" w:hAnsi="Arial"/>
          <w:sz w:val="18"/>
          <w:szCs w:val="18"/>
          <w:color w:val="auto"/>
        </w:rPr>
        <w:t xml:space="preserve"> Upon issuance in accordance with, and payment pursuant to, the terms hereof, the Private Placement Shares will be duly and validly issued, fully paid and nonassessable. Upon issuance in accordance with, and payment pursuant to, the terms hereof, the Purchaser will have good title to the Private Placement Shares, free and clear of all liens, claims and encumbrances of any kind, other than (i) transfer restrictions hereunder and under the other agreements contemplated hereby, (ii) transfer restrictions under federal and state securities laws, and (iii) liens, claims or encumbrances imposed due to the actions of the Purchaser.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3" w:name="page284"/>
    <w:bookmarkEnd w:id="283"/>
    <w:p>
      <w:pPr>
        <w:jc w:val="both"/>
        <w:ind w:firstLine="648"/>
        <w:spacing w:after="0" w:line="263"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Governmental Consents.</w:t>
      </w:r>
      <w:r>
        <w:rPr>
          <w:rFonts w:ascii="Arial" w:cs="Arial" w:eastAsia="Arial" w:hAnsi="Arial"/>
          <w:sz w:val="18"/>
          <w:szCs w:val="18"/>
          <w:color w:val="auto"/>
        </w:rPr>
        <w:t xml:space="preserve"> No permit, consent, approval or authorization of, or declaration to or filing with, any governmental authority is required in connection with the execution, delivery and performance by the Company of this Agreement or the consummation by the Company of any other transactions contemplated hereby.</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3 Representations and Warranties of the Purchaser. </w:t>
      </w:r>
      <w:r>
        <w:rPr>
          <w:rFonts w:ascii="Arial" w:cs="Arial" w:eastAsia="Arial" w:hAnsi="Arial"/>
          <w:sz w:val="18"/>
          <w:szCs w:val="18"/>
          <w:color w:val="auto"/>
        </w:rPr>
        <w:t>As a material inducement to the Company to enter into this Agreement and issue</w:t>
      </w:r>
      <w:r>
        <w:rPr>
          <w:rFonts w:ascii="Arial" w:cs="Arial" w:eastAsia="Arial" w:hAnsi="Arial"/>
          <w:sz w:val="18"/>
          <w:szCs w:val="18"/>
          <w:b w:val="1"/>
          <w:bCs w:val="1"/>
          <w:color w:val="auto"/>
        </w:rPr>
        <w:t xml:space="preserve"> </w:t>
      </w:r>
      <w:r>
        <w:rPr>
          <w:rFonts w:ascii="Arial" w:cs="Arial" w:eastAsia="Arial" w:hAnsi="Arial"/>
          <w:sz w:val="18"/>
          <w:szCs w:val="18"/>
          <w:color w:val="auto"/>
        </w:rPr>
        <w:t>and sell the Private Placement Shares to the Purchaser, the Purchaser hereby represents and warrants to the Company (which representations and warranties shall survive each Closing Date) that:</w:t>
      </w:r>
    </w:p>
    <w:p>
      <w:pPr>
        <w:spacing w:after="0" w:line="18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Organization and Requisite Authority.</w:t>
      </w:r>
      <w:r>
        <w:rPr>
          <w:rFonts w:ascii="Arial" w:cs="Arial" w:eastAsia="Arial" w:hAnsi="Arial"/>
          <w:sz w:val="18"/>
          <w:szCs w:val="18"/>
          <w:color w:val="auto"/>
        </w:rPr>
        <w:t xml:space="preserve"> The Purchaser possesses all requisite power and authority necessary to carry out the transactions contemplated by this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Authorization; No Breach.</w:t>
      </w:r>
    </w:p>
    <w:p>
      <w:pPr>
        <w:spacing w:after="0" w:line="225" w:lineRule="exact"/>
        <w:rPr>
          <w:sz w:val="20"/>
          <w:szCs w:val="20"/>
          <w:color w:val="auto"/>
        </w:rPr>
      </w:pPr>
    </w:p>
    <w:p>
      <w:pPr>
        <w:jc w:val="both"/>
        <w:ind w:firstLine="1304"/>
        <w:spacing w:after="0" w:line="263" w:lineRule="auto"/>
        <w:tabs>
          <w:tab w:leader="none" w:pos="1537" w:val="left"/>
        </w:tabs>
        <w:numPr>
          <w:ilvl w:val="1"/>
          <w:numId w:val="214"/>
        </w:numPr>
        <w:rPr>
          <w:rFonts w:ascii="Arial" w:cs="Arial" w:eastAsia="Arial" w:hAnsi="Arial"/>
          <w:sz w:val="18"/>
          <w:szCs w:val="18"/>
          <w:color w:val="auto"/>
        </w:rPr>
      </w:pPr>
      <w:r>
        <w:rPr>
          <w:rFonts w:ascii="Arial" w:cs="Arial" w:eastAsia="Arial" w:hAnsi="Arial"/>
          <w:sz w:val="18"/>
          <w:szCs w:val="18"/>
          <w:color w:val="auto"/>
        </w:rPr>
        <w:t>This Agreement constitutes a valid and binding obligation of the Purchaser, enforceable in accordance with its terms, subject to bankruptcy, insolvency, fraudulent conveyance, reorganization, moratorium and other laws of general applicability relating to or affecting creditors’ rights and to general equitable principles (whether considered in a proceeding in equity or law).</w:t>
      </w:r>
    </w:p>
    <w:p>
      <w:pPr>
        <w:spacing w:after="0" w:line="183" w:lineRule="exact"/>
        <w:rPr>
          <w:rFonts w:ascii="Arial" w:cs="Arial" w:eastAsia="Arial" w:hAnsi="Arial"/>
          <w:sz w:val="18"/>
          <w:szCs w:val="18"/>
          <w:color w:val="auto"/>
        </w:rPr>
      </w:pPr>
    </w:p>
    <w:p>
      <w:pPr>
        <w:jc w:val="both"/>
        <w:ind w:firstLine="1304"/>
        <w:spacing w:after="0" w:line="259" w:lineRule="auto"/>
        <w:tabs>
          <w:tab w:leader="none" w:pos="157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The execution and delivery by the Purchaser of this Agreement and the fulfillment of and compliance with the terms hereof by the Purchaser does not and shall not as of each Closing Date conflict with or result in a breach by the Purchaser of the terms, conditions or provisions of any agreement, instrument, order, judgment or decree to which the Purchaser is subject that would materially impact its ability to perform its obligations hereunder.</w:t>
      </w:r>
    </w:p>
    <w:p>
      <w:pPr>
        <w:spacing w:after="0" w:line="186" w:lineRule="exact"/>
        <w:rPr>
          <w:rFonts w:ascii="Arial" w:cs="Arial" w:eastAsia="Arial" w:hAnsi="Arial"/>
          <w:sz w:val="18"/>
          <w:szCs w:val="18"/>
          <w:color w:val="auto"/>
        </w:rPr>
      </w:pPr>
    </w:p>
    <w:p>
      <w:pPr>
        <w:ind w:left="860" w:hanging="204"/>
        <w:spacing w:after="0"/>
        <w:tabs>
          <w:tab w:leader="none" w:pos="860"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auto"/>
        </w:rPr>
        <w:t>Investment Representations.</w:t>
      </w:r>
    </w:p>
    <w:p>
      <w:pPr>
        <w:spacing w:after="0" w:line="221" w:lineRule="exact"/>
        <w:rPr>
          <w:rFonts w:ascii="Arial" w:cs="Arial" w:eastAsia="Arial" w:hAnsi="Arial"/>
          <w:sz w:val="18"/>
          <w:szCs w:val="18"/>
          <w:color w:val="auto"/>
        </w:rPr>
      </w:pPr>
    </w:p>
    <w:p>
      <w:pPr>
        <w:ind w:firstLine="1304"/>
        <w:spacing w:after="0" w:line="282" w:lineRule="auto"/>
        <w:tabs>
          <w:tab w:leader="none" w:pos="1512" w:val="left"/>
        </w:tabs>
        <w:numPr>
          <w:ilvl w:val="1"/>
          <w:numId w:val="215"/>
        </w:numPr>
        <w:rPr>
          <w:rFonts w:ascii="Arial" w:cs="Arial" w:eastAsia="Arial" w:hAnsi="Arial"/>
          <w:sz w:val="18"/>
          <w:szCs w:val="18"/>
          <w:color w:val="auto"/>
        </w:rPr>
      </w:pPr>
      <w:r>
        <w:rPr>
          <w:rFonts w:ascii="Arial" w:cs="Arial" w:eastAsia="Arial" w:hAnsi="Arial"/>
          <w:sz w:val="18"/>
          <w:szCs w:val="18"/>
          <w:color w:val="auto"/>
        </w:rPr>
        <w:t>The Purchaser is acquiring the Private Placement Shares (the “</w:t>
      </w:r>
      <w:r>
        <w:rPr>
          <w:rFonts w:ascii="Arial" w:cs="Arial" w:eastAsia="Arial" w:hAnsi="Arial"/>
          <w:sz w:val="18"/>
          <w:szCs w:val="18"/>
          <w:b w:val="1"/>
          <w:bCs w:val="1"/>
          <w:color w:val="auto"/>
        </w:rPr>
        <w:t>Securities</w:t>
      </w:r>
      <w:r>
        <w:rPr>
          <w:rFonts w:ascii="Arial" w:cs="Arial" w:eastAsia="Arial" w:hAnsi="Arial"/>
          <w:sz w:val="18"/>
          <w:szCs w:val="18"/>
          <w:color w:val="auto"/>
        </w:rPr>
        <w:t>”), for the Purchaser’s own account, for investment purposes only and not with a view towards, or for resale in connection with, any public sale or distribution thereof.</w:t>
      </w:r>
    </w:p>
    <w:p>
      <w:pPr>
        <w:spacing w:after="0" w:line="165" w:lineRule="exact"/>
        <w:rPr>
          <w:rFonts w:ascii="Arial" w:cs="Arial" w:eastAsia="Arial" w:hAnsi="Arial"/>
          <w:sz w:val="18"/>
          <w:szCs w:val="18"/>
          <w:color w:val="auto"/>
        </w:rPr>
      </w:pPr>
    </w:p>
    <w:p>
      <w:pPr>
        <w:jc w:val="both"/>
        <w:ind w:firstLine="1304"/>
        <w:spacing w:after="0" w:line="263" w:lineRule="auto"/>
        <w:tabs>
          <w:tab w:leader="none" w:pos="1564" w:val="left"/>
        </w:tabs>
        <w:numPr>
          <w:ilvl w:val="1"/>
          <w:numId w:val="215"/>
        </w:numPr>
        <w:rPr>
          <w:rFonts w:ascii="Arial" w:cs="Arial" w:eastAsia="Arial" w:hAnsi="Arial"/>
          <w:sz w:val="18"/>
          <w:szCs w:val="18"/>
          <w:color w:val="auto"/>
        </w:rPr>
      </w:pPr>
      <w:r>
        <w:rPr>
          <w:rFonts w:ascii="Arial" w:cs="Arial" w:eastAsia="Arial" w:hAnsi="Arial"/>
          <w:sz w:val="18"/>
          <w:szCs w:val="18"/>
          <w:color w:val="auto"/>
        </w:rPr>
        <w:t>The Purchaser is an “accredited investor” as such term is defined in Rule 501(a)(3) of Regulation D of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and the Purchaser has not experienced a disqualifying event as enumerated pursuant to Rule 506(d) of Regulation D under the Securities Act.</w:t>
      </w:r>
    </w:p>
    <w:p>
      <w:pPr>
        <w:spacing w:after="0" w:line="183" w:lineRule="exact"/>
        <w:rPr>
          <w:rFonts w:ascii="Arial" w:cs="Arial" w:eastAsia="Arial" w:hAnsi="Arial"/>
          <w:sz w:val="18"/>
          <w:szCs w:val="18"/>
          <w:color w:val="auto"/>
        </w:rPr>
      </w:pPr>
    </w:p>
    <w:p>
      <w:pPr>
        <w:jc w:val="both"/>
        <w:ind w:firstLine="1304"/>
        <w:spacing w:after="0" w:line="259" w:lineRule="auto"/>
        <w:tabs>
          <w:tab w:leader="none" w:pos="1625" w:val="left"/>
        </w:tabs>
        <w:numPr>
          <w:ilvl w:val="1"/>
          <w:numId w:val="215"/>
        </w:numPr>
        <w:rPr>
          <w:rFonts w:ascii="Arial" w:cs="Arial" w:eastAsia="Arial" w:hAnsi="Arial"/>
          <w:sz w:val="18"/>
          <w:szCs w:val="18"/>
          <w:color w:val="auto"/>
        </w:rPr>
      </w:pPr>
      <w:r>
        <w:rPr>
          <w:rFonts w:ascii="Arial" w:cs="Arial" w:eastAsia="Arial" w:hAnsi="Arial"/>
          <w:sz w:val="18"/>
          <w:szCs w:val="18"/>
          <w:color w:val="auto"/>
        </w:rPr>
        <w:t>The Purchaser understands that the Securities are being offered and will be sold to it in reliance on specific exemptions from the registration requirements of the United States federal and state securities laws and that the Company is relying upon the truth and accuracy of, and the Purchaser’s compliance with, the representations and warranties of the Purchaser set forth herein in order to determine the availability of such exemptions and the eligibility of the Purchaser to acquire such Securities.</w:t>
      </w:r>
    </w:p>
    <w:p>
      <w:pPr>
        <w:spacing w:after="0" w:line="186" w:lineRule="exact"/>
        <w:rPr>
          <w:rFonts w:ascii="Arial" w:cs="Arial" w:eastAsia="Arial" w:hAnsi="Arial"/>
          <w:sz w:val="18"/>
          <w:szCs w:val="18"/>
          <w:color w:val="auto"/>
        </w:rPr>
      </w:pPr>
    </w:p>
    <w:p>
      <w:pPr>
        <w:ind w:firstLine="1304"/>
        <w:spacing w:after="0" w:line="277" w:lineRule="auto"/>
        <w:tabs>
          <w:tab w:leader="none" w:pos="1616" w:val="left"/>
        </w:tabs>
        <w:numPr>
          <w:ilvl w:val="1"/>
          <w:numId w:val="215"/>
        </w:numPr>
        <w:rPr>
          <w:rFonts w:ascii="Arial" w:cs="Arial" w:eastAsia="Arial" w:hAnsi="Arial"/>
          <w:sz w:val="18"/>
          <w:szCs w:val="18"/>
          <w:color w:val="auto"/>
        </w:rPr>
      </w:pPr>
      <w:r>
        <w:rPr>
          <w:rFonts w:ascii="Arial" w:cs="Arial" w:eastAsia="Arial" w:hAnsi="Arial"/>
          <w:sz w:val="18"/>
          <w:szCs w:val="18"/>
          <w:color w:val="auto"/>
        </w:rPr>
        <w:t>The Purchaser did not decide to enter into this Agreement as a result of any general solicitation or general advertising within the meaning of Rule 502(c) of Regulation D under the Securities Act.</w:t>
      </w:r>
    </w:p>
    <w:p>
      <w:pPr>
        <w:spacing w:after="0" w:line="170" w:lineRule="exact"/>
        <w:rPr>
          <w:rFonts w:ascii="Arial" w:cs="Arial" w:eastAsia="Arial" w:hAnsi="Arial"/>
          <w:sz w:val="18"/>
          <w:szCs w:val="18"/>
          <w:color w:val="auto"/>
        </w:rPr>
      </w:pPr>
    </w:p>
    <w:p>
      <w:pPr>
        <w:jc w:val="both"/>
        <w:ind w:firstLine="1304"/>
        <w:spacing w:after="0" w:line="257" w:lineRule="auto"/>
        <w:tabs>
          <w:tab w:leader="none" w:pos="156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The Purchaser has been furnished with all materials relating to the business, finances and operations of the Company and materials relating to the offer and sale of the Securities which have been requested by the Purchaser. The Purchaser has been afforded the opportunity to ask questions of the executive officers and directors of the Company. The Purchaser understands that its investment in the Securities involves a high degree of risk and it has sought such accounting, legal and tax advice as it has considered necessary to make an informed investment decision with respect to the acquisition of the Securities.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4" w:name="page285"/>
    <w:bookmarkEnd w:id="284"/>
    <w:p>
      <w:pPr>
        <w:jc w:val="both"/>
        <w:ind w:firstLine="1304"/>
        <w:spacing w:after="0" w:line="263" w:lineRule="auto"/>
        <w:tabs>
          <w:tab w:leader="none" w:pos="160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Purchaser understands that no United States federal or state agency or any other government or governmental agency has passed on or made any recommendation or endorsement of the Securities or the fairness or suitability of the investment in the Securities by the Purchaser nor have such authorities passed upon or endorsed the merits of the offering of the Securities.</w:t>
      </w:r>
    </w:p>
    <w:p>
      <w:pPr>
        <w:spacing w:after="0" w:line="183" w:lineRule="exact"/>
        <w:rPr>
          <w:rFonts w:ascii="Arial" w:cs="Arial" w:eastAsia="Arial" w:hAnsi="Arial"/>
          <w:sz w:val="18"/>
          <w:szCs w:val="18"/>
          <w:color w:val="auto"/>
        </w:rPr>
      </w:pPr>
    </w:p>
    <w:p>
      <w:pPr>
        <w:jc w:val="both"/>
        <w:ind w:firstLine="1304"/>
        <w:spacing w:after="0" w:line="287" w:lineRule="auto"/>
        <w:tabs>
          <w:tab w:leader="none" w:pos="166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The Purchaser understands that: (a) the Securities have not been and are not being registered under the Securities Act or any state securities laws, and may not be offered for sale, sold, assigned or transferred unless (1) subsequently registered thereunder or (2) sold in reliance on an exemption therefrom; and (b) except as specifically set forth in the Registration Rights Agreement, neither the Company nor any other person is under any obligation to register the Securities under the Securities Act or any state securities laws or to comply with the terms and conditions of any exemption thereunder. While the Purchaser understands that Rule 144 under the Securities Act is not available for the resale of securities initially issued by shell companies (other than business combination related shell companies) or issuers that have been at any time previously a shell company, the Purchaser understands that Rule 144 includes an exception to this prohibition if the following conditions are met: (i) the issuer of the securities that was formerly a shell company has ceased to be a shell company; (ii) the issuer of the securities is subject to the reporting requirements of Section 13 or 15(d)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(iii) the issuer of the securities has filed all Exchange Act reports and material required to be filed, as applicable, during the preceding 12 months (or such shorter period that the issuer was required to file such reports and materials), other than Form 8-K reports; and (iv) at least one year has elapsed from the time that the issuer filed current Form 10 type information with the U.S.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reflecting its status as an entity that is not a shell company.</w:t>
      </w:r>
    </w:p>
    <w:p>
      <w:pPr>
        <w:spacing w:after="0" w:line="167" w:lineRule="exact"/>
        <w:rPr>
          <w:rFonts w:ascii="Arial" w:cs="Arial" w:eastAsia="Arial" w:hAnsi="Arial"/>
          <w:sz w:val="16"/>
          <w:szCs w:val="16"/>
          <w:color w:val="auto"/>
        </w:rPr>
      </w:pPr>
    </w:p>
    <w:p>
      <w:pPr>
        <w:jc w:val="both"/>
        <w:ind w:firstLine="1304"/>
        <w:spacing w:after="0" w:line="296" w:lineRule="auto"/>
        <w:tabs>
          <w:tab w:leader="none" w:pos="1702" w:val="left"/>
        </w:tabs>
        <w:numPr>
          <w:ilvl w:val="0"/>
          <w:numId w:val="216"/>
        </w:numPr>
        <w:rPr>
          <w:rFonts w:ascii="Arial" w:cs="Arial" w:eastAsia="Arial" w:hAnsi="Arial"/>
          <w:sz w:val="16"/>
          <w:szCs w:val="16"/>
          <w:color w:val="auto"/>
        </w:rPr>
      </w:pPr>
      <w:r>
        <w:rPr>
          <w:rFonts w:ascii="Arial" w:cs="Arial" w:eastAsia="Arial" w:hAnsi="Arial"/>
          <w:sz w:val="16"/>
          <w:szCs w:val="16"/>
          <w:color w:val="auto"/>
        </w:rPr>
        <w:t>The Purchaser has knowledge and experience in financial and business matters, understands the high degree of risk associated with investments in the securities of companies in the development stage such as the Company, is capable of evaluating the merits and risks of an investment in the Securities and is able to bear the economic risk of an investment in the Securities in the amount contemplated hereunder for an indefinite period of time. The Purchaser has adequate means of providing for its current financial needs and contingencies and will have no current or anticipated future needs for liquidity which would be jeopardized by the investment in the Securities. The Purchaser can afford a complete loss of its investment in the Securities.</w:t>
      </w:r>
    </w:p>
    <w:p>
      <w:pPr>
        <w:spacing w:after="0" w:line="157"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 xml:space="preserve">Section 4 Conditions of the Purchaser’s Obligations. </w:t>
      </w:r>
      <w:r>
        <w:rPr>
          <w:rFonts w:ascii="Arial" w:cs="Arial" w:eastAsia="Arial" w:hAnsi="Arial"/>
          <w:sz w:val="18"/>
          <w:szCs w:val="18"/>
          <w:color w:val="auto"/>
        </w:rPr>
        <w:t>The obligations of the Purchaser to purchase and pay for the Private Placement Shares are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fulfillment, on or before each Closing Date, of each of the following conditions:</w:t>
      </w:r>
    </w:p>
    <w:p>
      <w:pPr>
        <w:spacing w:after="0" w:line="16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xml:space="preserve"> The representations and warranties of the Company contained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hereof shall be true and correct at and as of such Closing Date as though then made.</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Performance.</w:t>
      </w:r>
      <w:r>
        <w:rPr>
          <w:rFonts w:ascii="Arial" w:cs="Arial" w:eastAsia="Arial" w:hAnsi="Arial"/>
          <w:sz w:val="18"/>
          <w:szCs w:val="18"/>
          <w:color w:val="auto"/>
        </w:rPr>
        <w:t xml:space="preserve"> The Company shall have performed and complied with all agreements, obligations and conditions contained in this Agreement that are required to be performed or complied with by it on or before such Closing Date.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5" w:name="page286"/>
    <w:bookmarkEnd w:id="285"/>
    <w:p>
      <w:pPr>
        <w:jc w:val="both"/>
        <w:ind w:firstLine="648"/>
        <w:spacing w:after="0" w:line="311" w:lineRule="auto"/>
        <w:rPr>
          <w:sz w:val="20"/>
          <w:szCs w:val="20"/>
          <w:color w:val="auto"/>
        </w:rPr>
      </w:pPr>
      <w:r>
        <w:rPr>
          <w:rFonts w:ascii="Arial" w:cs="Arial" w:eastAsia="Arial" w:hAnsi="Arial"/>
          <w:sz w:val="16"/>
          <w:szCs w:val="16"/>
          <w:color w:val="auto"/>
        </w:rPr>
        <w:t xml:space="preserve">C. </w:t>
      </w:r>
      <w:r>
        <w:rPr>
          <w:rFonts w:ascii="Arial" w:cs="Arial" w:eastAsia="Arial" w:hAnsi="Arial"/>
          <w:sz w:val="16"/>
          <w:szCs w:val="16"/>
          <w:u w:val="single" w:color="auto"/>
          <w:color w:val="auto"/>
        </w:rPr>
        <w:t>No Injunction.</w:t>
      </w:r>
      <w:r>
        <w:rPr>
          <w:rFonts w:ascii="Arial" w:cs="Arial" w:eastAsia="Arial" w:hAnsi="Arial"/>
          <w:sz w:val="16"/>
          <w:szCs w:val="16"/>
          <w:color w:val="auto"/>
        </w:rPr>
        <w:t xml:space="preserve"> No litigation, statute, rule, regulation, executive order, decree, ruling or injunction shall have been enacted, entered, promulgated or endorsed by or in any court or governmental authority of competent jurisdiction or any self-regulatory organization having authority over the matters contemplated hereby, which prohibits the consummation of any of the transactions contemplated by this Agreement or the Letter Agreement.</w:t>
      </w:r>
    </w:p>
    <w:p>
      <w:pPr>
        <w:spacing w:after="0" w:line="1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Letter Agreement and Registration Rights Agreement.</w:t>
      </w:r>
      <w:r>
        <w:rPr>
          <w:rFonts w:ascii="Arial" w:cs="Arial" w:eastAsia="Arial" w:hAnsi="Arial"/>
          <w:sz w:val="18"/>
          <w:szCs w:val="18"/>
          <w:color w:val="auto"/>
        </w:rPr>
        <w:t xml:space="preserve"> The Company shall have entered into the Letter Agreement and the Registration Rights Agreement, each on terms satisfactory to the Purchaser.</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u w:val="single" w:color="auto"/>
          <w:color w:val="auto"/>
        </w:rPr>
        <w:t>Corporate Consents.</w:t>
      </w:r>
      <w:r>
        <w:rPr>
          <w:rFonts w:ascii="Arial" w:cs="Arial" w:eastAsia="Arial" w:hAnsi="Arial"/>
          <w:sz w:val="18"/>
          <w:szCs w:val="18"/>
          <w:color w:val="auto"/>
        </w:rPr>
        <w:t xml:space="preserve"> The Company shall have obtained the consent of its Board of Directors authorizing the execution, delivery and performance of this Agreement and the Letter Agreement and the issuance and sale of the Private Placement Shares hereunder.</w:t>
      </w:r>
    </w:p>
    <w:p>
      <w:pPr>
        <w:spacing w:after="0" w:line="16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5 Conditions of the Company’s Obligations. </w:t>
      </w:r>
      <w:r>
        <w:rPr>
          <w:rFonts w:ascii="Arial" w:cs="Arial" w:eastAsia="Arial" w:hAnsi="Arial"/>
          <w:sz w:val="18"/>
          <w:szCs w:val="18"/>
          <w:color w:val="auto"/>
        </w:rPr>
        <w:t>The obligations of the Company to the Purchaser under this Agreement are subject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fulfillment, on or before each Closing Date, of each of the following conditions:</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xml:space="preserve"> The representations and warranties of the Purchaser contained in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hereof shall be true and correct at and as of such Closing Date as though then made.</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Performance.</w:t>
      </w:r>
      <w:r>
        <w:rPr>
          <w:rFonts w:ascii="Arial" w:cs="Arial" w:eastAsia="Arial" w:hAnsi="Arial"/>
          <w:sz w:val="18"/>
          <w:szCs w:val="18"/>
          <w:color w:val="auto"/>
        </w:rPr>
        <w:t xml:space="preserve"> The Purchaser shall have performed and complied with all agreements, obligations and conditions contained in this Agreement that are required to be performed or complied with by the Purchaser on or before such Closing Date.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Corporate Consents.</w:t>
      </w:r>
      <w:r>
        <w:rPr>
          <w:rFonts w:ascii="Arial" w:cs="Arial" w:eastAsia="Arial" w:hAnsi="Arial"/>
          <w:sz w:val="18"/>
          <w:szCs w:val="18"/>
          <w:color w:val="auto"/>
        </w:rPr>
        <w:t xml:space="preserve"> The Company shall have obtained the consent of its Board of Directors authorizing the execution, delivery and performance of this Agreement and the Letter Agreement and the issuance and sale of the Private Placement Shares hereunder.</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D. </w:t>
      </w:r>
      <w:r>
        <w:rPr>
          <w:rFonts w:ascii="Arial" w:cs="Arial" w:eastAsia="Arial" w:hAnsi="Arial"/>
          <w:sz w:val="16"/>
          <w:szCs w:val="16"/>
          <w:u w:val="single" w:color="auto"/>
          <w:color w:val="auto"/>
        </w:rPr>
        <w:t>No Injunction.</w:t>
      </w:r>
      <w:r>
        <w:rPr>
          <w:rFonts w:ascii="Arial" w:cs="Arial" w:eastAsia="Arial" w:hAnsi="Arial"/>
          <w:sz w:val="16"/>
          <w:szCs w:val="16"/>
          <w:color w:val="auto"/>
        </w:rPr>
        <w:t xml:space="preserve"> No litigation, statute, rule, regulation, executive order, decree, ruling or injunction shall have been enacted, entered, promulgated or endorsed by or in any court or governmental authority of competent jurisdiction or any self-regulatory organization having authority over the matters contemplated hereby, which prohibits the consummation of any of the transactions contemplated by this Agreement or the Letter Agreement.</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u w:val="single" w:color="auto"/>
          <w:color w:val="auto"/>
        </w:rPr>
        <w:t>Letter Agreement.</w:t>
      </w:r>
      <w:r>
        <w:rPr>
          <w:rFonts w:ascii="Arial" w:cs="Arial" w:eastAsia="Arial" w:hAnsi="Arial"/>
          <w:sz w:val="18"/>
          <w:szCs w:val="18"/>
          <w:color w:val="auto"/>
        </w:rPr>
        <w:t xml:space="preserve"> The Company shall have entered into the Letter Agreement on terms satisfactory to the Company.</w:t>
      </w:r>
    </w:p>
    <w:p>
      <w:pPr>
        <w:spacing w:after="0" w:line="22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6 Termination. </w:t>
      </w:r>
      <w:r>
        <w:rPr>
          <w:rFonts w:ascii="Arial" w:cs="Arial" w:eastAsia="Arial" w:hAnsi="Arial"/>
          <w:sz w:val="18"/>
          <w:szCs w:val="18"/>
          <w:color w:val="auto"/>
        </w:rPr>
        <w:t>This Agreement may be terminated at any time after December 31, 2020 upon the election by either the Company or the</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Purchaser upon written notice to the other party if the closing of the Public Offering does not occur prior to such date.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Section 7 Survival of Representations and Warranties. </w:t>
      </w:r>
      <w:r>
        <w:rPr>
          <w:rFonts w:ascii="Arial" w:cs="Arial" w:eastAsia="Arial" w:hAnsi="Arial"/>
          <w:sz w:val="16"/>
          <w:szCs w:val="16"/>
          <w:color w:val="auto"/>
        </w:rPr>
        <w:t>All of the representations and warranties contained herein shall survive each Closing</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8 Definitions. </w:t>
      </w:r>
      <w:r>
        <w:rPr>
          <w:rFonts w:ascii="Arial" w:cs="Arial" w:eastAsia="Arial" w:hAnsi="Arial"/>
          <w:sz w:val="18"/>
          <w:szCs w:val="18"/>
          <w:color w:val="auto"/>
        </w:rPr>
        <w:t>Terms used but not otherwise defined in this Agreement shall have the meaning assigned to such terms in the registration</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 on Form S-1 the Company has filed with the SEC under the Securities Act.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6" w:name="page287"/>
    <w:bookmarkEnd w:id="286"/>
    <w:p>
      <w:pPr>
        <w:ind w:left="660"/>
        <w:spacing w:after="0"/>
        <w:rPr>
          <w:sz w:val="20"/>
          <w:szCs w:val="20"/>
          <w:color w:val="auto"/>
        </w:rPr>
      </w:pPr>
      <w:r>
        <w:rPr>
          <w:rFonts w:ascii="Arial" w:cs="Arial" w:eastAsia="Arial" w:hAnsi="Arial"/>
          <w:sz w:val="18"/>
          <w:szCs w:val="18"/>
          <w:b w:val="1"/>
          <w:bCs w:val="1"/>
          <w:color w:val="auto"/>
        </w:rPr>
        <w:t>Section 9 Miscellaneous.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u w:val="single" w:color="auto"/>
          <w:color w:val="auto"/>
        </w:rPr>
        <w:t>Successors and Assigns.</w:t>
      </w:r>
      <w:r>
        <w:rPr>
          <w:rFonts w:ascii="Arial" w:cs="Arial" w:eastAsia="Arial" w:hAnsi="Arial"/>
          <w:sz w:val="17"/>
          <w:szCs w:val="17"/>
          <w:color w:val="auto"/>
        </w:rPr>
        <w:t xml:space="preserve"> Except as otherwise expressly provided herein, all covenants and agreements contained in this Agreement by or on behalf of any of the parties hereto shall bind and inure to the benefit of the respective successors of the parties hereto whether so expressed or not. Notwithstanding the foregoing or anything to the contrary herein, the parties may not assign this Agreement without the prior written consent of the other party hereto, other than assignments by the Purchaser to its affiliates (including, without limitation, one or more of its members).</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Whenever possible, each provision of this Agreement shall be interpreted in such manner as to be effective and valid under applicable law, but if any provision of this Agreement is held to be prohibited by or invalid under applicable law, such provision shall be ineffective only to the extent of such prohibition or invalidity, without invalidating the remainder of this Agreement.</w:t>
      </w:r>
    </w:p>
    <w:p>
      <w:pPr>
        <w:spacing w:after="0" w:line="18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C. </w:t>
      </w:r>
      <w:r>
        <w:rPr>
          <w:rFonts w:ascii="Arial" w:cs="Arial" w:eastAsia="Arial" w:hAnsi="Arial"/>
          <w:sz w:val="16"/>
          <w:szCs w:val="16"/>
          <w:u w:val="single" w:color="auto"/>
          <w:color w:val="auto"/>
        </w:rPr>
        <w:t>Counterparts.</w:t>
      </w:r>
      <w:r>
        <w:rPr>
          <w:rFonts w:ascii="Arial" w:cs="Arial" w:eastAsia="Arial" w:hAnsi="Arial"/>
          <w:sz w:val="16"/>
          <w:szCs w:val="16"/>
          <w:color w:val="auto"/>
        </w:rPr>
        <w:t xml:space="preserve"> This Agreement may be executed simultaneously in two or more counterparts, none of which need contain the signatures of more than one party, but all such counterparts taken together shall constitute one and the same agreement.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w:t>
      </w:r>
    </w:p>
    <w:p>
      <w:pPr>
        <w:spacing w:after="0" w:line="15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D. </w:t>
      </w:r>
      <w:r>
        <w:rPr>
          <w:rFonts w:ascii="Arial" w:cs="Arial" w:eastAsia="Arial" w:hAnsi="Arial"/>
          <w:sz w:val="17"/>
          <w:szCs w:val="17"/>
          <w:u w:val="single" w:color="auto"/>
          <w:color w:val="auto"/>
        </w:rPr>
        <w:t>Descriptive Headings; Interpretation.</w:t>
      </w:r>
      <w:r>
        <w:rPr>
          <w:rFonts w:ascii="Arial" w:cs="Arial" w:eastAsia="Arial" w:hAnsi="Arial"/>
          <w:sz w:val="17"/>
          <w:szCs w:val="17"/>
          <w:color w:val="auto"/>
        </w:rPr>
        <w:t xml:space="preserve"> The descriptive headings of this Agreement are inserted for convenience only and do not constitute a substantive part of this Agreement. The use of the word “including’ in this Agreement shall be by way of example rather than by limitation.</w:t>
      </w:r>
    </w:p>
    <w:p>
      <w:pPr>
        <w:spacing w:after="0" w:line="1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This Agreement shall be deemed to be a contract made under the laws of the State of New York and for all purposes shall be construed in accordance with the internal laws of the State of New York.</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u w:val="single" w:color="auto"/>
          <w:color w:val="auto"/>
        </w:rPr>
        <w:t>Amendments.</w:t>
      </w:r>
      <w:r>
        <w:rPr>
          <w:rFonts w:ascii="Arial" w:cs="Arial" w:eastAsia="Arial" w:hAnsi="Arial"/>
          <w:sz w:val="18"/>
          <w:szCs w:val="18"/>
          <w:color w:val="auto"/>
        </w:rPr>
        <w:t xml:space="preserve"> This Agreement may not be amended, modified or waived as to any particular provision, except by a written instrument executed by all parties hereto.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7" w:name="page288"/>
    <w:bookmarkEnd w:id="287"/>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executed this Agreement to be effective as of the date first set forth above.</w:t>
      </w:r>
    </w:p>
    <w:p>
      <w:pPr>
        <w:spacing w:after="0" w:line="22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COMPANY:</w:t>
      </w:r>
    </w:p>
    <w:p>
      <w:pPr>
        <w:spacing w:after="0" w:line="225"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FS DEVELOPMENT CORP., a Delaware corporation</w:t>
      </w:r>
    </w:p>
    <w:p>
      <w:pPr>
        <w:spacing w:after="0" w:line="225"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14605</wp:posOffset>
            </wp:positionV>
            <wp:extent cx="2562860" cy="171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9">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Jim Tananbaum</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PURCHASER:</w:t>
      </w:r>
    </w:p>
    <w:p>
      <w:pPr>
        <w:spacing w:after="0" w:line="225"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FS DEVELOPMENT HOLDINGS, LLC, a Delaware limited</w:t>
      </w:r>
    </w:p>
    <w:p>
      <w:pPr>
        <w:spacing w:after="0" w:line="35"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liability company</w:t>
      </w:r>
    </w:p>
    <w:p>
      <w:pPr>
        <w:spacing w:after="0" w:line="21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14605</wp:posOffset>
            </wp:positionV>
            <wp:extent cx="2562860" cy="171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0">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[Signature Page to Private Placement Class A Common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288925</wp:posOffset>
            </wp:positionV>
            <wp:extent cx="7132320" cy="171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20"/>
          </w:cols>
          <w:pgMar w:left="980" w:top="904" w:right="399" w:bottom="1440" w:gutter="0" w:footer="0" w:header="0"/>
        </w:sectPr>
      </w:pPr>
    </w:p>
    <w:bookmarkStart w:id="288" w:name="page289"/>
    <w:bookmarkEnd w:id="288"/>
    <w:p>
      <w:pPr>
        <w:jc w:val="right"/>
        <w:spacing w:after="0"/>
        <w:rPr>
          <w:sz w:val="20"/>
          <w:szCs w:val="20"/>
          <w:color w:val="auto"/>
        </w:rPr>
      </w:pPr>
      <w:r>
        <w:rPr>
          <w:rFonts w:ascii="Arial" w:cs="Arial" w:eastAsia="Arial" w:hAnsi="Arial"/>
          <w:sz w:val="22"/>
          <w:szCs w:val="22"/>
          <w:b w:val="1"/>
          <w:bCs w:val="1"/>
          <w:color w:val="auto"/>
        </w:rPr>
        <w:t>Exhibit 10.5</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INDEMNITY AGREEMENT</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This INDEMNITY AGREEMENT (this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made as of ___________, 2020, by and between FS Development Corp., a Delaware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and ___________ (“</w:t>
      </w:r>
      <w:r>
        <w:rPr>
          <w:rFonts w:ascii="Arial" w:cs="Arial" w:eastAsia="Arial" w:hAnsi="Arial"/>
          <w:sz w:val="18"/>
          <w:szCs w:val="18"/>
          <w:b w:val="1"/>
          <w:bCs w:val="1"/>
          <w:i w:val="1"/>
          <w:iCs w:val="1"/>
          <w:color w:val="auto"/>
        </w:rPr>
        <w:t>Indemnitee</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highly competent persons have become more reluctant to serve publicly-held corporations as directors, officers or in other capacities</w:t>
      </w:r>
      <w:r>
        <w:rPr>
          <w:rFonts w:ascii="Arial" w:cs="Arial" w:eastAsia="Arial" w:hAnsi="Arial"/>
          <w:sz w:val="18"/>
          <w:szCs w:val="18"/>
          <w:b w:val="1"/>
          <w:bCs w:val="1"/>
          <w:color w:val="auto"/>
        </w:rPr>
        <w:t xml:space="preserve"> </w:t>
      </w:r>
      <w:r>
        <w:rPr>
          <w:rFonts w:ascii="Arial" w:cs="Arial" w:eastAsia="Arial" w:hAnsi="Arial"/>
          <w:sz w:val="18"/>
          <w:szCs w:val="18"/>
          <w:color w:val="auto"/>
        </w:rPr>
        <w:t>unless they are provided with adequate protection through insurance or adequate indemnification against inordinate risks of claims and actions against them arising out of their service to and activities on behalf of such corporations;</w:t>
      </w:r>
    </w:p>
    <w:p>
      <w:pPr>
        <w:spacing w:after="0" w:line="18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board of directors of the Company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has determined that, in order to attract and retain qualified individuals,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will attempt to maintain on an ongoing basis, at its sole expense, liability insurance to protect persons serving the Company and its subsidiaries from certain liabilities;</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directors, officers and other persons in service to corporations or business enterprises are being increasingly subjected to expensive</w:t>
      </w:r>
      <w:r>
        <w:rPr>
          <w:rFonts w:ascii="Arial" w:cs="Arial" w:eastAsia="Arial" w:hAnsi="Arial"/>
          <w:sz w:val="18"/>
          <w:szCs w:val="18"/>
          <w:b w:val="1"/>
          <w:bCs w:val="1"/>
          <w:color w:val="auto"/>
        </w:rPr>
        <w:t xml:space="preserve"> </w:t>
      </w:r>
      <w:r>
        <w:rPr>
          <w:rFonts w:ascii="Arial" w:cs="Arial" w:eastAsia="Arial" w:hAnsi="Arial"/>
          <w:sz w:val="18"/>
          <w:szCs w:val="18"/>
          <w:color w:val="auto"/>
        </w:rPr>
        <w:t>and time-consuming litigation relating to, among other things, matters that traditionally would have been brought only against the Company or business enterprise itself;</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Amended and Restated Certificate of Incorporation (the “</w:t>
      </w:r>
      <w:r>
        <w:rPr>
          <w:rFonts w:ascii="Arial" w:cs="Arial" w:eastAsia="Arial" w:hAnsi="Arial"/>
          <w:sz w:val="17"/>
          <w:szCs w:val="17"/>
          <w:b w:val="1"/>
          <w:bCs w:val="1"/>
          <w:i w:val="1"/>
          <w:iCs w:val="1"/>
          <w:color w:val="auto"/>
        </w:rPr>
        <w:t>Charter</w:t>
      </w:r>
      <w:r>
        <w:rPr>
          <w:rFonts w:ascii="Arial" w:cs="Arial" w:eastAsia="Arial" w:hAnsi="Arial"/>
          <w:sz w:val="17"/>
          <w:szCs w:val="17"/>
          <w:color w:val="auto"/>
        </w:rPr>
        <w:t>”) and the Bylaws (the “</w:t>
      </w:r>
      <w:r>
        <w:rPr>
          <w:rFonts w:ascii="Arial" w:cs="Arial" w:eastAsia="Arial" w:hAnsi="Arial"/>
          <w:sz w:val="17"/>
          <w:szCs w:val="17"/>
          <w:b w:val="1"/>
          <w:bCs w:val="1"/>
          <w:i w:val="1"/>
          <w:iCs w:val="1"/>
          <w:color w:val="auto"/>
        </w:rPr>
        <w:t>Bylaws</w:t>
      </w:r>
      <w:r>
        <w:rPr>
          <w:rFonts w:ascii="Arial" w:cs="Arial" w:eastAsia="Arial" w:hAnsi="Arial"/>
          <w:sz w:val="17"/>
          <w:szCs w:val="17"/>
          <w:color w:val="auto"/>
        </w:rPr>
        <w:t>”) of the Company require</w:t>
      </w:r>
      <w:r>
        <w:rPr>
          <w:rFonts w:ascii="Arial" w:cs="Arial" w:eastAsia="Arial" w:hAnsi="Arial"/>
          <w:sz w:val="17"/>
          <w:szCs w:val="17"/>
          <w:b w:val="1"/>
          <w:bCs w:val="1"/>
          <w:color w:val="auto"/>
        </w:rPr>
        <w:t xml:space="preserve"> </w:t>
      </w:r>
      <w:r>
        <w:rPr>
          <w:rFonts w:ascii="Arial" w:cs="Arial" w:eastAsia="Arial" w:hAnsi="Arial"/>
          <w:sz w:val="17"/>
          <w:szCs w:val="17"/>
          <w:color w:val="auto"/>
        </w:rPr>
        <w:t>indemnification of the officers and directors of the Company. Indemnitee may also be entitled to indemnification pursuant to applicable provisions of the Delaware General Corporation Law (“</w:t>
      </w:r>
      <w:r>
        <w:rPr>
          <w:rFonts w:ascii="Arial" w:cs="Arial" w:eastAsia="Arial" w:hAnsi="Arial"/>
          <w:sz w:val="17"/>
          <w:szCs w:val="17"/>
          <w:b w:val="1"/>
          <w:bCs w:val="1"/>
          <w:i w:val="1"/>
          <w:iCs w:val="1"/>
          <w:color w:val="auto"/>
        </w:rPr>
        <w:t>DGCL</w:t>
      </w:r>
      <w:r>
        <w:rPr>
          <w:rFonts w:ascii="Arial" w:cs="Arial" w:eastAsia="Arial" w:hAnsi="Arial"/>
          <w:sz w:val="17"/>
          <w:szCs w:val="17"/>
          <w:color w:val="auto"/>
        </w:rPr>
        <w:t>”). The Charter, Bylaws and the DGCL expressly provide that the indemnification provisions set forth therein are not exclusive, and thereby contemplate that contracts may be entered into between the Company and members of the Board, officers and other persons with respect to indemnification, hold harmless, exoneration, advancement and reimbursement rights;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uncertainties relating to such insurance and to indemnification have increased the difficulty of attracting and retaining such</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persons;</w:t>
      </w:r>
    </w:p>
    <w:p>
      <w:pPr>
        <w:spacing w:after="0" w:line="207"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Board has determined that the increased difficulty in attracting and retaining such persons is detrimental to the best interests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Company’s stockholders and that the Company should act to assure such persons that there will be increased certainty of such protection in the future;</w:t>
      </w:r>
    </w:p>
    <w:p>
      <w:pPr>
        <w:spacing w:after="0" w:line="11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it is reasonable, prudent and necessary for the Company contractually to obligate itself to indemnify, hold harmless, exonerate and to</w:t>
      </w:r>
      <w:r>
        <w:rPr>
          <w:rFonts w:ascii="Arial" w:cs="Arial" w:eastAsia="Arial" w:hAnsi="Arial"/>
          <w:sz w:val="18"/>
          <w:szCs w:val="18"/>
          <w:b w:val="1"/>
          <w:bCs w:val="1"/>
          <w:color w:val="auto"/>
        </w:rPr>
        <w:t xml:space="preserve"> </w:t>
      </w:r>
      <w:r>
        <w:rPr>
          <w:rFonts w:ascii="Arial" w:cs="Arial" w:eastAsia="Arial" w:hAnsi="Arial"/>
          <w:sz w:val="18"/>
          <w:szCs w:val="18"/>
          <w:color w:val="auto"/>
        </w:rPr>
        <w:t>advance expenses on behalf of, such persons to the fullest extent permitted by applicable law so that they will serve or continue to serve the Company free from undue concern that they will not be so protected against liabilities;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this Agreement is a supplement to and in furtherance of the Charter and Bylaws and any resolutions adopted pursuant thereto, and</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be deemed a substitute therefor, nor to diminish or abrogate any rights of Indemnitee thereunder; and</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Indemnitee may not be willing to serve as an officer or director, advisor or in another capacity without adequate protection,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desires Indemnitee to serve in such capacity. Indemnitee is willing to serve, continue to serve and to take on additional service for or on behalf of the Company on the condition that Indemnitee be so indemnified.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89" w:name="page290"/>
    <w:bookmarkEnd w:id="289"/>
    <w:p>
      <w:pPr>
        <w:ind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the covenants contained herein, the Company and Indemnitee do hereby covenant and</w:t>
      </w:r>
      <w:r>
        <w:rPr>
          <w:rFonts w:ascii="Arial" w:cs="Arial" w:eastAsia="Arial" w:hAnsi="Arial"/>
          <w:sz w:val="18"/>
          <w:szCs w:val="18"/>
          <w:b w:val="1"/>
          <w:bCs w:val="1"/>
          <w:color w:val="auto"/>
        </w:rPr>
        <w:t xml:space="preserve"> </w:t>
      </w:r>
      <w:r>
        <w:rPr>
          <w:rFonts w:ascii="Arial" w:cs="Arial" w:eastAsia="Arial" w:hAnsi="Arial"/>
          <w:sz w:val="18"/>
          <w:szCs w:val="18"/>
          <w:color w:val="auto"/>
        </w:rPr>
        <w:t>agree as follows: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TERMS AND CONDITIONS</w:t>
      </w:r>
    </w:p>
    <w:p>
      <w:pPr>
        <w:spacing w:after="0" w:line="239" w:lineRule="exact"/>
        <w:rPr>
          <w:sz w:val="20"/>
          <w:szCs w:val="20"/>
          <w:color w:val="auto"/>
        </w:rPr>
      </w:pPr>
    </w:p>
    <w:p>
      <w:pPr>
        <w:jc w:val="both"/>
        <w:ind w:firstLine="656"/>
        <w:spacing w:after="0" w:line="274" w:lineRule="auto"/>
        <w:tabs>
          <w:tab w:leader="none" w:pos="900" w:val="left"/>
        </w:tabs>
        <w:numPr>
          <w:ilvl w:val="0"/>
          <w:numId w:val="21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SERVICES TO THE COMPANY </w:t>
      </w:r>
      <w:r>
        <w:rPr>
          <w:rFonts w:ascii="Arial" w:cs="Arial" w:eastAsia="Arial" w:hAnsi="Arial"/>
          <w:sz w:val="17"/>
          <w:szCs w:val="17"/>
          <w:color w:val="auto"/>
        </w:rPr>
        <w:t>Indemnitee will serve or continue to serve as an officer, director, advisor, key employee or in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capacity of the Company, as applicable, for so long as Indemnitee is duly elected or appointed or retained or until Indemnitee tenders Indemnitee’s resignation or until Indemnitee is removed. The foregoing notwithstanding, this Agreement shall continue in full force and effect after Indemnitee has ceased to serve as a director, officer, advisor, key employee or in any other capacity of the Company, in each case as provided in </w:t>
      </w:r>
      <w:r>
        <w:rPr>
          <w:rFonts w:ascii="Arial" w:cs="Arial" w:eastAsia="Arial" w:hAnsi="Arial"/>
          <w:sz w:val="17"/>
          <w:szCs w:val="17"/>
          <w:u w:val="single" w:color="auto"/>
          <w:color w:val="auto"/>
        </w:rPr>
        <w:t>Section 17</w:t>
      </w:r>
      <w:r>
        <w:rPr>
          <w:rFonts w:ascii="Arial" w:cs="Arial" w:eastAsia="Arial" w:hAnsi="Arial"/>
          <w:sz w:val="17"/>
          <w:szCs w:val="17"/>
          <w:color w:val="auto"/>
        </w:rPr>
        <w:t xml:space="preserve"> hereof. This Agreement, however, shall not impose any obligation on Indemnitee or the Company to continue Indemnitee’s service to the Company beyond any period otherwise required by law or by other agreements or commitments of the parties, if any.</w:t>
      </w:r>
    </w:p>
    <w:p>
      <w:pPr>
        <w:spacing w:after="0" w:line="186" w:lineRule="exact"/>
        <w:rPr>
          <w:rFonts w:ascii="Arial" w:cs="Arial" w:eastAsia="Arial" w:hAnsi="Arial"/>
          <w:sz w:val="17"/>
          <w:szCs w:val="17"/>
          <w:b w:val="1"/>
          <w:bCs w:val="1"/>
          <w:color w:val="auto"/>
        </w:rPr>
      </w:pPr>
    </w:p>
    <w:p>
      <w:pPr>
        <w:ind w:left="880" w:hanging="224"/>
        <w:spacing w:after="0"/>
        <w:tabs>
          <w:tab w:leader="none" w:pos="880" w:val="left"/>
        </w:tabs>
        <w:numPr>
          <w:ilvl w:val="0"/>
          <w:numId w:val="217"/>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As used in this Agreement:</w:t>
      </w:r>
    </w:p>
    <w:p>
      <w:pPr>
        <w:spacing w:after="0" w:line="243" w:lineRule="exact"/>
        <w:rPr>
          <w:sz w:val="20"/>
          <w:szCs w:val="20"/>
          <w:color w:val="auto"/>
        </w:rPr>
      </w:pPr>
    </w:p>
    <w:p>
      <w:pPr>
        <w:jc w:val="both"/>
        <w:ind w:firstLine="656"/>
        <w:spacing w:after="0" w:line="259" w:lineRule="auto"/>
        <w:tabs>
          <w:tab w:leader="none" w:pos="938" w:val="left"/>
        </w:tabs>
        <w:numPr>
          <w:ilvl w:val="0"/>
          <w:numId w:val="2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agent</w:t>
      </w:r>
      <w:r>
        <w:rPr>
          <w:rFonts w:ascii="Arial" w:cs="Arial" w:eastAsia="Arial" w:hAnsi="Arial"/>
          <w:sz w:val="18"/>
          <w:szCs w:val="18"/>
          <w:i w:val="1"/>
          <w:iCs w:val="1"/>
          <w:color w:val="auto"/>
        </w:rPr>
        <w:t>”</w:t>
      </w:r>
      <w:r>
        <w:rPr>
          <w:rFonts w:ascii="Arial" w:cs="Arial" w:eastAsia="Arial" w:hAnsi="Arial"/>
          <w:sz w:val="18"/>
          <w:szCs w:val="18"/>
          <w:color w:val="auto"/>
        </w:rPr>
        <w:t xml:space="preserve"> shall mean any person who is or was a director, officer or employee of the Company or a subsidiary of the Company or other person authorized by the Company to act for the Company, to include such person serving in such capacity as a director, officer, employee, fiduciary or other official of another corporation, partnership, limited liability company, joint venture, trust or other enterprise at the request of, for the convenience of, or to represent the interests of the Company or a subsidiary of the Company.</w:t>
      </w:r>
    </w:p>
    <w:p>
      <w:pPr>
        <w:spacing w:after="0" w:line="200" w:lineRule="exact"/>
        <w:rPr>
          <w:rFonts w:ascii="Arial" w:cs="Arial" w:eastAsia="Arial" w:hAnsi="Arial"/>
          <w:sz w:val="18"/>
          <w:szCs w:val="18"/>
          <w:color w:val="auto"/>
        </w:rPr>
      </w:pPr>
    </w:p>
    <w:p>
      <w:pPr>
        <w:ind w:firstLine="656"/>
        <w:spacing w:after="0" w:line="277" w:lineRule="auto"/>
        <w:tabs>
          <w:tab w:leader="none" w:pos="961" w:val="left"/>
        </w:tabs>
        <w:numPr>
          <w:ilvl w:val="0"/>
          <w:numId w:val="2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Beneficial Owner</w:t>
      </w:r>
      <w:r>
        <w:rPr>
          <w:rFonts w:ascii="Arial" w:cs="Arial" w:eastAsia="Arial" w:hAnsi="Arial"/>
          <w:sz w:val="18"/>
          <w:szCs w:val="18"/>
          <w:i w:val="1"/>
          <w:iCs w:val="1"/>
          <w:color w:val="auto"/>
        </w:rPr>
        <w:t>”</w:t>
      </w:r>
      <w:r>
        <w:rPr>
          <w:rFonts w:ascii="Arial" w:cs="Arial" w:eastAsia="Arial" w:hAnsi="Arial"/>
          <w:sz w:val="18"/>
          <w:szCs w:val="18"/>
          <w:color w:val="auto"/>
        </w:rPr>
        <w:t xml:space="preserve"> and “</w:t>
      </w:r>
      <w:r>
        <w:rPr>
          <w:rFonts w:ascii="Arial" w:cs="Arial" w:eastAsia="Arial" w:hAnsi="Arial"/>
          <w:sz w:val="18"/>
          <w:szCs w:val="18"/>
          <w:b w:val="1"/>
          <w:bCs w:val="1"/>
          <w:i w:val="1"/>
          <w:iCs w:val="1"/>
          <w:color w:val="auto"/>
        </w:rPr>
        <w:t>Beneficial Ownership</w:t>
      </w:r>
      <w:r>
        <w:rPr>
          <w:rFonts w:ascii="Arial" w:cs="Arial" w:eastAsia="Arial" w:hAnsi="Arial"/>
          <w:sz w:val="18"/>
          <w:szCs w:val="18"/>
          <w:i w:val="1"/>
          <w:iCs w:val="1"/>
          <w:color w:val="auto"/>
        </w:rPr>
        <w:t>”</w:t>
      </w:r>
      <w:r>
        <w:rPr>
          <w:rFonts w:ascii="Arial" w:cs="Arial" w:eastAsia="Arial" w:hAnsi="Arial"/>
          <w:sz w:val="18"/>
          <w:szCs w:val="18"/>
          <w:color w:val="auto"/>
        </w:rPr>
        <w:t xml:space="preserve"> shall have the meanings set forth in Rule 13d-3 promulgated under the Exchange Act (as defined below) as in effect on the date hereof.</w:t>
      </w:r>
    </w:p>
    <w:p>
      <w:pPr>
        <w:spacing w:after="0" w:line="183" w:lineRule="exact"/>
        <w:rPr>
          <w:rFonts w:ascii="Arial" w:cs="Arial" w:eastAsia="Arial" w:hAnsi="Arial"/>
          <w:sz w:val="18"/>
          <w:szCs w:val="18"/>
          <w:color w:val="auto"/>
        </w:rPr>
      </w:pPr>
    </w:p>
    <w:p>
      <w:pPr>
        <w:ind w:left="940" w:hanging="284"/>
        <w:spacing w:after="0"/>
        <w:tabs>
          <w:tab w:leader="none" w:pos="940" w:val="left"/>
        </w:tabs>
        <w:numPr>
          <w:ilvl w:val="0"/>
          <w:numId w:val="21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Change in Control</w:t>
      </w:r>
      <w:r>
        <w:rPr>
          <w:rFonts w:ascii="Arial" w:cs="Arial" w:eastAsia="Arial" w:hAnsi="Arial"/>
          <w:sz w:val="17"/>
          <w:szCs w:val="17"/>
          <w:i w:val="1"/>
          <w:iCs w:val="1"/>
          <w:color w:val="auto"/>
        </w:rPr>
        <w:t>”</w:t>
      </w:r>
      <w:r>
        <w:rPr>
          <w:rFonts w:ascii="Arial" w:cs="Arial" w:eastAsia="Arial" w:hAnsi="Arial"/>
          <w:sz w:val="17"/>
          <w:szCs w:val="17"/>
          <w:color w:val="auto"/>
        </w:rPr>
        <w:t xml:space="preserve"> shall be deemed to occur upon the earliest to occur after the date of this Agreement of any of the following events:</w:t>
      </w:r>
    </w:p>
    <w:p>
      <w:pPr>
        <w:spacing w:after="0" w:line="250" w:lineRule="exact"/>
        <w:rPr>
          <w:rFonts w:ascii="Arial" w:cs="Arial" w:eastAsia="Arial" w:hAnsi="Arial"/>
          <w:sz w:val="17"/>
          <w:szCs w:val="17"/>
          <w:color w:val="auto"/>
        </w:rPr>
      </w:pPr>
    </w:p>
    <w:p>
      <w:pPr>
        <w:jc w:val="both"/>
        <w:ind w:firstLine="1304"/>
        <w:spacing w:after="0" w:line="273" w:lineRule="auto"/>
        <w:tabs>
          <w:tab w:leader="none" w:pos="1569" w:val="left"/>
        </w:tabs>
        <w:numPr>
          <w:ilvl w:val="1"/>
          <w:numId w:val="218"/>
        </w:numPr>
        <w:rPr>
          <w:rFonts w:ascii="Arial" w:cs="Arial" w:eastAsia="Arial" w:hAnsi="Arial"/>
          <w:sz w:val="17"/>
          <w:szCs w:val="17"/>
          <w:color w:val="auto"/>
        </w:rPr>
      </w:pPr>
      <w:r>
        <w:rPr>
          <w:rFonts w:ascii="Arial" w:cs="Arial" w:eastAsia="Arial" w:hAnsi="Arial"/>
          <w:sz w:val="17"/>
          <w:szCs w:val="17"/>
          <w:u w:val="single" w:color="auto"/>
          <w:color w:val="auto"/>
        </w:rPr>
        <w:t>Acquisition of Stock by Third Party</w:t>
      </w:r>
      <w:r>
        <w:rPr>
          <w:rFonts w:ascii="Arial" w:cs="Arial" w:eastAsia="Arial" w:hAnsi="Arial"/>
          <w:sz w:val="17"/>
          <w:szCs w:val="17"/>
          <w:color w:val="auto"/>
        </w:rPr>
        <w:t>. Other than FS Development Holdings, LLC (the “</w:t>
      </w:r>
      <w:r>
        <w:rPr>
          <w:rFonts w:ascii="Arial" w:cs="Arial" w:eastAsia="Arial" w:hAnsi="Arial"/>
          <w:sz w:val="17"/>
          <w:szCs w:val="17"/>
          <w:b w:val="1"/>
          <w:bCs w:val="1"/>
          <w:i w:val="1"/>
          <w:iCs w:val="1"/>
          <w:color w:val="auto"/>
        </w:rPr>
        <w:t>Sponsor</w:t>
      </w:r>
      <w:r>
        <w:rPr>
          <w:rFonts w:ascii="Arial" w:cs="Arial" w:eastAsia="Arial" w:hAnsi="Arial"/>
          <w:sz w:val="17"/>
          <w:szCs w:val="17"/>
          <w:color w:val="auto"/>
        </w:rPr>
        <w:t>”) or any of its affiliates, any Person (as defined below) is or becomes the Beneficial Owner, directly or indirectly, of securities of the Company representing fifteen percent (15%) or more of the combined voting power of the Company’s then outstanding securities entitled to vote generally in the election of directors, unless (1) the change in the relative Beneficial Ownership of the Company’s securities by any Person results solely from a reduction in the aggregate number of outstanding shares of securities entitled to vote generally in the election of directors, or (2) such acquisition was approved in advance by the Continuing Directors (as defined below) and such acquisition would not constitute a Change in Control under part (iii) of this definition;</w:t>
      </w:r>
    </w:p>
    <w:p>
      <w:pPr>
        <w:spacing w:after="0" w:line="191" w:lineRule="exact"/>
        <w:rPr>
          <w:rFonts w:ascii="Arial" w:cs="Arial" w:eastAsia="Arial" w:hAnsi="Arial"/>
          <w:sz w:val="17"/>
          <w:szCs w:val="17"/>
          <w:color w:val="auto"/>
        </w:rPr>
      </w:pPr>
    </w:p>
    <w:p>
      <w:pPr>
        <w:jc w:val="both"/>
        <w:ind w:firstLine="1304"/>
        <w:spacing w:after="0" w:line="259" w:lineRule="auto"/>
        <w:tabs>
          <w:tab w:leader="none" w:pos="1561" w:val="left"/>
        </w:tabs>
        <w:numPr>
          <w:ilvl w:val="1"/>
          <w:numId w:val="218"/>
        </w:numPr>
        <w:rPr>
          <w:rFonts w:ascii="Arial" w:cs="Arial" w:eastAsia="Arial" w:hAnsi="Arial"/>
          <w:sz w:val="18"/>
          <w:szCs w:val="18"/>
          <w:color w:val="auto"/>
        </w:rPr>
      </w:pPr>
      <w:r>
        <w:rPr>
          <w:rFonts w:ascii="Arial" w:cs="Arial" w:eastAsia="Arial" w:hAnsi="Arial"/>
          <w:sz w:val="18"/>
          <w:szCs w:val="18"/>
          <w:u w:val="single" w:color="auto"/>
          <w:color w:val="auto"/>
        </w:rPr>
        <w:t>Change in Board of Directors</w:t>
      </w:r>
      <w:r>
        <w:rPr>
          <w:rFonts w:ascii="Arial" w:cs="Arial" w:eastAsia="Arial" w:hAnsi="Arial"/>
          <w:sz w:val="18"/>
          <w:szCs w:val="18"/>
          <w:color w:val="auto"/>
        </w:rPr>
        <w:t>. Individuals who, as of the date hereof, constitute the Board, and any new director whose election by the Board or nomination for election by the Company’s stockholders was approved by a vote of at least two thirds of the directors then still in office who were directors on the date hereof or whose election for nomination for election was previously so approved (collectively, the “</w:t>
      </w:r>
      <w:r>
        <w:rPr>
          <w:rFonts w:ascii="Arial" w:cs="Arial" w:eastAsia="Arial" w:hAnsi="Arial"/>
          <w:sz w:val="18"/>
          <w:szCs w:val="18"/>
          <w:b w:val="1"/>
          <w:bCs w:val="1"/>
          <w:i w:val="1"/>
          <w:iCs w:val="1"/>
          <w:color w:val="auto"/>
        </w:rPr>
        <w:t>Continuing Directors</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cease for any reason to constitute at least a majority of the members of the Board;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0" w:name="page291"/>
    <w:bookmarkEnd w:id="290"/>
    <w:p>
      <w:pPr>
        <w:jc w:val="both"/>
        <w:ind w:firstLine="1304"/>
        <w:spacing w:after="0" w:line="268" w:lineRule="auto"/>
        <w:tabs>
          <w:tab w:leader="none" w:pos="1611" w:val="left"/>
        </w:tabs>
        <w:numPr>
          <w:ilvl w:val="1"/>
          <w:numId w:val="219"/>
        </w:numPr>
        <w:rPr>
          <w:rFonts w:ascii="Arial" w:cs="Arial" w:eastAsia="Arial" w:hAnsi="Arial"/>
          <w:sz w:val="17"/>
          <w:szCs w:val="17"/>
          <w:color w:val="auto"/>
        </w:rPr>
      </w:pPr>
      <w:r>
        <w:rPr>
          <w:rFonts w:ascii="Arial" w:cs="Arial" w:eastAsia="Arial" w:hAnsi="Arial"/>
          <w:sz w:val="17"/>
          <w:szCs w:val="17"/>
          <w:u w:val="single" w:color="auto"/>
          <w:color w:val="auto"/>
        </w:rPr>
        <w:t>Corporate Transactions</w:t>
      </w:r>
      <w:r>
        <w:rPr>
          <w:rFonts w:ascii="Arial" w:cs="Arial" w:eastAsia="Arial" w:hAnsi="Arial"/>
          <w:sz w:val="17"/>
          <w:szCs w:val="17"/>
          <w:color w:val="auto"/>
        </w:rPr>
        <w:t>. The effective date of a merger, capital stock exchange, asset acquisition, stock purchase, reorganization or similar business combination, involving the Company and one or more businesses (a “</w:t>
      </w:r>
      <w:r>
        <w:rPr>
          <w:rFonts w:ascii="Arial" w:cs="Arial" w:eastAsia="Arial" w:hAnsi="Arial"/>
          <w:sz w:val="17"/>
          <w:szCs w:val="17"/>
          <w:b w:val="1"/>
          <w:bCs w:val="1"/>
          <w:i w:val="1"/>
          <w:iCs w:val="1"/>
          <w:color w:val="auto"/>
        </w:rPr>
        <w:t>Business Combination</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in each case, unless, following such Business Combination: (1) all or substantially all of the individuals and entities who were the Beneficial Owners of securities entitled to vote generally in the election of directors immediately prior to such Business Combination beneficially own, directly or indirectly, more than 51% of the combined voting power of the then outstanding securities of the Company entitled to vote generally in the election of directors resulting from such Business Combination (including, without limitation, a corporation which as a result of such transaction owns the Company or all or substantially all of the Company’s assets either directly or through one or more Subsidiaries (as defined below)) in substantially the same proportions as their ownership immediately prior to such Business Combination, of the securities entitled to vote generally in the election of directors; (2) other than an affiliate of the Sponsor, no Person (excluding any corporation resulting from such Business Combination) is the Beneficial Owner, directly or indirectly, of fifteen percent (15%) or more of the combined voting power of the then outstanding securities entitled to vote generally in the election of directors of the surviving corporation except to the extent that such ownership existed prior to the Business Combination; and (3) at least a majority of the Board of Directors of the corporation resulting from such Business Combination were Continuing Directors at the time of the execution of the initial agreement, or of the action of the Board of Directors, providing for such Business Combination;</w:t>
      </w:r>
    </w:p>
    <w:p>
      <w:pPr>
        <w:spacing w:after="0" w:line="186" w:lineRule="exact"/>
        <w:rPr>
          <w:rFonts w:ascii="Arial" w:cs="Arial" w:eastAsia="Arial" w:hAnsi="Arial"/>
          <w:sz w:val="17"/>
          <w:szCs w:val="17"/>
          <w:color w:val="auto"/>
        </w:rPr>
      </w:pPr>
    </w:p>
    <w:p>
      <w:pPr>
        <w:jc w:val="both"/>
        <w:ind w:firstLine="1304"/>
        <w:spacing w:after="0" w:line="259" w:lineRule="auto"/>
        <w:tabs>
          <w:tab w:leader="none" w:pos="1601" w:val="left"/>
        </w:tabs>
        <w:numPr>
          <w:ilvl w:val="1"/>
          <w:numId w:val="219"/>
        </w:numPr>
        <w:rPr>
          <w:rFonts w:ascii="Arial" w:cs="Arial" w:eastAsia="Arial" w:hAnsi="Arial"/>
          <w:sz w:val="18"/>
          <w:szCs w:val="18"/>
          <w:color w:val="auto"/>
        </w:rPr>
      </w:pPr>
      <w:r>
        <w:rPr>
          <w:rFonts w:ascii="Arial" w:cs="Arial" w:eastAsia="Arial" w:hAnsi="Arial"/>
          <w:sz w:val="18"/>
          <w:szCs w:val="18"/>
          <w:u w:val="single" w:color="auto"/>
          <w:color w:val="auto"/>
        </w:rPr>
        <w:t>Liquidation</w:t>
      </w:r>
      <w:r>
        <w:rPr>
          <w:rFonts w:ascii="Arial" w:cs="Arial" w:eastAsia="Arial" w:hAnsi="Arial"/>
          <w:sz w:val="18"/>
          <w:szCs w:val="18"/>
          <w:color w:val="auto"/>
        </w:rPr>
        <w:t>. The approval by the stockholders of the Company of a complete liquidation of the Company or an agreement or series of agreements for the sale or disposition by the Company of all or substantially all of the Company’s assets, other than factoring the Company’s current receivables or escrows due (or, if such stockholder approval is not required, the decision by the Board to proceed with such a liquidation, sale, or disposition in one transaction or a series of related transactions); or</w:t>
      </w:r>
    </w:p>
    <w:p>
      <w:pPr>
        <w:spacing w:after="0" w:line="200" w:lineRule="exact"/>
        <w:rPr>
          <w:rFonts w:ascii="Arial" w:cs="Arial" w:eastAsia="Arial" w:hAnsi="Arial"/>
          <w:sz w:val="18"/>
          <w:szCs w:val="18"/>
          <w:color w:val="auto"/>
        </w:rPr>
      </w:pPr>
    </w:p>
    <w:p>
      <w:pPr>
        <w:jc w:val="both"/>
        <w:ind w:firstLine="1304"/>
        <w:spacing w:after="0" w:line="263" w:lineRule="auto"/>
        <w:tabs>
          <w:tab w:leader="none" w:pos="1609" w:val="left"/>
        </w:tabs>
        <w:numPr>
          <w:ilvl w:val="1"/>
          <w:numId w:val="219"/>
        </w:numPr>
        <w:rPr>
          <w:rFonts w:ascii="Arial" w:cs="Arial" w:eastAsia="Arial" w:hAnsi="Arial"/>
          <w:sz w:val="18"/>
          <w:szCs w:val="18"/>
          <w:color w:val="auto"/>
        </w:rPr>
      </w:pPr>
      <w:r>
        <w:rPr>
          <w:rFonts w:ascii="Arial" w:cs="Arial" w:eastAsia="Arial" w:hAnsi="Arial"/>
          <w:sz w:val="18"/>
          <w:szCs w:val="18"/>
          <w:u w:val="single" w:color="auto"/>
          <w:color w:val="auto"/>
        </w:rPr>
        <w:t>Other Events</w:t>
      </w:r>
      <w:r>
        <w:rPr>
          <w:rFonts w:ascii="Arial" w:cs="Arial" w:eastAsia="Arial" w:hAnsi="Arial"/>
          <w:sz w:val="18"/>
          <w:szCs w:val="18"/>
          <w:color w:val="auto"/>
        </w:rPr>
        <w:t>. There occurs any other event of a nature that would be required to be reported in response to Item 6(e) of Schedule 14A of Regulation 14A (or any successor rule) (or a response to any similar item on any similar schedule or form) promulgated under the Exchange Act (as defined below), whether or not the Company is then subject to such reporting requirement.</w:t>
      </w:r>
    </w:p>
    <w:p>
      <w:pPr>
        <w:spacing w:after="0" w:line="197" w:lineRule="exact"/>
        <w:rPr>
          <w:rFonts w:ascii="Arial" w:cs="Arial" w:eastAsia="Arial" w:hAnsi="Arial"/>
          <w:sz w:val="18"/>
          <w:szCs w:val="18"/>
          <w:color w:val="auto"/>
        </w:rPr>
      </w:pPr>
    </w:p>
    <w:p>
      <w:pPr>
        <w:jc w:val="both"/>
        <w:ind w:firstLine="656"/>
        <w:spacing w:after="0" w:line="263" w:lineRule="auto"/>
        <w:tabs>
          <w:tab w:leader="none" w:pos="975" w:val="left"/>
        </w:tabs>
        <w:numPr>
          <w:ilvl w:val="0"/>
          <w:numId w:val="2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Corporate Status</w:t>
      </w:r>
      <w:r>
        <w:rPr>
          <w:rFonts w:ascii="Arial" w:cs="Arial" w:eastAsia="Arial" w:hAnsi="Arial"/>
          <w:sz w:val="18"/>
          <w:szCs w:val="18"/>
          <w:i w:val="1"/>
          <w:iCs w:val="1"/>
          <w:color w:val="auto"/>
        </w:rPr>
        <w:t>”</w:t>
      </w:r>
      <w:r>
        <w:rPr>
          <w:rFonts w:ascii="Arial" w:cs="Arial" w:eastAsia="Arial" w:hAnsi="Arial"/>
          <w:sz w:val="18"/>
          <w:szCs w:val="18"/>
          <w:color w:val="auto"/>
        </w:rPr>
        <w:t xml:space="preserve"> describes the status of a person who is or was a director, officer, trustee, general partner, manager, managing member, fiduciary, employee or agent of the Company or of any other Enterprise (as defined below) which such person is or was serving at the request of the Company.</w:t>
      </w:r>
    </w:p>
    <w:p>
      <w:pPr>
        <w:spacing w:after="0" w:line="197" w:lineRule="exact"/>
        <w:rPr>
          <w:rFonts w:ascii="Arial" w:cs="Arial" w:eastAsia="Arial" w:hAnsi="Arial"/>
          <w:sz w:val="18"/>
          <w:szCs w:val="18"/>
          <w:color w:val="auto"/>
        </w:rPr>
      </w:pPr>
    </w:p>
    <w:p>
      <w:pPr>
        <w:ind w:left="940" w:hanging="284"/>
        <w:spacing w:after="0"/>
        <w:tabs>
          <w:tab w:leader="none" w:pos="94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Delaware Court”</w:t>
      </w:r>
      <w:r>
        <w:rPr>
          <w:rFonts w:ascii="Arial" w:cs="Arial" w:eastAsia="Arial" w:hAnsi="Arial"/>
          <w:sz w:val="18"/>
          <w:szCs w:val="18"/>
          <w:color w:val="auto"/>
        </w:rPr>
        <w:t xml:space="preserve"> shall mean the Court of Chancery of the State of Delaware.</w:t>
      </w:r>
    </w:p>
    <w:p>
      <w:pPr>
        <w:spacing w:after="0" w:line="238" w:lineRule="exact"/>
        <w:rPr>
          <w:rFonts w:ascii="Arial" w:cs="Arial" w:eastAsia="Arial" w:hAnsi="Arial"/>
          <w:sz w:val="18"/>
          <w:szCs w:val="18"/>
          <w:color w:val="auto"/>
        </w:rPr>
      </w:pPr>
    </w:p>
    <w:p>
      <w:pPr>
        <w:ind w:firstLine="656"/>
        <w:spacing w:after="0" w:line="277" w:lineRule="auto"/>
        <w:tabs>
          <w:tab w:leader="none" w:pos="963" w:val="left"/>
        </w:tabs>
        <w:numPr>
          <w:ilvl w:val="0"/>
          <w:numId w:val="2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Disinterested Director”</w:t>
      </w:r>
      <w:r>
        <w:rPr>
          <w:rFonts w:ascii="Arial" w:cs="Arial" w:eastAsia="Arial" w:hAnsi="Arial"/>
          <w:sz w:val="18"/>
          <w:szCs w:val="18"/>
          <w:color w:val="auto"/>
        </w:rPr>
        <w:t xml:space="preserve"> shall mean a director of the Company who is not and was not a party to the Proceeding (as defined below) in respect of which indemnification is sought by Indemnitee.</w:t>
      </w:r>
    </w:p>
    <w:p>
      <w:pPr>
        <w:spacing w:after="0" w:line="183" w:lineRule="exact"/>
        <w:rPr>
          <w:rFonts w:ascii="Arial" w:cs="Arial" w:eastAsia="Arial" w:hAnsi="Arial"/>
          <w:sz w:val="18"/>
          <w:szCs w:val="18"/>
          <w:color w:val="auto"/>
        </w:rPr>
      </w:pPr>
    </w:p>
    <w:p>
      <w:pPr>
        <w:jc w:val="both"/>
        <w:ind w:firstLine="656"/>
        <w:spacing w:after="0" w:line="259" w:lineRule="auto"/>
        <w:tabs>
          <w:tab w:leader="none" w:pos="948" w:val="left"/>
        </w:tabs>
        <w:numPr>
          <w:ilvl w:val="0"/>
          <w:numId w:val="2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Enterprise</w:t>
      </w:r>
      <w:r>
        <w:rPr>
          <w:rFonts w:ascii="Arial" w:cs="Arial" w:eastAsia="Arial" w:hAnsi="Arial"/>
          <w:sz w:val="18"/>
          <w:szCs w:val="18"/>
          <w:i w:val="1"/>
          <w:iCs w:val="1"/>
          <w:color w:val="auto"/>
        </w:rPr>
        <w:t>”</w:t>
      </w:r>
      <w:r>
        <w:rPr>
          <w:rFonts w:ascii="Arial" w:cs="Arial" w:eastAsia="Arial" w:hAnsi="Arial"/>
          <w:sz w:val="18"/>
          <w:szCs w:val="18"/>
          <w:color w:val="auto"/>
        </w:rPr>
        <w:t xml:space="preserve"> shall mean the Company and any other corporation, constituent corporation (including any constituent of a constituent) absorbed in a consolidation or merger to which the Company (or any of its wholly owned subsidiaries) is a party, limited liability company, partnership, joint venture, trust, employee benefit plan or other enterprise of which Indemnitee is or was serving at the request of the Company as a director, officer, trustee, manager, general partner, managing member, fiduciary, employee or agent.</w:t>
      </w:r>
    </w:p>
    <w:p>
      <w:pPr>
        <w:spacing w:after="0" w:line="200" w:lineRule="exact"/>
        <w:rPr>
          <w:rFonts w:ascii="Arial" w:cs="Arial" w:eastAsia="Arial" w:hAnsi="Arial"/>
          <w:sz w:val="18"/>
          <w:szCs w:val="18"/>
          <w:color w:val="auto"/>
        </w:rPr>
      </w:pPr>
    </w:p>
    <w:p>
      <w:pPr>
        <w:ind w:left="960" w:hanging="304"/>
        <w:spacing w:after="0"/>
        <w:tabs>
          <w:tab w:leader="none" w:pos="96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i w:val="1"/>
          <w:iCs w:val="1"/>
          <w:color w:val="auto"/>
        </w:rPr>
        <w:t>”</w:t>
      </w:r>
      <w:r>
        <w:rPr>
          <w:rFonts w:ascii="Arial" w:cs="Arial" w:eastAsia="Arial" w:hAnsi="Arial"/>
          <w:sz w:val="18"/>
          <w:szCs w:val="18"/>
          <w:color w:val="auto"/>
        </w:rPr>
        <w:t xml:space="preserve"> shall mean the Securities Exchange Act of 1934, as amended.</w:t>
      </w:r>
    </w:p>
    <w:p>
      <w:pPr>
        <w:spacing w:after="0" w:line="238" w:lineRule="exact"/>
        <w:rPr>
          <w:rFonts w:ascii="Arial" w:cs="Arial" w:eastAsia="Arial" w:hAnsi="Arial"/>
          <w:sz w:val="18"/>
          <w:szCs w:val="18"/>
          <w:color w:val="auto"/>
        </w:rPr>
      </w:pPr>
    </w:p>
    <w:p>
      <w:pPr>
        <w:jc w:val="both"/>
        <w:ind w:firstLine="656"/>
        <w:spacing w:after="0" w:line="289" w:lineRule="auto"/>
        <w:tabs>
          <w:tab w:leader="none" w:pos="980" w:val="left"/>
        </w:tabs>
        <w:numPr>
          <w:ilvl w:val="0"/>
          <w:numId w:val="22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Expenses</w:t>
      </w:r>
      <w:r>
        <w:rPr>
          <w:rFonts w:ascii="Arial" w:cs="Arial" w:eastAsia="Arial" w:hAnsi="Arial"/>
          <w:sz w:val="16"/>
          <w:szCs w:val="16"/>
          <w:i w:val="1"/>
          <w:iCs w:val="1"/>
          <w:color w:val="auto"/>
        </w:rPr>
        <w:t>”</w:t>
      </w:r>
      <w:r>
        <w:rPr>
          <w:rFonts w:ascii="Arial" w:cs="Arial" w:eastAsia="Arial" w:hAnsi="Arial"/>
          <w:sz w:val="16"/>
          <w:szCs w:val="16"/>
          <w:color w:val="auto"/>
        </w:rPr>
        <w:t xml:space="preserve"> shall include all direct and indirect costs, fees and expenses of any type or nature whatsoever, including, without limitation, all reasonable attorneys’ fees and costs, retainers, court costs, transcript costs, fees of experts, witness fees, travel expenses, fees of private investigators and professional advisors, duplicating costs, printing and binding costs, telephone charges, postage, delivery service fees, fax transmission charges, secretarial services and all other disbursements, obligations or expenses in connection with prosecuting, defending, preparing to prosecute or defend, investigating, being or preparing to be a witness in, settlement or appeal of, or otherwise participating in, a Proceeding (as defined below), including reasonable compensation for time spent by Indemnitee for which he or she is not otherwise compensated by the Company or any third party. Expenses also shall include Expenses incurred in connection with any appeal resulting from any Proceeding (as defined below), including without limitation the principal, premium, security for, and other costs relating to any cost bond, supersedeas bond, or other appeal bond or its equivalent. “Expenses,” however, shall not include amounts paid in settlement by Indemnitee or the amount of judgments or fines against Indemnitee.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1" w:name="page292"/>
    <w:bookmarkEnd w:id="291"/>
    <w:p>
      <w:pPr>
        <w:ind w:left="960" w:hanging="304"/>
        <w:spacing w:after="0"/>
        <w:tabs>
          <w:tab w:leader="none" w:pos="9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fines</w:t>
      </w:r>
      <w:r>
        <w:rPr>
          <w:rFonts w:ascii="Arial" w:cs="Arial" w:eastAsia="Arial" w:hAnsi="Arial"/>
          <w:sz w:val="18"/>
          <w:szCs w:val="18"/>
          <w:i w:val="1"/>
          <w:iCs w:val="1"/>
          <w:color w:val="auto"/>
        </w:rPr>
        <w:t>”</w:t>
      </w:r>
      <w:r>
        <w:rPr>
          <w:rFonts w:ascii="Arial" w:cs="Arial" w:eastAsia="Arial" w:hAnsi="Arial"/>
          <w:sz w:val="18"/>
          <w:szCs w:val="18"/>
          <w:color w:val="auto"/>
        </w:rPr>
        <w:t xml:space="preserve"> shall include any excise tax assessed on Indemnitee with respect to any employee benefit plan.</w:t>
      </w:r>
    </w:p>
    <w:p>
      <w:pPr>
        <w:spacing w:after="0" w:line="238" w:lineRule="exact"/>
        <w:rPr>
          <w:rFonts w:ascii="Arial" w:cs="Arial" w:eastAsia="Arial" w:hAnsi="Arial"/>
          <w:sz w:val="18"/>
          <w:szCs w:val="18"/>
          <w:color w:val="auto"/>
        </w:rPr>
      </w:pPr>
    </w:p>
    <w:p>
      <w:pPr>
        <w:jc w:val="both"/>
        <w:ind w:firstLine="656"/>
        <w:spacing w:after="0" w:line="293" w:lineRule="auto"/>
        <w:tabs>
          <w:tab w:leader="none" w:pos="975" w:val="left"/>
        </w:tabs>
        <w:numPr>
          <w:ilvl w:val="0"/>
          <w:numId w:val="22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Independent Counsel</w:t>
      </w:r>
      <w:r>
        <w:rPr>
          <w:rFonts w:ascii="Arial" w:cs="Arial" w:eastAsia="Arial" w:hAnsi="Arial"/>
          <w:sz w:val="16"/>
          <w:szCs w:val="16"/>
          <w:i w:val="1"/>
          <w:iCs w:val="1"/>
          <w:color w:val="auto"/>
        </w:rPr>
        <w:t>”</w:t>
      </w:r>
      <w:r>
        <w:rPr>
          <w:rFonts w:ascii="Arial" w:cs="Arial" w:eastAsia="Arial" w:hAnsi="Arial"/>
          <w:sz w:val="16"/>
          <w:szCs w:val="16"/>
          <w:color w:val="auto"/>
        </w:rPr>
        <w:t xml:space="preserve"> shall mean a law firm or a member of a law firm with significant experience in matters of corporate law and that neither presently is, nor in the past five years has been, retained to represent: (i) the Company or Indemnitee in any matter material to either such party (other than with respect to matters concerning Indemnitee under this Agreement, or of other indemnitees under similar indemnification agreements); or (ii) any other party to the Proceeding (as defined below)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77" w:lineRule="exact"/>
        <w:rPr>
          <w:rFonts w:ascii="Arial" w:cs="Arial" w:eastAsia="Arial" w:hAnsi="Arial"/>
          <w:sz w:val="16"/>
          <w:szCs w:val="16"/>
          <w:color w:val="auto"/>
        </w:rPr>
      </w:pPr>
    </w:p>
    <w:p>
      <w:pPr>
        <w:jc w:val="both"/>
        <w:ind w:firstLine="656"/>
        <w:spacing w:after="0" w:line="273" w:lineRule="auto"/>
        <w:tabs>
          <w:tab w:leader="none" w:pos="1007" w:val="left"/>
        </w:tabs>
        <w:numPr>
          <w:ilvl w:val="0"/>
          <w:numId w:val="22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Person”</w:t>
      </w:r>
      <w:r>
        <w:rPr>
          <w:rFonts w:ascii="Arial" w:cs="Arial" w:eastAsia="Arial" w:hAnsi="Arial"/>
          <w:sz w:val="17"/>
          <w:szCs w:val="17"/>
          <w:color w:val="auto"/>
        </w:rPr>
        <w:t xml:space="preserve"> shall have the meaning as set forth in Sections 13(d) and 14(d) of the Exchange Act as in effect on the date hereof; provided, however, that “Person” shall exclude: (i) the Company; (ii) any Subsidiaries (as defined below) of the Company; (iii) any employment benefit plan of the Company or of a Subsidiary (as defined below) of the Company or of any corporation owned, directly or indirectly, by the stockholders of the Company in substantially the same proportions as their ownership of stock of the Company; and (iv) any trustee or other fiduciary holding securities under an employee benefit plan of the Company or of a Subsidiary (as defined below) of the Company or of a corporation owned directly or indirectly by the stockholders of the Company in substantially the same proportions as their ownership of stock of the Company.</w:t>
      </w:r>
    </w:p>
    <w:p>
      <w:pPr>
        <w:spacing w:after="0" w:line="191" w:lineRule="exact"/>
        <w:rPr>
          <w:rFonts w:ascii="Arial" w:cs="Arial" w:eastAsia="Arial" w:hAnsi="Arial"/>
          <w:sz w:val="17"/>
          <w:szCs w:val="17"/>
          <w:color w:val="auto"/>
        </w:rPr>
      </w:pPr>
    </w:p>
    <w:p>
      <w:pPr>
        <w:jc w:val="both"/>
        <w:ind w:firstLine="656"/>
        <w:spacing w:after="0" w:line="290" w:lineRule="auto"/>
        <w:tabs>
          <w:tab w:leader="none" w:pos="953" w:val="left"/>
        </w:tabs>
        <w:numPr>
          <w:ilvl w:val="0"/>
          <w:numId w:val="22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Proceeding”</w:t>
      </w:r>
      <w:r>
        <w:rPr>
          <w:rFonts w:ascii="Arial" w:cs="Arial" w:eastAsia="Arial" w:hAnsi="Arial"/>
          <w:sz w:val="16"/>
          <w:szCs w:val="16"/>
          <w:color w:val="auto"/>
        </w:rPr>
        <w:t xml:space="preserve"> shall include any threatened, pending or completed action, suit, arbitration, mediation, alternate dispute resolution mechanism, investigation, inquiry, administrative hearing or any other actual, threatened or completed proceeding, whether brought in the right of the Company or otherwise and whether of a civil (including intentional or unintentional tort claims), criminal, administrative or investigative or related nature, in which Indemnitee was, is, will or might be involved as a party or otherwise by reason of the fact that Indemnitee is or was a director or officer of the Company, by reason of any action (or failure to act) taken by Indemnitee or of any action (or failure to act) on Indemnitee’s part while acting as a director or officer of the Company, or by reason of the fact that Indemnitee is or was serving at the request of the Company as a director, officer, trustee, general partner, manager, managing member, fiduciary, employee or agent of any other Enterprise, in each case whether or not serving in such capacity at the time any liability or expense is incurred for which indemnification, reimbursement, or advancement of expenses can be provided under this Agreement.</w:t>
      </w:r>
    </w:p>
    <w:p>
      <w:pPr>
        <w:spacing w:after="0" w:line="178" w:lineRule="exact"/>
        <w:rPr>
          <w:rFonts w:ascii="Arial" w:cs="Arial" w:eastAsia="Arial" w:hAnsi="Arial"/>
          <w:sz w:val="16"/>
          <w:szCs w:val="16"/>
          <w:color w:val="auto"/>
        </w:rPr>
      </w:pPr>
    </w:p>
    <w:p>
      <w:pPr>
        <w:jc w:val="both"/>
        <w:ind w:firstLine="656"/>
        <w:spacing w:after="0" w:line="257" w:lineRule="auto"/>
        <w:tabs>
          <w:tab w:leader="none" w:pos="948" w:val="left"/>
        </w:tabs>
        <w:numPr>
          <w:ilvl w:val="0"/>
          <w:numId w:val="2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serving at the request of the Company</w:t>
      </w:r>
      <w:r>
        <w:rPr>
          <w:rFonts w:ascii="Arial" w:cs="Arial" w:eastAsia="Arial" w:hAnsi="Arial"/>
          <w:sz w:val="18"/>
          <w:szCs w:val="18"/>
          <w:i w:val="1"/>
          <w:iCs w:val="1"/>
          <w:color w:val="auto"/>
        </w:rPr>
        <w:t>”</w:t>
      </w:r>
      <w:r>
        <w:rPr>
          <w:rFonts w:ascii="Arial" w:cs="Arial" w:eastAsia="Arial" w:hAnsi="Arial"/>
          <w:sz w:val="18"/>
          <w:szCs w:val="18"/>
          <w:color w:val="auto"/>
        </w:rPr>
        <w:t xml:space="preserve"> shall include any service as a director, officer, employee, agent or fiduciary of the Company which imposes duties on, or involves services by, such director, officer, employee, agent or fiduciary with respect to an employee benefit plan, its participants or beneficiaries; and if Indemnitee acted in good faith and in a manner Indemnitee reasonably believed to be in the best interests of the participants and beneficiaries of an employee benefit plan, Indemnitee shall be deemed to have acted in a manner “</w:t>
      </w:r>
      <w:r>
        <w:rPr>
          <w:rFonts w:ascii="Arial" w:cs="Arial" w:eastAsia="Arial" w:hAnsi="Arial"/>
          <w:sz w:val="18"/>
          <w:szCs w:val="18"/>
          <w:b w:val="1"/>
          <w:bCs w:val="1"/>
          <w:i w:val="1"/>
          <w:iCs w:val="1"/>
          <w:color w:val="auto"/>
        </w:rPr>
        <w:t>not opposed to the best interests of the Company</w:t>
      </w:r>
      <w:r>
        <w:rPr>
          <w:rFonts w:ascii="Arial" w:cs="Arial" w:eastAsia="Arial" w:hAnsi="Arial"/>
          <w:sz w:val="18"/>
          <w:szCs w:val="18"/>
          <w:color w:val="auto"/>
        </w:rPr>
        <w:t>” as referred to in this Agreement.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292" w:name="page293"/>
    <w:bookmarkEnd w:id="292"/>
    <w:p>
      <w:pPr>
        <w:ind w:firstLine="656"/>
        <w:spacing w:after="0" w:line="308" w:lineRule="auto"/>
        <w:tabs>
          <w:tab w:leader="none" w:pos="948" w:val="left"/>
        </w:tabs>
        <w:numPr>
          <w:ilvl w:val="0"/>
          <w:numId w:val="22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Subsidiary</w:t>
      </w:r>
      <w:r>
        <w:rPr>
          <w:rFonts w:ascii="Arial" w:cs="Arial" w:eastAsia="Arial" w:hAnsi="Arial"/>
          <w:sz w:val="17"/>
          <w:szCs w:val="17"/>
          <w:i w:val="1"/>
          <w:iCs w:val="1"/>
          <w:color w:val="auto"/>
        </w:rPr>
        <w:t>,”</w:t>
      </w:r>
      <w:r>
        <w:rPr>
          <w:rFonts w:ascii="Arial" w:cs="Arial" w:eastAsia="Arial" w:hAnsi="Arial"/>
          <w:sz w:val="17"/>
          <w:szCs w:val="17"/>
          <w:color w:val="auto"/>
        </w:rPr>
        <w:t xml:space="preserve"> with respect to any Person, shall mean any corporation, limited liability company, partnership, joint venture, trust or other entity of which a majority of the voting power of the voting equity securities or equity interest is owned, directly or indirectly, by that Person.</w:t>
      </w:r>
    </w:p>
    <w:p>
      <w:pPr>
        <w:spacing w:after="0" w:line="156" w:lineRule="exact"/>
        <w:rPr>
          <w:sz w:val="20"/>
          <w:szCs w:val="20"/>
          <w:color w:val="auto"/>
        </w:rPr>
      </w:pPr>
    </w:p>
    <w:p>
      <w:pPr>
        <w:jc w:val="both"/>
        <w:ind w:firstLine="656"/>
        <w:spacing w:after="0" w:line="271" w:lineRule="auto"/>
        <w:tabs>
          <w:tab w:leader="none" w:pos="895" w:val="left"/>
        </w:tabs>
        <w:numPr>
          <w:ilvl w:val="0"/>
          <w:numId w:val="223"/>
        </w:numPr>
        <w:rPr>
          <w:rFonts w:ascii="Arial" w:cs="Arial" w:eastAsia="Arial" w:hAnsi="Arial"/>
          <w:sz w:val="17"/>
          <w:szCs w:val="17"/>
          <w:b w:val="1"/>
          <w:bCs w:val="1"/>
          <w:color w:val="auto"/>
        </w:rPr>
      </w:pPr>
      <w:r>
        <w:rPr>
          <w:rFonts w:ascii="Arial" w:cs="Arial" w:eastAsia="Arial" w:hAnsi="Arial"/>
          <w:sz w:val="17"/>
          <w:szCs w:val="17"/>
          <w:b w:val="1"/>
          <w:bCs w:val="1"/>
          <w:color w:val="auto"/>
        </w:rPr>
        <w:t>INDEMNITY IN THIRD-PARTY PROCEEDINGS</w:t>
      </w:r>
      <w:r>
        <w:rPr>
          <w:rFonts w:ascii="Arial" w:cs="Arial" w:eastAsia="Arial" w:hAnsi="Arial"/>
          <w:sz w:val="17"/>
          <w:szCs w:val="17"/>
          <w:color w:val="auto"/>
        </w:rPr>
        <w:t>. To the fullest extent permitted by applicable law, the Company shall indemnify, hold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harmless and exonerate Indemnitee in accordance with the provisions of this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if Indemnitee was, is, or is threatened to be made, a party to or a participant (as a witness, deponent or otherwise) in any Proceeding, other than a Proceeding by or in the right of the Company to procure a judgment in its favor by reason of Indemnitee’s Corporate Status. Pursuant to this </w:t>
      </w:r>
      <w:r>
        <w:rPr>
          <w:rFonts w:ascii="Arial" w:cs="Arial" w:eastAsia="Arial" w:hAnsi="Arial"/>
          <w:sz w:val="17"/>
          <w:szCs w:val="17"/>
          <w:u w:val="single" w:color="auto"/>
          <w:color w:val="auto"/>
        </w:rPr>
        <w:t>Section 3</w:t>
      </w:r>
      <w:r>
        <w:rPr>
          <w:rFonts w:ascii="Arial" w:cs="Arial" w:eastAsia="Arial" w:hAnsi="Arial"/>
          <w:sz w:val="17"/>
          <w:szCs w:val="17"/>
          <w:color w:val="auto"/>
        </w:rPr>
        <w:t>, Indemnitee shall be indemnified, held harmless and exonerated against all Expenses, judgments, liabilities, fines, penalties and amounts paid in settlement (including all interest, assessments and other charges paid or payable in connection with or in respect of such Expenses, judgments, liabilities, fines, penalties and amounts paid in settlement) actually, and reasonably incurred by Indemnitee or on Indemnitee’s behalf in connection with such Proceeding or any claim, issue or matter therein, if Indemnitee acted in good faith and in a manner Indemnitee reasonably believed to be in or not opposed to the best interests of the Company and, in the case of a criminal Proceeding, had no reasonable cause to believe that Indemnitee’s conduct was unlawful.</w:t>
      </w:r>
    </w:p>
    <w:p>
      <w:pPr>
        <w:spacing w:after="0" w:line="187" w:lineRule="exact"/>
        <w:rPr>
          <w:rFonts w:ascii="Arial" w:cs="Arial" w:eastAsia="Arial" w:hAnsi="Arial"/>
          <w:sz w:val="17"/>
          <w:szCs w:val="17"/>
          <w:b w:val="1"/>
          <w:bCs w:val="1"/>
          <w:color w:val="auto"/>
        </w:rPr>
      </w:pPr>
    </w:p>
    <w:p>
      <w:pPr>
        <w:jc w:val="both"/>
        <w:ind w:firstLine="656"/>
        <w:spacing w:after="0" w:line="289" w:lineRule="auto"/>
        <w:tabs>
          <w:tab w:leader="none" w:pos="891" w:val="left"/>
        </w:tabs>
        <w:numPr>
          <w:ilvl w:val="0"/>
          <w:numId w:val="223"/>
        </w:numPr>
        <w:rPr>
          <w:rFonts w:ascii="Arial" w:cs="Arial" w:eastAsia="Arial" w:hAnsi="Arial"/>
          <w:sz w:val="16"/>
          <w:szCs w:val="16"/>
          <w:b w:val="1"/>
          <w:bCs w:val="1"/>
          <w:color w:val="auto"/>
        </w:rPr>
      </w:pPr>
      <w:r>
        <w:rPr>
          <w:rFonts w:ascii="Arial" w:cs="Arial" w:eastAsia="Arial" w:hAnsi="Arial"/>
          <w:sz w:val="16"/>
          <w:szCs w:val="16"/>
          <w:b w:val="1"/>
          <w:bCs w:val="1"/>
          <w:color w:val="auto"/>
        </w:rPr>
        <w:t>INDEMNITY IN PROCEEDINGS BY OR IN THE RIGHT OF THE COMPANY</w:t>
      </w:r>
      <w:r>
        <w:rPr>
          <w:rFonts w:ascii="Arial" w:cs="Arial" w:eastAsia="Arial" w:hAnsi="Arial"/>
          <w:sz w:val="16"/>
          <w:szCs w:val="16"/>
          <w:color w:val="auto"/>
        </w:rPr>
        <w:t>. To the fullest extent permitted by applicable law,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Company shall indemnify, hold harmless and exonerate Indemnitee in accordance with the provisions of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if Indemnitee was, is, or is threatened to be made, a party to or a participant (as a witness, deponent or otherwise) in any Proceeding by or in the right of the Company to procure a judgment in its favor by reason of Indemnitee’s Corporate Status. Pursuant to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Indemnitee shall be indemnified, held harmless and exonerated against all Expenses actually and reasonably incurred by Indemnitee or on Indemnitee’s behalf in connection with such Proceeding or any claim, issue or matter therein, if Indemnitee acted in good faith and in a manner Indemnitee reasonably believed to be in or not opposed to the best interests of the Company. No indemnification, hold harmless or exoneration for Expenses shall be made under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in respect of any claim, issue or matter as to which Indemnitee shall have been finally adjudged by a court to be liable to the Company, unless and only to the extent that any court in which the Proceeding was brought or the Delaware Court shall determine upon application that, despite the adjudication of liability but in view of all the circumstances of the case, Indemnitee is fairly and reasonably entitled to indemnification, to be held harmless or to exoneration.</w:t>
      </w:r>
    </w:p>
    <w:p>
      <w:pPr>
        <w:spacing w:after="0" w:line="174" w:lineRule="exact"/>
        <w:rPr>
          <w:rFonts w:ascii="Arial" w:cs="Arial" w:eastAsia="Arial" w:hAnsi="Arial"/>
          <w:sz w:val="16"/>
          <w:szCs w:val="16"/>
          <w:b w:val="1"/>
          <w:bCs w:val="1"/>
          <w:color w:val="auto"/>
        </w:rPr>
      </w:pPr>
    </w:p>
    <w:p>
      <w:pPr>
        <w:jc w:val="both"/>
        <w:ind w:firstLine="656"/>
        <w:spacing w:after="0" w:line="269" w:lineRule="auto"/>
        <w:tabs>
          <w:tab w:leader="none" w:pos="906" w:val="left"/>
        </w:tabs>
        <w:numPr>
          <w:ilvl w:val="0"/>
          <w:numId w:val="223"/>
        </w:numPr>
        <w:rPr>
          <w:rFonts w:ascii="Arial" w:cs="Arial" w:eastAsia="Arial" w:hAnsi="Arial"/>
          <w:sz w:val="17"/>
          <w:szCs w:val="17"/>
          <w:b w:val="1"/>
          <w:bCs w:val="1"/>
          <w:color w:val="auto"/>
        </w:rPr>
      </w:pPr>
      <w:r>
        <w:rPr>
          <w:rFonts w:ascii="Arial" w:cs="Arial" w:eastAsia="Arial" w:hAnsi="Arial"/>
          <w:sz w:val="17"/>
          <w:szCs w:val="17"/>
          <w:b w:val="1"/>
          <w:bCs w:val="1"/>
          <w:color w:val="auto"/>
        </w:rPr>
        <w:t>INDEMNIFICATION FOR EXPENSES OF A PARTY WHO IS WHOLLY OR PARTLY SUCCESSFUL</w:t>
      </w:r>
      <w:r>
        <w:rPr>
          <w:rFonts w:ascii="Arial" w:cs="Arial" w:eastAsia="Arial" w:hAnsi="Arial"/>
          <w:sz w:val="17"/>
          <w:szCs w:val="17"/>
          <w:color w:val="auto"/>
        </w:rPr>
        <w:t>. Notwithstanding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provisions of this Agreement except for </w:t>
      </w:r>
      <w:r>
        <w:rPr>
          <w:rFonts w:ascii="Arial" w:cs="Arial" w:eastAsia="Arial" w:hAnsi="Arial"/>
          <w:sz w:val="17"/>
          <w:szCs w:val="17"/>
          <w:u w:val="single" w:color="auto"/>
          <w:color w:val="auto"/>
        </w:rPr>
        <w:t>Section 27</w:t>
      </w:r>
      <w:r>
        <w:rPr>
          <w:rFonts w:ascii="Arial" w:cs="Arial" w:eastAsia="Arial" w:hAnsi="Arial"/>
          <w:sz w:val="17"/>
          <w:szCs w:val="17"/>
          <w:color w:val="auto"/>
        </w:rPr>
        <w:t xml:space="preserve">, to the extent that Indemnitee was or is, by reason of Indemnitee’s Corporate Status, a party to (or a participant in) and is successful, on the merits or otherwise, in any Proceeding or in defense of any claim, issue or matter therein, in whole or in part, the Company shall, to the fullest extent permitted by applicable law, indemnify, hold harmless and exonerate Indemnitee against all Expenses actually and reasonably incurred by Indemnitee in connection therewith. If Indemnitee is not wholly successful in such Proceeding but is successful, on the merits or otherwise, as to one or more but less than all claims, issues or matters in such Proceeding, the Company shall, to the fullest extent permitted by applicable law, indemnify, hold harmless and exonerate Indemnitee against all Expenses actually and reasonably incurred by Indemnitee or on Indemnitee’s behalf in connection with each successfully resolved claim, issue or matter. If Indemnitee is not wholly successful in such Proceeding, the Company also shall, to the fullest extent permitted by applicable law, indemnify, hold harmless and exonerate Indemnitee against all Expenses reasonably incurred in connection with a claim, issue or matter related to any claim, issue, or matter on which Indemnitee was successful. For purposes of this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and without limitation, the termination of any claim, issue or matter in such a Proceeding by dismissal, with or without prejudice, shall be deemed to be a successful result as to such claim, issue or matter.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293" w:name="page294"/>
    <w:bookmarkEnd w:id="293"/>
    <w:p>
      <w:pPr>
        <w:jc w:val="both"/>
        <w:ind w:firstLine="656"/>
        <w:spacing w:after="0" w:line="281" w:lineRule="auto"/>
        <w:tabs>
          <w:tab w:leader="none" w:pos="888" w:val="left"/>
        </w:tabs>
        <w:numPr>
          <w:ilvl w:val="0"/>
          <w:numId w:val="224"/>
        </w:numPr>
        <w:rPr>
          <w:rFonts w:ascii="Arial" w:cs="Arial" w:eastAsia="Arial" w:hAnsi="Arial"/>
          <w:sz w:val="17"/>
          <w:szCs w:val="17"/>
          <w:b w:val="1"/>
          <w:bCs w:val="1"/>
          <w:color w:val="auto"/>
        </w:rPr>
      </w:pPr>
      <w:r>
        <w:rPr>
          <w:rFonts w:ascii="Arial" w:cs="Arial" w:eastAsia="Arial" w:hAnsi="Arial"/>
          <w:sz w:val="17"/>
          <w:szCs w:val="17"/>
          <w:b w:val="1"/>
          <w:bCs w:val="1"/>
          <w:color w:val="auto"/>
        </w:rPr>
        <w:t>INDEMNIFICATION FOR EXPENSES OF A WITNESS</w:t>
      </w:r>
      <w:r>
        <w:rPr>
          <w:rFonts w:ascii="Arial" w:cs="Arial" w:eastAsia="Arial" w:hAnsi="Arial"/>
          <w:sz w:val="17"/>
          <w:szCs w:val="17"/>
          <w:color w:val="auto"/>
        </w:rPr>
        <w:t>. Notwithstanding any other provision of this Agreement, except for</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27</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to the extent that Indemnitee is, by reason of Indemnitee’s Corporate Status, a witness or deponent in any Proceeding to which Indemnitee was or is not a party or threatened to be made a party, Indemnitee shall, to the fullest extent permitted by applicable law, be indemnified, held harmless and exonerated against all Expenses actually and reasonably incurred by Indemnitee or on Indemnitee’s behalf in connection therewith.</w:t>
      </w:r>
    </w:p>
    <w:p>
      <w:pPr>
        <w:spacing w:after="0" w:line="178" w:lineRule="exact"/>
        <w:rPr>
          <w:rFonts w:ascii="Arial" w:cs="Arial" w:eastAsia="Arial" w:hAnsi="Arial"/>
          <w:sz w:val="17"/>
          <w:szCs w:val="17"/>
          <w:b w:val="1"/>
          <w:bCs w:val="1"/>
          <w:color w:val="auto"/>
        </w:rPr>
      </w:pPr>
    </w:p>
    <w:p>
      <w:pPr>
        <w:jc w:val="both"/>
        <w:ind w:firstLine="656"/>
        <w:spacing w:after="0" w:line="291" w:lineRule="auto"/>
        <w:tabs>
          <w:tab w:leader="none" w:pos="866" w:val="left"/>
        </w:tabs>
        <w:numPr>
          <w:ilvl w:val="0"/>
          <w:numId w:val="224"/>
        </w:numPr>
        <w:rPr>
          <w:rFonts w:ascii="Arial" w:cs="Arial" w:eastAsia="Arial" w:hAnsi="Arial"/>
          <w:sz w:val="16"/>
          <w:szCs w:val="16"/>
          <w:b w:val="1"/>
          <w:bCs w:val="1"/>
          <w:color w:val="auto"/>
        </w:rPr>
      </w:pPr>
      <w:r>
        <w:rPr>
          <w:rFonts w:ascii="Arial" w:cs="Arial" w:eastAsia="Arial" w:hAnsi="Arial"/>
          <w:sz w:val="16"/>
          <w:szCs w:val="16"/>
          <w:b w:val="1"/>
          <w:bCs w:val="1"/>
          <w:color w:val="auto"/>
        </w:rPr>
        <w:t>ADDITIONAL INDEMNIFICATION, HOLD HARMLESS AND EXONERATION RIGHTS</w:t>
      </w:r>
      <w:r>
        <w:rPr>
          <w:rFonts w:ascii="Arial" w:cs="Arial" w:eastAsia="Arial" w:hAnsi="Arial"/>
          <w:sz w:val="16"/>
          <w:szCs w:val="16"/>
          <w:color w:val="auto"/>
        </w:rPr>
        <w:t>. Notwithstanding any limitation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3</w:t>
      </w:r>
      <w:r>
        <w:rPr>
          <w:rFonts w:ascii="Arial" w:cs="Arial" w:eastAsia="Arial" w:hAnsi="Arial"/>
          <w:sz w:val="16"/>
          <w:szCs w:val="16"/>
          <w:color w:val="auto"/>
        </w:rPr>
        <w:t xml:space="preserve">, </w:t>
      </w:r>
      <w:r>
        <w:rPr>
          <w:rFonts w:ascii="Arial" w:cs="Arial" w:eastAsia="Arial" w:hAnsi="Arial"/>
          <w:sz w:val="16"/>
          <w:szCs w:val="16"/>
          <w:u w:val="single" w:color="auto"/>
          <w:color w:val="auto"/>
        </w:rPr>
        <w:t>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5</w:t>
      </w:r>
      <w:r>
        <w:rPr>
          <w:rFonts w:ascii="Arial" w:cs="Arial" w:eastAsia="Arial" w:hAnsi="Arial"/>
          <w:sz w:val="16"/>
          <w:szCs w:val="16"/>
          <w:color w:val="auto"/>
        </w:rPr>
        <w:t xml:space="preserve"> hereof and except for </w:t>
      </w:r>
      <w:r>
        <w:rPr>
          <w:rFonts w:ascii="Arial" w:cs="Arial" w:eastAsia="Arial" w:hAnsi="Arial"/>
          <w:sz w:val="16"/>
          <w:szCs w:val="16"/>
          <w:u w:val="single" w:color="auto"/>
          <w:color w:val="auto"/>
        </w:rPr>
        <w:t>Section 27</w:t>
      </w:r>
      <w:r>
        <w:rPr>
          <w:rFonts w:ascii="Arial" w:cs="Arial" w:eastAsia="Arial" w:hAnsi="Arial"/>
          <w:sz w:val="16"/>
          <w:szCs w:val="16"/>
          <w:color w:val="auto"/>
        </w:rPr>
        <w:t xml:space="preserve">, the Company shall, to the fullest extent permitted by applicable law, indemnify, hold harmless and exonerate Indemnitee if Indemnitee is a party to or threatened to be made a party to any Proceeding (including a Proceeding by or in the right of the Company to procure a judgment in its favor) against all Expenses, judgments, liabilities, fines, penalties and amounts paid in settlement (including all interest, assessments and other charges paid or payable in connection with or in respect of such Expenses, judgments, liabilities, fines, penalties and amounts paid in settlement) actually and reasonably incurred by Indemnitee in connection with the Proceeding. No indemnification, hold harmless or exoneration rights shall be available under this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on account of Indemnitee’s conduct which constitutes a breach of Indemnitee’s duty of loyalty to the Company or its stockholders or is an act or omission not in good faith or which involves intentional misconduct or a knowing violation of the law.</w:t>
      </w:r>
    </w:p>
    <w:p>
      <w:pPr>
        <w:spacing w:after="0" w:line="172" w:lineRule="exact"/>
        <w:rPr>
          <w:rFonts w:ascii="Arial" w:cs="Arial" w:eastAsia="Arial" w:hAnsi="Arial"/>
          <w:sz w:val="16"/>
          <w:szCs w:val="16"/>
          <w:b w:val="1"/>
          <w:bCs w:val="1"/>
          <w:color w:val="auto"/>
        </w:rPr>
      </w:pPr>
    </w:p>
    <w:p>
      <w:pPr>
        <w:ind w:left="880" w:hanging="224"/>
        <w:spacing w:after="0"/>
        <w:tabs>
          <w:tab w:leader="none" w:pos="880" w:val="left"/>
        </w:tabs>
        <w:numPr>
          <w:ilvl w:val="0"/>
          <w:numId w:val="224"/>
        </w:numPr>
        <w:rPr>
          <w:rFonts w:ascii="Arial" w:cs="Arial" w:eastAsia="Arial" w:hAnsi="Arial"/>
          <w:sz w:val="18"/>
          <w:szCs w:val="18"/>
          <w:b w:val="1"/>
          <w:bCs w:val="1"/>
          <w:color w:val="auto"/>
        </w:rPr>
      </w:pPr>
      <w:r>
        <w:rPr>
          <w:rFonts w:ascii="Arial" w:cs="Arial" w:eastAsia="Arial" w:hAnsi="Arial"/>
          <w:sz w:val="18"/>
          <w:szCs w:val="18"/>
          <w:b w:val="1"/>
          <w:bCs w:val="1"/>
          <w:color w:val="auto"/>
        </w:rPr>
        <w:t>CONTRIBUTION IN THE EVENT OF JOINT LIABILITY</w:t>
      </w:r>
      <w:r>
        <w:rPr>
          <w:rFonts w:ascii="Arial" w:cs="Arial" w:eastAsia="Arial" w:hAnsi="Arial"/>
          <w:sz w:val="18"/>
          <w:szCs w:val="18"/>
          <w:color w:val="auto"/>
        </w:rPr>
        <w:t>.</w:t>
      </w:r>
    </w:p>
    <w:p>
      <w:pPr>
        <w:spacing w:after="0" w:line="243" w:lineRule="exact"/>
        <w:rPr>
          <w:sz w:val="20"/>
          <w:szCs w:val="20"/>
          <w:color w:val="auto"/>
        </w:rPr>
      </w:pPr>
    </w:p>
    <w:p>
      <w:pPr>
        <w:jc w:val="both"/>
        <w:ind w:firstLine="656"/>
        <w:spacing w:after="0" w:line="275" w:lineRule="auto"/>
        <w:tabs>
          <w:tab w:leader="none" w:pos="976" w:val="left"/>
        </w:tabs>
        <w:numPr>
          <w:ilvl w:val="0"/>
          <w:numId w:val="225"/>
        </w:numPr>
        <w:rPr>
          <w:rFonts w:ascii="Arial" w:cs="Arial" w:eastAsia="Arial" w:hAnsi="Arial"/>
          <w:sz w:val="17"/>
          <w:szCs w:val="17"/>
          <w:color w:val="auto"/>
        </w:rPr>
      </w:pPr>
      <w:r>
        <w:rPr>
          <w:rFonts w:ascii="Arial" w:cs="Arial" w:eastAsia="Arial" w:hAnsi="Arial"/>
          <w:sz w:val="17"/>
          <w:szCs w:val="17"/>
          <w:color w:val="auto"/>
        </w:rPr>
        <w:t>To the fullest extent permissible under applicable law, if the indemnification, hold harmless and/or exoneration rights provided for in this Agreement are unavailable to Indemnitee in whole or in part for any reason whatsoever, the Company, in lieu of indemnifying, holding harmless or exonerating Indemnitee, shall pay, in the first instance, the entire amount incurred by Indemnitee, whether for judgments, liabilities, fines, penalties, amounts paid or to be paid in settlement and/or for Expenses, in connection with any Proceeding without requiring Indemnitee to contribute to such payment, and the Company hereby waives and relinquishes any right of contribution it may have at any time against Indemnitee.</w:t>
      </w:r>
    </w:p>
    <w:p>
      <w:pPr>
        <w:spacing w:after="0" w:line="189" w:lineRule="exact"/>
        <w:rPr>
          <w:rFonts w:ascii="Arial" w:cs="Arial" w:eastAsia="Arial" w:hAnsi="Arial"/>
          <w:sz w:val="17"/>
          <w:szCs w:val="17"/>
          <w:color w:val="auto"/>
        </w:rPr>
      </w:pPr>
    </w:p>
    <w:p>
      <w:pPr>
        <w:ind w:firstLine="656"/>
        <w:spacing w:after="0" w:line="277" w:lineRule="auto"/>
        <w:tabs>
          <w:tab w:leader="none" w:pos="967"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 Company shall not enter into any settlement of any Proceeding in which the Company is jointly liable with Indemnitee (or would be if joined in such Proceeding) unless such settlement provides for a full and final release of all claims asserted against Indemnitee.</w:t>
      </w:r>
    </w:p>
    <w:p>
      <w:pPr>
        <w:spacing w:after="0" w:line="183" w:lineRule="exact"/>
        <w:rPr>
          <w:rFonts w:ascii="Arial" w:cs="Arial" w:eastAsia="Arial" w:hAnsi="Arial"/>
          <w:sz w:val="18"/>
          <w:szCs w:val="18"/>
          <w:color w:val="auto"/>
        </w:rPr>
      </w:pPr>
    </w:p>
    <w:p>
      <w:pPr>
        <w:ind w:firstLine="656"/>
        <w:spacing w:after="0" w:line="277" w:lineRule="auto"/>
        <w:tabs>
          <w:tab w:leader="none" w:pos="977"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 Company hereby agrees to fully indemnify, hold harmless and exonerate Indemnitee from any claims for contribution which may be brought by officers, directors or employees of the Company other than Indemnitee who may be jointly liable with Indemnitee.</w:t>
      </w:r>
    </w:p>
    <w:p>
      <w:pPr>
        <w:spacing w:after="0" w:line="180" w:lineRule="exact"/>
        <w:rPr>
          <w:sz w:val="20"/>
          <w:szCs w:val="20"/>
          <w:color w:val="auto"/>
        </w:rPr>
      </w:pPr>
    </w:p>
    <w:p>
      <w:pPr>
        <w:ind w:firstLine="656"/>
        <w:spacing w:after="0" w:line="282" w:lineRule="auto"/>
        <w:tabs>
          <w:tab w:leader="none" w:pos="900" w:val="left"/>
        </w:tabs>
        <w:numPr>
          <w:ilvl w:val="0"/>
          <w:numId w:val="226"/>
        </w:numPr>
        <w:rPr>
          <w:rFonts w:ascii="Arial" w:cs="Arial" w:eastAsia="Arial" w:hAnsi="Arial"/>
          <w:sz w:val="18"/>
          <w:szCs w:val="18"/>
          <w:b w:val="1"/>
          <w:bCs w:val="1"/>
          <w:color w:val="auto"/>
        </w:rPr>
      </w:pPr>
      <w:r>
        <w:rPr>
          <w:rFonts w:ascii="Arial" w:cs="Arial" w:eastAsia="Arial" w:hAnsi="Arial"/>
          <w:sz w:val="18"/>
          <w:szCs w:val="18"/>
          <w:b w:val="1"/>
          <w:bCs w:val="1"/>
          <w:color w:val="auto"/>
        </w:rPr>
        <w:t>EXCLUSIONS</w:t>
      </w:r>
      <w:r>
        <w:rPr>
          <w:rFonts w:ascii="Arial" w:cs="Arial" w:eastAsia="Arial" w:hAnsi="Arial"/>
          <w:sz w:val="18"/>
          <w:szCs w:val="18"/>
          <w:color w:val="auto"/>
        </w:rPr>
        <w:t>. Notwithstanding any provision in this Agreement, the Company shall not be obligated under this Agreement to make any</w:t>
      </w:r>
      <w:r>
        <w:rPr>
          <w:rFonts w:ascii="Arial" w:cs="Arial" w:eastAsia="Arial" w:hAnsi="Arial"/>
          <w:sz w:val="18"/>
          <w:szCs w:val="18"/>
          <w:b w:val="1"/>
          <w:bCs w:val="1"/>
          <w:color w:val="auto"/>
        </w:rPr>
        <w:t xml:space="preserve"> </w:t>
      </w:r>
      <w:r>
        <w:rPr>
          <w:rFonts w:ascii="Arial" w:cs="Arial" w:eastAsia="Arial" w:hAnsi="Arial"/>
          <w:sz w:val="18"/>
          <w:szCs w:val="18"/>
          <w:color w:val="auto"/>
        </w:rPr>
        <w:t>indemnification, advance expenses, hold harmless or exoneration payment in connection with any claim made against Indemnitee:</w:t>
      </w:r>
    </w:p>
    <w:p>
      <w:pPr>
        <w:spacing w:after="0" w:line="179" w:lineRule="exact"/>
        <w:rPr>
          <w:sz w:val="20"/>
          <w:szCs w:val="20"/>
          <w:color w:val="auto"/>
        </w:rPr>
      </w:pPr>
    </w:p>
    <w:p>
      <w:pPr>
        <w:jc w:val="both"/>
        <w:ind w:firstLine="656"/>
        <w:spacing w:after="0" w:line="263" w:lineRule="auto"/>
        <w:tabs>
          <w:tab w:leader="none" w:pos="959" w:val="left"/>
        </w:tabs>
        <w:numPr>
          <w:ilvl w:val="0"/>
          <w:numId w:val="227"/>
        </w:numPr>
        <w:rPr>
          <w:rFonts w:ascii="Arial" w:cs="Arial" w:eastAsia="Arial" w:hAnsi="Arial"/>
          <w:sz w:val="18"/>
          <w:szCs w:val="18"/>
          <w:color w:val="auto"/>
        </w:rPr>
      </w:pPr>
      <w:r>
        <w:rPr>
          <w:rFonts w:ascii="Arial" w:cs="Arial" w:eastAsia="Arial" w:hAnsi="Arial"/>
          <w:sz w:val="18"/>
          <w:szCs w:val="18"/>
          <w:color w:val="auto"/>
        </w:rPr>
        <w:t>for which payment has actually been received by or on behalf of Indemnitee under any insurance policy or other indemnity or advancement provision, except with respect to any excess beyond the amount actually received under any insurance policy, contract, agreement, other indemnity or advancement provision or otherwise;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294" w:name="page295"/>
    <w:bookmarkEnd w:id="294"/>
    <w:p>
      <w:pPr>
        <w:ind w:firstLine="656"/>
        <w:spacing w:after="0" w:line="277" w:lineRule="auto"/>
        <w:tabs>
          <w:tab w:leader="none" w:pos="972" w:val="left"/>
        </w:tabs>
        <w:numPr>
          <w:ilvl w:val="0"/>
          <w:numId w:val="228"/>
        </w:numPr>
        <w:rPr>
          <w:rFonts w:ascii="Arial" w:cs="Arial" w:eastAsia="Arial" w:hAnsi="Arial"/>
          <w:sz w:val="18"/>
          <w:szCs w:val="18"/>
          <w:color w:val="auto"/>
        </w:rPr>
      </w:pPr>
      <w:r>
        <w:rPr>
          <w:rFonts w:ascii="Arial" w:cs="Arial" w:eastAsia="Arial" w:hAnsi="Arial"/>
          <w:sz w:val="18"/>
          <w:szCs w:val="18"/>
          <w:color w:val="auto"/>
        </w:rPr>
        <w:t>for an accounting of profits made from the purchase and sale (or sale and purchase) by Indemnitee of securities of the Company within the meaning of Section 16(b) of the Exchange Act (or any successor rule) or similar provisions of state statutory law or common law; or</w:t>
      </w:r>
    </w:p>
    <w:p>
      <w:pPr>
        <w:spacing w:after="0" w:line="183" w:lineRule="exact"/>
        <w:rPr>
          <w:rFonts w:ascii="Arial" w:cs="Arial" w:eastAsia="Arial" w:hAnsi="Arial"/>
          <w:sz w:val="18"/>
          <w:szCs w:val="18"/>
          <w:color w:val="auto"/>
        </w:rPr>
      </w:pPr>
    </w:p>
    <w:p>
      <w:pPr>
        <w:jc w:val="both"/>
        <w:ind w:firstLine="656"/>
        <w:spacing w:after="0" w:line="255" w:lineRule="auto"/>
        <w:tabs>
          <w:tab w:leader="none" w:pos="942" w:val="left"/>
        </w:tabs>
        <w:numPr>
          <w:ilvl w:val="0"/>
          <w:numId w:val="228"/>
        </w:numPr>
        <w:rPr>
          <w:rFonts w:ascii="Arial" w:cs="Arial" w:eastAsia="Arial" w:hAnsi="Arial"/>
          <w:sz w:val="18"/>
          <w:szCs w:val="18"/>
          <w:color w:val="auto"/>
        </w:rPr>
      </w:pPr>
      <w:r>
        <w:rPr>
          <w:rFonts w:ascii="Arial" w:cs="Arial" w:eastAsia="Arial" w:hAnsi="Arial"/>
          <w:sz w:val="18"/>
          <w:szCs w:val="18"/>
          <w:color w:val="auto"/>
        </w:rPr>
        <w:t xml:space="preserve">except as otherwise provided in </w:t>
      </w:r>
      <w:r>
        <w:rPr>
          <w:rFonts w:ascii="Arial" w:cs="Arial" w:eastAsia="Arial" w:hAnsi="Arial"/>
          <w:sz w:val="18"/>
          <w:szCs w:val="18"/>
          <w:u w:val="single" w:color="auto"/>
          <w:color w:val="auto"/>
        </w:rPr>
        <w:t>Sections 14(f)-(g)</w:t>
      </w:r>
      <w:r>
        <w:rPr>
          <w:rFonts w:ascii="Arial" w:cs="Arial" w:eastAsia="Arial" w:hAnsi="Arial"/>
          <w:sz w:val="18"/>
          <w:szCs w:val="18"/>
          <w:color w:val="auto"/>
        </w:rPr>
        <w:t xml:space="preserve"> hereof, prior to a Change in Control, 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any part of any Proceeding) prior to its initiation or (ii) the Company provides the indemnification, hold harmless or exoneration payment, in its sole discretion, pursuant to the powers vested in the Company under applicable law. Indemnitee shall seek payments or advances from the Company only to the extent that such payments or advances are unavailable from any insurance policy of the Company covering Indemnitee.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10. ADVANCES OF EXPENSES; DEFENSE OF CLAIM</w:t>
      </w:r>
      <w:r>
        <w:rPr>
          <w:rFonts w:ascii="Arial" w:cs="Arial" w:eastAsia="Arial" w:hAnsi="Arial"/>
          <w:sz w:val="18"/>
          <w:szCs w:val="18"/>
          <w:color w:val="auto"/>
        </w:rPr>
        <w:t>.</w:t>
      </w:r>
    </w:p>
    <w:p>
      <w:pPr>
        <w:spacing w:after="0" w:line="243" w:lineRule="exact"/>
        <w:rPr>
          <w:sz w:val="20"/>
          <w:szCs w:val="20"/>
          <w:color w:val="auto"/>
        </w:rPr>
      </w:pPr>
    </w:p>
    <w:p>
      <w:pPr>
        <w:jc w:val="both"/>
        <w:ind w:firstLine="656"/>
        <w:spacing w:after="0" w:line="287" w:lineRule="auto"/>
        <w:tabs>
          <w:tab w:leader="none" w:pos="952" w:val="left"/>
        </w:tabs>
        <w:numPr>
          <w:ilvl w:val="0"/>
          <w:numId w:val="229"/>
        </w:numPr>
        <w:rPr>
          <w:rFonts w:ascii="Arial" w:cs="Arial" w:eastAsia="Arial" w:hAnsi="Arial"/>
          <w:sz w:val="16"/>
          <w:szCs w:val="16"/>
          <w:color w:val="auto"/>
        </w:rPr>
      </w:pPr>
      <w:r>
        <w:rPr>
          <w:rFonts w:ascii="Arial" w:cs="Arial" w:eastAsia="Arial" w:hAnsi="Arial"/>
          <w:sz w:val="16"/>
          <w:szCs w:val="16"/>
          <w:color w:val="auto"/>
        </w:rPr>
        <w:t xml:space="preserve">Notwithstanding any provision of this Agreement to the contrary, except for </w:t>
      </w:r>
      <w:r>
        <w:rPr>
          <w:rFonts w:ascii="Arial" w:cs="Arial" w:eastAsia="Arial" w:hAnsi="Arial"/>
          <w:sz w:val="16"/>
          <w:szCs w:val="16"/>
          <w:u w:val="single" w:color="auto"/>
          <w:color w:val="auto"/>
        </w:rPr>
        <w:t>Section 27</w:t>
      </w:r>
      <w:r>
        <w:rPr>
          <w:rFonts w:ascii="Arial" w:cs="Arial" w:eastAsia="Arial" w:hAnsi="Arial"/>
          <w:sz w:val="16"/>
          <w:szCs w:val="16"/>
          <w:color w:val="auto"/>
        </w:rPr>
        <w:t xml:space="preserve">, and to the fullest extent not prohibited by applicable law, the Company shall pay the Expenses incurred by Indemnitee (or reasonably expected by Indemnitee to be incurred by Indemnitee within three months) in connection with any Proceeding within ten (10) days after the receipt by the Company of a statement or statements requesting such advances from time to time, prior to the final disposition of any Proceeding. Advances shall, to the fullest extent permitted by law, be unsecured and interest free. Advances shall, to the fullest extent permitted by law, be made without regard to Indemnitee’s ability to repay the Expenses and without regard to Indemnitee’s ultimate entitlement to be indemnified, held harmless or exonerated under the other provisions of this Agreement. Advances shall include any and all reasonable Expenses incurred pursuing a Proceeding to enforce this right of advancement, including Expenses incurred preparing and forwarding statements to the Company to support the advances claimed. To the fullest extent required by applicable law, such payments of Expenses in advance of the final disposition of the Proceeding shall be made only upon the Company’s receipt of an undertaking, by or on behalf of Indemnitee, to repay the advanced amounts to the extent that it is ultimately determined that Indemnitee is not entitled to be indemnified, held harmless or exonerated by the Company under the provisions of this Agreement, the Charter, the Bylaws, applicable law or otherwise. This </w:t>
      </w:r>
      <w:r>
        <w:rPr>
          <w:rFonts w:ascii="Arial" w:cs="Arial" w:eastAsia="Arial" w:hAnsi="Arial"/>
          <w:sz w:val="16"/>
          <w:szCs w:val="16"/>
          <w:u w:val="single" w:color="auto"/>
          <w:color w:val="auto"/>
        </w:rPr>
        <w:t>Section 10(a)</w:t>
      </w:r>
      <w:r>
        <w:rPr>
          <w:rFonts w:ascii="Arial" w:cs="Arial" w:eastAsia="Arial" w:hAnsi="Arial"/>
          <w:sz w:val="16"/>
          <w:szCs w:val="16"/>
          <w:color w:val="auto"/>
        </w:rPr>
        <w:t xml:space="preserve"> shall not apply to any claim made by Indemnitee for which an indemnification, hold harmless or exoneration payment is excluded pursuant to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hereof.</w:t>
      </w:r>
    </w:p>
    <w:p>
      <w:pPr>
        <w:spacing w:after="0" w:line="181" w:lineRule="exact"/>
        <w:rPr>
          <w:rFonts w:ascii="Arial" w:cs="Arial" w:eastAsia="Arial" w:hAnsi="Arial"/>
          <w:sz w:val="16"/>
          <w:szCs w:val="16"/>
          <w:color w:val="auto"/>
        </w:rPr>
      </w:pPr>
    </w:p>
    <w:p>
      <w:pPr>
        <w:ind w:left="960" w:hanging="304"/>
        <w:spacing w:after="0"/>
        <w:tabs>
          <w:tab w:leader="none" w:pos="96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Company will be entitled to participate in the Proceeding at its own expense.</w:t>
      </w:r>
    </w:p>
    <w:p>
      <w:pPr>
        <w:spacing w:after="0" w:line="238" w:lineRule="exact"/>
        <w:rPr>
          <w:rFonts w:ascii="Arial" w:cs="Arial" w:eastAsia="Arial" w:hAnsi="Arial"/>
          <w:sz w:val="18"/>
          <w:szCs w:val="18"/>
          <w:color w:val="auto"/>
        </w:rPr>
      </w:pPr>
    </w:p>
    <w:p>
      <w:pPr>
        <w:ind w:firstLine="656"/>
        <w:spacing w:after="0" w:line="277" w:lineRule="auto"/>
        <w:tabs>
          <w:tab w:leader="none" w:pos="938"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Company shall not settle any action, claim or Proceeding (in whole or in part) which would impose any Expense, judgment, liability, fine, penalty or limitation on Indemnitee without Indemnitee’s prior written consent.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11. PROCEDURE FOR NOTIFICATION AND APPLICATION FOR INDEMNIFICATION</w:t>
      </w:r>
      <w:r>
        <w:rPr>
          <w:rFonts w:ascii="Arial" w:cs="Arial" w:eastAsia="Arial" w:hAnsi="Arial"/>
          <w:sz w:val="18"/>
          <w:szCs w:val="18"/>
          <w:color w:val="auto"/>
        </w:rPr>
        <w:t>.</w:t>
      </w:r>
    </w:p>
    <w:p>
      <w:pPr>
        <w:spacing w:after="0" w:line="243" w:lineRule="exact"/>
        <w:rPr>
          <w:sz w:val="20"/>
          <w:szCs w:val="20"/>
          <w:color w:val="auto"/>
        </w:rPr>
      </w:pPr>
    </w:p>
    <w:p>
      <w:pPr>
        <w:jc w:val="both"/>
        <w:ind w:firstLine="656"/>
        <w:spacing w:after="0" w:line="259" w:lineRule="auto"/>
        <w:tabs>
          <w:tab w:leader="none" w:pos="1024" w:val="left"/>
        </w:tabs>
        <w:numPr>
          <w:ilvl w:val="0"/>
          <w:numId w:val="230"/>
        </w:numPr>
        <w:rPr>
          <w:rFonts w:ascii="Arial" w:cs="Arial" w:eastAsia="Arial" w:hAnsi="Arial"/>
          <w:sz w:val="18"/>
          <w:szCs w:val="18"/>
          <w:color w:val="auto"/>
        </w:rPr>
      </w:pPr>
      <w:r>
        <w:rPr>
          <w:rFonts w:ascii="Arial" w:cs="Arial" w:eastAsia="Arial" w:hAnsi="Arial"/>
          <w:sz w:val="18"/>
          <w:szCs w:val="18"/>
          <w:color w:val="auto"/>
        </w:rPr>
        <w:t>Indemnitee agrees to notify promptly the Company in writing upon being served with any summons, citation, subpoena, complaint, indictment, information or other document relating to any Proceeding, claim, issue or matter therein which may be subject to indemnification, hold harmless or exoneration rights, or advancement of Expenses covered hereunder. The failure of Indemnitee to so notify the Company shall not relieve the Company of any obligation which it may have to Indemnitee under this Agreement, or otherwise.</w:t>
      </w:r>
    </w:p>
    <w:p>
      <w:pPr>
        <w:spacing w:after="0" w:line="200" w:lineRule="exact"/>
        <w:rPr>
          <w:rFonts w:ascii="Arial" w:cs="Arial" w:eastAsia="Arial" w:hAnsi="Arial"/>
          <w:sz w:val="18"/>
          <w:szCs w:val="18"/>
          <w:color w:val="auto"/>
        </w:rPr>
      </w:pPr>
    </w:p>
    <w:p>
      <w:pPr>
        <w:jc w:val="both"/>
        <w:ind w:firstLine="656"/>
        <w:spacing w:after="0" w:line="259" w:lineRule="auto"/>
        <w:tabs>
          <w:tab w:leader="none" w:pos="976" w:val="left"/>
        </w:tabs>
        <w:numPr>
          <w:ilvl w:val="0"/>
          <w:numId w:val="230"/>
        </w:numPr>
        <w:rPr>
          <w:rFonts w:ascii="Arial" w:cs="Arial" w:eastAsia="Arial" w:hAnsi="Arial"/>
          <w:sz w:val="18"/>
          <w:szCs w:val="18"/>
          <w:color w:val="auto"/>
        </w:rPr>
      </w:pPr>
      <w:r>
        <w:rPr>
          <w:rFonts w:ascii="Arial" w:cs="Arial" w:eastAsia="Arial" w:hAnsi="Arial"/>
          <w:sz w:val="18"/>
          <w:szCs w:val="18"/>
          <w:color w:val="auto"/>
        </w:rPr>
        <w:t xml:space="preserve">Indemnitee may deliver to the Company a written application to indemnify, hold harmless or exonerate Indemnitee in accordance with this Agreement. Such application(s) may be delivered from time to time and at such time(s) as Indemnitee deems appropriate in his or her sole discretion. Following such a written application for indemnification by Indemnitee, Indemnitee’s entitlement to indemnification shall be determined according to </w:t>
      </w:r>
      <w:r>
        <w:rPr>
          <w:rFonts w:ascii="Arial" w:cs="Arial" w:eastAsia="Arial" w:hAnsi="Arial"/>
          <w:sz w:val="18"/>
          <w:szCs w:val="18"/>
          <w:u w:val="single" w:color="auto"/>
          <w:color w:val="auto"/>
        </w:rPr>
        <w:t>Section 12(a)</w:t>
      </w:r>
      <w:r>
        <w:rPr>
          <w:rFonts w:ascii="Arial" w:cs="Arial" w:eastAsia="Arial" w:hAnsi="Arial"/>
          <w:sz w:val="18"/>
          <w:szCs w:val="18"/>
          <w:color w:val="auto"/>
        </w:rPr>
        <w:t xml:space="preserve"> of this Agreement.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295" w:name="page296"/>
    <w:bookmarkEnd w:id="295"/>
    <w:p>
      <w:pPr>
        <w:ind w:left="660"/>
        <w:spacing w:after="0"/>
        <w:rPr>
          <w:sz w:val="20"/>
          <w:szCs w:val="20"/>
          <w:color w:val="auto"/>
        </w:rPr>
      </w:pPr>
      <w:r>
        <w:rPr>
          <w:rFonts w:ascii="Arial" w:cs="Arial" w:eastAsia="Arial" w:hAnsi="Arial"/>
          <w:sz w:val="18"/>
          <w:szCs w:val="18"/>
          <w:b w:val="1"/>
          <w:bCs w:val="1"/>
          <w:color w:val="auto"/>
        </w:rPr>
        <w:t>12. PROCEDURE UPON APPLICATION FOR INDEMNIFICATION</w:t>
      </w:r>
      <w:r>
        <w:rPr>
          <w:rFonts w:ascii="Arial" w:cs="Arial" w:eastAsia="Arial" w:hAnsi="Arial"/>
          <w:sz w:val="18"/>
          <w:szCs w:val="18"/>
          <w:color w:val="auto"/>
        </w:rPr>
        <w:t>.</w:t>
      </w:r>
    </w:p>
    <w:p>
      <w:pPr>
        <w:spacing w:after="0" w:line="243" w:lineRule="exact"/>
        <w:rPr>
          <w:sz w:val="20"/>
          <w:szCs w:val="20"/>
          <w:color w:val="auto"/>
        </w:rPr>
      </w:pPr>
    </w:p>
    <w:p>
      <w:pPr>
        <w:jc w:val="both"/>
        <w:ind w:firstLine="656"/>
        <w:spacing w:after="0" w:line="286" w:lineRule="auto"/>
        <w:tabs>
          <w:tab w:leader="none" w:pos="945" w:val="left"/>
        </w:tabs>
        <w:numPr>
          <w:ilvl w:val="0"/>
          <w:numId w:val="231"/>
        </w:numPr>
        <w:rPr>
          <w:rFonts w:ascii="Arial" w:cs="Arial" w:eastAsia="Arial" w:hAnsi="Arial"/>
          <w:sz w:val="16"/>
          <w:szCs w:val="16"/>
          <w:color w:val="auto"/>
        </w:rPr>
      </w:pPr>
      <w:r>
        <w:rPr>
          <w:rFonts w:ascii="Arial" w:cs="Arial" w:eastAsia="Arial" w:hAnsi="Arial"/>
          <w:sz w:val="16"/>
          <w:szCs w:val="16"/>
          <w:color w:val="auto"/>
        </w:rPr>
        <w:t>A determination, if required by applicable law, with respect to Indemnitee’s entitlement to indemnification shall be made in the specific case by one of the following methods: (i) if no Change in Control has occurred (x) by a majority vote of the Disinterested Directors, even though less than a quorum of the Board, (y) by a committee of Disinterested Directors, even though less than a quorum of the Board, or (z) if there are no Disinterested Directors, or if such Disinterested Directors so direct, by Independent Counsel in a written opinion to the Board, a copy of which shall be delivered to Indemnitee; or (ii) if a Change in Control has occurred, by Independent Counsel in a written opinion to the Board, a copy of which shall be delivered to Indemnitee. The Company promptly will advise Indemnitee in writing with respect to any determination that Indemnitee is or is not entitled to indemnification, including a description of any reason or basis for which indemnification has been denied. If it is so determined that Indemnitee is entitled to indemnification, payment to Indemnitee shall be made within ten (10) days after such determination. Indemnitee shall reasonably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costs or Expenses incurred by Indemnitee in so cooperating with the person, persons or entity making such determination shall be borne by the Company (irrespective of the determination as to Indemnitee’s entitlement to indemnification) and the Company hereby agrees to indemnify and to hold Indemnitee harmless therefrom.</w:t>
      </w:r>
    </w:p>
    <w:p>
      <w:pPr>
        <w:spacing w:after="0" w:line="187" w:lineRule="exact"/>
        <w:rPr>
          <w:rFonts w:ascii="Arial" w:cs="Arial" w:eastAsia="Arial" w:hAnsi="Arial"/>
          <w:sz w:val="16"/>
          <w:szCs w:val="16"/>
          <w:color w:val="auto"/>
        </w:rPr>
      </w:pPr>
    </w:p>
    <w:p>
      <w:pPr>
        <w:jc w:val="both"/>
        <w:ind w:firstLine="656"/>
        <w:spacing w:after="0" w:line="285" w:lineRule="auto"/>
        <w:tabs>
          <w:tab w:leader="none" w:pos="968" w:val="left"/>
        </w:tabs>
        <w:numPr>
          <w:ilvl w:val="0"/>
          <w:numId w:val="231"/>
        </w:numPr>
        <w:rPr>
          <w:rFonts w:ascii="Arial" w:cs="Arial" w:eastAsia="Arial" w:hAnsi="Arial"/>
          <w:sz w:val="16"/>
          <w:szCs w:val="16"/>
          <w:color w:val="auto"/>
        </w:rPr>
      </w:pPr>
      <w:r>
        <w:rPr>
          <w:rFonts w:ascii="Arial" w:cs="Arial" w:eastAsia="Arial" w:hAnsi="Arial"/>
          <w:sz w:val="16"/>
          <w:szCs w:val="16"/>
          <w:color w:val="auto"/>
        </w:rPr>
        <w:t xml:space="preserve">In the event the determination of entitlement to indemnification is to be made by Independent Counsel pursuant to </w:t>
      </w:r>
      <w:r>
        <w:rPr>
          <w:rFonts w:ascii="Arial" w:cs="Arial" w:eastAsia="Arial" w:hAnsi="Arial"/>
          <w:sz w:val="16"/>
          <w:szCs w:val="16"/>
          <w:u w:val="single" w:color="auto"/>
          <w:color w:val="auto"/>
        </w:rPr>
        <w:t>Section 12(a)</w:t>
      </w:r>
      <w:r>
        <w:rPr>
          <w:rFonts w:ascii="Arial" w:cs="Arial" w:eastAsia="Arial" w:hAnsi="Arial"/>
          <w:sz w:val="16"/>
          <w:szCs w:val="16"/>
          <w:color w:val="auto"/>
        </w:rPr>
        <w:t xml:space="preserve"> hereof, the Independent Counsel shall be selected as provided in this </w:t>
      </w:r>
      <w:r>
        <w:rPr>
          <w:rFonts w:ascii="Arial" w:cs="Arial" w:eastAsia="Arial" w:hAnsi="Arial"/>
          <w:sz w:val="16"/>
          <w:szCs w:val="16"/>
          <w:u w:val="single" w:color="auto"/>
          <w:color w:val="auto"/>
        </w:rPr>
        <w:t>Section 12(b)</w:t>
      </w:r>
      <w:r>
        <w:rPr>
          <w:rFonts w:ascii="Arial" w:cs="Arial" w:eastAsia="Arial" w:hAnsi="Arial"/>
          <w:sz w:val="16"/>
          <w:szCs w:val="16"/>
          <w:color w:val="auto"/>
        </w:rPr>
        <w:t xml:space="preserve">. The Independent Counsel shall be selected by Indemnitee (unless Indemnitee shall request that such selection be made by the Board), and Indemnitee shall give written notice to the Company advising it of the identity of the Independent Counsel so selected and certifying that the Independent Counsel so selected meets the requirements of “Independent Counsel” as defined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of this Agreement. If the Independent Counsel is selected by the Board, the Company shall give written notice to Indemnitee advising Indemnitee of the identity of the Independent Counsel so selected and certifying that the Independent Counsel so selected meets the requirements of “Independent Counsel” as defined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of this Agreement. In either event, Indemnitee or the Company, as the case may be, may, within ten (10) days after such written notice of selection shall have been received, deliver to the Company or to Indemnitee, as the case may be, a written objection to such selection; provided, however, that such objection may be asserted only on the ground that the Independent Counsel so selected does not meet the requirements of “Independent Counsel” as defined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of competent jurisdiction has determined that such objection is without merit. If, within twenty (20) days after submission by Indemnitee of a written request for indemnification pursuant to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11(b)</w:t>
      </w:r>
      <w:r>
        <w:rPr>
          <w:rFonts w:ascii="Arial" w:cs="Arial" w:eastAsia="Arial" w:hAnsi="Arial"/>
          <w:sz w:val="16"/>
          <w:szCs w:val="16"/>
          <w:color w:val="auto"/>
        </w:rPr>
        <w:t xml:space="preserve"> hereof, no Independent Counsel shall have been selected and not objected to, either the Company or Indemnitee may petition the Delaware Court for resolution of any objection which shall have been made by the Company or Indemnitee to the other’s selection of Independent Counsel and/or for the appointment as Independent Counsel of a person selected by the Delaware Court, and the person with respect to whom all objections are so resolved or the person so appointed shall act as Independent Counsel under </w:t>
      </w:r>
      <w:r>
        <w:rPr>
          <w:rFonts w:ascii="Arial" w:cs="Arial" w:eastAsia="Arial" w:hAnsi="Arial"/>
          <w:sz w:val="16"/>
          <w:szCs w:val="16"/>
          <w:u w:val="single" w:color="auto"/>
          <w:color w:val="auto"/>
        </w:rPr>
        <w:t>Section 12(a)</w:t>
      </w:r>
      <w:r>
        <w:rPr>
          <w:rFonts w:ascii="Arial" w:cs="Arial" w:eastAsia="Arial" w:hAnsi="Arial"/>
          <w:sz w:val="16"/>
          <w:szCs w:val="16"/>
          <w:color w:val="auto"/>
        </w:rPr>
        <w:t xml:space="preserve"> hereof. Upon the due commencement of any judicial proceeding or arbitration pursuant to </w:t>
      </w:r>
      <w:r>
        <w:rPr>
          <w:rFonts w:ascii="Arial" w:cs="Arial" w:eastAsia="Arial" w:hAnsi="Arial"/>
          <w:sz w:val="16"/>
          <w:szCs w:val="16"/>
          <w:u w:val="single" w:color="auto"/>
          <w:color w:val="auto"/>
        </w:rPr>
        <w:t>Section 14(a)</w:t>
      </w:r>
      <w:r>
        <w:rPr>
          <w:rFonts w:ascii="Arial" w:cs="Arial" w:eastAsia="Arial" w:hAnsi="Arial"/>
          <w:sz w:val="16"/>
          <w:szCs w:val="16"/>
          <w:color w:val="auto"/>
        </w:rPr>
        <w:t xml:space="preserve"> of this Agreement, Independent Counsel shall be discharged and relieved of any further responsibility in such capacity (subject to the applicable standards of professional conduct then prevailing).</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296" w:name="page297"/>
    <w:bookmarkEnd w:id="296"/>
    <w:p>
      <w:pPr>
        <w:jc w:val="both"/>
        <w:ind w:firstLine="656"/>
        <w:spacing w:after="0" w:line="263" w:lineRule="auto"/>
        <w:tabs>
          <w:tab w:leader="none" w:pos="998"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 Company agrees to pay the reasonable fees and expenses of Independent Counsel and to fully indemnify and hold harmless such Independent Counsel against any and all Expenses, claims, liabilities and damages arising out of or relating to this Agreement or its engagement pursuant hereto.</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13. PRESUMPTIONS AND EFFECT OF CERTAIN PROCEEDINGS</w:t>
      </w:r>
      <w:r>
        <w:rPr>
          <w:rFonts w:ascii="Arial" w:cs="Arial" w:eastAsia="Arial" w:hAnsi="Arial"/>
          <w:sz w:val="18"/>
          <w:szCs w:val="18"/>
          <w:color w:val="auto"/>
        </w:rPr>
        <w:t>.</w:t>
      </w:r>
    </w:p>
    <w:p>
      <w:pPr>
        <w:spacing w:after="0" w:line="243" w:lineRule="exact"/>
        <w:rPr>
          <w:sz w:val="20"/>
          <w:szCs w:val="20"/>
          <w:color w:val="auto"/>
        </w:rPr>
      </w:pPr>
    </w:p>
    <w:p>
      <w:pPr>
        <w:jc w:val="both"/>
        <w:ind w:firstLine="656"/>
        <w:spacing w:after="0" w:line="271" w:lineRule="auto"/>
        <w:tabs>
          <w:tab w:leader="none" w:pos="955" w:val="left"/>
        </w:tabs>
        <w:numPr>
          <w:ilvl w:val="0"/>
          <w:numId w:val="233"/>
        </w:numPr>
        <w:rPr>
          <w:rFonts w:ascii="Arial" w:cs="Arial" w:eastAsia="Arial" w:hAnsi="Arial"/>
          <w:sz w:val="17"/>
          <w:szCs w:val="17"/>
          <w:color w:val="auto"/>
        </w:rPr>
      </w:pPr>
      <w:r>
        <w:rPr>
          <w:rFonts w:ascii="Arial" w:cs="Arial" w:eastAsia="Arial" w:hAnsi="Arial"/>
          <w:sz w:val="17"/>
          <w:szCs w:val="17"/>
          <w:color w:val="auto"/>
        </w:rPr>
        <w:t xml:space="preserve">In making a determination with respect to entitlement to indemnification hereunder, the person, persons or entity making such determination shall presume that Indemnitee is entitled to indemnification under this Agreement if Indemnitee has submitted a request for indemnification in accordance with </w:t>
      </w:r>
      <w:r>
        <w:rPr>
          <w:rFonts w:ascii="Arial" w:cs="Arial" w:eastAsia="Arial" w:hAnsi="Arial"/>
          <w:sz w:val="17"/>
          <w:szCs w:val="17"/>
          <w:u w:val="single" w:color="auto"/>
          <w:color w:val="auto"/>
        </w:rPr>
        <w:t>Section 11(b)</w:t>
      </w:r>
      <w:r>
        <w:rPr>
          <w:rFonts w:ascii="Arial" w:cs="Arial" w:eastAsia="Arial" w:hAnsi="Arial"/>
          <w:sz w:val="17"/>
          <w:szCs w:val="17"/>
          <w:color w:val="auto"/>
        </w:rPr>
        <w:t xml:space="preserve"> of this Agreement, and the Company shall have the burden of proof to overcome that presumption in connection with the making by any person, persons or entity of any determination contrary to that presumption. Neither the failure of the Company (including by the Disinterested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the Disinterested Directors or Independent Counsel) that Indemnitee has not met such applicable standard of conduct, shall be a defense to the action or create a presumption that Indemnitee has not met the applicable standard of conduct.</w:t>
      </w:r>
    </w:p>
    <w:p>
      <w:pPr>
        <w:spacing w:after="0" w:line="191" w:lineRule="exact"/>
        <w:rPr>
          <w:rFonts w:ascii="Arial" w:cs="Arial" w:eastAsia="Arial" w:hAnsi="Arial"/>
          <w:sz w:val="17"/>
          <w:szCs w:val="17"/>
          <w:color w:val="auto"/>
        </w:rPr>
      </w:pPr>
    </w:p>
    <w:p>
      <w:pPr>
        <w:jc w:val="both"/>
        <w:ind w:firstLine="656"/>
        <w:spacing w:after="0" w:line="271" w:lineRule="auto"/>
        <w:tabs>
          <w:tab w:leader="none" w:pos="982" w:val="left"/>
        </w:tabs>
        <w:numPr>
          <w:ilvl w:val="0"/>
          <w:numId w:val="233"/>
        </w:numPr>
        <w:rPr>
          <w:rFonts w:ascii="Arial" w:cs="Arial" w:eastAsia="Arial" w:hAnsi="Arial"/>
          <w:sz w:val="17"/>
          <w:szCs w:val="17"/>
          <w:color w:val="auto"/>
        </w:rPr>
      </w:pPr>
      <w:r>
        <w:rPr>
          <w:rFonts w:ascii="Arial" w:cs="Arial" w:eastAsia="Arial" w:hAnsi="Arial"/>
          <w:sz w:val="17"/>
          <w:szCs w:val="17"/>
          <w:color w:val="auto"/>
        </w:rPr>
        <w:t xml:space="preserve">If the person, persons or entity empowered or selected under </w:t>
      </w: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of this Agreement to determine whether Indemnitee is entitled to indemnification shall not have made a determination within thirty (30) days after receipt by the Company of the request therefor, the requisite determination of entitlement to indemnification shall, to the fullest extent permitted by law,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final judicial determination that any or all such indemnification is expressly prohibited under applicable law; provided, however, that such 30-day period may be extended for a reasonable time, not to exceed an additional fifteen (15) days, if the person, persons or entity making the determination with respect to entitlement to indemnification in good faith requires such additional time for the obtaining or evaluating of documentation and/or information relating thereto.</w:t>
      </w:r>
    </w:p>
    <w:p>
      <w:pPr>
        <w:spacing w:after="0" w:line="191" w:lineRule="exact"/>
        <w:rPr>
          <w:rFonts w:ascii="Arial" w:cs="Arial" w:eastAsia="Arial" w:hAnsi="Arial"/>
          <w:sz w:val="17"/>
          <w:szCs w:val="17"/>
          <w:color w:val="auto"/>
        </w:rPr>
      </w:pPr>
    </w:p>
    <w:p>
      <w:pPr>
        <w:jc w:val="both"/>
        <w:ind w:firstLine="656"/>
        <w:spacing w:after="0" w:line="257" w:lineRule="auto"/>
        <w:tabs>
          <w:tab w:leader="none" w:pos="962"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The termination of any Proceeding or of any claim, issue or matter therein, by judgment, order, settlement or conviction, or upon a plea of nolo contendere or its equivalent, shall not (except as otherwise expressly provided in this Agreement) of itself adversely affect the right of Indemnitee to indemnification or create a presumption that Indemnitee did not act in good faith and in a manner which Indemnitee reasonably believed to be in or not opposed to the best interests of the Company or, with respect to any criminal Proceeding, that Indemnitee had reasonable cause to believe that Indemnitee’s conduct was unlawful.</w:t>
      </w:r>
    </w:p>
    <w:p>
      <w:pPr>
        <w:spacing w:after="0" w:line="201" w:lineRule="exact"/>
        <w:rPr>
          <w:rFonts w:ascii="Arial" w:cs="Arial" w:eastAsia="Arial" w:hAnsi="Arial"/>
          <w:sz w:val="18"/>
          <w:szCs w:val="18"/>
          <w:color w:val="auto"/>
        </w:rPr>
      </w:pPr>
    </w:p>
    <w:p>
      <w:pPr>
        <w:jc w:val="both"/>
        <w:ind w:firstLine="656"/>
        <w:spacing w:after="0" w:line="253" w:lineRule="auto"/>
        <w:tabs>
          <w:tab w:leader="none" w:pos="951" w:val="left"/>
        </w:tabs>
        <w:numPr>
          <w:ilvl w:val="0"/>
          <w:numId w:val="233"/>
        </w:numPr>
        <w:rPr>
          <w:rFonts w:ascii="Arial" w:cs="Arial" w:eastAsia="Arial" w:hAnsi="Arial"/>
          <w:sz w:val="18"/>
          <w:szCs w:val="18"/>
          <w:color w:val="auto"/>
        </w:rPr>
      </w:pPr>
      <w:r>
        <w:rPr>
          <w:rFonts w:ascii="Arial" w:cs="Arial" w:eastAsia="Arial" w:hAnsi="Arial"/>
          <w:sz w:val="18"/>
          <w:szCs w:val="18"/>
          <w:color w:val="auto"/>
        </w:rPr>
        <w:t xml:space="preserve">For purposes of any determination of good faith, Indemnitee shall be deemed to have acted in good faith if Indemnitee’s action is based on the records or books of account of the Enterprise, including financial statements, or on information supplied to Indemnitee by the directors, trustees, general partners, managers or managing members of the Enterprise in the course of their duties, or on the advice of legal counsel for the Enterprise, its Board, any committee of the Board or any director, trustee, general partner, manager or managing member of the Enterprise, or on information or records given or reports made to the Enterprise, its Board, any committee of the Board or any director, trustee, general partner, manager or managing member of the Enterprise, by an independent certified public accountant or by an appraiser or other expert selected by the Enterprise, its Board, any committee of the Board or any director, trustee, general partner, manager or managing member. The provisions of this </w:t>
      </w:r>
      <w:r>
        <w:rPr>
          <w:rFonts w:ascii="Arial" w:cs="Arial" w:eastAsia="Arial" w:hAnsi="Arial"/>
          <w:sz w:val="18"/>
          <w:szCs w:val="18"/>
          <w:u w:val="single" w:color="auto"/>
          <w:color w:val="auto"/>
        </w:rPr>
        <w:t>Section 13(d)</w:t>
      </w:r>
      <w:r>
        <w:rPr>
          <w:rFonts w:ascii="Arial" w:cs="Arial" w:eastAsia="Arial" w:hAnsi="Arial"/>
          <w:sz w:val="18"/>
          <w:szCs w:val="18"/>
          <w:color w:val="auto"/>
        </w:rPr>
        <w:t xml:space="preserve"> shall not be deemed to be exclusive or to limit in any way the other circumstances in which Indemnitee may be deemed or found to have met the applicable standard of conduct set forth in this Agreement.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297" w:name="page298"/>
    <w:bookmarkEnd w:id="297"/>
    <w:p>
      <w:pPr>
        <w:ind w:firstLine="656"/>
        <w:spacing w:after="0" w:line="308" w:lineRule="auto"/>
        <w:tabs>
          <w:tab w:leader="none" w:pos="945" w:val="left"/>
        </w:tabs>
        <w:numPr>
          <w:ilvl w:val="0"/>
          <w:numId w:val="234"/>
        </w:numPr>
        <w:rPr>
          <w:rFonts w:ascii="Arial" w:cs="Arial" w:eastAsia="Arial" w:hAnsi="Arial"/>
          <w:sz w:val="17"/>
          <w:szCs w:val="17"/>
          <w:color w:val="auto"/>
        </w:rPr>
      </w:pPr>
      <w:r>
        <w:rPr>
          <w:rFonts w:ascii="Arial" w:cs="Arial" w:eastAsia="Arial" w:hAnsi="Arial"/>
          <w:sz w:val="17"/>
          <w:szCs w:val="17"/>
          <w:color w:val="auto"/>
        </w:rPr>
        <w:t>The knowledge and/or actions, or failure to act, of any other director, officer, trustee, partner, manager, managing member, fiduciary, agent or employee of the Enterprise shall not be imputed to Indemnitee for purposes of determining the right to indemnification under this Agreement.</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14. REMEDIES OF INDEMNITEE</w:t>
      </w:r>
      <w:r>
        <w:rPr>
          <w:rFonts w:ascii="Arial" w:cs="Arial" w:eastAsia="Arial" w:hAnsi="Arial"/>
          <w:sz w:val="18"/>
          <w:szCs w:val="18"/>
          <w:color w:val="auto"/>
        </w:rPr>
        <w:t>.</w:t>
      </w:r>
    </w:p>
    <w:p>
      <w:pPr>
        <w:spacing w:after="0" w:line="243" w:lineRule="exact"/>
        <w:rPr>
          <w:sz w:val="20"/>
          <w:szCs w:val="20"/>
          <w:color w:val="auto"/>
        </w:rPr>
      </w:pPr>
    </w:p>
    <w:p>
      <w:pPr>
        <w:jc w:val="both"/>
        <w:ind w:firstLine="656"/>
        <w:spacing w:after="0" w:line="287" w:lineRule="auto"/>
        <w:tabs>
          <w:tab w:leader="none" w:pos="946" w:val="left"/>
        </w:tabs>
        <w:numPr>
          <w:ilvl w:val="0"/>
          <w:numId w:val="235"/>
        </w:numPr>
        <w:rPr>
          <w:rFonts w:ascii="Arial" w:cs="Arial" w:eastAsia="Arial" w:hAnsi="Arial"/>
          <w:sz w:val="16"/>
          <w:szCs w:val="16"/>
          <w:color w:val="auto"/>
        </w:rPr>
      </w:pPr>
      <w:r>
        <w:rPr>
          <w:rFonts w:ascii="Arial" w:cs="Arial" w:eastAsia="Arial" w:hAnsi="Arial"/>
          <w:sz w:val="16"/>
          <w:szCs w:val="16"/>
          <w:color w:val="auto"/>
        </w:rPr>
        <w:t xml:space="preserve">In the event that (i) a determination is made pursuant to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of this Agreement that Indemnitee is not entitled to indemnification under this Agreement, (ii) advancement of Expenses, to the fullest extent permitted by applicable law, is not timely made pursuant to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of this Agreement, (iii) no determination of entitlement to indemnification shall have been made pursuant to </w:t>
      </w:r>
      <w:r>
        <w:rPr>
          <w:rFonts w:ascii="Arial" w:cs="Arial" w:eastAsia="Arial" w:hAnsi="Arial"/>
          <w:sz w:val="16"/>
          <w:szCs w:val="16"/>
          <w:u w:val="single" w:color="auto"/>
          <w:color w:val="auto"/>
        </w:rPr>
        <w:t>Section 12(a)</w:t>
      </w:r>
      <w:r>
        <w:rPr>
          <w:rFonts w:ascii="Arial" w:cs="Arial" w:eastAsia="Arial" w:hAnsi="Arial"/>
          <w:sz w:val="16"/>
          <w:szCs w:val="16"/>
          <w:color w:val="auto"/>
        </w:rPr>
        <w:t xml:space="preserve"> of this Agreement within thirty (30) days after receipt by the Company of the request for indemnification, (iv) payment of indemnification is not made pursuant to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w:t>
      </w:r>
      <w:r>
        <w:rPr>
          <w:rFonts w:ascii="Arial" w:cs="Arial" w:eastAsia="Arial" w:hAnsi="Arial"/>
          <w:sz w:val="16"/>
          <w:szCs w:val="16"/>
          <w:u w:val="single" w:color="auto"/>
          <w:color w:val="auto"/>
        </w:rPr>
        <w:t>6</w:t>
      </w:r>
      <w:r>
        <w:rPr>
          <w:rFonts w:ascii="Arial" w:cs="Arial" w:eastAsia="Arial" w:hAnsi="Arial"/>
          <w:sz w:val="16"/>
          <w:szCs w:val="16"/>
          <w:color w:val="auto"/>
        </w:rPr>
        <w:t xml:space="preserve">, </w:t>
      </w:r>
      <w:r>
        <w:rPr>
          <w:rFonts w:ascii="Arial" w:cs="Arial" w:eastAsia="Arial" w:hAnsi="Arial"/>
          <w:sz w:val="16"/>
          <w:szCs w:val="16"/>
          <w:u w:val="single" w:color="auto"/>
          <w:color w:val="auto"/>
        </w:rPr>
        <w:t>7</w:t>
      </w:r>
      <w:r>
        <w:rPr>
          <w:rFonts w:ascii="Arial" w:cs="Arial" w:eastAsia="Arial" w:hAnsi="Arial"/>
          <w:sz w:val="16"/>
          <w:szCs w:val="16"/>
          <w:color w:val="auto"/>
        </w:rPr>
        <w:t xml:space="preserve"> or the last sentence of </w:t>
      </w:r>
      <w:r>
        <w:rPr>
          <w:rFonts w:ascii="Arial" w:cs="Arial" w:eastAsia="Arial" w:hAnsi="Arial"/>
          <w:sz w:val="16"/>
          <w:szCs w:val="16"/>
          <w:u w:val="single" w:color="auto"/>
          <w:color w:val="auto"/>
        </w:rPr>
        <w:t>Section 12(a)</w:t>
      </w:r>
      <w:r>
        <w:rPr>
          <w:rFonts w:ascii="Arial" w:cs="Arial" w:eastAsia="Arial" w:hAnsi="Arial"/>
          <w:sz w:val="16"/>
          <w:szCs w:val="16"/>
          <w:color w:val="auto"/>
        </w:rPr>
        <w:t xml:space="preserve"> of this Agreement within ten (10) days after receipt by the Company of a written request therefor, (v) a contribution payment is not made in a timely manner pursuant to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of this Agreement, (vi) payment of indemnification pursuant to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4</w:t>
      </w:r>
      <w:r>
        <w:rPr>
          <w:rFonts w:ascii="Arial" w:cs="Arial" w:eastAsia="Arial" w:hAnsi="Arial"/>
          <w:sz w:val="16"/>
          <w:szCs w:val="16"/>
          <w:color w:val="auto"/>
        </w:rPr>
        <w:t xml:space="preserve"> of this Agreement is not made within ten (10) days after a determination has been made that Indemnitee is entitled to indemnification, or (vii) payment to Indemnitee pursuant to any hold harmless or exoneration rights under this Agreement or otherwise is not made in accordance with this Agreement, Indemnitee shall be entitled to an adjudication by the Delaware Court to such indemnification, hold harmless, exoneration, contribution or advancement rights. Alternatively, Indemnitee, at Indemnitee’s option, may seek an award in arbitration to be conducted by a single arbitrator pursuant to the Commercial Arbitration Rules and Mediation Procedures of the American Arbitration Association. Except as set forth herein, the provisions of Delaware law (without regard to its conflict of laws rules) shall apply to any such arbitration. The Company shall not oppose Indemnitee’s right to seek any such adjudication or award in arbitration.</w:t>
      </w:r>
    </w:p>
    <w:p>
      <w:pPr>
        <w:spacing w:after="0" w:line="181" w:lineRule="exact"/>
        <w:rPr>
          <w:rFonts w:ascii="Arial" w:cs="Arial" w:eastAsia="Arial" w:hAnsi="Arial"/>
          <w:sz w:val="16"/>
          <w:szCs w:val="16"/>
          <w:color w:val="auto"/>
        </w:rPr>
      </w:pPr>
    </w:p>
    <w:p>
      <w:pPr>
        <w:jc w:val="both"/>
        <w:ind w:firstLine="656"/>
        <w:spacing w:after="0" w:line="263" w:lineRule="auto"/>
        <w:tabs>
          <w:tab w:leader="none" w:pos="1011" w:val="left"/>
        </w:tabs>
        <w:numPr>
          <w:ilvl w:val="0"/>
          <w:numId w:val="235"/>
        </w:numPr>
        <w:rPr>
          <w:rFonts w:ascii="Arial" w:cs="Arial" w:eastAsia="Arial" w:hAnsi="Arial"/>
          <w:sz w:val="18"/>
          <w:szCs w:val="18"/>
          <w:color w:val="auto"/>
        </w:rPr>
      </w:pPr>
      <w:r>
        <w:rPr>
          <w:rFonts w:ascii="Arial" w:cs="Arial" w:eastAsia="Arial" w:hAnsi="Arial"/>
          <w:sz w:val="18"/>
          <w:szCs w:val="18"/>
          <w:color w:val="auto"/>
        </w:rPr>
        <w:t xml:space="preserve">In the event that a determination shall have been made pursuant to </w:t>
      </w:r>
      <w:r>
        <w:rPr>
          <w:rFonts w:ascii="Arial" w:cs="Arial" w:eastAsia="Arial" w:hAnsi="Arial"/>
          <w:sz w:val="18"/>
          <w:szCs w:val="18"/>
          <w:u w:val="single" w:color="auto"/>
          <w:color w:val="auto"/>
        </w:rPr>
        <w:t>Section 12(a)</w:t>
      </w:r>
      <w:r>
        <w:rPr>
          <w:rFonts w:ascii="Arial" w:cs="Arial" w:eastAsia="Arial" w:hAnsi="Arial"/>
          <w:sz w:val="18"/>
          <w:szCs w:val="18"/>
          <w:color w:val="auto"/>
        </w:rPr>
        <w:t xml:space="preserve"> of this Agreement that Indemnitee is not entitled to indemnification, any judicial proceeding or arbitration commenced pursuant to this </w:t>
      </w:r>
      <w:r>
        <w:rPr>
          <w:rFonts w:ascii="Arial" w:cs="Arial" w:eastAsia="Arial" w:hAnsi="Arial"/>
          <w:sz w:val="18"/>
          <w:szCs w:val="18"/>
          <w:u w:val="single" w:color="auto"/>
          <w:color w:val="auto"/>
        </w:rPr>
        <w:t>Section 14</w:t>
      </w:r>
      <w:r>
        <w:rPr>
          <w:rFonts w:ascii="Arial" w:cs="Arial" w:eastAsia="Arial" w:hAnsi="Arial"/>
          <w:sz w:val="18"/>
          <w:szCs w:val="18"/>
          <w:color w:val="auto"/>
        </w:rPr>
        <w:t xml:space="preserve"> shall be conducted in all respects as a de novo trial, or arbitration, on the merits and Indemnitee shall not be prejudiced by reason of that adverse determination.</w:t>
      </w:r>
    </w:p>
    <w:p>
      <w:pPr>
        <w:spacing w:after="0" w:line="197" w:lineRule="exact"/>
        <w:rPr>
          <w:rFonts w:ascii="Arial" w:cs="Arial" w:eastAsia="Arial" w:hAnsi="Arial"/>
          <w:sz w:val="18"/>
          <w:szCs w:val="18"/>
          <w:color w:val="auto"/>
        </w:rPr>
      </w:pPr>
    </w:p>
    <w:p>
      <w:pPr>
        <w:jc w:val="both"/>
        <w:ind w:firstLine="656"/>
        <w:spacing w:after="0" w:line="272" w:lineRule="auto"/>
        <w:tabs>
          <w:tab w:leader="none" w:pos="1021" w:val="left"/>
        </w:tabs>
        <w:numPr>
          <w:ilvl w:val="0"/>
          <w:numId w:val="235"/>
        </w:numPr>
        <w:rPr>
          <w:rFonts w:ascii="Arial" w:cs="Arial" w:eastAsia="Arial" w:hAnsi="Arial"/>
          <w:sz w:val="17"/>
          <w:szCs w:val="17"/>
          <w:color w:val="auto"/>
        </w:rPr>
      </w:pPr>
      <w:r>
        <w:rPr>
          <w:rFonts w:ascii="Arial" w:cs="Arial" w:eastAsia="Arial" w:hAnsi="Arial"/>
          <w:sz w:val="17"/>
          <w:szCs w:val="17"/>
          <w:color w:val="auto"/>
        </w:rPr>
        <w:t xml:space="preserve">In any judicial proceeding or arbitration commenced pursuant to this </w:t>
      </w:r>
      <w:r>
        <w:rPr>
          <w:rFonts w:ascii="Arial" w:cs="Arial" w:eastAsia="Arial" w:hAnsi="Arial"/>
          <w:sz w:val="17"/>
          <w:szCs w:val="17"/>
          <w:u w:val="single" w:color="auto"/>
          <w:color w:val="auto"/>
        </w:rPr>
        <w:t>Section 14</w:t>
      </w:r>
      <w:r>
        <w:rPr>
          <w:rFonts w:ascii="Arial" w:cs="Arial" w:eastAsia="Arial" w:hAnsi="Arial"/>
          <w:sz w:val="17"/>
          <w:szCs w:val="17"/>
          <w:color w:val="auto"/>
        </w:rPr>
        <w:t xml:space="preserve">, Indemnitee shall be presumed to be entitled to be indemnified, held harmless, and exonerated and to receive advancement of Expenses under this Agreement and the Company shall have the burden of proving Indemnitee is not entitled to be indemnified, held harmless, and exonerated and to receive advancement of Expenses, as the case may be, and the Company may not refer to or introduce into evidence any determination pursuant to </w:t>
      </w:r>
      <w:r>
        <w:rPr>
          <w:rFonts w:ascii="Arial" w:cs="Arial" w:eastAsia="Arial" w:hAnsi="Arial"/>
          <w:sz w:val="17"/>
          <w:szCs w:val="17"/>
          <w:u w:val="single" w:color="auto"/>
          <w:color w:val="auto"/>
        </w:rPr>
        <w:t>Section 12(a)</w:t>
      </w:r>
      <w:r>
        <w:rPr>
          <w:rFonts w:ascii="Arial" w:cs="Arial" w:eastAsia="Arial" w:hAnsi="Arial"/>
          <w:sz w:val="17"/>
          <w:szCs w:val="17"/>
          <w:color w:val="auto"/>
        </w:rPr>
        <w:t xml:space="preserve"> of this Agreement adverse to Indemnitee for any purpose. If Indemnitee commences a judicial proceeding or arbitration pursuant to this </w:t>
      </w:r>
      <w:r>
        <w:rPr>
          <w:rFonts w:ascii="Arial" w:cs="Arial" w:eastAsia="Arial" w:hAnsi="Arial"/>
          <w:sz w:val="17"/>
          <w:szCs w:val="17"/>
          <w:u w:val="single" w:color="auto"/>
          <w:color w:val="auto"/>
        </w:rPr>
        <w:t>Section 14</w:t>
      </w:r>
      <w:r>
        <w:rPr>
          <w:rFonts w:ascii="Arial" w:cs="Arial" w:eastAsia="Arial" w:hAnsi="Arial"/>
          <w:sz w:val="17"/>
          <w:szCs w:val="17"/>
          <w:color w:val="auto"/>
        </w:rPr>
        <w:t xml:space="preserve">, Indemnitee shall not be required to reimburse the Company for any advances pursuant to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of this Agreement until a final determination is made with respect to Indemnitee’s entitlement to indemnification (as to which all rights of appeal have been exhausted or lapsed).</w:t>
      </w:r>
    </w:p>
    <w:p>
      <w:pPr>
        <w:spacing w:after="0" w:line="190" w:lineRule="exact"/>
        <w:rPr>
          <w:rFonts w:ascii="Arial" w:cs="Arial" w:eastAsia="Arial" w:hAnsi="Arial"/>
          <w:sz w:val="17"/>
          <w:szCs w:val="17"/>
          <w:color w:val="auto"/>
        </w:rPr>
      </w:pPr>
    </w:p>
    <w:p>
      <w:pPr>
        <w:jc w:val="both"/>
        <w:ind w:firstLine="656"/>
        <w:spacing w:after="0" w:line="279" w:lineRule="auto"/>
        <w:tabs>
          <w:tab w:leader="none" w:pos="1002" w:val="left"/>
        </w:tabs>
        <w:numPr>
          <w:ilvl w:val="0"/>
          <w:numId w:val="235"/>
        </w:numPr>
        <w:rPr>
          <w:rFonts w:ascii="Arial" w:cs="Arial" w:eastAsia="Arial" w:hAnsi="Arial"/>
          <w:sz w:val="17"/>
          <w:szCs w:val="17"/>
          <w:color w:val="auto"/>
        </w:rPr>
      </w:pPr>
      <w:r>
        <w:rPr>
          <w:rFonts w:ascii="Arial" w:cs="Arial" w:eastAsia="Arial" w:hAnsi="Arial"/>
          <w:sz w:val="17"/>
          <w:szCs w:val="17"/>
          <w:color w:val="auto"/>
        </w:rPr>
        <w:t xml:space="preserve">If a determination shall have been made pursuant to </w:t>
      </w:r>
      <w:r>
        <w:rPr>
          <w:rFonts w:ascii="Arial" w:cs="Arial" w:eastAsia="Arial" w:hAnsi="Arial"/>
          <w:sz w:val="17"/>
          <w:szCs w:val="17"/>
          <w:u w:val="single" w:color="auto"/>
          <w:color w:val="auto"/>
        </w:rPr>
        <w:t>Section 12(a)</w:t>
      </w:r>
      <w:r>
        <w:rPr>
          <w:rFonts w:ascii="Arial" w:cs="Arial" w:eastAsia="Arial" w:hAnsi="Arial"/>
          <w:sz w:val="17"/>
          <w:szCs w:val="17"/>
          <w:color w:val="auto"/>
        </w:rPr>
        <w:t xml:space="preserve"> of this Agreement that Indemnitee is entitled to indemnification, the Company shall be bound by such determination in any judicial proceeding or arbitration commenced pursuant to this </w:t>
      </w:r>
      <w:r>
        <w:rPr>
          <w:rFonts w:ascii="Arial" w:cs="Arial" w:eastAsia="Arial" w:hAnsi="Arial"/>
          <w:sz w:val="17"/>
          <w:szCs w:val="17"/>
          <w:u w:val="single" w:color="auto"/>
          <w:color w:val="auto"/>
        </w:rPr>
        <w:t>Section 14</w:t>
      </w:r>
      <w:r>
        <w:rPr>
          <w:rFonts w:ascii="Arial" w:cs="Arial" w:eastAsia="Arial" w:hAnsi="Arial"/>
          <w:sz w:val="17"/>
          <w:szCs w:val="17"/>
          <w:color w:val="auto"/>
        </w:rPr>
        <w:t>,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298" w:name="page299"/>
    <w:bookmarkEnd w:id="298"/>
    <w:p>
      <w:pPr>
        <w:jc w:val="both"/>
        <w:ind w:firstLine="656"/>
        <w:spacing w:after="0" w:line="263" w:lineRule="auto"/>
        <w:tabs>
          <w:tab w:leader="none" w:pos="977" w:val="left"/>
        </w:tabs>
        <w:numPr>
          <w:ilvl w:val="0"/>
          <w:numId w:val="236"/>
        </w:numPr>
        <w:rPr>
          <w:rFonts w:ascii="Arial" w:cs="Arial" w:eastAsia="Arial" w:hAnsi="Arial"/>
          <w:sz w:val="18"/>
          <w:szCs w:val="18"/>
          <w:color w:val="auto"/>
        </w:rPr>
      </w:pPr>
      <w:r>
        <w:rPr>
          <w:rFonts w:ascii="Arial" w:cs="Arial" w:eastAsia="Arial" w:hAnsi="Arial"/>
          <w:sz w:val="18"/>
          <w:szCs w:val="18"/>
          <w:color w:val="auto"/>
        </w:rPr>
        <w:t xml:space="preserve">The Company shall be precluded from asserting in any judicial proceeding or arbitration commenced pursuant to this </w:t>
      </w:r>
      <w:r>
        <w:rPr>
          <w:rFonts w:ascii="Arial" w:cs="Arial" w:eastAsia="Arial" w:hAnsi="Arial"/>
          <w:sz w:val="18"/>
          <w:szCs w:val="18"/>
          <w:u w:val="single" w:color="auto"/>
          <w:color w:val="auto"/>
        </w:rPr>
        <w:t>Section 14</w:t>
      </w:r>
      <w:r>
        <w:rPr>
          <w:rFonts w:ascii="Arial" w:cs="Arial" w:eastAsia="Arial" w:hAnsi="Arial"/>
          <w:sz w:val="18"/>
          <w:szCs w:val="18"/>
          <w:color w:val="auto"/>
        </w:rPr>
        <w:t xml:space="preserve"> that the procedures and presumptions of this Agreement are not valid, binding and enforceable and shall stipulate in any such court or before any such arbitrator that the Company is bound by all the provisions of this Agreement.</w:t>
      </w:r>
    </w:p>
    <w:p>
      <w:pPr>
        <w:spacing w:after="0" w:line="197" w:lineRule="exact"/>
        <w:rPr>
          <w:rFonts w:ascii="Arial" w:cs="Arial" w:eastAsia="Arial" w:hAnsi="Arial"/>
          <w:sz w:val="18"/>
          <w:szCs w:val="18"/>
          <w:color w:val="auto"/>
        </w:rPr>
      </w:pPr>
    </w:p>
    <w:p>
      <w:pPr>
        <w:jc w:val="both"/>
        <w:ind w:firstLine="656"/>
        <w:spacing w:after="0" w:line="271" w:lineRule="auto"/>
        <w:tabs>
          <w:tab w:leader="none" w:pos="985" w:val="left"/>
        </w:tabs>
        <w:numPr>
          <w:ilvl w:val="0"/>
          <w:numId w:val="236"/>
        </w:numPr>
        <w:rPr>
          <w:rFonts w:ascii="Arial" w:cs="Arial" w:eastAsia="Arial" w:hAnsi="Arial"/>
          <w:sz w:val="17"/>
          <w:szCs w:val="17"/>
          <w:color w:val="auto"/>
        </w:rPr>
      </w:pPr>
      <w:r>
        <w:rPr>
          <w:rFonts w:ascii="Arial" w:cs="Arial" w:eastAsia="Arial" w:hAnsi="Arial"/>
          <w:sz w:val="17"/>
          <w:szCs w:val="17"/>
          <w:color w:val="auto"/>
        </w:rPr>
        <w:t>The Company shall indemnify and hold harmless Indemnitee to the fullest extent permitted by law against all Expenses and, if requested by Indemnitee, shall (within ten (10) days after the Company’s receipt of such written request) pay to Indemnitee, to the fullest extent permitted by applicable law, such Expenses which are incurred by Indemnitee in connection with any judicial proceeding or arbitration brought by Indemnitee: (i) to enforce his or her rights under, or to recover damages for breach of, this Agreement or any other indemnification, hold harmless, exoneration, advancement or contribution agreement or provision of the Charter, or the Bylaws now or hereafter in effect; or (ii) for recovery or advances under any insurance policy maintained by any person for the benefit of Indemnitee, regardless of the outcome and whether Indemnitee ultimately is determined to be entitled to such indemnification, hold harmless or exoneration right, advancement, contribution or insurance recovery, as the case may be (unless such judicial proceeding or arbitration was not brought by Indemnitee in good faith).</w:t>
      </w:r>
    </w:p>
    <w:p>
      <w:pPr>
        <w:spacing w:after="0" w:line="191" w:lineRule="exact"/>
        <w:rPr>
          <w:rFonts w:ascii="Arial" w:cs="Arial" w:eastAsia="Arial" w:hAnsi="Arial"/>
          <w:sz w:val="17"/>
          <w:szCs w:val="17"/>
          <w:color w:val="auto"/>
        </w:rPr>
      </w:pPr>
    </w:p>
    <w:p>
      <w:pPr>
        <w:jc w:val="both"/>
        <w:ind w:firstLine="656"/>
        <w:spacing w:after="0" w:line="259" w:lineRule="auto"/>
        <w:tabs>
          <w:tab w:leader="none" w:pos="956" w:val="left"/>
        </w:tabs>
        <w:numPr>
          <w:ilvl w:val="0"/>
          <w:numId w:val="236"/>
        </w:numPr>
        <w:rPr>
          <w:rFonts w:ascii="Arial" w:cs="Arial" w:eastAsia="Arial" w:hAnsi="Arial"/>
          <w:sz w:val="18"/>
          <w:szCs w:val="18"/>
          <w:color w:val="auto"/>
        </w:rPr>
      </w:pPr>
      <w:r>
        <w:rPr>
          <w:rFonts w:ascii="Arial" w:cs="Arial" w:eastAsia="Arial" w:hAnsi="Arial"/>
          <w:sz w:val="18"/>
          <w:szCs w:val="18"/>
          <w:color w:val="auto"/>
        </w:rPr>
        <w:t>Interest shall be paid by the Company to Indemnitee at the legal rate under Delaware law for amounts which the Company indemnifies, holds harmless or exonerates, or advances, or is obliged to indemnify, hold harmless or exonerate or advance for the period commencing with the date on which Indemnitee requests indemnification, to be held harmless, exonerated, contribution, reimbursement or advancement of any Expenses and ending with the date on which such payment is made to Indemnitee by the Company.</w:t>
      </w:r>
    </w:p>
    <w:p>
      <w:pPr>
        <w:spacing w:after="0" w:line="196" w:lineRule="exact"/>
        <w:rPr>
          <w:sz w:val="20"/>
          <w:szCs w:val="20"/>
          <w:color w:val="auto"/>
        </w:rPr>
      </w:pPr>
    </w:p>
    <w:p>
      <w:pPr>
        <w:jc w:val="both"/>
        <w:ind w:firstLine="656"/>
        <w:spacing w:after="0" w:line="261" w:lineRule="auto"/>
        <w:tabs>
          <w:tab w:leader="none" w:pos="1017" w:val="left"/>
        </w:tabs>
        <w:numPr>
          <w:ilvl w:val="0"/>
          <w:numId w:val="237"/>
        </w:numPr>
        <w:rPr>
          <w:rFonts w:ascii="Arial" w:cs="Arial" w:eastAsia="Arial" w:hAnsi="Arial"/>
          <w:sz w:val="18"/>
          <w:szCs w:val="18"/>
          <w:b w:val="1"/>
          <w:bCs w:val="1"/>
          <w:color w:val="auto"/>
        </w:rPr>
      </w:pPr>
      <w:r>
        <w:rPr>
          <w:rFonts w:ascii="Arial" w:cs="Arial" w:eastAsia="Arial" w:hAnsi="Arial"/>
          <w:sz w:val="18"/>
          <w:szCs w:val="18"/>
          <w:b w:val="1"/>
          <w:bCs w:val="1"/>
          <w:color w:val="auto"/>
        </w:rPr>
        <w:t>SECURITY</w:t>
      </w:r>
      <w:r>
        <w:rPr>
          <w:rFonts w:ascii="Arial" w:cs="Arial" w:eastAsia="Arial" w:hAnsi="Arial"/>
          <w:sz w:val="18"/>
          <w:szCs w:val="18"/>
          <w:color w:val="auto"/>
        </w:rPr>
        <w:t>. Notwithstanding anything herein to the contrary, except for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27</w:t>
      </w:r>
      <w:r>
        <w:rPr>
          <w:rFonts w:ascii="Arial" w:cs="Arial" w:eastAsia="Arial" w:hAnsi="Arial"/>
          <w:sz w:val="18"/>
          <w:szCs w:val="18"/>
          <w:b w:val="1"/>
          <w:bCs w:val="1"/>
          <w:color w:val="auto"/>
        </w:rPr>
        <w:t xml:space="preserve"> </w:t>
      </w:r>
      <w:r>
        <w:rPr>
          <w:rFonts w:ascii="Arial" w:cs="Arial" w:eastAsia="Arial" w:hAnsi="Arial"/>
          <w:sz w:val="18"/>
          <w:szCs w:val="18"/>
          <w:color w:val="auto"/>
        </w:rPr>
        <w:t>hereof, to the extent requested by Indemnitee and</w:t>
      </w:r>
      <w:r>
        <w:rPr>
          <w:rFonts w:ascii="Arial" w:cs="Arial" w:eastAsia="Arial" w:hAnsi="Arial"/>
          <w:sz w:val="18"/>
          <w:szCs w:val="18"/>
          <w:b w:val="1"/>
          <w:bCs w:val="1"/>
          <w:color w:val="auto"/>
        </w:rPr>
        <w:t xml:space="preserve"> </w:t>
      </w:r>
      <w:r>
        <w:rPr>
          <w:rFonts w:ascii="Arial" w:cs="Arial" w:eastAsia="Arial" w:hAnsi="Arial"/>
          <w:sz w:val="18"/>
          <w:szCs w:val="18"/>
          <w:color w:val="auto"/>
        </w:rPr>
        <w:t>approved by the Board, the Company may at any time and from time to time provide security to Indemnitee for the Company’s obligations hereunder through an irrevocable bank line of credit, funded trust or other collateral. Any such security, once provided to Indemnitee, may not be revoked or released without the prior written consent of Indemnitee.</w:t>
      </w:r>
    </w:p>
    <w:p>
      <w:pPr>
        <w:spacing w:after="0" w:line="193" w:lineRule="exact"/>
        <w:rPr>
          <w:rFonts w:ascii="Arial" w:cs="Arial" w:eastAsia="Arial" w:hAnsi="Arial"/>
          <w:sz w:val="18"/>
          <w:szCs w:val="18"/>
          <w:b w:val="1"/>
          <w:bCs w:val="1"/>
          <w:color w:val="auto"/>
        </w:rPr>
      </w:pPr>
    </w:p>
    <w:p>
      <w:pPr>
        <w:ind w:left="980" w:hanging="324"/>
        <w:spacing w:after="0"/>
        <w:tabs>
          <w:tab w:leader="none" w:pos="980" w:val="left"/>
        </w:tabs>
        <w:numPr>
          <w:ilvl w:val="0"/>
          <w:numId w:val="237"/>
        </w:numPr>
        <w:rPr>
          <w:rFonts w:ascii="Arial" w:cs="Arial" w:eastAsia="Arial" w:hAnsi="Arial"/>
          <w:sz w:val="18"/>
          <w:szCs w:val="18"/>
          <w:b w:val="1"/>
          <w:bCs w:val="1"/>
          <w:color w:val="auto"/>
        </w:rPr>
      </w:pPr>
      <w:r>
        <w:rPr>
          <w:rFonts w:ascii="Arial" w:cs="Arial" w:eastAsia="Arial" w:hAnsi="Arial"/>
          <w:sz w:val="18"/>
          <w:szCs w:val="18"/>
          <w:b w:val="1"/>
          <w:bCs w:val="1"/>
          <w:color w:val="auto"/>
        </w:rPr>
        <w:t>NON-EXCLUSIVITY; SURVIVAL OF RIGHTS; INSURANCE; SUBROGATION</w:t>
      </w:r>
      <w:r>
        <w:rPr>
          <w:rFonts w:ascii="Arial" w:cs="Arial" w:eastAsia="Arial" w:hAnsi="Arial"/>
          <w:sz w:val="18"/>
          <w:szCs w:val="18"/>
          <w:color w:val="auto"/>
        </w:rPr>
        <w:t>.</w:t>
      </w:r>
    </w:p>
    <w:p>
      <w:pPr>
        <w:spacing w:after="0" w:line="243" w:lineRule="exact"/>
        <w:rPr>
          <w:sz w:val="20"/>
          <w:szCs w:val="20"/>
          <w:color w:val="auto"/>
        </w:rPr>
      </w:pPr>
    </w:p>
    <w:p>
      <w:pPr>
        <w:jc w:val="both"/>
        <w:ind w:firstLine="656"/>
        <w:spacing w:after="0" w:line="269" w:lineRule="auto"/>
        <w:tabs>
          <w:tab w:leader="none" w:pos="960" w:val="left"/>
        </w:tabs>
        <w:numPr>
          <w:ilvl w:val="0"/>
          <w:numId w:val="238"/>
        </w:numPr>
        <w:rPr>
          <w:rFonts w:ascii="Arial" w:cs="Arial" w:eastAsia="Arial" w:hAnsi="Arial"/>
          <w:sz w:val="17"/>
          <w:szCs w:val="17"/>
          <w:color w:val="auto"/>
        </w:rPr>
      </w:pPr>
      <w:r>
        <w:rPr>
          <w:rFonts w:ascii="Arial" w:cs="Arial" w:eastAsia="Arial" w:hAnsi="Arial"/>
          <w:sz w:val="17"/>
          <w:szCs w:val="17"/>
          <w:color w:val="auto"/>
        </w:rPr>
        <w:t>The rights of Indemnitee as provided by this Agreement shall not be deemed exclusive of any other rights to which Indemnitee may at any time be entitled under applicable law, the Charter, the Bylaws, any agreement, a vote of stockholders or a resolution of directors, or otherwise. No amendment, alteration or repeal of this Agreement or of any provision hereof shall limit or restrict any right of Indemnitee under this Agreement in respect of any Proceeding (regardless of when such Proceeding is first threatened, commenced or completed) or claim, issue or matter therein arising out of, or related to, any action taken or omitted by such Indemnitee in Indemnitee’s Corporate Status prior to such amendment, alteration or repeal. To the extent that a change in applicable law, whether by statute or judicial decision, permits greater indemnification, hold harmless or exoneration rights or advancement of Expenses than would be afforded currently under the Charter, the Bylaws or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299" w:name="page300"/>
    <w:bookmarkEnd w:id="299"/>
    <w:p>
      <w:pPr>
        <w:jc w:val="both"/>
        <w:ind w:firstLine="656"/>
        <w:spacing w:after="0" w:line="290" w:lineRule="auto"/>
        <w:tabs>
          <w:tab w:leader="none" w:pos="962" w:val="left"/>
        </w:tabs>
        <w:numPr>
          <w:ilvl w:val="1"/>
          <w:numId w:val="239"/>
        </w:numPr>
        <w:rPr>
          <w:rFonts w:ascii="Arial" w:cs="Arial" w:eastAsia="Arial" w:hAnsi="Arial"/>
          <w:sz w:val="16"/>
          <w:szCs w:val="16"/>
          <w:color w:val="auto"/>
        </w:rPr>
      </w:pPr>
      <w:r>
        <w:rPr>
          <w:rFonts w:ascii="Arial" w:cs="Arial" w:eastAsia="Arial" w:hAnsi="Arial"/>
          <w:sz w:val="16"/>
          <w:szCs w:val="16"/>
          <w:color w:val="auto"/>
        </w:rPr>
        <w:t>The DGCL, the Charter and the Bylaws permit the Company to purchase and maintain insurance or furnish similar protection or make other arrangements including, but not limited to, providing a trust fund, letter of credit, or surety bond (“</w:t>
      </w:r>
      <w:r>
        <w:rPr>
          <w:rFonts w:ascii="Arial" w:cs="Arial" w:eastAsia="Arial" w:hAnsi="Arial"/>
          <w:sz w:val="16"/>
          <w:szCs w:val="16"/>
          <w:b w:val="1"/>
          <w:bCs w:val="1"/>
          <w:i w:val="1"/>
          <w:iCs w:val="1"/>
          <w:color w:val="auto"/>
        </w:rPr>
        <w:t>Indemnification Arrangements</w:t>
      </w:r>
      <w:r>
        <w:rPr>
          <w:rFonts w:ascii="Arial" w:cs="Arial" w:eastAsia="Arial" w:hAnsi="Arial"/>
          <w:sz w:val="16"/>
          <w:szCs w:val="16"/>
          <w:i w:val="1"/>
          <w:iCs w:val="1"/>
          <w:color w:val="auto"/>
        </w:rPr>
        <w:t>”</w:t>
      </w:r>
      <w:r>
        <w:rPr>
          <w:rFonts w:ascii="Arial" w:cs="Arial" w:eastAsia="Arial" w:hAnsi="Arial"/>
          <w:sz w:val="16"/>
          <w:szCs w:val="16"/>
          <w:color w:val="auto"/>
        </w:rPr>
        <w:t xml:space="preserve"> on behalf of Indemnitee against any liability asserted against Indemnitee or incurred by or on behalf of Indemnitee or in such capacity as a director, officer, employee or agent of the Company, or arising out of Indemnitee’s status as such, whether or not the Company would have the power to indemnify Indemnitee against such liability under the provisions of this Agreement or under the DGCL, as it may then be in effect. The purchase, establishment, and maintenance of any such Indemnification Arrangement shall not in any way limit or affect the rights and obligations of the Company or of Indemnitee under this Agreement except as expressly provided herein, and the execution and delivery of this Agreement by the Company and Indemnitee shall not in any way limit or affect the rights and obligations of the Company or the other party or parties thereto under any such Indemnification Arrangement.</w:t>
      </w:r>
    </w:p>
    <w:p>
      <w:pPr>
        <w:spacing w:after="0" w:line="178" w:lineRule="exact"/>
        <w:rPr>
          <w:rFonts w:ascii="Arial" w:cs="Arial" w:eastAsia="Arial" w:hAnsi="Arial"/>
          <w:sz w:val="16"/>
          <w:szCs w:val="16"/>
          <w:color w:val="auto"/>
        </w:rPr>
      </w:pPr>
    </w:p>
    <w:p>
      <w:pPr>
        <w:jc w:val="both"/>
        <w:ind w:firstLine="656"/>
        <w:spacing w:after="0" w:line="290" w:lineRule="auto"/>
        <w:tabs>
          <w:tab w:leader="none" w:pos="938" w:val="left"/>
        </w:tabs>
        <w:numPr>
          <w:ilvl w:val="1"/>
          <w:numId w:val="239"/>
        </w:numPr>
        <w:rPr>
          <w:rFonts w:ascii="Arial" w:cs="Arial" w:eastAsia="Arial" w:hAnsi="Arial"/>
          <w:sz w:val="16"/>
          <w:szCs w:val="16"/>
          <w:color w:val="auto"/>
        </w:rPr>
      </w:pPr>
      <w:r>
        <w:rPr>
          <w:rFonts w:ascii="Arial" w:cs="Arial" w:eastAsia="Arial" w:hAnsi="Arial"/>
          <w:sz w:val="16"/>
          <w:szCs w:val="16"/>
          <w:color w:val="auto"/>
        </w:rPr>
        <w:t>To the extent that the Company maintains an insurance policy or policies providing liability insurance for directors, officers, trustees, partners, managers, managing members, fiduciaries, employees, or agents of the Company or of any other Enterprise which such person serves at the request of the Company, Indemnitee shall be covered by such policy or policies in accordance with its or their terms to the maximum extent of the coverage available for any such director, officer, trustee, partner, managers, managing member, fiduciary, employee or agent under such policy or policies. If, at the time the Company receives notice from any source of a Proceeding as to which Indemnitee is a party or a participant (as a witness, deponent or otherwise), the Company has director and officer liability insurance in effect, the Company shall give prompt notice of such Proceeding to the insurers in accordance with the procedures set forth in the respective policies. The Company shall thereafter take all necessary or desirable action to cause such insurers to pay, on behalf of Indemnitee, all amounts payable as a result of such Proceeding in accordance with the terms of such policies.</w:t>
      </w:r>
    </w:p>
    <w:p>
      <w:pPr>
        <w:spacing w:after="0" w:line="178" w:lineRule="exact"/>
        <w:rPr>
          <w:rFonts w:ascii="Arial" w:cs="Arial" w:eastAsia="Arial" w:hAnsi="Arial"/>
          <w:sz w:val="16"/>
          <w:szCs w:val="16"/>
          <w:color w:val="auto"/>
        </w:rPr>
      </w:pPr>
    </w:p>
    <w:p>
      <w:pPr>
        <w:jc w:val="both"/>
        <w:ind w:firstLine="656"/>
        <w:spacing w:after="0" w:line="263" w:lineRule="auto"/>
        <w:tabs>
          <w:tab w:leader="none" w:pos="97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In the event of any payment under this Agreement, the Company, to the fullest extent permitted by law,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w:t>
      </w:r>
    </w:p>
    <w:p>
      <w:pPr>
        <w:spacing w:after="0" w:line="197" w:lineRule="exact"/>
        <w:rPr>
          <w:rFonts w:ascii="Arial" w:cs="Arial" w:eastAsia="Arial" w:hAnsi="Arial"/>
          <w:sz w:val="18"/>
          <w:szCs w:val="18"/>
          <w:color w:val="auto"/>
        </w:rPr>
      </w:pPr>
    </w:p>
    <w:p>
      <w:pPr>
        <w:jc w:val="both"/>
        <w:ind w:firstLine="656"/>
        <w:spacing w:after="0" w:line="284" w:lineRule="auto"/>
        <w:tabs>
          <w:tab w:leader="none" w:pos="945" w:val="left"/>
        </w:tabs>
        <w:numPr>
          <w:ilvl w:val="1"/>
          <w:numId w:val="239"/>
        </w:numPr>
        <w:rPr>
          <w:rFonts w:ascii="Arial" w:cs="Arial" w:eastAsia="Arial" w:hAnsi="Arial"/>
          <w:sz w:val="16"/>
          <w:szCs w:val="16"/>
          <w:color w:val="auto"/>
        </w:rPr>
      </w:pPr>
      <w:r>
        <w:rPr>
          <w:rFonts w:ascii="Arial" w:cs="Arial" w:eastAsia="Arial" w:hAnsi="Arial"/>
          <w:sz w:val="16"/>
          <w:szCs w:val="16"/>
          <w:color w:val="auto"/>
        </w:rPr>
        <w:t xml:space="preserve">The Company’s obligation to indemnify, hold harmless, exonerate or advance Expenses hereunder to Indemnitee who is or was serving at the request of the Company as a director, officer, trustee, partner, manager, managing member, fiduciary, employee or agent of any other Enterprise shall be reduced by any amount Indemnitee has actually received as indemnification, hold harmless or exoneration payments or advancement of expenses from such Enterprise. Notwithstanding any other provision of this Agreement to the contrary except for </w:t>
      </w:r>
      <w:r>
        <w:rPr>
          <w:rFonts w:ascii="Arial" w:cs="Arial" w:eastAsia="Arial" w:hAnsi="Arial"/>
          <w:sz w:val="16"/>
          <w:szCs w:val="16"/>
          <w:u w:val="single" w:color="auto"/>
          <w:color w:val="auto"/>
        </w:rPr>
        <w:t>Section 27</w:t>
      </w:r>
      <w:r>
        <w:rPr>
          <w:rFonts w:ascii="Arial" w:cs="Arial" w:eastAsia="Arial" w:hAnsi="Arial"/>
          <w:sz w:val="16"/>
          <w:szCs w:val="16"/>
          <w:color w:val="auto"/>
        </w:rPr>
        <w:t>, (i) Indemnitee shall have no obligation to reduce, offset, allocate, pursue or apportion any indemnification, hold harmless, exoneration, advancement, contribution or insurance coverage among multiple parties possessing such duties to Indemnitee prior to the Company’s satisfaction and performance of all its obligations under this Agreement, and</w:t>
      </w:r>
    </w:p>
    <w:p>
      <w:pPr>
        <w:spacing w:after="0" w:line="4" w:lineRule="exact"/>
        <w:rPr>
          <w:rFonts w:ascii="Arial" w:cs="Arial" w:eastAsia="Arial" w:hAnsi="Arial"/>
          <w:sz w:val="16"/>
          <w:szCs w:val="16"/>
          <w:color w:val="auto"/>
        </w:rPr>
      </w:pPr>
    </w:p>
    <w:p>
      <w:pPr>
        <w:ind w:firstLine="8"/>
        <w:spacing w:after="0" w:line="323" w:lineRule="auto"/>
        <w:tabs>
          <w:tab w:leader="none" w:pos="284" w:val="left"/>
        </w:tabs>
        <w:numPr>
          <w:ilvl w:val="0"/>
          <w:numId w:val="240"/>
        </w:numPr>
        <w:rPr>
          <w:rFonts w:ascii="Arial" w:cs="Arial" w:eastAsia="Arial" w:hAnsi="Arial"/>
          <w:sz w:val="16"/>
          <w:szCs w:val="16"/>
          <w:color w:val="auto"/>
        </w:rPr>
      </w:pPr>
      <w:r>
        <w:rPr>
          <w:rFonts w:ascii="Arial" w:cs="Arial" w:eastAsia="Arial" w:hAnsi="Arial"/>
          <w:sz w:val="16"/>
          <w:szCs w:val="16"/>
          <w:color w:val="auto"/>
        </w:rPr>
        <w:t>the Company shall perform fully its obligations under this Agreement without regard to whether Indemnitee holds, may pursue or has pursued any indemnification, advancement, hold harmless, exoneration, contribution or insurance coverage rights against any person or entity other than the Company.</w:t>
      </w:r>
    </w:p>
    <w:p>
      <w:pPr>
        <w:spacing w:after="0" w:line="148" w:lineRule="exact"/>
        <w:rPr>
          <w:sz w:val="20"/>
          <w:szCs w:val="20"/>
          <w:color w:val="auto"/>
        </w:rPr>
      </w:pPr>
    </w:p>
    <w:p>
      <w:pPr>
        <w:jc w:val="both"/>
        <w:ind w:firstLine="656"/>
        <w:spacing w:after="0" w:line="255" w:lineRule="auto"/>
        <w:tabs>
          <w:tab w:leader="none" w:pos="1037" w:val="left"/>
        </w:tabs>
        <w:numPr>
          <w:ilvl w:val="0"/>
          <w:numId w:val="241"/>
        </w:numPr>
        <w:rPr>
          <w:rFonts w:ascii="Arial" w:cs="Arial" w:eastAsia="Arial" w:hAnsi="Arial"/>
          <w:sz w:val="18"/>
          <w:szCs w:val="18"/>
          <w:b w:val="1"/>
          <w:bCs w:val="1"/>
          <w:color w:val="auto"/>
        </w:rPr>
      </w:pPr>
      <w:r>
        <w:rPr>
          <w:rFonts w:ascii="Arial" w:cs="Arial" w:eastAsia="Arial" w:hAnsi="Arial"/>
          <w:sz w:val="18"/>
          <w:szCs w:val="18"/>
          <w:b w:val="1"/>
          <w:bCs w:val="1"/>
          <w:color w:val="auto"/>
        </w:rPr>
        <w:t>DURATION OF AGREEMENT</w:t>
      </w:r>
      <w:r>
        <w:rPr>
          <w:rFonts w:ascii="Arial" w:cs="Arial" w:eastAsia="Arial" w:hAnsi="Arial"/>
          <w:sz w:val="18"/>
          <w:szCs w:val="18"/>
          <w:color w:val="auto"/>
        </w:rPr>
        <w:t>. All agreements and obligations of the Company contained herein shall continue during the period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Indemnitee serves as a director or officer of the Company or as a director, officer, trustee, partner, manager, managing member, fiduciary, employee or agent of any other corporation, partnership, joint venture, trust, employee benefit plan or other Enterprise which Indemnitee serves at the request of the Company and shall continue thereafter so long as Indemnitee shall be subject to any possible Proceeding (including any rights of appeal thereto and any Proceeding commenced by Indemnitee pursuant to </w:t>
      </w:r>
      <w:r>
        <w:rPr>
          <w:rFonts w:ascii="Arial" w:cs="Arial" w:eastAsia="Arial" w:hAnsi="Arial"/>
          <w:sz w:val="18"/>
          <w:szCs w:val="18"/>
          <w:u w:val="single" w:color="auto"/>
          <w:color w:val="auto"/>
        </w:rPr>
        <w:t>Section 14</w:t>
      </w:r>
      <w:r>
        <w:rPr>
          <w:rFonts w:ascii="Arial" w:cs="Arial" w:eastAsia="Arial" w:hAnsi="Arial"/>
          <w:sz w:val="18"/>
          <w:szCs w:val="18"/>
          <w:color w:val="auto"/>
        </w:rPr>
        <w:t xml:space="preserve"> of this Agreement) by reason of Indemnitee’s Corporate Status, whether or not Indemnitee is acting in any such capacity at the time any liability or expense is incurred for which indemnification or advancement can be provided under this Agreement.</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300" w:name="page301"/>
    <w:bookmarkEnd w:id="300"/>
    <w:p>
      <w:pPr>
        <w:ind w:left="1020" w:hanging="364"/>
        <w:spacing w:after="0"/>
        <w:tabs>
          <w:tab w:leader="none" w:pos="1020" w:val="left"/>
        </w:tabs>
        <w:numPr>
          <w:ilvl w:val="0"/>
          <w:numId w:val="242"/>
        </w:numPr>
        <w:rPr>
          <w:rFonts w:ascii="Arial" w:cs="Arial" w:eastAsia="Arial" w:hAnsi="Arial"/>
          <w:sz w:val="17"/>
          <w:szCs w:val="17"/>
          <w:b w:val="1"/>
          <w:bCs w:val="1"/>
          <w:color w:val="auto"/>
        </w:rPr>
      </w:pPr>
      <w:r>
        <w:rPr>
          <w:rFonts w:ascii="Arial" w:cs="Arial" w:eastAsia="Arial" w:hAnsi="Arial"/>
          <w:sz w:val="17"/>
          <w:szCs w:val="17"/>
          <w:b w:val="1"/>
          <w:bCs w:val="1"/>
          <w:color w:val="auto"/>
        </w:rPr>
        <w:t>SEVERABILITY</w:t>
      </w:r>
      <w:r>
        <w:rPr>
          <w:rFonts w:ascii="Arial" w:cs="Arial" w:eastAsia="Arial" w:hAnsi="Arial"/>
          <w:sz w:val="17"/>
          <w:szCs w:val="17"/>
          <w:color w:val="auto"/>
        </w:rPr>
        <w:t>. If any provision or provisions of this Agreement shall be held to be invalid, illegal or unenforceable for any reason</w:t>
      </w:r>
    </w:p>
    <w:p>
      <w:pPr>
        <w:spacing w:after="0" w:line="38" w:lineRule="exact"/>
        <w:rPr>
          <w:rFonts w:ascii="Arial" w:cs="Arial" w:eastAsia="Arial" w:hAnsi="Arial"/>
          <w:sz w:val="17"/>
          <w:szCs w:val="17"/>
          <w:b w:val="1"/>
          <w:bCs w:val="1"/>
          <w:color w:val="auto"/>
        </w:rPr>
      </w:pPr>
    </w:p>
    <w:p>
      <w:pPr>
        <w:jc w:val="both"/>
        <w:spacing w:after="0" w:line="269" w:lineRule="auto"/>
        <w:rPr>
          <w:rFonts w:ascii="Arial" w:cs="Arial" w:eastAsia="Arial" w:hAnsi="Arial"/>
          <w:sz w:val="17"/>
          <w:szCs w:val="17"/>
          <w:b w:val="1"/>
          <w:bCs w:val="1"/>
          <w:color w:val="auto"/>
        </w:rPr>
      </w:pPr>
      <w:r>
        <w:rPr>
          <w:rFonts w:ascii="Arial" w:cs="Arial" w:eastAsia="Arial" w:hAnsi="Arial"/>
          <w:sz w:val="17"/>
          <w:szCs w:val="17"/>
          <w:color w:val="auto"/>
        </w:rPr>
        <w:t>whatsoever: (a) the validity, legality and enforceability of the remaining provisions of this Agreement (including, without limitation, each portion of any Section, paragraph or sentence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paragraph or sentence of this Agreement containing any such provision held to be invalid, illegal or unenforceable, that is not itself invalid, illegal or unenforceable) shall be construed so as to give effect to the intent manifested thereby.</w:t>
      </w:r>
    </w:p>
    <w:p>
      <w:pPr>
        <w:spacing w:after="0" w:line="189" w:lineRule="exact"/>
        <w:rPr>
          <w:rFonts w:ascii="Arial" w:cs="Arial" w:eastAsia="Arial" w:hAnsi="Arial"/>
          <w:sz w:val="17"/>
          <w:szCs w:val="17"/>
          <w:b w:val="1"/>
          <w:bCs w:val="1"/>
          <w:color w:val="auto"/>
        </w:rPr>
      </w:pPr>
    </w:p>
    <w:p>
      <w:pPr>
        <w:ind w:left="980" w:hanging="324"/>
        <w:spacing w:after="0"/>
        <w:tabs>
          <w:tab w:leader="none" w:pos="980" w:val="left"/>
        </w:tabs>
        <w:numPr>
          <w:ilvl w:val="0"/>
          <w:numId w:val="242"/>
        </w:numPr>
        <w:rPr>
          <w:rFonts w:ascii="Arial" w:cs="Arial" w:eastAsia="Arial" w:hAnsi="Arial"/>
          <w:sz w:val="18"/>
          <w:szCs w:val="18"/>
          <w:b w:val="1"/>
          <w:bCs w:val="1"/>
          <w:color w:val="auto"/>
        </w:rPr>
      </w:pPr>
      <w:r>
        <w:rPr>
          <w:rFonts w:ascii="Arial" w:cs="Arial" w:eastAsia="Arial" w:hAnsi="Arial"/>
          <w:sz w:val="18"/>
          <w:szCs w:val="18"/>
          <w:b w:val="1"/>
          <w:bCs w:val="1"/>
          <w:color w:val="auto"/>
        </w:rPr>
        <w:t>ENFORCEMENT AND BINDING EFFECT</w:t>
      </w:r>
      <w:r>
        <w:rPr>
          <w:rFonts w:ascii="Arial" w:cs="Arial" w:eastAsia="Arial" w:hAnsi="Arial"/>
          <w:sz w:val="18"/>
          <w:szCs w:val="18"/>
          <w:color w:val="auto"/>
        </w:rPr>
        <w:t>.</w:t>
      </w:r>
    </w:p>
    <w:p>
      <w:pPr>
        <w:spacing w:after="0" w:line="243" w:lineRule="exact"/>
        <w:rPr>
          <w:sz w:val="20"/>
          <w:szCs w:val="20"/>
          <w:color w:val="auto"/>
        </w:rPr>
      </w:pPr>
    </w:p>
    <w:p>
      <w:pPr>
        <w:jc w:val="both"/>
        <w:ind w:firstLine="656"/>
        <w:spacing w:after="0" w:line="263" w:lineRule="auto"/>
        <w:tabs>
          <w:tab w:leader="none" w:pos="936"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Company expressly confirms and agrees that it has entered into this Agreement and assumed the obligations imposed on it hereby in order to induce Indemnitee to serve as a director, officer or key employee of the Company, and the Company acknowledges that Indemnitee is relying upon this Agreement in serving as a director, officer or key employee of the Company.</w:t>
      </w:r>
    </w:p>
    <w:p>
      <w:pPr>
        <w:spacing w:after="0" w:line="197" w:lineRule="exact"/>
        <w:rPr>
          <w:rFonts w:ascii="Arial" w:cs="Arial" w:eastAsia="Arial" w:hAnsi="Arial"/>
          <w:sz w:val="18"/>
          <w:szCs w:val="18"/>
          <w:color w:val="auto"/>
        </w:rPr>
      </w:pPr>
    </w:p>
    <w:p>
      <w:pPr>
        <w:jc w:val="both"/>
        <w:ind w:firstLine="656"/>
        <w:spacing w:after="0" w:line="263" w:lineRule="auto"/>
        <w:tabs>
          <w:tab w:leader="none" w:pos="978" w:val="left"/>
        </w:tabs>
        <w:numPr>
          <w:ilvl w:val="0"/>
          <w:numId w:val="243"/>
        </w:numPr>
        <w:rPr>
          <w:rFonts w:ascii="Arial" w:cs="Arial" w:eastAsia="Arial" w:hAnsi="Arial"/>
          <w:sz w:val="18"/>
          <w:szCs w:val="18"/>
          <w:color w:val="auto"/>
        </w:rPr>
      </w:pPr>
      <w:r>
        <w:rPr>
          <w:rFonts w:ascii="Arial" w:cs="Arial" w:eastAsia="Arial" w:hAnsi="Arial"/>
          <w:sz w:val="18"/>
          <w:szCs w:val="18"/>
          <w:color w:val="auto"/>
        </w:rPr>
        <w:t>Without limiting any of the rights of Indemnitee under the Charter or Bylaws as they may be amended from time to time, 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197" w:lineRule="exact"/>
        <w:rPr>
          <w:rFonts w:ascii="Arial" w:cs="Arial" w:eastAsia="Arial" w:hAnsi="Arial"/>
          <w:sz w:val="18"/>
          <w:szCs w:val="18"/>
          <w:color w:val="auto"/>
        </w:rPr>
      </w:pPr>
    </w:p>
    <w:p>
      <w:pPr>
        <w:jc w:val="both"/>
        <w:ind w:firstLine="656"/>
        <w:spacing w:after="0" w:line="273" w:lineRule="auto"/>
        <w:tabs>
          <w:tab w:leader="none" w:pos="943" w:val="left"/>
        </w:tabs>
        <w:numPr>
          <w:ilvl w:val="0"/>
          <w:numId w:val="243"/>
        </w:numPr>
        <w:rPr>
          <w:rFonts w:ascii="Arial" w:cs="Arial" w:eastAsia="Arial" w:hAnsi="Arial"/>
          <w:sz w:val="17"/>
          <w:szCs w:val="17"/>
          <w:color w:val="auto"/>
        </w:rPr>
      </w:pPr>
      <w:r>
        <w:rPr>
          <w:rFonts w:ascii="Arial" w:cs="Arial" w:eastAsia="Arial" w:hAnsi="Arial"/>
          <w:sz w:val="17"/>
          <w:szCs w:val="17"/>
          <w:color w:val="auto"/>
        </w:rPr>
        <w:t>The indemnification, hold harmless, exoneration and advancement of expenses rights provided by or granted pursuant to this Agreement shall be binding upon and be enforceable by the parties hereto and their respective successors and assigns (including any direct or indirect successor by purchase, merger, consolidation or otherwise to all or substantially all of the business and/or assets of the Company), shall continue as to an Indemnitee who has ceased to be a director, officer, employee or agent of the Company or a director, officer, trustee, general partner, manager, managing member, fiduciary, employee or agent of any other Enterprise at the Company’s request, and shall inure to the benefit of Indemnitee and Indemnitee’s spouse, assigns, heirs, devisees, executors and administrators and other legal representatives.</w:t>
      </w:r>
    </w:p>
    <w:p>
      <w:pPr>
        <w:spacing w:after="0" w:line="191" w:lineRule="exact"/>
        <w:rPr>
          <w:rFonts w:ascii="Arial" w:cs="Arial" w:eastAsia="Arial" w:hAnsi="Arial"/>
          <w:sz w:val="17"/>
          <w:szCs w:val="17"/>
          <w:color w:val="auto"/>
        </w:rPr>
      </w:pPr>
    </w:p>
    <w:p>
      <w:pPr>
        <w:jc w:val="both"/>
        <w:ind w:firstLine="656"/>
        <w:spacing w:after="0" w:line="259" w:lineRule="auto"/>
        <w:tabs>
          <w:tab w:leader="none" w:pos="1001"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w:t>
      </w:r>
    </w:p>
    <w:p>
      <w:pPr>
        <w:spacing w:after="0" w:line="200" w:lineRule="exact"/>
        <w:rPr>
          <w:rFonts w:ascii="Arial" w:cs="Arial" w:eastAsia="Arial" w:hAnsi="Arial"/>
          <w:sz w:val="18"/>
          <w:szCs w:val="18"/>
          <w:color w:val="auto"/>
        </w:rPr>
      </w:pPr>
    </w:p>
    <w:p>
      <w:pPr>
        <w:jc w:val="both"/>
        <w:ind w:firstLine="656"/>
        <w:spacing w:after="0" w:line="289" w:lineRule="auto"/>
        <w:tabs>
          <w:tab w:leader="none" w:pos="975" w:val="left"/>
        </w:tabs>
        <w:numPr>
          <w:ilvl w:val="0"/>
          <w:numId w:val="243"/>
        </w:numPr>
        <w:rPr>
          <w:rFonts w:ascii="Arial" w:cs="Arial" w:eastAsia="Arial" w:hAnsi="Arial"/>
          <w:sz w:val="16"/>
          <w:szCs w:val="16"/>
          <w:color w:val="auto"/>
        </w:rPr>
      </w:pPr>
      <w:r>
        <w:rPr>
          <w:rFonts w:ascii="Arial" w:cs="Arial" w:eastAsia="Arial" w:hAnsi="Arial"/>
          <w:sz w:val="16"/>
          <w:szCs w:val="16"/>
          <w:color w:val="auto"/>
        </w:rPr>
        <w:t>The Company and Indemnitee agree herein that a monetary remedy for breach of this Agreement, at some later date, may be inadequate, impracticable and difficult of proof, and further agree that such breach may cause Indemnitee irreparable harm. Accordingly, the parties hereto agree that Indemnitee may, to the fullest extent permitted by law, enforce this Agreement by seeking, among other things, injunctive relief and/or specific performance hereof, without any necessity of showing actual damage or irreparable harm and that by seeking injunctive relief and/or specific performance, Indemnitee shall not be precluded from seeking or obtaining any other relief to which Indemnitee may be entitled. The Company and Indemnitee further agree that Indemnitee shall, to the fullest extent permitted by law, be entitled to such specific performance and injunctive relief, including temporary restraining orders, preliminary injunctions and permanent injunctions, without the necessity of posting bonds or other undertaking in connection therewith. The Company acknowledges that in the absence of a waiver, a bond or undertaking may be required of Indemnitee by a court of competent jurisdiction. The Company hereby waives any such requirement of such a bond or undertaking to the fullest extent permitted by law.</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301" w:name="page302"/>
    <w:bookmarkEnd w:id="301"/>
    <w:p>
      <w:pPr>
        <w:jc w:val="both"/>
        <w:ind w:firstLine="656"/>
        <w:spacing w:after="0" w:line="266" w:lineRule="auto"/>
        <w:tabs>
          <w:tab w:leader="none" w:pos="1010" w:val="left"/>
        </w:tabs>
        <w:numPr>
          <w:ilvl w:val="0"/>
          <w:numId w:val="244"/>
        </w:numPr>
        <w:rPr>
          <w:rFonts w:ascii="Arial" w:cs="Arial" w:eastAsia="Arial" w:hAnsi="Arial"/>
          <w:sz w:val="18"/>
          <w:szCs w:val="18"/>
          <w:b w:val="1"/>
          <w:bCs w:val="1"/>
          <w:color w:val="auto"/>
        </w:rPr>
      </w:pPr>
      <w:r>
        <w:rPr>
          <w:rFonts w:ascii="Arial" w:cs="Arial" w:eastAsia="Arial" w:hAnsi="Arial"/>
          <w:sz w:val="18"/>
          <w:szCs w:val="18"/>
          <w:b w:val="1"/>
          <w:bCs w:val="1"/>
          <w:color w:val="auto"/>
        </w:rPr>
        <w:t>MODIFICATION AND WAIVER</w:t>
      </w:r>
      <w:r>
        <w:rPr>
          <w:rFonts w:ascii="Arial" w:cs="Arial" w:eastAsia="Arial" w:hAnsi="Arial"/>
          <w:sz w:val="18"/>
          <w:szCs w:val="18"/>
          <w:color w:val="auto"/>
        </w:rPr>
        <w:t>. No supplement, modification or amendment of this Agreement shall be binding unless executed in</w:t>
      </w:r>
      <w:r>
        <w:rPr>
          <w:rFonts w:ascii="Arial" w:cs="Arial" w:eastAsia="Arial" w:hAnsi="Arial"/>
          <w:sz w:val="18"/>
          <w:szCs w:val="18"/>
          <w:b w:val="1"/>
          <w:bCs w:val="1"/>
          <w:color w:val="auto"/>
        </w:rPr>
        <w:t xml:space="preserve"> </w:t>
      </w:r>
      <w:r>
        <w:rPr>
          <w:rFonts w:ascii="Arial" w:cs="Arial" w:eastAsia="Arial" w:hAnsi="Arial"/>
          <w:sz w:val="18"/>
          <w:szCs w:val="18"/>
          <w:color w:val="auto"/>
        </w:rPr>
        <w:t>writing by the Company and Indemnitee. No waiver of any of the provisions of this Agreement shall be deemed or shall constitute a waiver of any other provisions of this Agreement nor shall any waiver constitute a continuing waiver.</w:t>
      </w:r>
    </w:p>
    <w:p>
      <w:pPr>
        <w:spacing w:after="0" w:line="189" w:lineRule="exact"/>
        <w:rPr>
          <w:rFonts w:ascii="Arial" w:cs="Arial" w:eastAsia="Arial" w:hAnsi="Arial"/>
          <w:sz w:val="18"/>
          <w:szCs w:val="18"/>
          <w:b w:val="1"/>
          <w:bCs w:val="1"/>
          <w:color w:val="auto"/>
        </w:rPr>
      </w:pPr>
    </w:p>
    <w:p>
      <w:pPr>
        <w:jc w:val="both"/>
        <w:ind w:firstLine="656"/>
        <w:spacing w:after="0" w:line="289" w:lineRule="auto"/>
        <w:tabs>
          <w:tab w:leader="none" w:pos="976" w:val="left"/>
        </w:tabs>
        <w:numPr>
          <w:ilvl w:val="0"/>
          <w:numId w:val="244"/>
        </w:numPr>
        <w:rPr>
          <w:rFonts w:ascii="Arial" w:cs="Arial" w:eastAsia="Arial" w:hAnsi="Arial"/>
          <w:sz w:val="17"/>
          <w:szCs w:val="17"/>
          <w:b w:val="1"/>
          <w:bCs w:val="1"/>
          <w:color w:val="auto"/>
        </w:rPr>
      </w:pPr>
      <w:r>
        <w:rPr>
          <w:rFonts w:ascii="Arial" w:cs="Arial" w:eastAsia="Arial" w:hAnsi="Arial"/>
          <w:sz w:val="17"/>
          <w:szCs w:val="17"/>
          <w:b w:val="1"/>
          <w:bCs w:val="1"/>
          <w:color w:val="auto"/>
        </w:rPr>
        <w:t>NOTICES</w:t>
      </w:r>
      <w:r>
        <w:rPr>
          <w:rFonts w:ascii="Arial" w:cs="Arial" w:eastAsia="Arial" w:hAnsi="Arial"/>
          <w:sz w:val="17"/>
          <w:szCs w:val="17"/>
          <w:color w:val="auto"/>
        </w:rPr>
        <w:t>. All notices, requests, demands and other communications under this Agreement shall be in writing and shall be deemed to have</w:t>
      </w:r>
      <w:r>
        <w:rPr>
          <w:rFonts w:ascii="Arial" w:cs="Arial" w:eastAsia="Arial" w:hAnsi="Arial"/>
          <w:sz w:val="17"/>
          <w:szCs w:val="17"/>
          <w:b w:val="1"/>
          <w:bCs w:val="1"/>
          <w:color w:val="auto"/>
        </w:rPr>
        <w:t xml:space="preserve"> </w:t>
      </w:r>
      <w:r>
        <w:rPr>
          <w:rFonts w:ascii="Arial" w:cs="Arial" w:eastAsia="Arial" w:hAnsi="Arial"/>
          <w:sz w:val="17"/>
          <w:szCs w:val="17"/>
          <w:color w:val="auto"/>
        </w:rPr>
        <w:t>been duly given (i) if delivered by hand and receipted for by the party to whom said notice or other communication shall have been directed on such delivery, or (ii) mailed by certified or registered mail with postage prepaid, on the third (3rd) business day after the date on which it is so mailed:</w:t>
      </w:r>
    </w:p>
    <w:p>
      <w:pPr>
        <w:spacing w:after="0" w:line="175" w:lineRule="exact"/>
        <w:rPr>
          <w:sz w:val="20"/>
          <w:szCs w:val="20"/>
          <w:color w:val="auto"/>
        </w:rPr>
      </w:pPr>
    </w:p>
    <w:p>
      <w:pPr>
        <w:ind w:firstLine="656"/>
        <w:spacing w:after="0" w:line="277" w:lineRule="auto"/>
        <w:tabs>
          <w:tab w:leader="none" w:pos="941" w:val="left"/>
        </w:tabs>
        <w:numPr>
          <w:ilvl w:val="0"/>
          <w:numId w:val="245"/>
        </w:numPr>
        <w:rPr>
          <w:rFonts w:ascii="Arial" w:cs="Arial" w:eastAsia="Arial" w:hAnsi="Arial"/>
          <w:sz w:val="18"/>
          <w:szCs w:val="18"/>
          <w:color w:val="auto"/>
        </w:rPr>
      </w:pPr>
      <w:r>
        <w:rPr>
          <w:rFonts w:ascii="Arial" w:cs="Arial" w:eastAsia="Arial" w:hAnsi="Arial"/>
          <w:sz w:val="18"/>
          <w:szCs w:val="18"/>
          <w:color w:val="auto"/>
        </w:rPr>
        <w:t>If to Indemnitee, at the address indicated on the signature page of this Agreement, or such other address as Indemnitee shall provide in writing to the Company.</w:t>
      </w:r>
    </w:p>
    <w:p>
      <w:pPr>
        <w:spacing w:after="0" w:line="183" w:lineRule="exact"/>
        <w:rPr>
          <w:rFonts w:ascii="Arial" w:cs="Arial" w:eastAsia="Arial" w:hAnsi="Arial"/>
          <w:sz w:val="18"/>
          <w:szCs w:val="18"/>
          <w:color w:val="auto"/>
        </w:rPr>
      </w:pPr>
    </w:p>
    <w:p>
      <w:pPr>
        <w:ind w:left="960" w:hanging="304"/>
        <w:spacing w:after="0"/>
        <w:tabs>
          <w:tab w:leader="none" w:pos="96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FS Development Corp.</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600 Montgomery Street, Suite 4500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San Francisco, California 94111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Jim Tananbaum</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which shall not constitute notice, to</w:t>
      </w:r>
    </w:p>
    <w:p>
      <w:pPr>
        <w:spacing w:after="0" w:line="23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White &amp; Case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1221 Avenue of the Americas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10020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Joel Rubinstein, Esq.</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No.: (212) 354-8113</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or to any other address as may have been furnished to Indemnitee in writing by the Company.</w:t>
      </w:r>
    </w:p>
    <w:p>
      <w:pPr>
        <w:spacing w:after="0" w:line="235" w:lineRule="exact"/>
        <w:rPr>
          <w:sz w:val="20"/>
          <w:szCs w:val="20"/>
          <w:color w:val="auto"/>
        </w:rPr>
      </w:pPr>
    </w:p>
    <w:p>
      <w:pPr>
        <w:jc w:val="both"/>
        <w:ind w:firstLine="656"/>
        <w:spacing w:after="0" w:line="289" w:lineRule="auto"/>
        <w:tabs>
          <w:tab w:leader="none" w:pos="965" w:val="left"/>
        </w:tabs>
        <w:numPr>
          <w:ilvl w:val="0"/>
          <w:numId w:val="246"/>
        </w:numPr>
        <w:rPr>
          <w:rFonts w:ascii="Arial" w:cs="Arial" w:eastAsia="Arial" w:hAnsi="Arial"/>
          <w:sz w:val="16"/>
          <w:szCs w:val="16"/>
          <w:b w:val="1"/>
          <w:bCs w:val="1"/>
          <w:color w:val="auto"/>
        </w:rPr>
      </w:pPr>
      <w:r>
        <w:rPr>
          <w:rFonts w:ascii="Arial" w:cs="Arial" w:eastAsia="Arial" w:hAnsi="Arial"/>
          <w:sz w:val="16"/>
          <w:szCs w:val="16"/>
          <w:b w:val="1"/>
          <w:bCs w:val="1"/>
          <w:color w:val="auto"/>
        </w:rPr>
        <w:t>APPLICABLE LAW AND CONSENT TO JURISDICTION</w:t>
      </w:r>
      <w:r>
        <w:rPr>
          <w:rFonts w:ascii="Arial" w:cs="Arial" w:eastAsia="Arial" w:hAnsi="Arial"/>
          <w:sz w:val="16"/>
          <w:szCs w:val="16"/>
          <w:color w:val="auto"/>
        </w:rPr>
        <w:t>. This Agreement and the legal relations among the parties shall be governed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by, and construed and enforced in accordance with, the laws of the State of Delaware, without regard to its conflict of laws rules. Except with respect to any arbitration commenced by Indemnitee pursuant to </w:t>
      </w:r>
      <w:r>
        <w:rPr>
          <w:rFonts w:ascii="Arial" w:cs="Arial" w:eastAsia="Arial" w:hAnsi="Arial"/>
          <w:sz w:val="16"/>
          <w:szCs w:val="16"/>
          <w:u w:val="single" w:color="auto"/>
          <w:color w:val="auto"/>
        </w:rPr>
        <w:t>Section 14(a)</w:t>
      </w:r>
      <w:r>
        <w:rPr>
          <w:rFonts w:ascii="Arial" w:cs="Arial" w:eastAsia="Arial" w:hAnsi="Arial"/>
          <w:sz w:val="16"/>
          <w:szCs w:val="16"/>
          <w:color w:val="auto"/>
        </w:rPr>
        <w:t xml:space="preserve"> of this Agreement, to the fullest extent permitted by law, the Company and Indemnitee hereby irrevocably and unconditionally: (a) agree that any action or proceeding arising out of or in connection with this Agreement shall be brought only in the Delaware Court and not in any other state or federal court in the United States of America or any court in any other country; (b) consent to submit to the exclusive jurisdiction of the Delaware Court for purposes of any action or proceeding arising out of or in connection with this Agreement; (c) waive any objection to the laying of venue of any such action or proceeding in the Delaware Court; and (d) waive, and agree not to plead or to make, any claim that any such action or proceeding brought in the Delaware Court has been brought in an improper or inconvenient forum, or is subject (in whole or in part) to a jury trial. To the fullest extent permitted by law, the parties hereby agree that the mailing of process and other papers in connection with any such action or proceeding in the manner provided by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hereof or in such other manner as may be permitted by law, shall be valid and sufficient service thereof.</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302" w:name="page303"/>
    <w:bookmarkEnd w:id="302"/>
    <w:p>
      <w:pPr>
        <w:jc w:val="both"/>
        <w:ind w:firstLine="656"/>
        <w:spacing w:after="0" w:line="266" w:lineRule="auto"/>
        <w:tabs>
          <w:tab w:leader="none" w:pos="990" w:val="left"/>
        </w:tabs>
        <w:numPr>
          <w:ilvl w:val="0"/>
          <w:numId w:val="247"/>
        </w:numPr>
        <w:rPr>
          <w:rFonts w:ascii="Arial" w:cs="Arial" w:eastAsia="Arial" w:hAnsi="Arial"/>
          <w:sz w:val="18"/>
          <w:szCs w:val="18"/>
          <w:b w:val="1"/>
          <w:bCs w:val="1"/>
          <w:color w:val="auto"/>
        </w:rPr>
      </w:pPr>
      <w:r>
        <w:rPr>
          <w:rFonts w:ascii="Arial" w:cs="Arial" w:eastAsia="Arial" w:hAnsi="Arial"/>
          <w:sz w:val="18"/>
          <w:szCs w:val="18"/>
          <w:b w:val="1"/>
          <w:bCs w:val="1"/>
          <w:color w:val="auto"/>
        </w:rPr>
        <w:t>IDENTICAL COUNTERPARTS</w:t>
      </w:r>
      <w:r>
        <w:rPr>
          <w:rFonts w:ascii="Arial" w:cs="Arial" w:eastAsia="Arial" w:hAnsi="Arial"/>
          <w:sz w:val="18"/>
          <w:szCs w:val="18"/>
          <w:color w:val="auto"/>
        </w:rPr>
        <w:t>. This Agreement may be executed in one or more counterparts, each of which shall for all purposes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189" w:lineRule="exact"/>
        <w:rPr>
          <w:rFonts w:ascii="Arial" w:cs="Arial" w:eastAsia="Arial" w:hAnsi="Arial"/>
          <w:sz w:val="18"/>
          <w:szCs w:val="18"/>
          <w:b w:val="1"/>
          <w:bCs w:val="1"/>
          <w:color w:val="auto"/>
        </w:rPr>
      </w:pPr>
    </w:p>
    <w:p>
      <w:pPr>
        <w:jc w:val="both"/>
        <w:ind w:firstLine="656"/>
        <w:spacing w:after="0" w:line="266" w:lineRule="auto"/>
        <w:tabs>
          <w:tab w:leader="none" w:pos="1003" w:val="left"/>
        </w:tabs>
        <w:numPr>
          <w:ilvl w:val="0"/>
          <w:numId w:val="247"/>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 Use of the masculine pronoun shall be deemed to include usage of the feminine pronoun where appropriate. The</w:t>
      </w:r>
      <w:r>
        <w:rPr>
          <w:rFonts w:ascii="Arial" w:cs="Arial" w:eastAsia="Arial" w:hAnsi="Arial"/>
          <w:sz w:val="18"/>
          <w:szCs w:val="18"/>
          <w:b w:val="1"/>
          <w:bCs w:val="1"/>
          <w:color w:val="auto"/>
        </w:rPr>
        <w:t xml:space="preserve"> </w:t>
      </w:r>
      <w:r>
        <w:rPr>
          <w:rFonts w:ascii="Arial" w:cs="Arial" w:eastAsia="Arial" w:hAnsi="Arial"/>
          <w:sz w:val="18"/>
          <w:szCs w:val="18"/>
          <w:color w:val="auto"/>
        </w:rPr>
        <w:t>headings of the paragraphs of this Agreement are inserted for convenience only and shall not be deemed to constitute part of this Agreement or to affect the construction thereof.</w:t>
      </w:r>
    </w:p>
    <w:p>
      <w:pPr>
        <w:spacing w:after="0" w:line="189" w:lineRule="exact"/>
        <w:rPr>
          <w:rFonts w:ascii="Arial" w:cs="Arial" w:eastAsia="Arial" w:hAnsi="Arial"/>
          <w:sz w:val="18"/>
          <w:szCs w:val="18"/>
          <w:b w:val="1"/>
          <w:bCs w:val="1"/>
          <w:color w:val="auto"/>
        </w:rPr>
      </w:pPr>
    </w:p>
    <w:p>
      <w:pPr>
        <w:jc w:val="both"/>
        <w:ind w:firstLine="656"/>
        <w:spacing w:after="0" w:line="258" w:lineRule="auto"/>
        <w:tabs>
          <w:tab w:leader="none" w:pos="983" w:val="left"/>
        </w:tabs>
        <w:numPr>
          <w:ilvl w:val="0"/>
          <w:numId w:val="247"/>
        </w:numPr>
        <w:rPr>
          <w:rFonts w:ascii="Arial" w:cs="Arial" w:eastAsia="Arial" w:hAnsi="Arial"/>
          <w:sz w:val="18"/>
          <w:szCs w:val="18"/>
          <w:b w:val="1"/>
          <w:bCs w:val="1"/>
          <w:color w:val="auto"/>
        </w:rPr>
      </w:pPr>
      <w:r>
        <w:rPr>
          <w:rFonts w:ascii="Arial" w:cs="Arial" w:eastAsia="Arial" w:hAnsi="Arial"/>
          <w:sz w:val="18"/>
          <w:szCs w:val="18"/>
          <w:b w:val="1"/>
          <w:bCs w:val="1"/>
          <w:color w:val="auto"/>
        </w:rPr>
        <w:t>PERIOD OF LIMITATIONS</w:t>
      </w:r>
      <w:r>
        <w:rPr>
          <w:rFonts w:ascii="Arial" w:cs="Arial" w:eastAsia="Arial" w:hAnsi="Arial"/>
          <w:sz w:val="18"/>
          <w:szCs w:val="18"/>
          <w:color w:val="auto"/>
        </w:rPr>
        <w:t>. No legal action shall be brought and no cause of action shall be asserted by or in the right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against Indemnitee, Indemnitee’s spouse, heirs, executors or personal or legal representatives after the expiration of two years from the date of accrual of such cause of action, and any claim or cause of action of the Company shall be extinguished and deemed released unless asserted by the timely filing of a legal action within such two-year period; provided, however, that if any shorter period of limitations is otherwise applicable to any such cause of action such shorter period shall govern.</w:t>
      </w:r>
    </w:p>
    <w:p>
      <w:pPr>
        <w:spacing w:after="0" w:line="196" w:lineRule="exact"/>
        <w:rPr>
          <w:rFonts w:ascii="Arial" w:cs="Arial" w:eastAsia="Arial" w:hAnsi="Arial"/>
          <w:sz w:val="18"/>
          <w:szCs w:val="18"/>
          <w:b w:val="1"/>
          <w:bCs w:val="1"/>
          <w:color w:val="auto"/>
        </w:rPr>
      </w:pPr>
    </w:p>
    <w:p>
      <w:pPr>
        <w:jc w:val="both"/>
        <w:ind w:right="20" w:firstLine="656"/>
        <w:spacing w:after="0" w:line="266" w:lineRule="auto"/>
        <w:tabs>
          <w:tab w:leader="none" w:pos="980" w:val="left"/>
        </w:tabs>
        <w:numPr>
          <w:ilvl w:val="0"/>
          <w:numId w:val="247"/>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ACTS</w:t>
      </w:r>
      <w:r>
        <w:rPr>
          <w:rFonts w:ascii="Arial" w:cs="Arial" w:eastAsia="Arial" w:hAnsi="Arial"/>
          <w:sz w:val="18"/>
          <w:szCs w:val="18"/>
          <w:color w:val="auto"/>
        </w:rPr>
        <w:t>. If for the validation of any of the provisions in this Agreement any act, resolution, approval or other procedure is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to the fullest extent permitted by law, the Company undertakes to cause such act, resolution, approval or other procedure to be affected or adopted in a manner that will enable the Company to fulfill its obligations under this Agreement.</w:t>
      </w:r>
    </w:p>
    <w:p>
      <w:pPr>
        <w:spacing w:after="0" w:line="189" w:lineRule="exact"/>
        <w:rPr>
          <w:rFonts w:ascii="Arial" w:cs="Arial" w:eastAsia="Arial" w:hAnsi="Arial"/>
          <w:sz w:val="18"/>
          <w:szCs w:val="18"/>
          <w:b w:val="1"/>
          <w:bCs w:val="1"/>
          <w:color w:val="auto"/>
        </w:rPr>
      </w:pPr>
    </w:p>
    <w:p>
      <w:pPr>
        <w:jc w:val="both"/>
        <w:ind w:firstLine="656"/>
        <w:spacing w:after="0" w:line="258" w:lineRule="auto"/>
        <w:tabs>
          <w:tab w:leader="none" w:pos="960" w:val="left"/>
        </w:tabs>
        <w:numPr>
          <w:ilvl w:val="0"/>
          <w:numId w:val="247"/>
        </w:numPr>
        <w:rPr>
          <w:rFonts w:ascii="Arial" w:cs="Arial" w:eastAsia="Arial" w:hAnsi="Arial"/>
          <w:sz w:val="18"/>
          <w:szCs w:val="18"/>
          <w:b w:val="1"/>
          <w:bCs w:val="1"/>
          <w:color w:val="auto"/>
        </w:rPr>
      </w:pPr>
      <w:r>
        <w:rPr>
          <w:rFonts w:ascii="Arial" w:cs="Arial" w:eastAsia="Arial" w:hAnsi="Arial"/>
          <w:sz w:val="18"/>
          <w:szCs w:val="18"/>
          <w:b w:val="1"/>
          <w:bCs w:val="1"/>
          <w:color w:val="auto"/>
        </w:rPr>
        <w:t>WAIVER OF CLAIMS TO TRUST ACCOUNT</w:t>
      </w:r>
      <w:r>
        <w:rPr>
          <w:rFonts w:ascii="Arial" w:cs="Arial" w:eastAsia="Arial" w:hAnsi="Arial"/>
          <w:sz w:val="18"/>
          <w:szCs w:val="18"/>
          <w:color w:val="auto"/>
        </w:rPr>
        <w:t>. Notwithstanding anything contained herein to the contrary, Indemnitee hereby agrees that</w:t>
      </w:r>
      <w:r>
        <w:rPr>
          <w:rFonts w:ascii="Arial" w:cs="Arial" w:eastAsia="Arial" w:hAnsi="Arial"/>
          <w:sz w:val="18"/>
          <w:szCs w:val="18"/>
          <w:b w:val="1"/>
          <w:bCs w:val="1"/>
          <w:color w:val="auto"/>
        </w:rPr>
        <w:t xml:space="preserve"> </w:t>
      </w:r>
      <w:r>
        <w:rPr>
          <w:rFonts w:ascii="Arial" w:cs="Arial" w:eastAsia="Arial" w:hAnsi="Arial"/>
          <w:sz w:val="18"/>
          <w:szCs w:val="18"/>
          <w:color w:val="auto"/>
        </w:rPr>
        <w:t>it does not have any right, title, interest or claim of any kind (each, a “</w:t>
      </w:r>
      <w:r>
        <w:rPr>
          <w:rFonts w:ascii="Arial" w:cs="Arial" w:eastAsia="Arial" w:hAnsi="Arial"/>
          <w:sz w:val="18"/>
          <w:szCs w:val="18"/>
          <w:b w:val="1"/>
          <w:bCs w:val="1"/>
          <w:i w:val="1"/>
          <w:iCs w:val="1"/>
          <w:color w:val="auto"/>
        </w:rPr>
        <w:t>Claim</w:t>
      </w:r>
      <w:r>
        <w:rPr>
          <w:rFonts w:ascii="Arial" w:cs="Arial" w:eastAsia="Arial" w:hAnsi="Arial"/>
          <w:sz w:val="18"/>
          <w:szCs w:val="18"/>
          <w:color w:val="auto"/>
        </w:rPr>
        <w:t>”) in or to any monies in the trust account established in connection with the Company’s initial public offering for the benefit of the Company and holders of shares issued in such offering, and hereby waives any Claim it may have in the future as a result of, or arising out of, any services provided to the Company and will not seek recourse against such trust account for any reason whatsoever.</w:t>
      </w:r>
    </w:p>
    <w:p>
      <w:pPr>
        <w:spacing w:after="0" w:line="196" w:lineRule="exact"/>
        <w:rPr>
          <w:rFonts w:ascii="Arial" w:cs="Arial" w:eastAsia="Arial" w:hAnsi="Arial"/>
          <w:sz w:val="18"/>
          <w:szCs w:val="18"/>
          <w:b w:val="1"/>
          <w:bCs w:val="1"/>
          <w:color w:val="auto"/>
        </w:rPr>
      </w:pPr>
    </w:p>
    <w:p>
      <w:pPr>
        <w:jc w:val="both"/>
        <w:ind w:firstLine="656"/>
        <w:spacing w:after="0" w:line="273" w:lineRule="auto"/>
        <w:tabs>
          <w:tab w:leader="none" w:pos="990" w:val="left"/>
        </w:tabs>
        <w:numPr>
          <w:ilvl w:val="0"/>
          <w:numId w:val="247"/>
        </w:numPr>
        <w:rPr>
          <w:rFonts w:ascii="Arial" w:cs="Arial" w:eastAsia="Arial" w:hAnsi="Arial"/>
          <w:sz w:val="17"/>
          <w:szCs w:val="17"/>
          <w:b w:val="1"/>
          <w:bCs w:val="1"/>
          <w:color w:val="auto"/>
        </w:rPr>
      </w:pPr>
      <w:r>
        <w:rPr>
          <w:rFonts w:ascii="Arial" w:cs="Arial" w:eastAsia="Arial" w:hAnsi="Arial"/>
          <w:sz w:val="17"/>
          <w:szCs w:val="17"/>
          <w:b w:val="1"/>
          <w:bCs w:val="1"/>
          <w:color w:val="auto"/>
        </w:rPr>
        <w:t>MAINTENANCE OF INSURANCE</w:t>
      </w:r>
      <w:r>
        <w:rPr>
          <w:rFonts w:ascii="Arial" w:cs="Arial" w:eastAsia="Arial" w:hAnsi="Arial"/>
          <w:sz w:val="17"/>
          <w:szCs w:val="17"/>
          <w:color w:val="auto"/>
        </w:rPr>
        <w:t>. The Company shall use commercially reasonable efforts to obtain and maintain in effect during the</w:t>
      </w:r>
      <w:r>
        <w:rPr>
          <w:rFonts w:ascii="Arial" w:cs="Arial" w:eastAsia="Arial" w:hAnsi="Arial"/>
          <w:sz w:val="17"/>
          <w:szCs w:val="17"/>
          <w:b w:val="1"/>
          <w:bCs w:val="1"/>
          <w:color w:val="auto"/>
        </w:rPr>
        <w:t xml:space="preserve"> </w:t>
      </w:r>
      <w:r>
        <w:rPr>
          <w:rFonts w:ascii="Arial" w:cs="Arial" w:eastAsia="Arial" w:hAnsi="Arial"/>
          <w:sz w:val="17"/>
          <w:szCs w:val="17"/>
          <w:color w:val="auto"/>
        </w:rPr>
        <w:t>entire period for which the Company is obligated to indemnify the Indemnitee under this Agreement, one or more policies of insurance with reputable insurance companies to provide the officers/directors of the Company with coverage for losses from wrongful acts and omissions and to ensure the Company’s performance of its indemnification obligations under this Agreement. The Indemnitee shall be covered by such policy or policies in accordance with its or their terms to the maximum extent of the coverage available for any such director or officer under such policy or policies. In all such insurance policies, the Indemnitee shall be named as an insured in such a manner as to provide the Indemnitee with the same rights and benefits as are accorded to the most favorably insured of the Company’s directors and officers.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303" w:name="page304"/>
    <w:bookmarkEnd w:id="303"/>
    <w:p>
      <w:pPr>
        <w:spacing w:after="0"/>
        <w:rPr>
          <w:sz w:val="20"/>
          <w:szCs w:val="20"/>
          <w:color w:val="auto"/>
        </w:rPr>
      </w:pPr>
      <w:r>
        <w:rPr>
          <w:rFonts w:ascii="Arial" w:cs="Arial" w:eastAsia="Arial" w:hAnsi="Arial"/>
          <w:sz w:val="16"/>
          <w:szCs w:val="16"/>
          <w:color w:val="auto"/>
        </w:rPr>
        <w:t>IN WITNESS WHEREOF, the parties hereto have caused this Indemnity Agreement to be signed as of the day and year first above written.</w:t>
      </w:r>
    </w:p>
    <w:p>
      <w:pPr>
        <w:spacing w:after="0" w:line="248"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FS DEVELOPMENT CORP.</w:t>
      </w:r>
    </w:p>
    <w:p>
      <w:pPr>
        <w:spacing w:after="0" w:line="225"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14605</wp:posOffset>
            </wp:positionV>
            <wp:extent cx="2562860" cy="171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INDEMNITEE:</w:t>
      </w:r>
    </w:p>
    <w:p>
      <w:pPr>
        <w:spacing w:after="0" w:line="225"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151765</wp:posOffset>
            </wp:positionV>
            <wp:extent cx="2562860" cy="171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32"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[Signature Page to Indemnity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160655</wp:posOffset>
            </wp:positionV>
            <wp:extent cx="7132320" cy="171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40"/>
          </w:cols>
          <w:pgMar w:left="980" w:top="922" w:right="879" w:bottom="1440" w:gutter="0" w:footer="0" w:header="0"/>
        </w:sectPr>
      </w:pPr>
    </w:p>
    <w:bookmarkStart w:id="304" w:name="page305"/>
    <w:bookmarkEnd w:id="304"/>
    <w:p>
      <w:pPr>
        <w:ind w:left="10120"/>
        <w:spacing w:after="0"/>
        <w:rPr>
          <w:sz w:val="20"/>
          <w:szCs w:val="20"/>
          <w:color w:val="auto"/>
        </w:rPr>
      </w:pPr>
      <w:r>
        <w:rPr>
          <w:rFonts w:ascii="Arial" w:cs="Arial" w:eastAsia="Arial" w:hAnsi="Arial"/>
          <w:sz w:val="19"/>
          <w:szCs w:val="19"/>
          <w:b w:val="1"/>
          <w:bCs w:val="1"/>
          <w:color w:val="auto"/>
        </w:rPr>
        <w:t>Exhibit 10.6</w:t>
      </w:r>
    </w:p>
    <w:p>
      <w:pPr>
        <w:spacing w:after="0" w:line="2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PROMISSORY NOTE (“NOTE”) HAS NOT BEEN REGISTERED UNDER THE SECURITIES ACT OF 1933, AS AMENDED (THE “SECURITIES ACT”). THIS NOTE HAS BEEN ACQUIRED FOR INVESTMENT ONLY AND MAY NOT BE SOLD, TRANSFERRED OR ASSIGNED IN THE ABSENCE OF REGISTRATION OF THE RESALE THEREOF UNDER THE SECURITIES ACT OR AN OPINION OF COUNSEL REASONABLY SATISFACTORY IN FORM, SCOPE AND SUBSTANCE TO THE COMPANY THAT SUCH REGISTRATION IS NOT REQUIRED.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PROMISSORY NOTE</w:t>
      </w:r>
    </w:p>
    <w:p>
      <w:pPr>
        <w:spacing w:after="0" w:line="229" w:lineRule="exact"/>
        <w:rPr>
          <w:sz w:val="20"/>
          <w:szCs w:val="20"/>
          <w:color w:val="auto"/>
        </w:rPr>
      </w:pPr>
    </w:p>
    <w:p>
      <w:pPr>
        <w:spacing w:after="0"/>
        <w:tabs>
          <w:tab w:leader="none" w:pos="9360" w:val="left"/>
        </w:tabs>
        <w:rPr>
          <w:sz w:val="20"/>
          <w:szCs w:val="20"/>
          <w:color w:val="auto"/>
        </w:rPr>
      </w:pPr>
      <w:r>
        <w:rPr>
          <w:rFonts w:ascii="Arial" w:cs="Arial" w:eastAsia="Arial" w:hAnsi="Arial"/>
          <w:sz w:val="18"/>
          <w:szCs w:val="18"/>
          <w:color w:val="auto"/>
        </w:rPr>
        <w:t>Principal Amount: $200,000</w:t>
      </w:r>
      <w:r>
        <w:rPr>
          <w:sz w:val="20"/>
          <w:szCs w:val="20"/>
          <w:color w:val="auto"/>
        </w:rPr>
        <w:tab/>
      </w:r>
      <w:r>
        <w:rPr>
          <w:rFonts w:ascii="Arial" w:cs="Arial" w:eastAsia="Arial" w:hAnsi="Arial"/>
          <w:sz w:val="15"/>
          <w:szCs w:val="15"/>
          <w:color w:val="auto"/>
        </w:rPr>
        <w:t>Dated as of June 30, 2020</w:t>
      </w:r>
    </w:p>
    <w:p>
      <w:pPr>
        <w:spacing w:after="0" w:line="22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FS Development Corp., a Delaware corporation (the “</w:t>
      </w:r>
      <w:r>
        <w:rPr>
          <w:rFonts w:ascii="Arial" w:cs="Arial" w:eastAsia="Arial" w:hAnsi="Arial"/>
          <w:sz w:val="18"/>
          <w:szCs w:val="18"/>
          <w:b w:val="1"/>
          <w:bCs w:val="1"/>
          <w:color w:val="auto"/>
        </w:rPr>
        <w:t>Maker</w:t>
      </w:r>
      <w:r>
        <w:rPr>
          <w:rFonts w:ascii="Arial" w:cs="Arial" w:eastAsia="Arial" w:hAnsi="Arial"/>
          <w:sz w:val="18"/>
          <w:szCs w:val="18"/>
          <w:color w:val="auto"/>
        </w:rPr>
        <w:t>”), promises to pay to the order of FS Development Holdings, LLC or its registered assigns or successors in interest (the “</w:t>
      </w:r>
      <w:r>
        <w:rPr>
          <w:rFonts w:ascii="Arial" w:cs="Arial" w:eastAsia="Arial" w:hAnsi="Arial"/>
          <w:sz w:val="18"/>
          <w:szCs w:val="18"/>
          <w:b w:val="1"/>
          <w:bCs w:val="1"/>
          <w:color w:val="auto"/>
        </w:rPr>
        <w:t>Payee</w:t>
      </w:r>
      <w:r>
        <w:rPr>
          <w:rFonts w:ascii="Arial" w:cs="Arial" w:eastAsia="Arial" w:hAnsi="Arial"/>
          <w:sz w:val="18"/>
          <w:szCs w:val="18"/>
          <w:color w:val="auto"/>
        </w:rPr>
        <w:t>”), or order, the principal sum of Two Hundred Thousand Dollars ($200,000) or such lesser amount as shall have been advanced to Payee to Maker and shall remain unpaid under this Note on the Maturity Date (as defined below) in lawful money of the United States of America, on the terms and conditions described below. All payments on this Note shall be made by check or wire transfer of immediately available funds or as otherwise determined by the Maker to such account as the Payee may from time to time designate by written notice in accordance with the provisions of this Note.</w:t>
      </w:r>
    </w:p>
    <w:p>
      <w:pPr>
        <w:spacing w:after="0" w:line="187" w:lineRule="exact"/>
        <w:rPr>
          <w:sz w:val="20"/>
          <w:szCs w:val="20"/>
          <w:color w:val="auto"/>
        </w:rPr>
      </w:pPr>
    </w:p>
    <w:p>
      <w:pPr>
        <w:jc w:val="both"/>
        <w:ind w:firstLine="332"/>
        <w:spacing w:after="0" w:line="261" w:lineRule="auto"/>
        <w:tabs>
          <w:tab w:leader="none" w:pos="504" w:val="left"/>
        </w:tabs>
        <w:numPr>
          <w:ilvl w:val="0"/>
          <w:numId w:val="248"/>
        </w:numPr>
        <w:rPr>
          <w:rFonts w:ascii="Arial" w:cs="Arial" w:eastAsia="Arial" w:hAnsi="Arial"/>
          <w:sz w:val="18"/>
          <w:szCs w:val="18"/>
          <w:color w:val="auto"/>
        </w:rPr>
      </w:pPr>
      <w:r>
        <w:rPr>
          <w:rFonts w:ascii="Arial" w:cs="Arial" w:eastAsia="Arial" w:hAnsi="Arial"/>
          <w:sz w:val="18"/>
          <w:szCs w:val="18"/>
          <w:b w:val="1"/>
          <w:bCs w:val="1"/>
          <w:color w:val="auto"/>
        </w:rPr>
        <w:t xml:space="preserve">Principal. </w:t>
      </w:r>
      <w:r>
        <w:rPr>
          <w:rFonts w:ascii="Arial" w:cs="Arial" w:eastAsia="Arial" w:hAnsi="Arial"/>
          <w:sz w:val="18"/>
          <w:szCs w:val="18"/>
          <w:color w:val="auto"/>
        </w:rPr>
        <w:t>The entire unpaid principal balance of this Note shall be payable on the earlier of: (i) December 31, 2020 or (ii) the date on which Maker</w:t>
      </w:r>
      <w:r>
        <w:rPr>
          <w:rFonts w:ascii="Arial" w:cs="Arial" w:eastAsia="Arial" w:hAnsi="Arial"/>
          <w:sz w:val="18"/>
          <w:szCs w:val="18"/>
          <w:b w:val="1"/>
          <w:bCs w:val="1"/>
          <w:color w:val="auto"/>
        </w:rPr>
        <w:t xml:space="preserve"> </w:t>
      </w:r>
      <w:r>
        <w:rPr>
          <w:rFonts w:ascii="Arial" w:cs="Arial" w:eastAsia="Arial" w:hAnsi="Arial"/>
          <w:sz w:val="18"/>
          <w:szCs w:val="18"/>
          <w:color w:val="auto"/>
        </w:rPr>
        <w:t>consummates an initial public offering of its securities (such earlier date, the “</w:t>
      </w:r>
      <w:r>
        <w:rPr>
          <w:rFonts w:ascii="Arial" w:cs="Arial" w:eastAsia="Arial" w:hAnsi="Arial"/>
          <w:sz w:val="18"/>
          <w:szCs w:val="18"/>
          <w:b w:val="1"/>
          <w:bCs w:val="1"/>
          <w:color w:val="auto"/>
        </w:rPr>
        <w:t>Maturity Date</w:t>
      </w:r>
      <w:r>
        <w:rPr>
          <w:rFonts w:ascii="Arial" w:cs="Arial" w:eastAsia="Arial" w:hAnsi="Arial"/>
          <w:sz w:val="18"/>
          <w:szCs w:val="18"/>
          <w:color w:val="auto"/>
        </w:rPr>
        <w:t>”). The principal balance may be prepaid at any time. Under no circumstances shall any individual, including but not limited to any officer, director, employee or stockholder of the Maker, be obligated personally for any obligations or liabilities of the Maker hereunder.</w:t>
      </w:r>
    </w:p>
    <w:p>
      <w:pPr>
        <w:spacing w:after="0" w:line="179" w:lineRule="exact"/>
        <w:rPr>
          <w:rFonts w:ascii="Arial" w:cs="Arial" w:eastAsia="Arial" w:hAnsi="Arial"/>
          <w:sz w:val="18"/>
          <w:szCs w:val="18"/>
          <w:color w:val="auto"/>
        </w:rPr>
      </w:pPr>
    </w:p>
    <w:p>
      <w:pPr>
        <w:jc w:val="both"/>
        <w:ind w:firstLine="332"/>
        <w:spacing w:after="0" w:line="273" w:lineRule="auto"/>
        <w:tabs>
          <w:tab w:leader="none" w:pos="517" w:val="left"/>
        </w:tabs>
        <w:numPr>
          <w:ilvl w:val="0"/>
          <w:numId w:val="248"/>
        </w:numPr>
        <w:rPr>
          <w:rFonts w:ascii="Arial" w:cs="Arial" w:eastAsia="Arial" w:hAnsi="Arial"/>
          <w:sz w:val="17"/>
          <w:szCs w:val="17"/>
          <w:color w:val="auto"/>
        </w:rPr>
      </w:pPr>
      <w:r>
        <w:rPr>
          <w:rFonts w:ascii="Arial" w:cs="Arial" w:eastAsia="Arial" w:hAnsi="Arial"/>
          <w:sz w:val="17"/>
          <w:szCs w:val="17"/>
          <w:b w:val="1"/>
          <w:bCs w:val="1"/>
          <w:color w:val="auto"/>
        </w:rPr>
        <w:t xml:space="preserve">Drawdown Requests. </w:t>
      </w:r>
      <w:r>
        <w:rPr>
          <w:rFonts w:ascii="Arial" w:cs="Arial" w:eastAsia="Arial" w:hAnsi="Arial"/>
          <w:sz w:val="17"/>
          <w:szCs w:val="17"/>
          <w:color w:val="auto"/>
        </w:rPr>
        <w:t>Maker and Payee agree that Maker may request, from time to time, up to Two Hundred Thousand Dollars ($200,000) in</w:t>
      </w:r>
      <w:r>
        <w:rPr>
          <w:rFonts w:ascii="Arial" w:cs="Arial" w:eastAsia="Arial" w:hAnsi="Arial"/>
          <w:sz w:val="17"/>
          <w:szCs w:val="17"/>
          <w:b w:val="1"/>
          <w:bCs w:val="1"/>
          <w:color w:val="auto"/>
        </w:rPr>
        <w:t xml:space="preserve"> </w:t>
      </w:r>
      <w:r>
        <w:rPr>
          <w:rFonts w:ascii="Arial" w:cs="Arial" w:eastAsia="Arial" w:hAnsi="Arial"/>
          <w:sz w:val="17"/>
          <w:szCs w:val="17"/>
          <w:color w:val="auto"/>
        </w:rPr>
        <w:t>drawdowns under this Note to be used for costs and expenses related to Maker’s formation and the proposed initial public offering of its securities (the “</w:t>
      </w:r>
      <w:r>
        <w:rPr>
          <w:rFonts w:ascii="Arial" w:cs="Arial" w:eastAsia="Arial" w:hAnsi="Arial"/>
          <w:sz w:val="17"/>
          <w:szCs w:val="17"/>
          <w:b w:val="1"/>
          <w:bCs w:val="1"/>
          <w:color w:val="auto"/>
        </w:rPr>
        <w:t>IPO</w:t>
      </w:r>
      <w:r>
        <w:rPr>
          <w:rFonts w:ascii="Arial" w:cs="Arial" w:eastAsia="Arial" w:hAnsi="Arial"/>
          <w:sz w:val="17"/>
          <w:szCs w:val="17"/>
          <w:color w:val="auto"/>
        </w:rPr>
        <w:t>”). Principal of this Note may be drawn down from time to time prior to the Maturity Date upon written request from Maker to Payee (each, a “</w:t>
      </w:r>
      <w:r>
        <w:rPr>
          <w:rFonts w:ascii="Arial" w:cs="Arial" w:eastAsia="Arial" w:hAnsi="Arial"/>
          <w:sz w:val="17"/>
          <w:szCs w:val="17"/>
          <w:b w:val="1"/>
          <w:bCs w:val="1"/>
          <w:color w:val="auto"/>
        </w:rPr>
        <w:t>Drawdown Request</w:t>
      </w:r>
      <w:r>
        <w:rPr>
          <w:rFonts w:ascii="Arial" w:cs="Arial" w:eastAsia="Arial" w:hAnsi="Arial"/>
          <w:sz w:val="17"/>
          <w:szCs w:val="17"/>
          <w:color w:val="auto"/>
        </w:rPr>
        <w:t>”). Each Drawdown Request must state the amount to be drawn down, and must not be an amount less than Ten Thousand Dollars ($10,000). Payee shall fund each Drawdown Request no later than three (3) business days after receipt of a Drawdown Request; provided, however, that the maximum amount of drawdowns outstanding under this Note at any time may not exceed Two Hundred Thousand Dollars ($200,000). No fees, payments or other amounts shall be due to Payee in connection with, or as a result of, any Drawdown Request by Maker.</w:t>
      </w:r>
    </w:p>
    <w:p>
      <w:pPr>
        <w:spacing w:after="0" w:line="171" w:lineRule="exact"/>
        <w:rPr>
          <w:rFonts w:ascii="Arial" w:cs="Arial" w:eastAsia="Arial" w:hAnsi="Arial"/>
          <w:sz w:val="17"/>
          <w:szCs w:val="17"/>
          <w:color w:val="auto"/>
        </w:rPr>
      </w:pPr>
    </w:p>
    <w:p>
      <w:pPr>
        <w:ind w:left="520" w:hanging="188"/>
        <w:spacing w:after="0"/>
        <w:tabs>
          <w:tab w:leader="none" w:pos="520" w:val="left"/>
        </w:tabs>
        <w:numPr>
          <w:ilvl w:val="0"/>
          <w:numId w:val="248"/>
        </w:numPr>
        <w:rPr>
          <w:rFonts w:ascii="Arial" w:cs="Arial" w:eastAsia="Arial" w:hAnsi="Arial"/>
          <w:sz w:val="18"/>
          <w:szCs w:val="18"/>
          <w:color w:val="auto"/>
        </w:rPr>
      </w:pPr>
      <w:r>
        <w:rPr>
          <w:rFonts w:ascii="Arial" w:cs="Arial" w:eastAsia="Arial" w:hAnsi="Arial"/>
          <w:sz w:val="18"/>
          <w:szCs w:val="18"/>
          <w:b w:val="1"/>
          <w:bCs w:val="1"/>
          <w:color w:val="auto"/>
        </w:rPr>
        <w:t xml:space="preserve">Interest. </w:t>
      </w:r>
      <w:r>
        <w:rPr>
          <w:rFonts w:ascii="Arial" w:cs="Arial" w:eastAsia="Arial" w:hAnsi="Arial"/>
          <w:sz w:val="18"/>
          <w:szCs w:val="18"/>
          <w:color w:val="auto"/>
        </w:rPr>
        <w:t>No interest shall accrue on the unpaid principal balance of this Note.</w:t>
      </w:r>
    </w:p>
    <w:p>
      <w:pPr>
        <w:spacing w:after="0" w:line="225" w:lineRule="exact"/>
        <w:rPr>
          <w:rFonts w:ascii="Arial" w:cs="Arial" w:eastAsia="Arial" w:hAnsi="Arial"/>
          <w:sz w:val="18"/>
          <w:szCs w:val="18"/>
          <w:color w:val="auto"/>
        </w:rPr>
      </w:pPr>
    </w:p>
    <w:p>
      <w:pPr>
        <w:jc w:val="both"/>
        <w:ind w:firstLine="332"/>
        <w:spacing w:after="0" w:line="266" w:lineRule="auto"/>
        <w:tabs>
          <w:tab w:leader="none" w:pos="504" w:val="left"/>
        </w:tabs>
        <w:numPr>
          <w:ilvl w:val="0"/>
          <w:numId w:val="248"/>
        </w:numPr>
        <w:rPr>
          <w:rFonts w:ascii="Arial" w:cs="Arial" w:eastAsia="Arial" w:hAnsi="Arial"/>
          <w:sz w:val="18"/>
          <w:szCs w:val="18"/>
          <w:color w:val="auto"/>
        </w:rPr>
      </w:pPr>
      <w:r>
        <w:rPr>
          <w:rFonts w:ascii="Arial" w:cs="Arial" w:eastAsia="Arial" w:hAnsi="Arial"/>
          <w:sz w:val="18"/>
          <w:szCs w:val="18"/>
          <w:b w:val="1"/>
          <w:bCs w:val="1"/>
          <w:color w:val="auto"/>
        </w:rPr>
        <w:t xml:space="preserve">Application of Payments. </w:t>
      </w:r>
      <w:r>
        <w:rPr>
          <w:rFonts w:ascii="Arial" w:cs="Arial" w:eastAsia="Arial" w:hAnsi="Arial"/>
          <w:sz w:val="18"/>
          <w:szCs w:val="18"/>
          <w:color w:val="auto"/>
        </w:rPr>
        <w:t>All payments shall be applied first to payment in full of any costs incurred in the collection of any sum due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Note, including (without limitation) reasonable attorney’s fees, then to the payment in full of any late charges and finally to the reduction of the unpaid principal balance of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05" w:name="page306"/>
    <w:bookmarkEnd w:id="305"/>
    <w:p>
      <w:pPr>
        <w:ind w:left="520" w:hanging="188"/>
        <w:spacing w:after="0"/>
        <w:tabs>
          <w:tab w:leader="none" w:pos="520" w:val="left"/>
        </w:tabs>
        <w:numPr>
          <w:ilvl w:val="0"/>
          <w:numId w:val="249"/>
        </w:numPr>
        <w:rPr>
          <w:rFonts w:ascii="Arial" w:cs="Arial" w:eastAsia="Arial" w:hAnsi="Arial"/>
          <w:sz w:val="18"/>
          <w:szCs w:val="18"/>
          <w:color w:val="auto"/>
        </w:rPr>
      </w:pPr>
      <w:r>
        <w:rPr>
          <w:rFonts w:ascii="Arial" w:cs="Arial" w:eastAsia="Arial" w:hAnsi="Arial"/>
          <w:sz w:val="18"/>
          <w:szCs w:val="18"/>
          <w:b w:val="1"/>
          <w:bCs w:val="1"/>
          <w:color w:val="auto"/>
        </w:rPr>
        <w:t xml:space="preserve">Events of Default. </w:t>
      </w:r>
      <w:r>
        <w:rPr>
          <w:rFonts w:ascii="Arial" w:cs="Arial" w:eastAsia="Arial" w:hAnsi="Arial"/>
          <w:sz w:val="18"/>
          <w:szCs w:val="18"/>
          <w:color w:val="auto"/>
        </w:rPr>
        <w:t>The following shall constitute an event of default (“</w:t>
      </w:r>
      <w:r>
        <w:rPr>
          <w:rFonts w:ascii="Arial" w:cs="Arial" w:eastAsia="Arial" w:hAnsi="Arial"/>
          <w:sz w:val="18"/>
          <w:szCs w:val="18"/>
          <w:b w:val="1"/>
          <w:bCs w:val="1"/>
          <w:color w:val="auto"/>
        </w:rPr>
        <w:t>Event of Default</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right="20" w:firstLine="656"/>
        <w:spacing w:after="0" w:line="277" w:lineRule="auto"/>
        <w:tabs>
          <w:tab w:leader="none" w:pos="892" w:val="left"/>
        </w:tabs>
        <w:numPr>
          <w:ilvl w:val="1"/>
          <w:numId w:val="249"/>
        </w:numPr>
        <w:rPr>
          <w:rFonts w:ascii="Arial" w:cs="Arial" w:eastAsia="Arial" w:hAnsi="Arial"/>
          <w:sz w:val="18"/>
          <w:szCs w:val="18"/>
          <w:color w:val="auto"/>
        </w:rPr>
      </w:pPr>
      <w:r>
        <w:rPr>
          <w:rFonts w:ascii="Arial" w:cs="Arial" w:eastAsia="Arial" w:hAnsi="Arial"/>
          <w:sz w:val="18"/>
          <w:szCs w:val="18"/>
          <w:u w:val="single" w:color="auto"/>
          <w:color w:val="auto"/>
        </w:rPr>
        <w:t>Failure to Make Required Payments</w:t>
      </w:r>
      <w:r>
        <w:rPr>
          <w:rFonts w:ascii="Arial" w:cs="Arial" w:eastAsia="Arial" w:hAnsi="Arial"/>
          <w:sz w:val="18"/>
          <w:szCs w:val="18"/>
          <w:color w:val="auto"/>
        </w:rPr>
        <w:t>. Failure by Maker to pay the principal amount due pursuant to this Note within five (5) business days of the date specified above.</w:t>
      </w:r>
    </w:p>
    <w:p>
      <w:pPr>
        <w:spacing w:after="0" w:line="170" w:lineRule="exact"/>
        <w:rPr>
          <w:rFonts w:ascii="Arial" w:cs="Arial" w:eastAsia="Arial" w:hAnsi="Arial"/>
          <w:sz w:val="18"/>
          <w:szCs w:val="18"/>
          <w:color w:val="auto"/>
        </w:rPr>
      </w:pPr>
    </w:p>
    <w:p>
      <w:pPr>
        <w:jc w:val="both"/>
        <w:ind w:firstLine="656"/>
        <w:spacing w:after="0" w:line="257" w:lineRule="auto"/>
        <w:tabs>
          <w:tab w:leader="none" w:pos="916" w:val="left"/>
        </w:tabs>
        <w:numPr>
          <w:ilvl w:val="1"/>
          <w:numId w:val="249"/>
        </w:numPr>
        <w:rPr>
          <w:rFonts w:ascii="Arial" w:cs="Arial" w:eastAsia="Arial" w:hAnsi="Arial"/>
          <w:sz w:val="18"/>
          <w:szCs w:val="18"/>
          <w:color w:val="auto"/>
        </w:rPr>
      </w:pPr>
      <w:r>
        <w:rPr>
          <w:rFonts w:ascii="Arial" w:cs="Arial" w:eastAsia="Arial" w:hAnsi="Arial"/>
          <w:sz w:val="18"/>
          <w:szCs w:val="18"/>
          <w:u w:val="single" w:color="auto"/>
          <w:color w:val="auto"/>
        </w:rPr>
        <w:t>Voluntary Bankruptcy, Etc</w:t>
      </w:r>
      <w:r>
        <w:rPr>
          <w:rFonts w:ascii="Arial" w:cs="Arial" w:eastAsia="Arial" w:hAnsi="Arial"/>
          <w:sz w:val="18"/>
          <w:szCs w:val="18"/>
          <w:color w:val="auto"/>
        </w:rPr>
        <w:t>. The commencement by Maker of a voluntary case under any applicable bankruptcy, insolvency, reorganization, rehabilitation or other similar law, or the consent by it to the appointment of or taking possession by a receiver, liquidator, assignee, trustee, custodian, sequestrator (or other similar official) of Maker or for any substantial part of its property, or the making by it of any assignment for the benefit of creditors, or the failure of Maker generally to pay its debts as such debts become due, or the taking of corporate action by Maker in furtherance of any of the foregoing.</w:t>
      </w:r>
    </w:p>
    <w:p>
      <w:pPr>
        <w:spacing w:after="0" w:line="187" w:lineRule="exact"/>
        <w:rPr>
          <w:rFonts w:ascii="Arial" w:cs="Arial" w:eastAsia="Arial" w:hAnsi="Arial"/>
          <w:sz w:val="18"/>
          <w:szCs w:val="18"/>
          <w:color w:val="auto"/>
        </w:rPr>
      </w:pPr>
    </w:p>
    <w:p>
      <w:pPr>
        <w:jc w:val="both"/>
        <w:ind w:firstLine="656"/>
        <w:spacing w:after="0" w:line="259" w:lineRule="auto"/>
        <w:tabs>
          <w:tab w:leader="none" w:pos="892" w:val="left"/>
        </w:tabs>
        <w:numPr>
          <w:ilvl w:val="1"/>
          <w:numId w:val="249"/>
        </w:numPr>
        <w:rPr>
          <w:rFonts w:ascii="Arial" w:cs="Arial" w:eastAsia="Arial" w:hAnsi="Arial"/>
          <w:sz w:val="18"/>
          <w:szCs w:val="18"/>
          <w:color w:val="auto"/>
        </w:rPr>
      </w:pPr>
      <w:r>
        <w:rPr>
          <w:rFonts w:ascii="Arial" w:cs="Arial" w:eastAsia="Arial" w:hAnsi="Arial"/>
          <w:sz w:val="18"/>
          <w:szCs w:val="18"/>
          <w:u w:val="single" w:color="auto"/>
          <w:color w:val="auto"/>
        </w:rPr>
        <w:t>Involuntary Bankruptcy, Etc</w:t>
      </w:r>
      <w:r>
        <w:rPr>
          <w:rFonts w:ascii="Arial" w:cs="Arial" w:eastAsia="Arial" w:hAnsi="Arial"/>
          <w:sz w:val="18"/>
          <w:szCs w:val="18"/>
          <w:color w:val="auto"/>
        </w:rPr>
        <w:t>. The entry of a decree or order for relief by a court having jurisdiction in the premises in respect of Maker in an involuntary case under any applicable bankruptcy, insolvency or other similar law, or appointing a receiver, liquidator, assignee, custodian, trustee, sequestrator (or similar official) of Maker or for any substantial part of its property, or ordering the winding-up or liquidation of its affairs, and the continuance of any such decree or order unstayed and in effect for a period of 60 consecutive days.</w:t>
      </w:r>
    </w:p>
    <w:p>
      <w:pPr>
        <w:spacing w:after="0" w:line="182" w:lineRule="exact"/>
        <w:rPr>
          <w:rFonts w:ascii="Arial" w:cs="Arial" w:eastAsia="Arial" w:hAnsi="Arial"/>
          <w:sz w:val="18"/>
          <w:szCs w:val="18"/>
          <w:color w:val="auto"/>
        </w:rPr>
      </w:pPr>
    </w:p>
    <w:p>
      <w:pPr>
        <w:ind w:left="520" w:hanging="188"/>
        <w:spacing w:after="0"/>
        <w:tabs>
          <w:tab w:leader="none" w:pos="520" w:val="left"/>
        </w:tabs>
        <w:numPr>
          <w:ilvl w:val="0"/>
          <w:numId w:val="249"/>
        </w:numPr>
        <w:rPr>
          <w:rFonts w:ascii="Arial" w:cs="Arial" w:eastAsia="Arial" w:hAnsi="Arial"/>
          <w:sz w:val="18"/>
          <w:szCs w:val="18"/>
          <w:color w:val="auto"/>
        </w:rPr>
      </w:pPr>
      <w:r>
        <w:rPr>
          <w:rFonts w:ascii="Arial" w:cs="Arial" w:eastAsia="Arial" w:hAnsi="Arial"/>
          <w:sz w:val="18"/>
          <w:szCs w:val="18"/>
          <w:b w:val="1"/>
          <w:bCs w:val="1"/>
          <w:color w:val="auto"/>
        </w:rPr>
        <w:t>Remedies.</w:t>
      </w:r>
    </w:p>
    <w:p>
      <w:pPr>
        <w:spacing w:after="0" w:line="229" w:lineRule="exact"/>
        <w:rPr>
          <w:rFonts w:ascii="Arial" w:cs="Arial" w:eastAsia="Arial" w:hAnsi="Arial"/>
          <w:sz w:val="18"/>
          <w:szCs w:val="18"/>
          <w:color w:val="auto"/>
        </w:rPr>
      </w:pPr>
    </w:p>
    <w:p>
      <w:pPr>
        <w:jc w:val="both"/>
        <w:ind w:firstLine="656"/>
        <w:spacing w:after="0" w:line="259" w:lineRule="auto"/>
        <w:tabs>
          <w:tab w:leader="none" w:pos="893" w:val="left"/>
        </w:tabs>
        <w:numPr>
          <w:ilvl w:val="1"/>
          <w:numId w:val="249"/>
        </w:numPr>
        <w:rPr>
          <w:rFonts w:ascii="Arial" w:cs="Arial" w:eastAsia="Arial" w:hAnsi="Arial"/>
          <w:sz w:val="18"/>
          <w:szCs w:val="18"/>
          <w:color w:val="auto"/>
        </w:rPr>
      </w:pPr>
      <w:r>
        <w:rPr>
          <w:rFonts w:ascii="Arial" w:cs="Arial" w:eastAsia="Arial" w:hAnsi="Arial"/>
          <w:sz w:val="18"/>
          <w:szCs w:val="18"/>
          <w:color w:val="auto"/>
        </w:rPr>
        <w:t>Upon the occurrence of an Event of Default specified in Section 4(a) hereof, Payee may, by written notice to Maker, declare this Note to be due immediately and payable, whereupon the unpaid principal amount of this Note, and all other amounts payable hereunder, shall become immediately due and payable without presentment, demand, protest or other notice of any kind, all of which are hereby expressly waived, anything contained herein or in the documents evidencing the same to the contrary notwithstanding.</w:t>
      </w:r>
    </w:p>
    <w:p>
      <w:pPr>
        <w:spacing w:after="0" w:line="186" w:lineRule="exact"/>
        <w:rPr>
          <w:rFonts w:ascii="Arial" w:cs="Arial" w:eastAsia="Arial" w:hAnsi="Arial"/>
          <w:sz w:val="18"/>
          <w:szCs w:val="18"/>
          <w:color w:val="auto"/>
        </w:rPr>
      </w:pPr>
    </w:p>
    <w:p>
      <w:pPr>
        <w:ind w:firstLine="656"/>
        <w:spacing w:after="0" w:line="342" w:lineRule="auto"/>
        <w:tabs>
          <w:tab w:leader="none" w:pos="916" w:val="left"/>
        </w:tabs>
        <w:numPr>
          <w:ilvl w:val="1"/>
          <w:numId w:val="249"/>
        </w:numPr>
        <w:rPr>
          <w:rFonts w:ascii="Arial" w:cs="Arial" w:eastAsia="Arial" w:hAnsi="Arial"/>
          <w:sz w:val="16"/>
          <w:szCs w:val="16"/>
          <w:color w:val="auto"/>
        </w:rPr>
      </w:pPr>
      <w:r>
        <w:rPr>
          <w:rFonts w:ascii="Arial" w:cs="Arial" w:eastAsia="Arial" w:hAnsi="Arial"/>
          <w:sz w:val="16"/>
          <w:szCs w:val="16"/>
          <w:color w:val="auto"/>
        </w:rPr>
        <w:t>Upon the occurrence of an Event of Default specified in Sections 5(b) or 5(c), the unpaid principal balance of this Note, and all other sums payable with regard to this Note, shall automatically and immediately become due and payable, in all cases without any action on the part of Payee.</w:t>
      </w:r>
    </w:p>
    <w:p>
      <w:pPr>
        <w:spacing w:after="0" w:line="119" w:lineRule="exact"/>
        <w:rPr>
          <w:rFonts w:ascii="Arial" w:cs="Arial" w:eastAsia="Arial" w:hAnsi="Arial"/>
          <w:sz w:val="16"/>
          <w:szCs w:val="16"/>
          <w:color w:val="auto"/>
        </w:rPr>
      </w:pPr>
    </w:p>
    <w:p>
      <w:pPr>
        <w:jc w:val="both"/>
        <w:ind w:firstLine="332"/>
        <w:spacing w:after="0" w:line="294" w:lineRule="auto"/>
        <w:tabs>
          <w:tab w:leader="none" w:pos="504" w:val="left"/>
        </w:tabs>
        <w:numPr>
          <w:ilvl w:val="0"/>
          <w:numId w:val="249"/>
        </w:numPr>
        <w:rPr>
          <w:rFonts w:ascii="Arial" w:cs="Arial" w:eastAsia="Arial" w:hAnsi="Arial"/>
          <w:sz w:val="16"/>
          <w:szCs w:val="16"/>
          <w:color w:val="auto"/>
        </w:rPr>
      </w:pPr>
      <w:r>
        <w:rPr>
          <w:rFonts w:ascii="Arial" w:cs="Arial" w:eastAsia="Arial" w:hAnsi="Arial"/>
          <w:sz w:val="16"/>
          <w:szCs w:val="16"/>
          <w:b w:val="1"/>
          <w:bCs w:val="1"/>
          <w:color w:val="auto"/>
        </w:rPr>
        <w:t xml:space="preserve">Waivers. </w:t>
      </w:r>
      <w:r>
        <w:rPr>
          <w:rFonts w:ascii="Arial" w:cs="Arial" w:eastAsia="Arial" w:hAnsi="Arial"/>
          <w:sz w:val="16"/>
          <w:szCs w:val="16"/>
          <w:color w:val="auto"/>
        </w:rPr>
        <w:t>Maker and all endorsers and guarantors of, and sureties for, this Note waive presentment for payment, demand, notice of dishonor, protest,</w:t>
      </w:r>
      <w:r>
        <w:rPr>
          <w:rFonts w:ascii="Arial" w:cs="Arial" w:eastAsia="Arial" w:hAnsi="Arial"/>
          <w:sz w:val="16"/>
          <w:szCs w:val="16"/>
          <w:b w:val="1"/>
          <w:bCs w:val="1"/>
          <w:color w:val="auto"/>
        </w:rPr>
        <w:t xml:space="preserve"> </w:t>
      </w:r>
      <w:r>
        <w:rPr>
          <w:rFonts w:ascii="Arial" w:cs="Arial" w:eastAsia="Arial" w:hAnsi="Arial"/>
          <w:sz w:val="16"/>
          <w:szCs w:val="16"/>
          <w:color w:val="auto"/>
        </w:rPr>
        <w:t>and notice of protest with regard to the Note, all errors, defects and imperfections in any proceedings instituted by Payee under the terms of this Note, and all benefits that might accrue to Maker by virtue of any present or future laws exempting any property, real or personal, or any part of the proceeds arising from any sale of any such property, from attachment, levy or sale under execution, or providing for any stay of execution, exemption from civil process, or extension of time for payment; and Maker agrees that any real estate that may be levied upon pursuant to a judgment obtained by virtue hereof or any writ of execution issued hereon, may be sold upon any such writ in whole or in part in any order desired by Payee.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6" w:name="page307"/>
    <w:bookmarkEnd w:id="306"/>
    <w:p>
      <w:pPr>
        <w:jc w:val="both"/>
        <w:ind w:firstLine="332"/>
        <w:spacing w:after="0" w:line="298" w:lineRule="auto"/>
        <w:tabs>
          <w:tab w:leader="none" w:pos="504" w:val="left"/>
        </w:tabs>
        <w:numPr>
          <w:ilvl w:val="0"/>
          <w:numId w:val="250"/>
        </w:numPr>
        <w:rPr>
          <w:rFonts w:ascii="Arial" w:cs="Arial" w:eastAsia="Arial" w:hAnsi="Arial"/>
          <w:sz w:val="16"/>
          <w:szCs w:val="16"/>
          <w:color w:val="auto"/>
        </w:rPr>
      </w:pPr>
      <w:r>
        <w:rPr>
          <w:rFonts w:ascii="Arial" w:cs="Arial" w:eastAsia="Arial" w:hAnsi="Arial"/>
          <w:sz w:val="16"/>
          <w:szCs w:val="16"/>
          <w:b w:val="1"/>
          <w:bCs w:val="1"/>
          <w:color w:val="auto"/>
        </w:rPr>
        <w:t xml:space="preserve">Unconditional Liability. </w:t>
      </w:r>
      <w:r>
        <w:rPr>
          <w:rFonts w:ascii="Arial" w:cs="Arial" w:eastAsia="Arial" w:hAnsi="Arial"/>
          <w:sz w:val="16"/>
          <w:szCs w:val="16"/>
          <w:color w:val="auto"/>
        </w:rPr>
        <w:t>Maker hereby waives all notices in connection with the delivery, acceptance, performance, default, or enforcement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payment of this Note, and agrees that its liability shall be unconditional, without regard to the liability of any other party, and shall not be affected in any manner by any indulgence, extension of time, renewal, waiver or modification granted or consented to by Payee, and consents to any and all extensions of time, renewals, waivers, or modifications that may be granted by Payee with respect to the payment or other provisions of this Note, and agrees that additional makers, endorsers, guarantors, or sureties may become parties hereto without notice to Maker or affecting Maker’s liability hereunder.</w:t>
      </w:r>
    </w:p>
    <w:p>
      <w:pPr>
        <w:spacing w:after="0" w:line="153" w:lineRule="exact"/>
        <w:rPr>
          <w:rFonts w:ascii="Arial" w:cs="Arial" w:eastAsia="Arial" w:hAnsi="Arial"/>
          <w:sz w:val="16"/>
          <w:szCs w:val="16"/>
          <w:color w:val="auto"/>
        </w:rPr>
      </w:pPr>
    </w:p>
    <w:p>
      <w:pPr>
        <w:jc w:val="both"/>
        <w:ind w:firstLine="332"/>
        <w:spacing w:after="0" w:line="273" w:lineRule="auto"/>
        <w:tabs>
          <w:tab w:leader="none" w:pos="504" w:val="left"/>
        </w:tabs>
        <w:numPr>
          <w:ilvl w:val="0"/>
          <w:numId w:val="250"/>
        </w:numPr>
        <w:rPr>
          <w:rFonts w:ascii="Arial" w:cs="Arial" w:eastAsia="Arial" w:hAnsi="Arial"/>
          <w:sz w:val="17"/>
          <w:szCs w:val="17"/>
          <w:color w:val="auto"/>
        </w:rPr>
      </w:pPr>
      <w:r>
        <w:rPr>
          <w:rFonts w:ascii="Arial" w:cs="Arial" w:eastAsia="Arial" w:hAnsi="Arial"/>
          <w:sz w:val="17"/>
          <w:szCs w:val="17"/>
          <w:b w:val="1"/>
          <w:bCs w:val="1"/>
          <w:color w:val="auto"/>
        </w:rPr>
        <w:t xml:space="preserve">Notices. </w:t>
      </w:r>
      <w:r>
        <w:rPr>
          <w:rFonts w:ascii="Arial" w:cs="Arial" w:eastAsia="Arial" w:hAnsi="Arial"/>
          <w:sz w:val="17"/>
          <w:szCs w:val="17"/>
          <w:color w:val="auto"/>
        </w:rPr>
        <w:t>All notices, statements or other documents which are required or contemplated by this Note shall be: (i) in writing and delivered personally</w:t>
      </w:r>
      <w:r>
        <w:rPr>
          <w:rFonts w:ascii="Arial" w:cs="Arial" w:eastAsia="Arial" w:hAnsi="Arial"/>
          <w:sz w:val="17"/>
          <w:szCs w:val="17"/>
          <w:b w:val="1"/>
          <w:bCs w:val="1"/>
          <w:color w:val="auto"/>
        </w:rPr>
        <w:t xml:space="preserve"> </w:t>
      </w:r>
      <w:r>
        <w:rPr>
          <w:rFonts w:ascii="Arial" w:cs="Arial" w:eastAsia="Arial" w:hAnsi="Arial"/>
          <w:sz w:val="17"/>
          <w:szCs w:val="17"/>
          <w:color w:val="auto"/>
        </w:rPr>
        <w:t>or sent by first class registered or certified mail, overnight courier service or facsimile or electronic transmission to the address designated in writing, (ii) by facsimile to the number most recently provided to such party or such other address or fax number as may be designated in writing by such party and (iii) by electronic mail, to the electronic mail address most recently provided to such party or such other electronic mail address as may be designated in writing by such party. Any notice or other communication so transmitted shall be deemed to have been given on the day of delivery, if delivered personally, on the business day following receipt of written confirmation, if sent by facsimile or electronic transmission, one (1) business day after delivery to an overnight courier service or five (5) days after mailing if sent by mail.</w:t>
      </w:r>
    </w:p>
    <w:p>
      <w:pPr>
        <w:spacing w:after="0" w:line="171" w:lineRule="exact"/>
        <w:rPr>
          <w:rFonts w:ascii="Arial" w:cs="Arial" w:eastAsia="Arial" w:hAnsi="Arial"/>
          <w:sz w:val="17"/>
          <w:szCs w:val="17"/>
          <w:color w:val="auto"/>
        </w:rPr>
      </w:pPr>
    </w:p>
    <w:p>
      <w:pPr>
        <w:ind w:left="660" w:hanging="328"/>
        <w:spacing w:after="0"/>
        <w:tabs>
          <w:tab w:leader="none" w:pos="660" w:val="left"/>
        </w:tabs>
        <w:numPr>
          <w:ilvl w:val="0"/>
          <w:numId w:val="250"/>
        </w:numPr>
        <w:rPr>
          <w:rFonts w:ascii="Arial" w:cs="Arial" w:eastAsia="Arial" w:hAnsi="Arial"/>
          <w:sz w:val="18"/>
          <w:szCs w:val="18"/>
          <w:color w:val="auto"/>
        </w:rPr>
      </w:pPr>
      <w:r>
        <w:rPr>
          <w:rFonts w:ascii="Arial" w:cs="Arial" w:eastAsia="Arial" w:hAnsi="Arial"/>
          <w:sz w:val="18"/>
          <w:szCs w:val="18"/>
          <w:b w:val="1"/>
          <w:bCs w:val="1"/>
          <w:color w:val="auto"/>
        </w:rPr>
        <w:t xml:space="preserve">Construction. </w:t>
      </w:r>
      <w:r>
        <w:rPr>
          <w:rFonts w:ascii="Arial" w:cs="Arial" w:eastAsia="Arial" w:hAnsi="Arial"/>
          <w:sz w:val="18"/>
          <w:szCs w:val="18"/>
          <w:color w:val="auto"/>
        </w:rPr>
        <w:t>THIS NOTE SHALL BE CONSTRUED AND ENFORCED IN ACCORDANCE WITH THE LAWS OF NEW YORK,</w:t>
      </w:r>
    </w:p>
    <w:p>
      <w:pPr>
        <w:spacing w:after="0" w:line="2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WITHOUT REGARD TO CONFLICT OF LAW PROVISIONS THEREOF.</w:t>
      </w:r>
    </w:p>
    <w:p>
      <w:pPr>
        <w:spacing w:after="0" w:line="206" w:lineRule="exact"/>
        <w:rPr>
          <w:rFonts w:ascii="Arial" w:cs="Arial" w:eastAsia="Arial" w:hAnsi="Arial"/>
          <w:sz w:val="18"/>
          <w:szCs w:val="18"/>
          <w:color w:val="auto"/>
        </w:rPr>
      </w:pPr>
    </w:p>
    <w:p>
      <w:pPr>
        <w:jc w:val="both"/>
        <w:ind w:firstLine="332"/>
        <w:spacing w:after="0" w:line="266" w:lineRule="auto"/>
        <w:tabs>
          <w:tab w:leader="none" w:pos="614" w:val="left"/>
        </w:tabs>
        <w:numPr>
          <w:ilvl w:val="0"/>
          <w:numId w:val="250"/>
        </w:numPr>
        <w:rPr>
          <w:rFonts w:ascii="Arial" w:cs="Arial" w:eastAsia="Arial" w:hAnsi="Arial"/>
          <w:sz w:val="18"/>
          <w:szCs w:val="18"/>
          <w:color w:val="auto"/>
        </w:rPr>
      </w:pPr>
      <w:r>
        <w:rPr>
          <w:rFonts w:ascii="Arial" w:cs="Arial" w:eastAsia="Arial" w:hAnsi="Arial"/>
          <w:sz w:val="18"/>
          <w:szCs w:val="18"/>
          <w:b w:val="1"/>
          <w:bCs w:val="1"/>
          <w:color w:val="auto"/>
        </w:rPr>
        <w:t xml:space="preserve">Severability. </w:t>
      </w:r>
      <w:r>
        <w:rPr>
          <w:rFonts w:ascii="Arial" w:cs="Arial" w:eastAsia="Arial" w:hAnsi="Arial"/>
          <w:sz w:val="18"/>
          <w:szCs w:val="18"/>
          <w:color w:val="auto"/>
        </w:rPr>
        <w:t>Any provision contained in this Note which is prohibited or unenforceable in any jurisdiction shall, as to such jurisdiction, be</w:t>
      </w:r>
      <w:r>
        <w:rPr>
          <w:rFonts w:ascii="Arial" w:cs="Arial" w:eastAsia="Arial" w:hAnsi="Arial"/>
          <w:sz w:val="18"/>
          <w:szCs w:val="18"/>
          <w:b w:val="1"/>
          <w:bCs w:val="1"/>
          <w:color w:val="auto"/>
        </w:rPr>
        <w:t xml:space="preserve"> </w:t>
      </w:r>
      <w:r>
        <w:rPr>
          <w:rFonts w:ascii="Arial" w:cs="Arial" w:eastAsia="Arial" w:hAnsi="Arial"/>
          <w:sz w:val="18"/>
          <w:szCs w:val="18"/>
          <w:color w:val="auto"/>
        </w:rPr>
        <w:t>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75" w:lineRule="exact"/>
        <w:rPr>
          <w:rFonts w:ascii="Arial" w:cs="Arial" w:eastAsia="Arial" w:hAnsi="Arial"/>
          <w:sz w:val="18"/>
          <w:szCs w:val="18"/>
          <w:color w:val="auto"/>
        </w:rPr>
      </w:pPr>
    </w:p>
    <w:p>
      <w:pPr>
        <w:jc w:val="both"/>
        <w:ind w:firstLine="332"/>
        <w:spacing w:after="0" w:line="256" w:lineRule="auto"/>
        <w:tabs>
          <w:tab w:leader="none" w:pos="607" w:val="left"/>
        </w:tabs>
        <w:numPr>
          <w:ilvl w:val="0"/>
          <w:numId w:val="250"/>
        </w:numPr>
        <w:rPr>
          <w:rFonts w:ascii="Arial" w:cs="Arial" w:eastAsia="Arial" w:hAnsi="Arial"/>
          <w:sz w:val="18"/>
          <w:szCs w:val="18"/>
          <w:color w:val="auto"/>
        </w:rPr>
      </w:pPr>
      <w:r>
        <w:rPr>
          <w:rFonts w:ascii="Arial" w:cs="Arial" w:eastAsia="Arial" w:hAnsi="Arial"/>
          <w:sz w:val="18"/>
          <w:szCs w:val="18"/>
          <w:b w:val="1"/>
          <w:bCs w:val="1"/>
          <w:color w:val="auto"/>
        </w:rPr>
        <w:t xml:space="preserve">Trust Waiver. </w:t>
      </w:r>
      <w:r>
        <w:rPr>
          <w:rFonts w:ascii="Arial" w:cs="Arial" w:eastAsia="Arial" w:hAnsi="Arial"/>
          <w:sz w:val="18"/>
          <w:szCs w:val="18"/>
          <w:color w:val="auto"/>
        </w:rPr>
        <w:t>Notwithstanding anything herein to the contrary, the Payee hereby waives any and all right, title, interest or claim of any kind</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Claim</w:t>
      </w:r>
      <w:r>
        <w:rPr>
          <w:rFonts w:ascii="Arial" w:cs="Arial" w:eastAsia="Arial" w:hAnsi="Arial"/>
          <w:sz w:val="18"/>
          <w:szCs w:val="18"/>
          <w:color w:val="auto"/>
        </w:rPr>
        <w:t>”) in or to any distribution of or from the trust account to be established in which the proceeds of the IPO conducted by the Maker (including the deferred underwriters discounts and commissions) and the proceeds of the sale of the warrants issued in a private placement to occur prior to the consummation of the IPO are to be deposited, as described in greater detail in the registration statement and prospectus to be filed with the Securities and Exchange Commission in connection with the IPO, and hereby agrees not to seek recourse, reimbursement, payment or satisfaction for any Claim against the trust account for any reason whatsoever.</w:t>
      </w:r>
    </w:p>
    <w:p>
      <w:pPr>
        <w:spacing w:after="0" w:line="187" w:lineRule="exact"/>
        <w:rPr>
          <w:rFonts w:ascii="Arial" w:cs="Arial" w:eastAsia="Arial" w:hAnsi="Arial"/>
          <w:sz w:val="18"/>
          <w:szCs w:val="18"/>
          <w:color w:val="auto"/>
        </w:rPr>
      </w:pPr>
    </w:p>
    <w:p>
      <w:pPr>
        <w:ind w:firstLine="332"/>
        <w:spacing w:after="0" w:line="282" w:lineRule="auto"/>
        <w:tabs>
          <w:tab w:leader="none" w:pos="607" w:val="left"/>
        </w:tabs>
        <w:numPr>
          <w:ilvl w:val="0"/>
          <w:numId w:val="250"/>
        </w:numPr>
        <w:rPr>
          <w:rFonts w:ascii="Arial" w:cs="Arial" w:eastAsia="Arial" w:hAnsi="Arial"/>
          <w:sz w:val="18"/>
          <w:szCs w:val="18"/>
          <w:color w:val="auto"/>
        </w:rPr>
      </w:pPr>
      <w:r>
        <w:rPr>
          <w:rFonts w:ascii="Arial" w:cs="Arial" w:eastAsia="Arial" w:hAnsi="Arial"/>
          <w:sz w:val="18"/>
          <w:szCs w:val="18"/>
          <w:b w:val="1"/>
          <w:bCs w:val="1"/>
          <w:color w:val="auto"/>
        </w:rPr>
        <w:t xml:space="preserve">Amendment; Waiver. </w:t>
      </w:r>
      <w:r>
        <w:rPr>
          <w:rFonts w:ascii="Arial" w:cs="Arial" w:eastAsia="Arial" w:hAnsi="Arial"/>
          <w:sz w:val="18"/>
          <w:szCs w:val="18"/>
          <w:color w:val="auto"/>
        </w:rPr>
        <w:t>Any amendment hereto or waiver of any provision hereof may be made with, and only with, the written consent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Maker and the Payee.</w:t>
      </w:r>
    </w:p>
    <w:p>
      <w:pPr>
        <w:spacing w:after="0" w:line="161" w:lineRule="exact"/>
        <w:rPr>
          <w:rFonts w:ascii="Arial" w:cs="Arial" w:eastAsia="Arial" w:hAnsi="Arial"/>
          <w:sz w:val="18"/>
          <w:szCs w:val="18"/>
          <w:color w:val="auto"/>
        </w:rPr>
      </w:pPr>
    </w:p>
    <w:p>
      <w:pPr>
        <w:ind w:firstLine="332"/>
        <w:spacing w:after="0" w:line="312" w:lineRule="auto"/>
        <w:tabs>
          <w:tab w:leader="none" w:pos="594" w:val="left"/>
        </w:tabs>
        <w:numPr>
          <w:ilvl w:val="0"/>
          <w:numId w:val="250"/>
        </w:numPr>
        <w:rPr>
          <w:rFonts w:ascii="Arial" w:cs="Arial" w:eastAsia="Arial" w:hAnsi="Arial"/>
          <w:sz w:val="17"/>
          <w:szCs w:val="17"/>
          <w:color w:val="auto"/>
        </w:rPr>
      </w:pPr>
      <w:r>
        <w:rPr>
          <w:rFonts w:ascii="Arial" w:cs="Arial" w:eastAsia="Arial" w:hAnsi="Arial"/>
          <w:sz w:val="17"/>
          <w:szCs w:val="17"/>
          <w:b w:val="1"/>
          <w:bCs w:val="1"/>
          <w:color w:val="auto"/>
        </w:rPr>
        <w:t xml:space="preserve">Assignment. </w:t>
      </w:r>
      <w:r>
        <w:rPr>
          <w:rFonts w:ascii="Arial" w:cs="Arial" w:eastAsia="Arial" w:hAnsi="Arial"/>
          <w:sz w:val="17"/>
          <w:szCs w:val="17"/>
          <w:color w:val="auto"/>
        </w:rPr>
        <w:t>No assignment or transfer of this Note or any rights or obligations hereunder may be made by any party hereto (by operation of law</w:t>
      </w:r>
      <w:r>
        <w:rPr>
          <w:rFonts w:ascii="Arial" w:cs="Arial" w:eastAsia="Arial" w:hAnsi="Arial"/>
          <w:sz w:val="17"/>
          <w:szCs w:val="17"/>
          <w:b w:val="1"/>
          <w:bCs w:val="1"/>
          <w:color w:val="auto"/>
        </w:rPr>
        <w:t xml:space="preserve"> </w:t>
      </w:r>
      <w:r>
        <w:rPr>
          <w:rFonts w:ascii="Arial" w:cs="Arial" w:eastAsia="Arial" w:hAnsi="Arial"/>
          <w:sz w:val="17"/>
          <w:szCs w:val="17"/>
          <w:color w:val="auto"/>
        </w:rPr>
        <w:t>or otherwise) without the prior written consent of the other party hereto and any attempted assignment without the required consent shall be void.</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7" w:name="page308"/>
    <w:bookmarkEnd w:id="307"/>
    <w:p>
      <w:pPr>
        <w:ind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Maker, intending to be legally bound hereby, has caused this Note to be duly executed by the undersigned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day and year first above written.</w:t>
      </w:r>
    </w:p>
    <w:p>
      <w:pPr>
        <w:spacing w:after="0" w:line="162"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FS DEVELOPMENT CORP.</w:t>
      </w:r>
    </w:p>
    <w:p>
      <w:pPr>
        <w:spacing w:after="0" w:line="229" w:lineRule="exact"/>
        <w:rPr>
          <w:sz w:val="20"/>
          <w:szCs w:val="20"/>
          <w:color w:val="auto"/>
        </w:rPr>
      </w:pPr>
    </w:p>
    <w:p>
      <w:pPr>
        <w:ind w:left="6740"/>
        <w:spacing w:after="0"/>
        <w:tabs>
          <w:tab w:leader="none" w:pos="7180" w:val="left"/>
        </w:tabs>
        <w:rPr>
          <w:sz w:val="20"/>
          <w:szCs w:val="20"/>
          <w:color w:val="auto"/>
        </w:rPr>
      </w:pPr>
      <w:r>
        <w:rPr>
          <w:rFonts w:ascii="Arial" w:cs="Arial" w:eastAsia="Arial" w:hAnsi="Arial"/>
          <w:sz w:val="18"/>
          <w:szCs w:val="18"/>
          <w:color w:val="auto"/>
        </w:rPr>
        <w:t>By:</w:t>
        <w:tab/>
        <w:t>/s/ Dennis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14605</wp:posOffset>
            </wp:positionV>
            <wp:extent cx="2571750" cy="171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3">
                      <a:extLst>
                        <a:ext uri="{28A0092B-C50C-407E-A947-70E740481C1C}"/>
                      </a:extLst>
                    </a:blip>
                    <a:srcRect/>
                    <a:stretch>
                      <a:fillRect/>
                    </a:stretch>
                  </pic:blipFill>
                  <pic:spPr bwMode="auto">
                    <a:xfrm>
                      <a:off x="0" y="0"/>
                      <a:ext cx="257175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Dennis Ryan</w:t>
      </w:r>
    </w:p>
    <w:p>
      <w:pPr>
        <w:spacing w:after="0" w:line="23"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Chief Financial Officer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Promissory Note</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8" w:name="page309"/>
    <w:bookmarkEnd w:id="308"/>
    <w:p>
      <w:pPr>
        <w:jc w:val="right"/>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FS Development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600 Montgomery Street, Suite 4500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San Francisco, CA 94111</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June 30,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FS Development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600 Montgomery Street, Suite 4500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94111</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Securities Subscription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FS Development Corp.,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w:t>
      </w:r>
      <w:r>
        <w:rPr>
          <w:rFonts w:ascii="Arial" w:cs="Arial" w:eastAsia="Arial" w:hAnsi="Arial"/>
          <w:sz w:val="18"/>
          <w:szCs w:val="18"/>
          <w:b w:val="1"/>
          <w:bCs w:val="1"/>
          <w:color w:val="auto"/>
        </w:rPr>
        <w:t>we</w:t>
      </w:r>
      <w:r>
        <w:rPr>
          <w:rFonts w:ascii="Arial" w:cs="Arial" w:eastAsia="Arial" w:hAnsi="Arial"/>
          <w:sz w:val="18"/>
          <w:szCs w:val="18"/>
          <w:color w:val="auto"/>
        </w:rPr>
        <w:t>” or “</w:t>
      </w:r>
      <w:r>
        <w:rPr>
          <w:rFonts w:ascii="Arial" w:cs="Arial" w:eastAsia="Arial" w:hAnsi="Arial"/>
          <w:sz w:val="18"/>
          <w:szCs w:val="18"/>
          <w:b w:val="1"/>
          <w:bCs w:val="1"/>
          <w:color w:val="auto"/>
        </w:rPr>
        <w:t>us</w:t>
      </w:r>
      <w:r>
        <w:rPr>
          <w:rFonts w:ascii="Arial" w:cs="Arial" w:eastAsia="Arial" w:hAnsi="Arial"/>
          <w:sz w:val="18"/>
          <w:szCs w:val="18"/>
          <w:color w:val="auto"/>
        </w:rPr>
        <w:t>”), is pleased to accept the offer made by FS Development Holdings, LLC, a Delaware limited liability company (“</w:t>
      </w:r>
      <w:r>
        <w:rPr>
          <w:rFonts w:ascii="Arial" w:cs="Arial" w:eastAsia="Arial" w:hAnsi="Arial"/>
          <w:sz w:val="18"/>
          <w:szCs w:val="18"/>
          <w:b w:val="1"/>
          <w:bCs w:val="1"/>
          <w:color w:val="auto"/>
        </w:rPr>
        <w:t>Subscriber</w:t>
      </w:r>
      <w:r>
        <w:rPr>
          <w:rFonts w:ascii="Arial" w:cs="Arial" w:eastAsia="Arial" w:hAnsi="Arial"/>
          <w:sz w:val="18"/>
          <w:szCs w:val="18"/>
          <w:color w:val="auto"/>
        </w:rPr>
        <w:t>” or “</w:t>
      </w:r>
      <w:r>
        <w:rPr>
          <w:rFonts w:ascii="Arial" w:cs="Arial" w:eastAsia="Arial" w:hAnsi="Arial"/>
          <w:sz w:val="18"/>
          <w:szCs w:val="18"/>
          <w:b w:val="1"/>
          <w:bCs w:val="1"/>
          <w:color w:val="auto"/>
        </w:rPr>
        <w:t>you</w:t>
      </w:r>
      <w:r>
        <w:rPr>
          <w:rFonts w:ascii="Arial" w:cs="Arial" w:eastAsia="Arial" w:hAnsi="Arial"/>
          <w:sz w:val="18"/>
          <w:szCs w:val="18"/>
          <w:color w:val="auto"/>
        </w:rPr>
        <w:t>”), to purchase 2,875,000 shares (the “</w:t>
      </w:r>
      <w:r>
        <w:rPr>
          <w:rFonts w:ascii="Arial" w:cs="Arial" w:eastAsia="Arial" w:hAnsi="Arial"/>
          <w:sz w:val="18"/>
          <w:szCs w:val="18"/>
          <w:b w:val="1"/>
          <w:bCs w:val="1"/>
          <w:color w:val="auto"/>
        </w:rPr>
        <w:t>Shares</w:t>
      </w:r>
      <w:r>
        <w:rPr>
          <w:rFonts w:ascii="Arial" w:cs="Arial" w:eastAsia="Arial" w:hAnsi="Arial"/>
          <w:sz w:val="18"/>
          <w:szCs w:val="18"/>
          <w:color w:val="auto"/>
        </w:rPr>
        <w:t>”) of Class B common stock of the Company, $0.0001 par value per share (“</w:t>
      </w:r>
      <w:r>
        <w:rPr>
          <w:rFonts w:ascii="Arial" w:cs="Arial" w:eastAsia="Arial" w:hAnsi="Arial"/>
          <w:sz w:val="18"/>
          <w:szCs w:val="18"/>
          <w:b w:val="1"/>
          <w:bCs w:val="1"/>
          <w:color w:val="auto"/>
        </w:rPr>
        <w:t>Common Stock</w:t>
      </w:r>
      <w:r>
        <w:rPr>
          <w:rFonts w:ascii="Arial" w:cs="Arial" w:eastAsia="Arial" w:hAnsi="Arial"/>
          <w:sz w:val="18"/>
          <w:szCs w:val="18"/>
          <w:color w:val="auto"/>
        </w:rPr>
        <w:t>”), up to 375,000 of which are subject to forfeiture by you to the extent that the underwriters of the initial public offering (“</w:t>
      </w:r>
      <w:r>
        <w:rPr>
          <w:rFonts w:ascii="Arial" w:cs="Arial" w:eastAsia="Arial" w:hAnsi="Arial"/>
          <w:sz w:val="18"/>
          <w:szCs w:val="18"/>
          <w:b w:val="1"/>
          <w:bCs w:val="1"/>
          <w:color w:val="auto"/>
        </w:rPr>
        <w:t>IPO</w:t>
      </w:r>
      <w:r>
        <w:rPr>
          <w:rFonts w:ascii="Arial" w:cs="Arial" w:eastAsia="Arial" w:hAnsi="Arial"/>
          <w:sz w:val="18"/>
          <w:szCs w:val="18"/>
          <w:color w:val="auto"/>
        </w:rPr>
        <w:t>”) of the Company’s units, each comprised of one share of Common Stock and one, or a portion of one, warrant to purchase one share of Common Stock (“</w:t>
      </w:r>
      <w:r>
        <w:rPr>
          <w:rFonts w:ascii="Arial" w:cs="Arial" w:eastAsia="Arial" w:hAnsi="Arial"/>
          <w:sz w:val="18"/>
          <w:szCs w:val="18"/>
          <w:b w:val="1"/>
          <w:bCs w:val="1"/>
          <w:color w:val="auto"/>
        </w:rPr>
        <w:t>Units</w:t>
      </w:r>
      <w:r>
        <w:rPr>
          <w:rFonts w:ascii="Arial" w:cs="Arial" w:eastAsia="Arial" w:hAnsi="Arial"/>
          <w:sz w:val="18"/>
          <w:szCs w:val="18"/>
          <w:color w:val="auto"/>
        </w:rPr>
        <w:t>”), do not fully exercise their option to purchase additional Units to cover over-allotments, if any (the “</w:t>
      </w:r>
      <w:r>
        <w:rPr>
          <w:rFonts w:ascii="Arial" w:cs="Arial" w:eastAsia="Arial" w:hAnsi="Arial"/>
          <w:sz w:val="18"/>
          <w:szCs w:val="18"/>
          <w:b w:val="1"/>
          <w:bCs w:val="1"/>
          <w:color w:val="auto"/>
        </w:rPr>
        <w:t>Over-allotment Option</w:t>
      </w:r>
      <w:r>
        <w:rPr>
          <w:rFonts w:ascii="Arial" w:cs="Arial" w:eastAsia="Arial" w:hAnsi="Arial"/>
          <w:sz w:val="18"/>
          <w:szCs w:val="18"/>
          <w:color w:val="auto"/>
        </w:rPr>
        <w:t>”). The terms of the sale by the Company of the Shares to Subscriber, and the Company and Subscriber’s agreements regarding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Shares, are as follows:</w:t>
      </w:r>
    </w:p>
    <w:p>
      <w:pPr>
        <w:spacing w:after="0" w:line="193" w:lineRule="exact"/>
        <w:rPr>
          <w:sz w:val="20"/>
          <w:szCs w:val="20"/>
          <w:color w:val="auto"/>
        </w:rPr>
      </w:pPr>
    </w:p>
    <w:p>
      <w:pPr>
        <w:ind w:left="180" w:hanging="172"/>
        <w:spacing w:after="0"/>
        <w:tabs>
          <w:tab w:leader="none" w:pos="180" w:val="left"/>
        </w:tabs>
        <w:numPr>
          <w:ilvl w:val="0"/>
          <w:numId w:val="251"/>
        </w:numPr>
        <w:rPr>
          <w:rFonts w:ascii="Arial" w:cs="Arial" w:eastAsia="Arial" w:hAnsi="Arial"/>
          <w:sz w:val="18"/>
          <w:szCs w:val="18"/>
          <w:color w:val="auto"/>
        </w:rPr>
      </w:pPr>
      <w:r>
        <w:rPr>
          <w:rFonts w:ascii="Arial" w:cs="Arial" w:eastAsia="Arial" w:hAnsi="Arial"/>
          <w:sz w:val="18"/>
          <w:szCs w:val="18"/>
          <w:u w:val="single" w:color="auto"/>
          <w:color w:val="auto"/>
        </w:rPr>
        <w:t>Purchase of Securities</w:t>
      </w:r>
      <w:r>
        <w:rPr>
          <w:rFonts w:ascii="Arial" w:cs="Arial" w:eastAsia="Arial" w:hAnsi="Arial"/>
          <w:sz w:val="18"/>
          <w:szCs w:val="18"/>
          <w:color w:val="auto"/>
        </w:rPr>
        <w:t>.</w:t>
      </w:r>
    </w:p>
    <w:p>
      <w:pPr>
        <w:spacing w:after="0" w:line="22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Purchase of Shares</w:t>
      </w:r>
      <w:r>
        <w:rPr>
          <w:rFonts w:ascii="Arial" w:cs="Arial" w:eastAsia="Arial" w:hAnsi="Arial"/>
          <w:sz w:val="18"/>
          <w:szCs w:val="18"/>
          <w:color w:val="auto"/>
        </w:rPr>
        <w:t>. For the sum of $25,000 (the “</w:t>
      </w:r>
      <w:r>
        <w:rPr>
          <w:rFonts w:ascii="Arial" w:cs="Arial" w:eastAsia="Arial" w:hAnsi="Arial"/>
          <w:sz w:val="18"/>
          <w:szCs w:val="18"/>
          <w:b w:val="1"/>
          <w:bCs w:val="1"/>
          <w:color w:val="auto"/>
        </w:rPr>
        <w:t>Purchase Price</w:t>
      </w:r>
      <w:r>
        <w:rPr>
          <w:rFonts w:ascii="Arial" w:cs="Arial" w:eastAsia="Arial" w:hAnsi="Arial"/>
          <w:sz w:val="18"/>
          <w:szCs w:val="18"/>
          <w:color w:val="auto"/>
        </w:rPr>
        <w:t>”), which the Company acknowledges receiving in cash, the Company hereby issues the Shares to Subscriber, and Subscriber hereby purchases the Shares from the Company, on the terms and subject to the conditions, including regarding forfeiture, set forth in this letter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Concurrently with Subscriber’s execution of this Agreement, the Company shall, at its option, deliver to Subscriber a certificate registered in Subscriber’s name representing the shares (the “</w:t>
      </w:r>
      <w:r>
        <w:rPr>
          <w:rFonts w:ascii="Arial" w:cs="Arial" w:eastAsia="Arial" w:hAnsi="Arial"/>
          <w:sz w:val="18"/>
          <w:szCs w:val="18"/>
          <w:b w:val="1"/>
          <w:bCs w:val="1"/>
          <w:color w:val="auto"/>
        </w:rPr>
        <w:t>Original Certificate</w:t>
      </w:r>
      <w:r>
        <w:rPr>
          <w:rFonts w:ascii="Arial" w:cs="Arial" w:eastAsia="Arial" w:hAnsi="Arial"/>
          <w:sz w:val="18"/>
          <w:szCs w:val="18"/>
          <w:color w:val="auto"/>
        </w:rPr>
        <w:t>”) or effect such delivery in book-entry form.</w:t>
      </w:r>
    </w:p>
    <w:p>
      <w:pPr>
        <w:spacing w:after="0" w:line="187" w:lineRule="exact"/>
        <w:rPr>
          <w:sz w:val="20"/>
          <w:szCs w:val="20"/>
          <w:color w:val="auto"/>
        </w:rPr>
      </w:pPr>
    </w:p>
    <w:p>
      <w:pPr>
        <w:ind w:left="180" w:hanging="172"/>
        <w:spacing w:after="0"/>
        <w:tabs>
          <w:tab w:leader="none" w:pos="180" w:val="left"/>
        </w:tabs>
        <w:numPr>
          <w:ilvl w:val="0"/>
          <w:numId w:val="252"/>
        </w:numPr>
        <w:rPr>
          <w:rFonts w:ascii="Arial" w:cs="Arial" w:eastAsia="Arial" w:hAnsi="Arial"/>
          <w:sz w:val="18"/>
          <w:szCs w:val="18"/>
          <w:color w:val="auto"/>
        </w:rPr>
      </w:pPr>
      <w:r>
        <w:rPr>
          <w:rFonts w:ascii="Arial" w:cs="Arial" w:eastAsia="Arial" w:hAnsi="Arial"/>
          <w:sz w:val="18"/>
          <w:szCs w:val="18"/>
          <w:u w:val="single" w:color="auto"/>
          <w:color w:val="auto"/>
        </w:rPr>
        <w:t>Representations, Warranties and Agreements</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Subscriber’s Representations, Warranties and Agreements</w:t>
      </w:r>
      <w:r>
        <w:rPr>
          <w:rFonts w:ascii="Arial" w:cs="Arial" w:eastAsia="Arial" w:hAnsi="Arial"/>
          <w:sz w:val="18"/>
          <w:szCs w:val="18"/>
          <w:color w:val="auto"/>
        </w:rPr>
        <w:t>. To induce the Company to issue the Shares to Subscriber, Subscriber hereby represents and warrants to the Company and agrees with the Company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9" w:name="page310"/>
    <w:bookmarkEnd w:id="309"/>
    <w:p>
      <w:pPr>
        <w:jc w:val="both"/>
        <w:ind w:firstLine="1296"/>
        <w:spacing w:after="0" w:line="275" w:lineRule="auto"/>
        <w:rPr>
          <w:sz w:val="20"/>
          <w:szCs w:val="20"/>
          <w:color w:val="auto"/>
        </w:rPr>
      </w:pPr>
      <w:r>
        <w:rPr>
          <w:rFonts w:ascii="Arial" w:cs="Arial" w:eastAsia="Arial" w:hAnsi="Arial"/>
          <w:sz w:val="17"/>
          <w:szCs w:val="17"/>
          <w:color w:val="auto"/>
        </w:rPr>
        <w:t xml:space="preserve">2.1.1. </w:t>
      </w:r>
      <w:r>
        <w:rPr>
          <w:rFonts w:ascii="Arial" w:cs="Arial" w:eastAsia="Arial" w:hAnsi="Arial"/>
          <w:sz w:val="17"/>
          <w:szCs w:val="17"/>
          <w:u w:val="single" w:color="auto"/>
          <w:color w:val="auto"/>
        </w:rPr>
        <w:t>Organization and Authority</w:t>
      </w:r>
      <w:r>
        <w:rPr>
          <w:rFonts w:ascii="Arial" w:cs="Arial" w:eastAsia="Arial" w:hAnsi="Arial"/>
          <w:sz w:val="17"/>
          <w:szCs w:val="17"/>
          <w:color w:val="auto"/>
        </w:rPr>
        <w:t>. Subscriber is a limited liability company, duly organized, validly existing and in good standing under the laws of State of Delaware, and possesses all requisite power and authority necessary to carry out the transactions contemplated by this Agreement. This Agreement is a legal, valid and binding agreement of Subscriber, enforceable against Subscriber in accordance with its terms, except as such enforceability may be limited by applicable bankruptcy, insolvency, fraudulent conveyance or similar laws affecting the enforcement of creditors’ rights generally and subject to general principles of equity (regardless of whether enforcement is sought in a proceeding at law or in equity).</w:t>
      </w:r>
    </w:p>
    <w:p>
      <w:pPr>
        <w:spacing w:after="0" w:line="176" w:lineRule="exact"/>
        <w:rPr>
          <w:sz w:val="20"/>
          <w:szCs w:val="20"/>
          <w:color w:val="auto"/>
        </w:rPr>
      </w:pPr>
    </w:p>
    <w:p>
      <w:pPr>
        <w:jc w:val="both"/>
        <w:ind w:firstLine="1296"/>
        <w:spacing w:after="0" w:line="311" w:lineRule="auto"/>
        <w:rPr>
          <w:sz w:val="20"/>
          <w:szCs w:val="20"/>
          <w:color w:val="auto"/>
        </w:rPr>
      </w:pPr>
      <w:r>
        <w:rPr>
          <w:rFonts w:ascii="Arial" w:cs="Arial" w:eastAsia="Arial" w:hAnsi="Arial"/>
          <w:sz w:val="16"/>
          <w:szCs w:val="16"/>
          <w:color w:val="auto"/>
        </w:rPr>
        <w:t xml:space="preserve">2.1.2. </w:t>
      </w:r>
      <w:r>
        <w:rPr>
          <w:rFonts w:ascii="Arial" w:cs="Arial" w:eastAsia="Arial" w:hAnsi="Arial"/>
          <w:sz w:val="16"/>
          <w:szCs w:val="16"/>
          <w:u w:val="single" w:color="auto"/>
          <w:color w:val="auto"/>
        </w:rPr>
        <w:t>No Conflicts</w:t>
      </w:r>
      <w:r>
        <w:rPr>
          <w:rFonts w:ascii="Arial" w:cs="Arial" w:eastAsia="Arial" w:hAnsi="Arial"/>
          <w:sz w:val="16"/>
          <w:szCs w:val="16"/>
          <w:color w:val="auto"/>
        </w:rPr>
        <w:t>. The execution, delivery and performance of this Agreement and the consummation by Subscriber of the transactions contemplated hereby do not violate, conflict with or constitute a default under (i) the formation and governing documents of Subscriber, (ii) any agreement, indenture or instrument to which Subscriber is a party or (iii) any law, statute, rule, regulation, order, judgment or decree to which Subscriber is subject.</w:t>
      </w:r>
    </w:p>
    <w:p>
      <w:pPr>
        <w:spacing w:after="0" w:line="149"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No Governmental Consents</w:t>
      </w:r>
      <w:r>
        <w:rPr>
          <w:rFonts w:ascii="Arial" w:cs="Arial" w:eastAsia="Arial" w:hAnsi="Arial"/>
          <w:sz w:val="18"/>
          <w:szCs w:val="18"/>
          <w:color w:val="auto"/>
        </w:rPr>
        <w:t>. No governmental, administrative or other third party consents or approvals are required, necessary or appropriate on the part of Subscriber in connection with the transactions contemplated by this Agreement.</w:t>
      </w:r>
    </w:p>
    <w:p>
      <w:pPr>
        <w:spacing w:after="0" w:line="170"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color w:val="auto"/>
        </w:rPr>
        <w:t xml:space="preserve">2.1.4. </w:t>
      </w:r>
      <w:r>
        <w:rPr>
          <w:rFonts w:ascii="Arial" w:cs="Arial" w:eastAsia="Arial" w:hAnsi="Arial"/>
          <w:sz w:val="16"/>
          <w:szCs w:val="16"/>
          <w:u w:val="single" w:color="auto"/>
          <w:color w:val="auto"/>
        </w:rPr>
        <w:t>Experience, Financial Capability and Suitability</w:t>
      </w:r>
      <w:r>
        <w:rPr>
          <w:rFonts w:ascii="Arial" w:cs="Arial" w:eastAsia="Arial" w:hAnsi="Arial"/>
          <w:sz w:val="16"/>
          <w:szCs w:val="16"/>
          <w:color w:val="auto"/>
        </w:rPr>
        <w:t>. Subscriber is sophisticated in financial matters and is able to evaluate the risks and benefits of the investment in the Shares. Subscriber acknowledges that the Shares have not been registered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and therefore cannot be sold unless subsequently registered under the Securities Act or an exemption from such registration is available. Subscriber understands that it must bear the economic risk of this investment until the Shares are sold pursuant to: (i) an effective registration statement under the Securities Act or (ii) an exemption from registration available with respect to such sale. Subscriber is able to bear the economic risk of an investment in the Shares for an indefinite period of time and to afford a complete loss of Subscriber’s investment in the Shares.</w:t>
      </w:r>
    </w:p>
    <w:p>
      <w:pPr>
        <w:spacing w:after="0" w:line="16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u w:val="single" w:color="auto"/>
          <w:color w:val="auto"/>
        </w:rPr>
        <w:t>No Government Recommendation or Approval</w:t>
      </w:r>
      <w:r>
        <w:rPr>
          <w:rFonts w:ascii="Arial" w:cs="Arial" w:eastAsia="Arial" w:hAnsi="Arial"/>
          <w:sz w:val="18"/>
          <w:szCs w:val="18"/>
          <w:color w:val="auto"/>
        </w:rPr>
        <w:t>. Subscriber understands that no federal or state agency has passed upon or made any recommendation or endorsement of the offering of the Shares.</w:t>
      </w:r>
    </w:p>
    <w:p>
      <w:pPr>
        <w:spacing w:after="0" w:line="170"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 xml:space="preserve">2.1.6. </w:t>
      </w:r>
      <w:r>
        <w:rPr>
          <w:rFonts w:ascii="Arial" w:cs="Arial" w:eastAsia="Arial" w:hAnsi="Arial"/>
          <w:sz w:val="17"/>
          <w:szCs w:val="17"/>
          <w:u w:val="single" w:color="auto"/>
          <w:color w:val="auto"/>
        </w:rPr>
        <w:t>Access to Information; Independent Investigation</w:t>
      </w:r>
      <w:r>
        <w:rPr>
          <w:rFonts w:ascii="Arial" w:cs="Arial" w:eastAsia="Arial" w:hAnsi="Arial"/>
          <w:sz w:val="17"/>
          <w:szCs w:val="17"/>
          <w:color w:val="auto"/>
        </w:rPr>
        <w:t>. Prior to the execution of this Agreement, Subscriber has had the opportunity to ask questions of and receive answers from representatives of the Company concerning an investment in the Company, as well as the financial condition, business and prospects of the Company, and the opportunity to obtain additional information to verify the accuracy of all information so obtained. In determining whether to make this investment, Subscriber has relied solely on Subscriber’s own knowledge and understanding of the Company and its business based upon Subscriber’s own due diligence investigation. Subscriber understands that no person has been authorized to make any representations other than as set forth in this Agreement and Subscriber has not relied on any other written or oral representations relating to the financial condition, business and prospects of the Company in making its investment decision.</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0" w:name="page311"/>
    <w:bookmarkEnd w:id="310"/>
    <w:p>
      <w:pPr>
        <w:jc w:val="both"/>
        <w:ind w:firstLine="1296"/>
        <w:spacing w:after="0" w:line="255" w:lineRule="auto"/>
        <w:rPr>
          <w:sz w:val="20"/>
          <w:szCs w:val="20"/>
          <w:color w:val="auto"/>
        </w:rPr>
      </w:pPr>
      <w:r>
        <w:rPr>
          <w:rFonts w:ascii="Arial" w:cs="Arial" w:eastAsia="Arial" w:hAnsi="Arial"/>
          <w:sz w:val="18"/>
          <w:szCs w:val="18"/>
          <w:color w:val="auto"/>
        </w:rPr>
        <w:t xml:space="preserve">2.1.7. </w:t>
      </w:r>
      <w:r>
        <w:rPr>
          <w:rFonts w:ascii="Arial" w:cs="Arial" w:eastAsia="Arial" w:hAnsi="Arial"/>
          <w:sz w:val="18"/>
          <w:szCs w:val="18"/>
          <w:u w:val="single" w:color="auto"/>
          <w:color w:val="auto"/>
        </w:rPr>
        <w:t>Investment Representations</w:t>
      </w:r>
      <w:r>
        <w:rPr>
          <w:rFonts w:ascii="Arial" w:cs="Arial" w:eastAsia="Arial" w:hAnsi="Arial"/>
          <w:sz w:val="18"/>
          <w:szCs w:val="18"/>
          <w:color w:val="auto"/>
        </w:rPr>
        <w:t>. Subscriber represents that it is an “accredited investor” as such term is defined in Rule 501(a) of Regulation D under the Securities Act and acknowledges the sale contemplated hereby is being made in reliance on the private placement exemption in Section 4(a)(2) of the Securities Act and/or said Regulation D and similar exemptions under state law. Subscriber is purchasing the Shares solely for investment purposes, for Subscriber’s own account and not for the account or benefit of any other person, and not with a view towards the distribution or dissemination thereof. Subscriber did not decide to enter into this Agreement as a result of any general solicitation or general advertising within the meaning of Rule 502 under the Securities Act.</w:t>
      </w:r>
    </w:p>
    <w:p>
      <w:pPr>
        <w:spacing w:after="0" w:line="192"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2.1.8. </w:t>
      </w:r>
      <w:r>
        <w:rPr>
          <w:rFonts w:ascii="Arial" w:cs="Arial" w:eastAsia="Arial" w:hAnsi="Arial"/>
          <w:sz w:val="17"/>
          <w:szCs w:val="17"/>
          <w:u w:val="single" w:color="auto"/>
          <w:color w:val="auto"/>
        </w:rPr>
        <w:t>Restrictions on Transfer; Shell Company</w:t>
      </w:r>
      <w:r>
        <w:rPr>
          <w:rFonts w:ascii="Arial" w:cs="Arial" w:eastAsia="Arial" w:hAnsi="Arial"/>
          <w:sz w:val="17"/>
          <w:szCs w:val="17"/>
          <w:color w:val="auto"/>
        </w:rPr>
        <w:t>. Subscriber understands the Shares are being offered in a transaction not involving a public offering within the meaning of the Securities Act. Subscriber understands the Shares will be “restricted securities” within the meaning of Rule 144(a)(3) under the Securities Act, and Subscriber understands that the certificates or book-entries representing the Shares will contain a legend or notation in respect of such restrictions. If, in the future, Subscriber decides to offer, resell, pledge or otherwise transfer the Shares, such Shares may be offered, resold, pledged or otherwise transferred only pursuant to: (i) an effective registration statement under the Securities Act or (ii) an exemption from registration available with respect to such sale. Subscriber agrees that if any transfer of its Shares or any interest therein is proposed to be made, as a condition precedent to any such transfer, Subscriber may be required to deliver to the Company an opinion of counsel satisfactory to the Company. Absent registration or available exemption, Subscriber agrees not to resell the Shares. Subscriber further acknowledges that because the Company is a shell company, Rule 144 may not be available to Subscriber for the resale of the Shares until one year following consummation of the initial business combination of the Company, despite the release or waiver of any contractual transfer restrictions.</w:t>
      </w:r>
    </w:p>
    <w:p>
      <w:pPr>
        <w:spacing w:after="0" w:line="18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Company’s Representations, Warranties and Agreements</w:t>
      </w:r>
      <w:r>
        <w:rPr>
          <w:rFonts w:ascii="Arial" w:cs="Arial" w:eastAsia="Arial" w:hAnsi="Arial"/>
          <w:sz w:val="18"/>
          <w:szCs w:val="18"/>
          <w:color w:val="auto"/>
        </w:rPr>
        <w:t>. To induce Subscriber to purchase the Shares, the Company hereby represents and warrants to Subscriber and agrees with Subscriber as follows:</w:t>
      </w:r>
    </w:p>
    <w:p>
      <w:pPr>
        <w:spacing w:after="0" w:line="170"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 xml:space="preserve">2.2.1. </w:t>
      </w:r>
      <w:r>
        <w:rPr>
          <w:rFonts w:ascii="Arial" w:cs="Arial" w:eastAsia="Arial" w:hAnsi="Arial"/>
          <w:sz w:val="17"/>
          <w:szCs w:val="17"/>
          <w:u w:val="single" w:color="auto"/>
          <w:color w:val="auto"/>
        </w:rPr>
        <w:t>Organization and Authority</w:t>
      </w:r>
      <w:r>
        <w:rPr>
          <w:rFonts w:ascii="Arial" w:cs="Arial" w:eastAsia="Arial" w:hAnsi="Arial"/>
          <w:sz w:val="17"/>
          <w:szCs w:val="17"/>
          <w:color w:val="auto"/>
        </w:rPr>
        <w:t>. The Company is a corporation, duly organized, validly existing and in good standing under the laws of the State of Delaware, and possesses all requisite power and authority necessary to carry out the transactions contemplated by this Agreement. This Agreement is a legal, valid and binding agreement of the Company, enforceable against the Company in accordance with its terms, except as such enforceability may be limited by applicable bankruptcy, insolvency, fraudulent conveyance or similar laws affecting the enforcement of creditors’ rights generally and subject to general principles of equity (regardless of whether enforcement is sought in a proceeding at law or in equity).</w:t>
      </w:r>
    </w:p>
    <w:p>
      <w:pPr>
        <w:spacing w:after="0" w:line="176"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2.2.2. </w:t>
      </w:r>
      <w:r>
        <w:rPr>
          <w:rFonts w:ascii="Arial" w:cs="Arial" w:eastAsia="Arial" w:hAnsi="Arial"/>
          <w:sz w:val="18"/>
          <w:szCs w:val="18"/>
          <w:u w:val="single" w:color="auto"/>
          <w:color w:val="auto"/>
        </w:rPr>
        <w:t>No Conflicts</w:t>
      </w:r>
      <w:r>
        <w:rPr>
          <w:rFonts w:ascii="Arial" w:cs="Arial" w:eastAsia="Arial" w:hAnsi="Arial"/>
          <w:sz w:val="18"/>
          <w:szCs w:val="18"/>
          <w:color w:val="auto"/>
        </w:rPr>
        <w:t>. The execution, delivery and performance of this Agreement and the consummation by the Company of the transactions contemplated hereby do not violate, conflict with or constitute a default under (i) the formation and governing documents of the Company, (ii) any agreement, indenture or instrument to which the Company is a party or (iii) any law, statute, rule, regulation, order, judgment or decree to which the Company is subject.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1" w:name="page312"/>
    <w:bookmarkEnd w:id="311"/>
    <w:p>
      <w:pPr>
        <w:jc w:val="both"/>
        <w:ind w:firstLine="1296"/>
        <w:spacing w:after="0" w:line="277" w:lineRule="auto"/>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u w:val="single" w:color="auto"/>
          <w:color w:val="auto"/>
        </w:rPr>
        <w:t>No Governmental Consents</w:t>
      </w:r>
      <w:r>
        <w:rPr>
          <w:rFonts w:ascii="Arial" w:cs="Arial" w:eastAsia="Arial" w:hAnsi="Arial"/>
          <w:sz w:val="18"/>
          <w:szCs w:val="18"/>
          <w:color w:val="auto"/>
        </w:rPr>
        <w:t>. No governmental, administrative or other third party consents or approvals are required, necessary or appropriate on the part of the Company in connection with the transactions contemplated by this Agreement.</w:t>
      </w:r>
    </w:p>
    <w:p>
      <w:pPr>
        <w:spacing w:after="0" w:line="170"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2.2.4. </w:t>
      </w:r>
      <w:r>
        <w:rPr>
          <w:rFonts w:ascii="Arial" w:cs="Arial" w:eastAsia="Arial" w:hAnsi="Arial"/>
          <w:sz w:val="18"/>
          <w:szCs w:val="18"/>
          <w:u w:val="single" w:color="auto"/>
          <w:color w:val="auto"/>
        </w:rPr>
        <w:t>Title to Securities</w:t>
      </w:r>
      <w:r>
        <w:rPr>
          <w:rFonts w:ascii="Arial" w:cs="Arial" w:eastAsia="Arial" w:hAnsi="Arial"/>
          <w:sz w:val="18"/>
          <w:szCs w:val="18"/>
          <w:color w:val="auto"/>
        </w:rPr>
        <w:t>. Upon issuance in accordance with, and payment pursuant to, the terms hereof, the Shares will be duly and validly issued, fully paid and nonassessable. Upon issuance in accordance with, and payment pursuant to, the terms hereof, Subscriber will have or receive good title to the Shares, free and clear of all liens, claims and encumbrances of any kind, other than (a) transfer restrictions hereunder and other agreements to which the Shares may become subject, (b) transfer restrictions under federal and state securities laws, and (c) liens, claims or encumbrances imposed due to the actions of Subscriber.</w:t>
      </w:r>
    </w:p>
    <w:p>
      <w:pPr>
        <w:spacing w:after="0" w:line="188" w:lineRule="exact"/>
        <w:rPr>
          <w:sz w:val="20"/>
          <w:szCs w:val="20"/>
          <w:color w:val="auto"/>
        </w:rPr>
      </w:pPr>
    </w:p>
    <w:p>
      <w:pPr>
        <w:ind w:left="180" w:hanging="172"/>
        <w:spacing w:after="0"/>
        <w:tabs>
          <w:tab w:leader="none" w:pos="180" w:val="left"/>
        </w:tabs>
        <w:numPr>
          <w:ilvl w:val="0"/>
          <w:numId w:val="253"/>
        </w:numPr>
        <w:rPr>
          <w:rFonts w:ascii="Arial" w:cs="Arial" w:eastAsia="Arial" w:hAnsi="Arial"/>
          <w:sz w:val="18"/>
          <w:szCs w:val="18"/>
          <w:color w:val="auto"/>
        </w:rPr>
      </w:pPr>
      <w:r>
        <w:rPr>
          <w:rFonts w:ascii="Arial" w:cs="Arial" w:eastAsia="Arial" w:hAnsi="Arial"/>
          <w:sz w:val="18"/>
          <w:szCs w:val="18"/>
          <w:u w:val="single" w:color="auto"/>
          <w:color w:val="auto"/>
        </w:rPr>
        <w:t>Forfeiture of Shares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Partial or No Exercise of the Over-allotment Option</w:t>
      </w:r>
      <w:r>
        <w:rPr>
          <w:rFonts w:ascii="Arial" w:cs="Arial" w:eastAsia="Arial" w:hAnsi="Arial"/>
          <w:sz w:val="18"/>
          <w:szCs w:val="18"/>
          <w:color w:val="auto"/>
        </w:rPr>
        <w:t>. In the event the Over-allotment Option is not exercised in full, Subscriber acknowledges and agrees that it (or, if applicable, it and/or any transferees of Shares) shall forfeit any and all rights to such number of Shares (up to an aggregate of 375,000 Shares (as such amount may be adjusted for share splits, share dividends, reorganizations, recapitalizations and the like) and pro rata based upon the percentage of the Over-allotment Option exercised) such that immediately following such forfeiture, Subscriber (and all other initial stockholders of the Company prior to the IPO, if any) will own an aggregate number of Shares equal to 20% of the issued and outstanding Shares immediately following the IPO.</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Termination of Rights as Stockholder</w:t>
      </w:r>
      <w:r>
        <w:rPr>
          <w:rFonts w:ascii="Arial" w:cs="Arial" w:eastAsia="Arial" w:hAnsi="Arial"/>
          <w:sz w:val="18"/>
          <w:szCs w:val="18"/>
          <w:color w:val="auto"/>
        </w:rPr>
        <w:t>. If any of the Shares are forfeited in accordance with this Section 3, then after such time Subscriber (or its successor in interest), shall no longer have any rights as a holder of such forfeited Shares, and the Company shall take such action as is appropriate to cancel such forfeited Shares.</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Share Certificates</w:t>
      </w:r>
      <w:r>
        <w:rPr>
          <w:rFonts w:ascii="Arial" w:cs="Arial" w:eastAsia="Arial" w:hAnsi="Arial"/>
          <w:sz w:val="18"/>
          <w:szCs w:val="18"/>
          <w:color w:val="auto"/>
        </w:rPr>
        <w:t>. In the event an adjustment to the Original Certificates, if any, is required pursuant to this Section 3, then Subscriber shall return such Original Certificates to the Company or its designated agent as soon as practicable upon its receipt of notice from the Company advising Subscriber of such adjustment, following which a new certificate (the “</w:t>
      </w:r>
      <w:r>
        <w:rPr>
          <w:rFonts w:ascii="Arial" w:cs="Arial" w:eastAsia="Arial" w:hAnsi="Arial"/>
          <w:sz w:val="18"/>
          <w:szCs w:val="18"/>
          <w:b w:val="1"/>
          <w:bCs w:val="1"/>
          <w:color w:val="auto"/>
        </w:rPr>
        <w:t>New Certificate</w:t>
      </w:r>
      <w:r>
        <w:rPr>
          <w:rFonts w:ascii="Arial" w:cs="Arial" w:eastAsia="Arial" w:hAnsi="Arial"/>
          <w:sz w:val="18"/>
          <w:szCs w:val="18"/>
          <w:color w:val="auto"/>
        </w:rPr>
        <w:t>”), if any, shall be issued in such amount representing the adjusted number of Shares held by Subscriber. The New Certificate, if any, shall be returned to Subscriber as soon as practicable. Any such adjustment for any uncertificated securities held by Subscriber shall be made in book-entry form.</w:t>
      </w:r>
    </w:p>
    <w:p>
      <w:pPr>
        <w:spacing w:after="0" w:line="188" w:lineRule="exact"/>
        <w:rPr>
          <w:sz w:val="20"/>
          <w:szCs w:val="20"/>
          <w:color w:val="auto"/>
        </w:rPr>
      </w:pPr>
    </w:p>
    <w:p>
      <w:pPr>
        <w:jc w:val="both"/>
        <w:ind w:firstLine="8"/>
        <w:spacing w:after="0" w:line="291" w:lineRule="auto"/>
        <w:tabs>
          <w:tab w:leader="none" w:pos="180" w:val="left"/>
        </w:tabs>
        <w:numPr>
          <w:ilvl w:val="0"/>
          <w:numId w:val="254"/>
        </w:numPr>
        <w:rPr>
          <w:rFonts w:ascii="Arial" w:cs="Arial" w:eastAsia="Arial" w:hAnsi="Arial"/>
          <w:sz w:val="16"/>
          <w:szCs w:val="16"/>
          <w:color w:val="auto"/>
        </w:rPr>
      </w:pPr>
      <w:r>
        <w:rPr>
          <w:rFonts w:ascii="Arial" w:cs="Arial" w:eastAsia="Arial" w:hAnsi="Arial"/>
          <w:sz w:val="16"/>
          <w:szCs w:val="16"/>
          <w:u w:val="single" w:color="auto"/>
          <w:color w:val="auto"/>
        </w:rPr>
        <w:t>Waiver of Redemption Rights</w:t>
      </w:r>
      <w:r>
        <w:rPr>
          <w:rFonts w:ascii="Arial" w:cs="Arial" w:eastAsia="Arial" w:hAnsi="Arial"/>
          <w:sz w:val="16"/>
          <w:szCs w:val="16"/>
          <w:color w:val="auto"/>
        </w:rPr>
        <w:t>. Subscriber hereby waives any and all rights to redeem the Shares for a portion of the amounts held in the trust account into which substantially all of the proceeds of the IPO will be deposited (the “</w:t>
      </w:r>
      <w:r>
        <w:rPr>
          <w:rFonts w:ascii="Arial" w:cs="Arial" w:eastAsia="Arial" w:hAnsi="Arial"/>
          <w:sz w:val="16"/>
          <w:szCs w:val="16"/>
          <w:b w:val="1"/>
          <w:bCs w:val="1"/>
          <w:color w:val="auto"/>
        </w:rPr>
        <w:t>Trust Account</w:t>
      </w:r>
      <w:r>
        <w:rPr>
          <w:rFonts w:ascii="Arial" w:cs="Arial" w:eastAsia="Arial" w:hAnsi="Arial"/>
          <w:sz w:val="16"/>
          <w:szCs w:val="16"/>
          <w:color w:val="auto"/>
        </w:rPr>
        <w:t>”) in the event of the Company’s failure to timely complete an initial business combination, an extension of the time period to complete an initial business combination or upon the consummation of an initial business combination. For purposes of clarity, in the event Subscriber purchases shares of Common Stock included in the Units issued in the IPO (“</w:t>
      </w:r>
      <w:r>
        <w:rPr>
          <w:rFonts w:ascii="Arial" w:cs="Arial" w:eastAsia="Arial" w:hAnsi="Arial"/>
          <w:sz w:val="16"/>
          <w:szCs w:val="16"/>
          <w:b w:val="1"/>
          <w:bCs w:val="1"/>
          <w:color w:val="auto"/>
        </w:rPr>
        <w:t>Public Shares</w:t>
      </w:r>
      <w:r>
        <w:rPr>
          <w:rFonts w:ascii="Arial" w:cs="Arial" w:eastAsia="Arial" w:hAnsi="Arial"/>
          <w:sz w:val="16"/>
          <w:szCs w:val="16"/>
          <w:color w:val="auto"/>
        </w:rPr>
        <w:t>”), either in the IPO or in the aftermarket, any Public Shares so purchased shall be eligible to be redeemed for a portion of the amounts held in the Trust Account in the event of the Company’s failure to timely complete an initial business combination (but, for the avoidance of doubt, not in connection with an extension of the time period to complete an initial business combination or upon the consummation of an initial business combination).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2" w:name="page313"/>
    <w:bookmarkEnd w:id="312"/>
    <w:p>
      <w:pPr>
        <w:ind w:left="180" w:hanging="172"/>
        <w:spacing w:after="0"/>
        <w:tabs>
          <w:tab w:leader="none" w:pos="180" w:val="left"/>
        </w:tabs>
        <w:numPr>
          <w:ilvl w:val="0"/>
          <w:numId w:val="255"/>
        </w:numPr>
        <w:rPr>
          <w:rFonts w:ascii="Arial" w:cs="Arial" w:eastAsia="Arial" w:hAnsi="Arial"/>
          <w:sz w:val="18"/>
          <w:szCs w:val="18"/>
          <w:color w:val="auto"/>
        </w:rPr>
      </w:pPr>
      <w:r>
        <w:rPr>
          <w:rFonts w:ascii="Arial" w:cs="Arial" w:eastAsia="Arial" w:hAnsi="Arial"/>
          <w:sz w:val="18"/>
          <w:szCs w:val="18"/>
          <w:u w:val="single" w:color="auto"/>
          <w:color w:val="auto"/>
        </w:rPr>
        <w:t>Restrictions on Transfer</w:t>
      </w:r>
      <w:r>
        <w:rPr>
          <w:rFonts w:ascii="Arial" w:cs="Arial" w:eastAsia="Arial" w:hAnsi="Arial"/>
          <w:sz w:val="18"/>
          <w:szCs w:val="18"/>
          <w:color w:val="auto"/>
        </w:rPr>
        <w:t>.</w:t>
      </w:r>
    </w:p>
    <w:p>
      <w:pPr>
        <w:spacing w:after="0" w:line="22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Securities Law Restrictions</w:t>
      </w:r>
      <w:r>
        <w:rPr>
          <w:rFonts w:ascii="Arial" w:cs="Arial" w:eastAsia="Arial" w:hAnsi="Arial"/>
          <w:sz w:val="18"/>
          <w:szCs w:val="18"/>
          <w:color w:val="auto"/>
        </w:rPr>
        <w:t>. In addition to any restrictions to be contained in that certain letter agreement (commonly known as an “</w:t>
      </w:r>
      <w:r>
        <w:rPr>
          <w:rFonts w:ascii="Arial" w:cs="Arial" w:eastAsia="Arial" w:hAnsi="Arial"/>
          <w:sz w:val="18"/>
          <w:szCs w:val="18"/>
          <w:b w:val="1"/>
          <w:bCs w:val="1"/>
          <w:color w:val="auto"/>
        </w:rPr>
        <w:t>Insider</w:t>
      </w:r>
      <w:r>
        <w:rPr>
          <w:rFonts w:ascii="Arial" w:cs="Arial" w:eastAsia="Arial" w:hAnsi="Arial"/>
          <w:sz w:val="18"/>
          <w:szCs w:val="18"/>
          <w:color w:val="auto"/>
        </w:rPr>
        <w:t xml:space="preserve"> </w:t>
      </w:r>
      <w:r>
        <w:rPr>
          <w:rFonts w:ascii="Arial" w:cs="Arial" w:eastAsia="Arial" w:hAnsi="Arial"/>
          <w:sz w:val="18"/>
          <w:szCs w:val="18"/>
          <w:b w:val="1"/>
          <w:bCs w:val="1"/>
          <w:color w:val="auto"/>
        </w:rPr>
        <w:t>Letter</w:t>
      </w:r>
      <w:r>
        <w:rPr>
          <w:rFonts w:ascii="Arial" w:cs="Arial" w:eastAsia="Arial" w:hAnsi="Arial"/>
          <w:sz w:val="18"/>
          <w:szCs w:val="18"/>
          <w:color w:val="auto"/>
        </w:rPr>
        <w:t>”) to be dated as of the closing of the IPO by and between Subscriber and the Company (which will also contain other agreements with respect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Shares), Subscriber agrees not to sell, transfer, pledge, hypothecate or otherwise dispose of all or any part of the Shares unless, prior thereto, (a) a registration statement on the appropriate form under the Securities Act and applicable state securities laws with respect to the Shares proposed to be transferred shall then be effective or (b) the Company has received an opinion from counsel, reasonably satisfactory to the Company, that registration is not required because such transaction is exempt from registration under the Securities Act and the rules promulgated by the Securities and Exchange Commission thereunder and all applicable state securities laws.</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Restrictive Legends</w:t>
      </w:r>
      <w:r>
        <w:rPr>
          <w:rFonts w:ascii="Arial" w:cs="Arial" w:eastAsia="Arial" w:hAnsi="Arial"/>
          <w:sz w:val="18"/>
          <w:szCs w:val="18"/>
          <w:color w:val="auto"/>
        </w:rPr>
        <w:t>. Any certificates representing the Shares shall have endorsed thereon legends substantially as follows (and any book-entries representing the Shares shall have similar notations):</w:t>
      </w:r>
    </w:p>
    <w:p>
      <w:pPr>
        <w:spacing w:after="0" w:line="170" w:lineRule="exact"/>
        <w:rPr>
          <w:sz w:val="20"/>
          <w:szCs w:val="20"/>
          <w:color w:val="auto"/>
        </w:rPr>
      </w:pPr>
    </w:p>
    <w:p>
      <w:pPr>
        <w:jc w:val="both"/>
        <w:ind w:left="660" w:right="640"/>
        <w:spacing w:after="0" w:line="275" w:lineRule="auto"/>
        <w:rPr>
          <w:sz w:val="20"/>
          <w:szCs w:val="20"/>
          <w:color w:val="auto"/>
        </w:rPr>
      </w:pPr>
      <w:r>
        <w:rPr>
          <w:rFonts w:ascii="Arial" w:cs="Arial" w:eastAsia="Arial" w:hAnsi="Arial"/>
          <w:sz w:val="17"/>
          <w:szCs w:val="17"/>
          <w:color w:val="auto"/>
        </w:rPr>
        <w:t>“THE SECURITIES REPRESENTED HEREBY HAVE NOT BEEN REGISTERED UNDER THE SECURITIES ACT OF 1933, AS AMENDED, OR ANY STATE SECURITIES LAWS AND NEITHER THE SECURITIES NOR ANY INTEREST THEREIN MAY BE OFFERED, SOLD, TRANSFERRED, PLEDGED, HYPOTHECATED OR OTHERWISE DISPOSED OF EXCEPT PURSUANT TO AN EFFECTIVE REGISTRATION STATEMENT UNDER SUCH ACT OR SUCH LAWS OR AN EXEMPTION FROM REGISTRATION UNDER SUCH ACT AND SUCH LAWS WHICH, IN THE OPINION OF COUNSEL, IS AVAILABLE.”</w:t>
      </w:r>
    </w:p>
    <w:p>
      <w:pPr>
        <w:spacing w:after="0" w:line="176" w:lineRule="exact"/>
        <w:rPr>
          <w:sz w:val="20"/>
          <w:szCs w:val="20"/>
          <w:color w:val="auto"/>
        </w:rPr>
      </w:pPr>
    </w:p>
    <w:p>
      <w:pPr>
        <w:jc w:val="both"/>
        <w:ind w:left="660" w:right="660"/>
        <w:spacing w:after="0" w:line="257" w:lineRule="auto"/>
        <w:rPr>
          <w:sz w:val="20"/>
          <w:szCs w:val="20"/>
          <w:color w:val="auto"/>
        </w:rPr>
      </w:pPr>
      <w:r>
        <w:rPr>
          <w:rFonts w:ascii="Arial" w:cs="Arial" w:eastAsia="Arial" w:hAnsi="Arial"/>
          <w:sz w:val="18"/>
          <w:szCs w:val="18"/>
          <w:color w:val="auto"/>
        </w:rPr>
        <w:t>“THE SECURITIES REPRESENTED BY THIS CERTIFICATE ARE SUBJECT TO ADDITIONAL RESTRICTIONS ON TRANSFER SET FORTH IN A LETTER AGREEMENT WITH THE COMPANY (A COPY OF WHICH MAY BE OBTAINED FROM THE COMPANY AT THE COMPANY’S PRINCIPAL PLACE OF BUSINESS WITHOUT CHARGE) AND MAY NOT BE OFFERED, SOLD, TRANSFERRED, PLEDGED, HYPOTHECATED OR OTHERWISE DISPOSED OF IN VIOLATION OF SUCH RESTRICTIONS.”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3" w:name="page314"/>
    <w:bookmarkEnd w:id="313"/>
    <w:p>
      <w:pPr>
        <w:jc w:val="both"/>
        <w:ind w:firstLine="648"/>
        <w:spacing w:after="0" w:line="255"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Additional Shares or Substituted Securities</w:t>
      </w:r>
      <w:r>
        <w:rPr>
          <w:rFonts w:ascii="Arial" w:cs="Arial" w:eastAsia="Arial" w:hAnsi="Arial"/>
          <w:sz w:val="18"/>
          <w:szCs w:val="18"/>
          <w:color w:val="auto"/>
        </w:rPr>
        <w:t>. In the event of the declaration of a share dividend, the declaration of an extraordinary dividend payable in a form other than Shares, a spin-off, a share split, an adjustment in conversion ratio, a recapitalization or a similar transaction affecting the Company’s outstanding Shares without receipt of consideration, any new, substituted or additional securities or other property which are by reason of such transaction distributed with respect to any Shares subject to this Section 5 or into which such Shares thereby become convertible shall immediately be subject to this Section 5 and Section 3 hereof. Appropriate adjustments to reflect the distribution of such securities or property shall be made to the number and/or class of Shares subject to this Section 5 and Section 3.</w:t>
      </w:r>
    </w:p>
    <w:p>
      <w:pPr>
        <w:spacing w:after="0" w:line="192" w:lineRule="exact"/>
        <w:rPr>
          <w:sz w:val="20"/>
          <w:szCs w:val="20"/>
          <w:color w:val="auto"/>
        </w:rPr>
      </w:pPr>
    </w:p>
    <w:p>
      <w:pPr>
        <w:ind w:left="180" w:hanging="172"/>
        <w:spacing w:after="0"/>
        <w:tabs>
          <w:tab w:leader="none" w:pos="180" w:val="left"/>
        </w:tabs>
        <w:numPr>
          <w:ilvl w:val="0"/>
          <w:numId w:val="256"/>
        </w:numPr>
        <w:rPr>
          <w:rFonts w:ascii="Arial" w:cs="Arial" w:eastAsia="Arial" w:hAnsi="Arial"/>
          <w:sz w:val="18"/>
          <w:szCs w:val="18"/>
          <w:color w:val="auto"/>
        </w:rPr>
      </w:pPr>
      <w:r>
        <w:rPr>
          <w:rFonts w:ascii="Arial" w:cs="Arial" w:eastAsia="Arial" w:hAnsi="Arial"/>
          <w:sz w:val="18"/>
          <w:szCs w:val="18"/>
          <w:u w:val="single" w:color="auto"/>
          <w:color w:val="auto"/>
        </w:rPr>
        <w:t>Other Agreements</w:t>
      </w:r>
      <w:r>
        <w:rPr>
          <w:rFonts w:ascii="Arial" w:cs="Arial" w:eastAsia="Arial" w:hAnsi="Arial"/>
          <w:sz w:val="18"/>
          <w:szCs w:val="18"/>
          <w:color w:val="auto"/>
        </w:rPr>
        <w: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Further Assurances</w:t>
      </w:r>
      <w:r>
        <w:rPr>
          <w:rFonts w:ascii="Arial" w:cs="Arial" w:eastAsia="Arial" w:hAnsi="Arial"/>
          <w:sz w:val="18"/>
          <w:szCs w:val="18"/>
          <w:color w:val="auto"/>
        </w:rPr>
        <w:t>. Subscriber agrees to execute such further instruments and to take such further action as may reasonably be necessary to carry out the intent of this Agreement.</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statements or other documents which are required or contemplated by this Agreement shall be in writing and delivered (i) personally or by certified mail (return receipt requested) or overnight courier service or (ii) by electronic mail, if to the Company, at the address of its principal offices and any electronic mail address as may be designated in writing by the Company and, if to Subscriber, at its address in the books and records of the Company and any electronic mail address as may be designated in writing by Subscriber, or to such other addresses as may be designated in writing by the Company or Subscriber. All such notices, statements or other documents shall be deemed received on the date of receipt by the recipient thereof if received prior to 8:00 p.m. on a business day in the place of receipt. Otherwise, any such notices, statements or other documents shall be deemed to have been received on the next succeeding business day in the place of receipt.</w:t>
      </w:r>
    </w:p>
    <w:p>
      <w:pPr>
        <w:spacing w:after="0" w:line="17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together with the Insider Letter and the registration rights agreement to be entered into with respect to the Shares, each substantially in the form to be filed as an exhibit to the Registration Statement on Form S-1 associated with the Company’s IPO, embodies the entire agreement and understanding between Subscriber and the Company with respect to the subject matter hereof and supersedes all prior oral or written agreements and understandings relating to the subject matter hereof. No statement, representation, warranty, covenant or agreement of any kind not expressly set forth in this Agreement shall affect, or be used to interpret, change or restrict, the express terms and provisions of this Agreement.</w:t>
      </w:r>
    </w:p>
    <w:p>
      <w:pPr>
        <w:spacing w:after="0" w:line="16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Modifications and Amendments</w:t>
      </w:r>
      <w:r>
        <w:rPr>
          <w:rFonts w:ascii="Arial" w:cs="Arial" w:eastAsia="Arial" w:hAnsi="Arial"/>
          <w:sz w:val="18"/>
          <w:szCs w:val="18"/>
          <w:color w:val="auto"/>
        </w:rPr>
        <w:t>. The terms and provisions of this Agreement may be modified or amended only by written agreement executed by all parties hereto.</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u w:val="single" w:color="auto"/>
          <w:color w:val="auto"/>
        </w:rPr>
        <w:t>Waivers and Consents</w:t>
      </w:r>
      <w:r>
        <w:rPr>
          <w:rFonts w:ascii="Arial" w:cs="Arial" w:eastAsia="Arial" w:hAnsi="Arial"/>
          <w:sz w:val="16"/>
          <w:szCs w:val="16"/>
          <w:color w:val="auto"/>
        </w:rPr>
        <w:t>. The terms and provisions of this Agreement may be waived, or consent for the departure therefrom granted, only by a written document executed by the party entitled to the benefits of such terms or provisions. No such waiver or consent shall be deemed to be or shall constitute a waiver or consent with respect to any other terms or provisions of this Agreement, whether or not similar. Each such waiver or consent shall be effective only in the specific instance and for the purpose for which it was given, and shall not constitute a continuing waiver or consent.</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4" w:name="page315"/>
    <w:bookmarkEnd w:id="314"/>
    <w:p>
      <w:pPr>
        <w:jc w:val="both"/>
        <w:ind w:firstLine="648"/>
        <w:spacing w:after="0" w:line="277"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Assignment</w:t>
      </w:r>
      <w:r>
        <w:rPr>
          <w:rFonts w:ascii="Arial" w:cs="Arial" w:eastAsia="Arial" w:hAnsi="Arial"/>
          <w:sz w:val="18"/>
          <w:szCs w:val="18"/>
          <w:color w:val="auto"/>
        </w:rPr>
        <w:t>. The rights and obligations under this Agreement may not be assigned by either party hereto without the prior written consent of the other party.</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6.7. </w:t>
      </w:r>
      <w:r>
        <w:rPr>
          <w:rFonts w:ascii="Arial" w:cs="Arial" w:eastAsia="Arial" w:hAnsi="Arial"/>
          <w:sz w:val="16"/>
          <w:szCs w:val="16"/>
          <w:u w:val="single" w:color="auto"/>
          <w:color w:val="auto"/>
        </w:rPr>
        <w:t>Benefit</w:t>
      </w:r>
      <w:r>
        <w:rPr>
          <w:rFonts w:ascii="Arial" w:cs="Arial" w:eastAsia="Arial" w:hAnsi="Arial"/>
          <w:sz w:val="16"/>
          <w:szCs w:val="16"/>
          <w:color w:val="auto"/>
        </w:rPr>
        <w:t>. All statements, representations, warranties, covenants and agreements in this Agreement shall be binding on the parties hereto and shall inure to the benefit of the respective successors and permitted assigns of each party hereto. Nothing in this Agreement shall be construed to create any rights or obligations except among the parties hereto, and no person or entity shall be regarded as a third-party beneficiary of this Agreement.</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the rights and obligations of the parties hereunder shall be construed in accordance with and governed by the laws of the State of Delaware applicable to contracts wholly performed within the borders of such state, without giving effect to the conflict of law principles thereof.</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6.9. </w:t>
      </w:r>
      <w:r>
        <w:rPr>
          <w:rFonts w:ascii="Arial" w:cs="Arial" w:eastAsia="Arial" w:hAnsi="Arial"/>
          <w:sz w:val="17"/>
          <w:szCs w:val="17"/>
          <w:u w:val="single" w:color="auto"/>
          <w:color w:val="auto"/>
        </w:rPr>
        <w:t>Severability</w:t>
      </w:r>
      <w:r>
        <w:rPr>
          <w:rFonts w:ascii="Arial" w:cs="Arial" w:eastAsia="Arial" w:hAnsi="Arial"/>
          <w:sz w:val="17"/>
          <w:szCs w:val="17"/>
          <w:color w:val="auto"/>
        </w:rPr>
        <w:t>. In the event that any court of competent jurisdiction shall determine that any provision, or any portion thereof, contained in this Agreement shall be unreasonable or unenforceable in any respect, then such provision shall be deemed limited to the extent that such court deems it reasonable and enforceable, and, as so limited, shall remain in full force and effect. In the event that such court shall deem any such provision, or portion thereof, wholly unenforceable, the remaining provisions of this Agreement shall nevertheless remain in full force and effect.</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6.10. </w:t>
      </w:r>
      <w:r>
        <w:rPr>
          <w:rFonts w:ascii="Arial" w:cs="Arial" w:eastAsia="Arial" w:hAnsi="Arial"/>
          <w:sz w:val="17"/>
          <w:szCs w:val="17"/>
          <w:u w:val="single" w:color="auto"/>
          <w:color w:val="auto"/>
        </w:rPr>
        <w:t>No Waiver of Rights, Powers and Remedies</w:t>
      </w:r>
      <w:r>
        <w:rPr>
          <w:rFonts w:ascii="Arial" w:cs="Arial" w:eastAsia="Arial" w:hAnsi="Arial"/>
          <w:sz w:val="17"/>
          <w:szCs w:val="17"/>
          <w:color w:val="auto"/>
        </w:rPr>
        <w:t>. No failure or delay by a party hereto in exercising any right, power or remedy under this Agreement, and no course of dealing between the parties hereto, shall operate as a waiver of any such right, power or remedy of such party. No single or partial exercise of any right, power or remedy under this Agreement by a party hereto, nor any abandonment or discontinuance of steps to enforce any such right, power or remedy, shall preclude such party from any other or further exercise thereof or the exercise of any other right, power or remedy hereunder. The election of any remedy by a party hereto shall not constitute a waiver of the right of such party to pursue other available remedies. No notice to or demand on a party not expressly required under this Agreement shall entitle the party receiving such notice or demand to any other or further notice or demand in similar or other circumstances or constitute a waiver of the rights of the party giving such notice or demand to any other or further action in any circumstances without such notice or demand.</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Survival of Representations and Warranties</w:t>
      </w:r>
      <w:r>
        <w:rPr>
          <w:rFonts w:ascii="Arial" w:cs="Arial" w:eastAsia="Arial" w:hAnsi="Arial"/>
          <w:sz w:val="18"/>
          <w:szCs w:val="18"/>
          <w:color w:val="auto"/>
        </w:rPr>
        <w:t>. All representations and warranties made by the parties hereto in this Agreement or in any other agreement, certificate or instrument provided for or contemplated hereby, shall survive the execution and delivery hereof and any investigations made by or on behalf of the parties.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5" w:name="page316"/>
    <w:bookmarkEnd w:id="315"/>
    <w:p>
      <w:pPr>
        <w:jc w:val="both"/>
        <w:ind w:firstLine="648"/>
        <w:spacing w:after="0" w:line="257" w:lineRule="auto"/>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u w:val="single" w:color="auto"/>
          <w:color w:val="auto"/>
        </w:rPr>
        <w:t>No Broker or Finder</w:t>
      </w:r>
      <w:r>
        <w:rPr>
          <w:rFonts w:ascii="Arial" w:cs="Arial" w:eastAsia="Arial" w:hAnsi="Arial"/>
          <w:sz w:val="18"/>
          <w:szCs w:val="18"/>
          <w:color w:val="auto"/>
        </w:rPr>
        <w:t>. Each of the parties hereto represents and warrants to the other that no broker, finder or other financial consultant has acted on its behalf in connection with this Agreement or the transactions contemplated hereby in such a way as to create any liability on the other. Each of the parties hereto agrees to indemnify and save the other harmless from any claim or demand for commission or other compensation by any broker, finder, financial consultant or similar agent claiming to have been employed by or on behalf of such party and to bear the cost of legal expenses incurred in defending against any such claim.</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6.13. </w:t>
      </w:r>
      <w:r>
        <w:rPr>
          <w:rFonts w:ascii="Arial" w:cs="Arial" w:eastAsia="Arial" w:hAnsi="Arial"/>
          <w:sz w:val="18"/>
          <w:szCs w:val="18"/>
          <w:u w:val="single" w:color="auto"/>
          <w:color w:val="auto"/>
        </w:rPr>
        <w:t>Headings and Captions</w:t>
      </w:r>
      <w:r>
        <w:rPr>
          <w:rFonts w:ascii="Arial" w:cs="Arial" w:eastAsia="Arial" w:hAnsi="Arial"/>
          <w:sz w:val="18"/>
          <w:szCs w:val="18"/>
          <w:color w:val="auto"/>
        </w:rPr>
        <w:t>. The headings and captions of the various subdivisions of this Agreement are for convenience of reference only and shall in no way modify or affect the meaning or construction of any of the terms or provisions hereof.</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6.14.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in pdf format via electronic mail, such signature shall create a valid and binding obligation of the party executing (or on whose behalf such signature is executed) with the same force and effect as if such signature page were an original thereof.</w:t>
      </w:r>
    </w:p>
    <w:p>
      <w:pPr>
        <w:spacing w:after="0" w:line="18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6.15. </w:t>
      </w:r>
      <w:r>
        <w:rPr>
          <w:rFonts w:ascii="Arial" w:cs="Arial" w:eastAsia="Arial" w:hAnsi="Arial"/>
          <w:sz w:val="16"/>
          <w:szCs w:val="16"/>
          <w:u w:val="single" w:color="auto"/>
          <w:color w:val="auto"/>
        </w:rPr>
        <w:t>Construction</w:t>
      </w:r>
      <w:r>
        <w:rPr>
          <w:rFonts w:ascii="Arial" w:cs="Arial" w:eastAsia="Arial" w:hAnsi="Arial"/>
          <w:sz w:val="16"/>
          <w:szCs w:val="16"/>
          <w:color w:val="auto"/>
        </w:rPr>
        <w:t>. The parties hereto have participated jointly in the negotiation and drafting of this Agreement. If an ambiguity or question of intent or interpretation arises, this Agreement will be construed as if drafted jointly by the parties hereto and no presumption or burden of proof will arise favoring or disfavoring any party hereto because of the authorship of any provision of this Agreement. The words “</w:t>
      </w:r>
      <w:r>
        <w:rPr>
          <w:rFonts w:ascii="Arial" w:cs="Arial" w:eastAsia="Arial" w:hAnsi="Arial"/>
          <w:sz w:val="16"/>
          <w:szCs w:val="16"/>
          <w:i w:val="1"/>
          <w:iCs w:val="1"/>
          <w:color w:val="auto"/>
        </w:rPr>
        <w:t>include</w:t>
      </w:r>
      <w:r>
        <w:rPr>
          <w:rFonts w:ascii="Arial" w:cs="Arial" w:eastAsia="Arial" w:hAnsi="Arial"/>
          <w:sz w:val="16"/>
          <w:szCs w:val="16"/>
          <w:color w:val="auto"/>
        </w:rPr>
        <w:t>,” “</w:t>
      </w:r>
      <w:r>
        <w:rPr>
          <w:rFonts w:ascii="Arial" w:cs="Arial" w:eastAsia="Arial" w:hAnsi="Arial"/>
          <w:sz w:val="16"/>
          <w:szCs w:val="16"/>
          <w:i w:val="1"/>
          <w:iCs w:val="1"/>
          <w:color w:val="auto"/>
        </w:rPr>
        <w:t>includes</w:t>
      </w:r>
      <w:r>
        <w:rPr>
          <w:rFonts w:ascii="Arial" w:cs="Arial" w:eastAsia="Arial" w:hAnsi="Arial"/>
          <w:sz w:val="16"/>
          <w:szCs w:val="16"/>
          <w:color w:val="auto"/>
        </w:rPr>
        <w:t>,” and “</w:t>
      </w:r>
      <w:r>
        <w:rPr>
          <w:rFonts w:ascii="Arial" w:cs="Arial" w:eastAsia="Arial" w:hAnsi="Arial"/>
          <w:sz w:val="16"/>
          <w:szCs w:val="16"/>
          <w:i w:val="1"/>
          <w:iCs w:val="1"/>
          <w:color w:val="auto"/>
        </w:rPr>
        <w:t>including</w:t>
      </w:r>
      <w:r>
        <w:rPr>
          <w:rFonts w:ascii="Arial" w:cs="Arial" w:eastAsia="Arial" w:hAnsi="Arial"/>
          <w:sz w:val="16"/>
          <w:szCs w:val="16"/>
          <w:color w:val="auto"/>
        </w:rPr>
        <w:t>” will be deemed to be followed by “</w:t>
      </w:r>
      <w:r>
        <w:rPr>
          <w:rFonts w:ascii="Arial" w:cs="Arial" w:eastAsia="Arial" w:hAnsi="Arial"/>
          <w:sz w:val="16"/>
          <w:szCs w:val="16"/>
          <w:i w:val="1"/>
          <w:iCs w:val="1"/>
          <w:color w:val="auto"/>
        </w:rPr>
        <w:t>without limitation</w:t>
      </w:r>
      <w:r>
        <w:rPr>
          <w:rFonts w:ascii="Arial" w:cs="Arial" w:eastAsia="Arial" w:hAnsi="Arial"/>
          <w:sz w:val="16"/>
          <w:szCs w:val="16"/>
          <w:color w:val="auto"/>
        </w:rPr>
        <w:t>.” Pronouns in masculine, feminine, and neuter genders will be construed to include any other gender, and words in the singular form will be construed to include the plural and vice versa, unless the context otherwise requires. The words “</w:t>
      </w:r>
      <w:r>
        <w:rPr>
          <w:rFonts w:ascii="Arial" w:cs="Arial" w:eastAsia="Arial" w:hAnsi="Arial"/>
          <w:sz w:val="16"/>
          <w:szCs w:val="16"/>
          <w:i w:val="1"/>
          <w:iCs w:val="1"/>
          <w:color w:val="auto"/>
        </w:rPr>
        <w:t>this Agreement</w:t>
      </w:r>
      <w:r>
        <w:rPr>
          <w:rFonts w:ascii="Arial" w:cs="Arial" w:eastAsia="Arial" w:hAnsi="Arial"/>
          <w:sz w:val="16"/>
          <w:szCs w:val="16"/>
          <w:color w:val="auto"/>
        </w:rPr>
        <w:t>,” “</w:t>
      </w:r>
      <w:r>
        <w:rPr>
          <w:rFonts w:ascii="Arial" w:cs="Arial" w:eastAsia="Arial" w:hAnsi="Arial"/>
          <w:sz w:val="16"/>
          <w:szCs w:val="16"/>
          <w:i w:val="1"/>
          <w:iCs w:val="1"/>
          <w:color w:val="auto"/>
        </w:rPr>
        <w:t>herein</w:t>
      </w:r>
      <w:r>
        <w:rPr>
          <w:rFonts w:ascii="Arial" w:cs="Arial" w:eastAsia="Arial" w:hAnsi="Arial"/>
          <w:sz w:val="16"/>
          <w:szCs w:val="16"/>
          <w:color w:val="auto"/>
        </w:rPr>
        <w:t>,” “</w:t>
      </w:r>
      <w:r>
        <w:rPr>
          <w:rFonts w:ascii="Arial" w:cs="Arial" w:eastAsia="Arial" w:hAnsi="Arial"/>
          <w:sz w:val="16"/>
          <w:szCs w:val="16"/>
          <w:i w:val="1"/>
          <w:iCs w:val="1"/>
          <w:color w:val="auto"/>
        </w:rPr>
        <w:t>hereof</w:t>
      </w:r>
      <w:r>
        <w:rPr>
          <w:rFonts w:ascii="Arial" w:cs="Arial" w:eastAsia="Arial" w:hAnsi="Arial"/>
          <w:sz w:val="16"/>
          <w:szCs w:val="16"/>
          <w:color w:val="auto"/>
        </w:rPr>
        <w:t>,” “</w:t>
      </w:r>
      <w:r>
        <w:rPr>
          <w:rFonts w:ascii="Arial" w:cs="Arial" w:eastAsia="Arial" w:hAnsi="Arial"/>
          <w:sz w:val="16"/>
          <w:szCs w:val="16"/>
          <w:i w:val="1"/>
          <w:iCs w:val="1"/>
          <w:color w:val="auto"/>
        </w:rPr>
        <w:t>hereby</w:t>
      </w:r>
      <w:r>
        <w:rPr>
          <w:rFonts w:ascii="Arial" w:cs="Arial" w:eastAsia="Arial" w:hAnsi="Arial"/>
          <w:sz w:val="16"/>
          <w:szCs w:val="16"/>
          <w:color w:val="auto"/>
        </w:rPr>
        <w:t>,” “</w:t>
      </w:r>
      <w:r>
        <w:rPr>
          <w:rFonts w:ascii="Arial" w:cs="Arial" w:eastAsia="Arial" w:hAnsi="Arial"/>
          <w:sz w:val="16"/>
          <w:szCs w:val="16"/>
          <w:i w:val="1"/>
          <w:iCs w:val="1"/>
          <w:color w:val="auto"/>
        </w:rPr>
        <w:t>hereunder</w:t>
      </w:r>
      <w:r>
        <w:rPr>
          <w:rFonts w:ascii="Arial" w:cs="Arial" w:eastAsia="Arial" w:hAnsi="Arial"/>
          <w:sz w:val="16"/>
          <w:szCs w:val="16"/>
          <w:color w:val="auto"/>
        </w:rPr>
        <w:t>,” and words of similar import refer to this Agreement as a whole and not to any particular subdivision unless expressly so limited. The parties hereto intend that each representation, warranty, and covenant contained herein will have independent significance. If any party hereto has breached any representation, warranty, or covenant contained herein in any respect, the fact that there exists another representation, warranty or covenant relating to the same subject matter (regardless of the relative levels of specificity) which such party hereto has not breached will not detract from or mitigate the fact that such party hereto is in breach of the first representation, warranty, or covenant.</w:t>
      </w:r>
    </w:p>
    <w:p>
      <w:pPr>
        <w:spacing w:after="0" w:line="16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6.16. </w:t>
      </w:r>
      <w:r>
        <w:rPr>
          <w:rFonts w:ascii="Arial" w:cs="Arial" w:eastAsia="Arial" w:hAnsi="Arial"/>
          <w:sz w:val="18"/>
          <w:szCs w:val="18"/>
          <w:u w:val="single" w:color="auto"/>
          <w:color w:val="auto"/>
        </w:rPr>
        <w:t>Mutual Drafting</w:t>
      </w:r>
      <w:r>
        <w:rPr>
          <w:rFonts w:ascii="Arial" w:cs="Arial" w:eastAsia="Arial" w:hAnsi="Arial"/>
          <w:sz w:val="18"/>
          <w:szCs w:val="18"/>
          <w:color w:val="auto"/>
        </w:rPr>
        <w:t>. This Agreement is the joint product of Subscriber and the Company and each provision hereof has been subject to the mutual consultation, negotiation and agreement of such parties and shall not be construed for or against any party hereto.</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6" w:name="page317"/>
    <w:bookmarkEnd w:id="316"/>
    <w:p>
      <w:pPr>
        <w:ind w:left="660"/>
        <w:spacing w:after="0"/>
        <w:rPr>
          <w:sz w:val="20"/>
          <w:szCs w:val="20"/>
          <w:color w:val="auto"/>
        </w:rPr>
      </w:pPr>
      <w:r>
        <w:rPr>
          <w:rFonts w:ascii="Arial" w:cs="Arial" w:eastAsia="Arial" w:hAnsi="Arial"/>
          <w:sz w:val="16"/>
          <w:szCs w:val="16"/>
          <w:color w:val="auto"/>
        </w:rPr>
        <w:t>If the foregoing accurately sets forth our understanding and agreement, please sign the enclosed copy of this Agreement and return it to us.</w:t>
      </w:r>
    </w:p>
    <w:p>
      <w:pPr>
        <w:spacing w:after="0" w:line="24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FS DEVELOPMENT CORP.</w:t>
      </w:r>
    </w:p>
    <w:p>
      <w:pPr>
        <w:spacing w:after="0" w:line="229"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tab/>
        <w:t>/s/ Dennis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3">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Dennis Ryan</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as of the date first written above.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FS DEVELOPMENT HOLDINGS, LLC</w:t>
      </w:r>
    </w:p>
    <w:p>
      <w:pPr>
        <w:spacing w:after="0" w:line="2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Dennis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5715</wp:posOffset>
            </wp:positionV>
            <wp:extent cx="2562860" cy="171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4">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Dennis Ryan</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Securities Subscription Agreement</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40"/>
          </w:cols>
          <w:pgMar w:left="320" w:top="908" w:right="939" w:bottom="1440" w:gutter="0" w:footer="0" w:header="0"/>
        </w:sectPr>
      </w:pPr>
    </w:p>
    <w:bookmarkStart w:id="317" w:name="page318"/>
    <w:bookmarkEnd w:id="317"/>
    <w:p>
      <w:pPr>
        <w:ind w:left="10320"/>
        <w:spacing w:after="0"/>
        <w:rPr>
          <w:sz w:val="20"/>
          <w:szCs w:val="20"/>
          <w:color w:val="auto"/>
        </w:rPr>
      </w:pPr>
      <w:r>
        <w:rPr>
          <w:rFonts w:ascii="Arial" w:cs="Arial" w:eastAsia="Arial" w:hAnsi="Arial"/>
          <w:sz w:val="16"/>
          <w:szCs w:val="16"/>
          <w:b w:val="1"/>
          <w:bCs w:val="1"/>
          <w:color w:val="auto"/>
        </w:rPr>
        <w:t>Exhibit 10.8</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FS DEVELOPMENT CORP.</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600 Montgomery Street, Suite 4500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San Francisco, California 94111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FS Development Holdings,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600 Montgomery Street, Suite 4500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 94111</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Administrative Services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This letter agreement (this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by and between FS Development Corp.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FS Development Holdings, LLC (the “</w:t>
      </w:r>
      <w:r>
        <w:rPr>
          <w:rFonts w:ascii="Arial" w:cs="Arial" w:eastAsia="Arial" w:hAnsi="Arial"/>
          <w:sz w:val="16"/>
          <w:szCs w:val="16"/>
          <w:b w:val="1"/>
          <w:bCs w:val="1"/>
          <w:i w:val="1"/>
          <w:iCs w:val="1"/>
          <w:color w:val="auto"/>
        </w:rPr>
        <w:t>Sponsor</w:t>
      </w:r>
      <w:r>
        <w:rPr>
          <w:rFonts w:ascii="Arial" w:cs="Arial" w:eastAsia="Arial" w:hAnsi="Arial"/>
          <w:sz w:val="16"/>
          <w:szCs w:val="16"/>
          <w:color w:val="auto"/>
        </w:rPr>
        <w:t>”), dated as of the date hereof, will confirm our agreement that, commencing on the date the securities of the Company are first listed on The Nasdaq Capital Market (the “</w:t>
      </w:r>
      <w:r>
        <w:rPr>
          <w:rFonts w:ascii="Arial" w:cs="Arial" w:eastAsia="Arial" w:hAnsi="Arial"/>
          <w:sz w:val="16"/>
          <w:szCs w:val="16"/>
          <w:b w:val="1"/>
          <w:bCs w:val="1"/>
          <w:i w:val="1"/>
          <w:iCs w:val="1"/>
          <w:color w:val="auto"/>
        </w:rPr>
        <w:t>Listing Date</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pursuant to a Registration Statement on Form S-1 and prospectus filed with the U.S. Securities and Exchange Commission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and continuing until the earlier of the consummation by the Company of an initial business combination or the Company’s liquidation (in each case as described in the Registration Statement) (such earlier date hereinafter referred to as the “</w:t>
      </w:r>
      <w:r>
        <w:rPr>
          <w:rFonts w:ascii="Arial" w:cs="Arial" w:eastAsia="Arial" w:hAnsi="Arial"/>
          <w:sz w:val="16"/>
          <w:szCs w:val="16"/>
          <w:b w:val="1"/>
          <w:bCs w:val="1"/>
          <w:i w:val="1"/>
          <w:iCs w:val="1"/>
          <w:color w:val="auto"/>
        </w:rPr>
        <w:t>Termination Date</w:t>
      </w:r>
      <w:r>
        <w:rPr>
          <w:rFonts w:ascii="Arial" w:cs="Arial" w:eastAsia="Arial" w:hAnsi="Arial"/>
          <w:sz w:val="16"/>
          <w:szCs w:val="16"/>
          <w:color w:val="auto"/>
        </w:rPr>
        <w:t>”)</w:t>
      </w:r>
      <w:r>
        <w:rPr>
          <w:rFonts w:ascii="Arial" w:cs="Arial" w:eastAsia="Arial" w:hAnsi="Arial"/>
          <w:sz w:val="16"/>
          <w:szCs w:val="16"/>
          <w:i w:val="1"/>
          <w:iCs w:val="1"/>
          <w:color w:val="auto"/>
        </w:rPr>
        <w:t>:</w:t>
      </w:r>
    </w:p>
    <w:p>
      <w:pPr>
        <w:spacing w:after="0" w:line="161" w:lineRule="exact"/>
        <w:rPr>
          <w:sz w:val="20"/>
          <w:szCs w:val="20"/>
          <w:color w:val="auto"/>
        </w:rPr>
      </w:pPr>
    </w:p>
    <w:p>
      <w:pPr>
        <w:jc w:val="both"/>
        <w:ind w:firstLine="656"/>
        <w:spacing w:after="0" w:line="259" w:lineRule="auto"/>
        <w:tabs>
          <w:tab w:leader="none" w:pos="849"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The Sponsor shall make available, or cause to be made available, to the Company, at 600 Montgomery Street, Suite 4500, San Francisco, California 94111 (or any successor location), office space and secretarial and administrative services as may be reasonably required by the Company. In exchange therefor, the Company shall pay the Sponsor $10,000 per month on the Listing Date and continuing monthly thereafter until the Termination Date; and</w:t>
      </w:r>
    </w:p>
    <w:p>
      <w:pPr>
        <w:spacing w:after="0" w:line="186" w:lineRule="exact"/>
        <w:rPr>
          <w:rFonts w:ascii="Arial" w:cs="Arial" w:eastAsia="Arial" w:hAnsi="Arial"/>
          <w:sz w:val="18"/>
          <w:szCs w:val="18"/>
          <w:color w:val="auto"/>
        </w:rPr>
      </w:pPr>
    </w:p>
    <w:p>
      <w:pPr>
        <w:jc w:val="both"/>
        <w:ind w:firstLine="656"/>
        <w:spacing w:after="0" w:line="254" w:lineRule="auto"/>
        <w:tabs>
          <w:tab w:leader="none" w:pos="831"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The Sponsor hereby irrevocably waives any and all right, title, interest, causes of action and claims of any kind as a result of, or arising out of, this Agreement (each, a “</w:t>
      </w:r>
      <w:r>
        <w:rPr>
          <w:rFonts w:ascii="Arial" w:cs="Arial" w:eastAsia="Arial" w:hAnsi="Arial"/>
          <w:sz w:val="18"/>
          <w:szCs w:val="18"/>
          <w:b w:val="1"/>
          <w:bCs w:val="1"/>
          <w:i w:val="1"/>
          <w:iCs w:val="1"/>
          <w:color w:val="auto"/>
        </w:rPr>
        <w:t>Claim</w:t>
      </w:r>
      <w:r>
        <w:rPr>
          <w:rFonts w:ascii="Arial" w:cs="Arial" w:eastAsia="Arial" w:hAnsi="Arial"/>
          <w:sz w:val="18"/>
          <w:szCs w:val="18"/>
          <w:color w:val="auto"/>
        </w:rPr>
        <w:t>”) in or to, and any and all right to seek payment of any amounts due to it out of, the trust account established for the benefit of the public stockholders of the Company and into which substantially all of the proceeds of the Company’s initial public offering will be deposited (the “</w:t>
      </w:r>
      <w:r>
        <w:rPr>
          <w:rFonts w:ascii="Arial" w:cs="Arial" w:eastAsia="Arial" w:hAnsi="Arial"/>
          <w:sz w:val="18"/>
          <w:szCs w:val="18"/>
          <w:b w:val="1"/>
          <w:bCs w:val="1"/>
          <w:i w:val="1"/>
          <w:iCs w:val="1"/>
          <w:color w:val="auto"/>
        </w:rPr>
        <w:t>Trust Account</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and hereby irrevocably waives any Claim it may have in the future as a result of, or arising out of, this Agreement, which Claim would reduce, encumber or otherwise adversely affect the Trust Account or any monies or other assets in the Trust Account, and further agrees not to seek recourse, reimbursement, payment or satisfaction of any Claim against the Trust Account or any monies or other assets in the Trust Account for any reason whatsoever.</w:t>
      </w:r>
    </w:p>
    <w:p>
      <w:pPr>
        <w:spacing w:after="0" w:line="1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Agreement constitutes the entire agreement and understanding of the parties hereto in respect of its subject matter and supersedes all prior understandings, agreements, or representations by or among the parties hereto, written or oral, to the extent they relate in any way to the subject matter hereof or the transactions contemplated hereby.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Agreement may not be amended, modified or waived as to any particular provision, except by a written instrument executed by the parties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8" w:name="page319"/>
    <w:bookmarkEnd w:id="318"/>
    <w:p>
      <w:pPr>
        <w:jc w:val="both"/>
        <w:ind w:firstLine="648"/>
        <w:spacing w:after="0" w:line="263" w:lineRule="auto"/>
        <w:rPr>
          <w:sz w:val="20"/>
          <w:szCs w:val="20"/>
          <w:color w:val="auto"/>
        </w:rPr>
      </w:pPr>
      <w:r>
        <w:rPr>
          <w:rFonts w:ascii="Arial" w:cs="Arial" w:eastAsia="Arial" w:hAnsi="Arial"/>
          <w:sz w:val="18"/>
          <w:szCs w:val="18"/>
          <w:color w:val="auto"/>
        </w:rPr>
        <w:t>No party hereto may assign either this Agreement or any of its rights, interests, or obligations hereunder without the prior written approval of the other party. Any purported assignment in violation of this paragraph shall be void and ineffectual and shall not operate to transfer or assign any interest or title to the purported assignee.</w:t>
      </w:r>
    </w:p>
    <w:p>
      <w:pPr>
        <w:spacing w:after="0" w:line="18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This Agreement constitutes the entire relationship of the parties hereto, and any litigation between the parties (whether grounded in contract, tort, statute, law or equity) shall be governed by, construed in accordance with, and interpreted pursuant to the laws of the State of New York.</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9" w:name="page320"/>
    <w:bookmarkEnd w:id="319"/>
    <w:p>
      <w:pPr>
        <w:ind w:left="676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760"/>
        <w:spacing w:after="0"/>
        <w:rPr>
          <w:sz w:val="20"/>
          <w:szCs w:val="20"/>
          <w:color w:val="auto"/>
        </w:rPr>
      </w:pPr>
      <w:r>
        <w:rPr>
          <w:rFonts w:ascii="Arial" w:cs="Arial" w:eastAsia="Arial" w:hAnsi="Arial"/>
          <w:sz w:val="17"/>
          <w:szCs w:val="17"/>
          <w:b w:val="1"/>
          <w:bCs w:val="1"/>
          <w:color w:val="auto"/>
        </w:rPr>
        <w:t>FS DEVELOPMENT CORP.</w:t>
      </w:r>
    </w:p>
    <w:p>
      <w:pPr>
        <w:spacing w:after="0" w:line="24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31440" cy="171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8">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Jim Tananbaum</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Title: Chief Executive Officer</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AGREED AND ACCEPTED BY: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FS DEVELOPMENT HOLDINGS,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2640330" cy="171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9">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[Signature Page to Administrative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320" w:name="page321"/>
    <w:bookmarkEnd w:id="320"/>
    <w:p>
      <w:pPr>
        <w:jc w:val="right"/>
        <w:spacing w:after="0"/>
        <w:rPr>
          <w:sz w:val="20"/>
          <w:szCs w:val="20"/>
          <w:color w:val="auto"/>
        </w:rPr>
      </w:pPr>
      <w:r>
        <w:rPr>
          <w:rFonts w:ascii="Arial" w:cs="Arial" w:eastAsia="Arial" w:hAnsi="Arial"/>
          <w:sz w:val="18"/>
          <w:szCs w:val="18"/>
          <w:b w:val="1"/>
          <w:bCs w:val="1"/>
          <w:color w:val="auto"/>
        </w:rPr>
        <w:t>Exhibit 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FS DEVELOPMENT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CODE OF ETHICS</w:t>
      </w:r>
    </w:p>
    <w:p>
      <w:pPr>
        <w:spacing w:after="0" w:line="225"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Effective _____________, 2020</w:t>
      </w:r>
    </w:p>
    <w:p>
      <w:pPr>
        <w:spacing w:after="0" w:line="225" w:lineRule="exact"/>
        <w:rPr>
          <w:sz w:val="20"/>
          <w:szCs w:val="20"/>
          <w:color w:val="auto"/>
        </w:rPr>
      </w:pPr>
    </w:p>
    <w:p>
      <w:pPr>
        <w:ind w:left="660" w:hanging="652"/>
        <w:spacing w:after="0"/>
        <w:tabs>
          <w:tab w:leader="none" w:pos="660" w:val="left"/>
        </w:tabs>
        <w:numPr>
          <w:ilvl w:val="0"/>
          <w:numId w:val="258"/>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Board of Directors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of FS Development Corp. has adopted this code of ethics (this “</w:t>
      </w:r>
      <w:r>
        <w:rPr>
          <w:rFonts w:ascii="Arial" w:cs="Arial" w:eastAsia="Arial" w:hAnsi="Arial"/>
          <w:sz w:val="18"/>
          <w:szCs w:val="18"/>
          <w:b w:val="1"/>
          <w:bCs w:val="1"/>
          <w:i w:val="1"/>
          <w:iCs w:val="1"/>
          <w:color w:val="auto"/>
        </w:rPr>
        <w:t>Code</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as amended from time to time by the Board and which is applicable to all of the Company’s directors, officers and employees (to the extent that employees are hired in the future) (each a “</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as used herein) of the Company (as defined below), to:</w:t>
      </w:r>
    </w:p>
    <w:p>
      <w:pPr>
        <w:spacing w:after="0" w:line="184" w:lineRule="exact"/>
        <w:rPr>
          <w:sz w:val="20"/>
          <w:szCs w:val="20"/>
          <w:color w:val="auto"/>
        </w:rPr>
      </w:pPr>
    </w:p>
    <w:p>
      <w:pPr>
        <w:ind w:left="980" w:right="20" w:hanging="324"/>
        <w:spacing w:after="0" w:line="277" w:lineRule="auto"/>
        <w:tabs>
          <w:tab w:leader="none" w:pos="98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promote honest and ethical conduct, including the ethical handling of actual or apparent conflicts of interest between personal and professional relationships;</w:t>
      </w:r>
    </w:p>
    <w:p>
      <w:pPr>
        <w:spacing w:after="0" w:line="170"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259"/>
        </w:numPr>
        <w:rPr>
          <w:rFonts w:ascii="Arial" w:cs="Arial" w:eastAsia="Arial" w:hAnsi="Arial"/>
          <w:sz w:val="16"/>
          <w:szCs w:val="16"/>
          <w:color w:val="auto"/>
        </w:rPr>
      </w:pPr>
      <w:r>
        <w:rPr>
          <w:rFonts w:ascii="Arial" w:cs="Arial" w:eastAsia="Arial" w:hAnsi="Arial"/>
          <w:sz w:val="16"/>
          <w:szCs w:val="16"/>
          <w:color w:val="auto"/>
        </w:rPr>
        <w:t>promote the full, fair, accurate, timely and understandable disclosure in reports and documents that the Company files with, or submits to, the U.S. Securities and Exchange Commission (the “</w:t>
      </w:r>
      <w:r>
        <w:rPr>
          <w:rFonts w:ascii="Arial" w:cs="Arial" w:eastAsia="Arial" w:hAnsi="Arial"/>
          <w:sz w:val="16"/>
          <w:szCs w:val="16"/>
          <w:b w:val="1"/>
          <w:bCs w:val="1"/>
          <w:i w:val="1"/>
          <w:iCs w:val="1"/>
          <w:color w:val="auto"/>
        </w:rPr>
        <w:t>SEC</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as well as in other public communications made by or on behalf of the Company;</w:t>
      </w:r>
    </w:p>
    <w:p>
      <w:pPr>
        <w:spacing w:after="0" w:line="123" w:lineRule="exact"/>
        <w:rPr>
          <w:rFonts w:ascii="Arial" w:cs="Arial" w:eastAsia="Arial" w:hAnsi="Arial"/>
          <w:sz w:val="16"/>
          <w:szCs w:val="16"/>
          <w:color w:val="auto"/>
        </w:rPr>
      </w:pPr>
    </w:p>
    <w:p>
      <w:pPr>
        <w:ind w:left="980" w:hanging="324"/>
        <w:spacing w:after="0"/>
        <w:tabs>
          <w:tab w:leader="none" w:pos="98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promote compliance with applicable governmental laws, rules and regulations;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deter wrongdoing;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require prompt internal reporting of breaches of, and accountability for adherence to, this Code.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This Code may be amended or modified by the Board. In this Code, references to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 FS Development Corp. and, in appropriate context, the Company’s subsidiaries, if any.</w:t>
      </w:r>
    </w:p>
    <w:p>
      <w:pPr>
        <w:spacing w:after="0" w:line="166" w:lineRule="exact"/>
        <w:rPr>
          <w:sz w:val="20"/>
          <w:szCs w:val="20"/>
          <w:color w:val="auto"/>
        </w:rPr>
      </w:pPr>
    </w:p>
    <w:p>
      <w:pPr>
        <w:ind w:left="660" w:hanging="652"/>
        <w:spacing w:after="0"/>
        <w:tabs>
          <w:tab w:leader="none" w:pos="660" w:val="left"/>
        </w:tabs>
        <w:numPr>
          <w:ilvl w:val="0"/>
          <w:numId w:val="260"/>
        </w:numPr>
        <w:rPr>
          <w:rFonts w:ascii="Arial" w:cs="Arial" w:eastAsia="Arial" w:hAnsi="Arial"/>
          <w:sz w:val="18"/>
          <w:szCs w:val="18"/>
          <w:b w:val="1"/>
          <w:bCs w:val="1"/>
          <w:color w:val="auto"/>
        </w:rPr>
      </w:pPr>
      <w:r>
        <w:rPr>
          <w:rFonts w:ascii="Arial" w:cs="Arial" w:eastAsia="Arial" w:hAnsi="Arial"/>
          <w:sz w:val="18"/>
          <w:szCs w:val="18"/>
          <w:b w:val="1"/>
          <w:bCs w:val="1"/>
          <w:color w:val="auto"/>
        </w:rPr>
        <w:t>HONEST, ETHICAL AND FAIR CONDUCT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Each person owes a duty to the Company to act with integrity. Integrity requires, among other things, being honest, fair and candid. Deceit, dishonesty and subordination of principle are inconsistent with integrity. Service to the Company should never be subordinated to personal gain or advantage.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person must:</w:t>
      </w:r>
    </w:p>
    <w:p>
      <w:pPr>
        <w:spacing w:after="0" w:line="225" w:lineRule="exact"/>
        <w:rPr>
          <w:sz w:val="20"/>
          <w:szCs w:val="20"/>
          <w:color w:val="auto"/>
        </w:rPr>
      </w:pPr>
    </w:p>
    <w:p>
      <w:pPr>
        <w:ind w:left="980" w:hanging="324"/>
        <w:spacing w:after="0" w:line="277" w:lineRule="auto"/>
        <w:tabs>
          <w:tab w:leader="none" w:pos="98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Act with integrity, including being honest and candid while still maintaining the confidentiality of the Company’s information where required or when in the Company’s interests;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Observe all applicable governmental laws, rules and regulations;</w:t>
      </w:r>
    </w:p>
    <w:p>
      <w:pPr>
        <w:spacing w:after="0" w:line="225"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261"/>
        </w:numPr>
        <w:rPr>
          <w:rFonts w:ascii="Arial" w:cs="Arial" w:eastAsia="Arial" w:hAnsi="Arial"/>
          <w:sz w:val="17"/>
          <w:szCs w:val="17"/>
          <w:color w:val="auto"/>
        </w:rPr>
      </w:pPr>
      <w:r>
        <w:rPr>
          <w:rFonts w:ascii="Arial" w:cs="Arial" w:eastAsia="Arial" w:hAnsi="Arial"/>
          <w:sz w:val="17"/>
          <w:szCs w:val="17"/>
          <w:color w:val="auto"/>
        </w:rPr>
        <w:t>Comply with the requirements of applicable accounting and auditing standards, as well as Company policies, in order to maintain a high standard of accuracy and completeness in the Company’s financial records and other business-related information and data;</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0"/>
          <w:numId w:val="261"/>
        </w:numPr>
        <w:rPr>
          <w:rFonts w:ascii="Arial" w:cs="Arial" w:eastAsia="Arial" w:hAnsi="Arial"/>
          <w:sz w:val="17"/>
          <w:szCs w:val="17"/>
          <w:color w:val="auto"/>
        </w:rPr>
      </w:pPr>
      <w:r>
        <w:rPr>
          <w:rFonts w:ascii="Arial" w:cs="Arial" w:eastAsia="Arial" w:hAnsi="Arial"/>
          <w:sz w:val="17"/>
          <w:szCs w:val="17"/>
          <w:color w:val="auto"/>
        </w:rPr>
        <w:t>Adhere to a high standard of business ethics and not seek competitive advantage through unlawful or unethical business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132320" cy="171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1" w:name="page322"/>
    <w:bookmarkEnd w:id="321"/>
    <w:p>
      <w:pPr>
        <w:ind w:left="980" w:hanging="324"/>
        <w:spacing w:after="0"/>
        <w:tabs>
          <w:tab w:leader="none" w:pos="98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Deal fairly with the Company’s customers, suppliers, competitors and employees;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Refrain from taking advantage of anyone through manipulation, concealment, abuse of privileged information, misrepresentation of material facts or any other unfair-dealing practice;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Protect the assets of the Company and ensure their proper use;</w:t>
      </w:r>
    </w:p>
    <w:p>
      <w:pPr>
        <w:spacing w:after="0" w:line="225" w:lineRule="exact"/>
        <w:rPr>
          <w:rFonts w:ascii="Arial" w:cs="Arial" w:eastAsia="Arial" w:hAnsi="Arial"/>
          <w:sz w:val="18"/>
          <w:szCs w:val="18"/>
          <w:color w:val="auto"/>
        </w:rPr>
      </w:pPr>
    </w:p>
    <w:p>
      <w:pPr>
        <w:jc w:val="both"/>
        <w:ind w:left="980" w:hanging="324"/>
        <w:spacing w:after="0" w:line="311" w:lineRule="auto"/>
        <w:tabs>
          <w:tab w:leader="none" w:pos="980" w:val="left"/>
        </w:tabs>
        <w:numPr>
          <w:ilvl w:val="1"/>
          <w:numId w:val="262"/>
        </w:numPr>
        <w:rPr>
          <w:rFonts w:ascii="Arial" w:cs="Arial" w:eastAsia="Arial" w:hAnsi="Arial"/>
          <w:sz w:val="16"/>
          <w:szCs w:val="16"/>
          <w:color w:val="auto"/>
        </w:rPr>
      </w:pPr>
      <w:r>
        <w:rPr>
          <w:rFonts w:ascii="Arial" w:cs="Arial" w:eastAsia="Arial" w:hAnsi="Arial"/>
          <w:sz w:val="16"/>
          <w:szCs w:val="16"/>
          <w:color w:val="auto"/>
        </w:rPr>
        <w:t>Subject to, and except as permitted by, the Company’s amended and restated certificate of incorporation, as it may be amended from time to time (the “</w:t>
      </w:r>
      <w:r>
        <w:rPr>
          <w:rFonts w:ascii="Arial" w:cs="Arial" w:eastAsia="Arial" w:hAnsi="Arial"/>
          <w:sz w:val="16"/>
          <w:szCs w:val="16"/>
          <w:b w:val="1"/>
          <w:bCs w:val="1"/>
          <w:i w:val="1"/>
          <w:iCs w:val="1"/>
          <w:color w:val="auto"/>
        </w:rPr>
        <w:t>charter</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not (i) take for themselves corporate or business opportunities that are discovered through the use of corporate property, information or position, (ii) use corporate property, information or position for personal gain and (iii) compete with the Company; and</w:t>
      </w:r>
    </w:p>
    <w:p>
      <w:pPr>
        <w:spacing w:after="0" w:line="148" w:lineRule="exact"/>
        <w:rPr>
          <w:rFonts w:ascii="Arial" w:cs="Arial" w:eastAsia="Arial" w:hAnsi="Arial"/>
          <w:sz w:val="16"/>
          <w:szCs w:val="16"/>
          <w:color w:val="auto"/>
        </w:rPr>
      </w:pPr>
    </w:p>
    <w:p>
      <w:pPr>
        <w:jc w:val="both"/>
        <w:ind w:left="980" w:hanging="324"/>
        <w:spacing w:after="0" w:line="279" w:lineRule="auto"/>
        <w:tabs>
          <w:tab w:leader="none" w:pos="980" w:val="left"/>
        </w:tabs>
        <w:numPr>
          <w:ilvl w:val="1"/>
          <w:numId w:val="262"/>
        </w:numPr>
        <w:rPr>
          <w:rFonts w:ascii="Arial" w:cs="Arial" w:eastAsia="Arial" w:hAnsi="Arial"/>
          <w:sz w:val="17"/>
          <w:szCs w:val="17"/>
          <w:color w:val="auto"/>
        </w:rPr>
      </w:pPr>
      <w:r>
        <w:rPr>
          <w:rFonts w:ascii="Arial" w:cs="Arial" w:eastAsia="Arial" w:hAnsi="Arial"/>
          <w:sz w:val="17"/>
          <w:szCs w:val="17"/>
          <w:color w:val="auto"/>
        </w:rPr>
        <w:t>Avoid conflicts of interest, wherever possible, except as may be allowed under guidelines or resolutions approved by the Board (or the appropriate committee of the Board), as disclosed in the Company’s public filings with the SEC or as permitted by the charter. Anything that would be a conflict for a person subject to this Code also will be a conflict for a member of his or her immediate family or any other close relative. Examples of conflict of interest situations include, but are not limited to, the following:</w:t>
      </w:r>
    </w:p>
    <w:p>
      <w:pPr>
        <w:spacing w:after="0" w:line="171" w:lineRule="exact"/>
        <w:rPr>
          <w:rFonts w:ascii="Arial" w:cs="Arial" w:eastAsia="Arial" w:hAnsi="Arial"/>
          <w:sz w:val="17"/>
          <w:szCs w:val="17"/>
          <w:color w:val="auto"/>
        </w:rPr>
      </w:pPr>
    </w:p>
    <w:p>
      <w:pPr>
        <w:ind w:left="1300" w:hanging="320"/>
        <w:spacing w:after="0"/>
        <w:tabs>
          <w:tab w:leader="none" w:pos="1300" w:val="left"/>
        </w:tabs>
        <w:numPr>
          <w:ilvl w:val="2"/>
          <w:numId w:val="262"/>
        </w:numPr>
        <w:rPr>
          <w:rFonts w:ascii="Arial" w:cs="Arial" w:eastAsia="Arial" w:hAnsi="Arial"/>
          <w:sz w:val="18"/>
          <w:szCs w:val="18"/>
          <w:color w:val="auto"/>
        </w:rPr>
      </w:pPr>
      <w:r>
        <w:rPr>
          <w:rFonts w:ascii="Arial" w:cs="Arial" w:eastAsia="Arial" w:hAnsi="Arial"/>
          <w:sz w:val="18"/>
          <w:szCs w:val="18"/>
          <w:color w:val="auto"/>
        </w:rPr>
        <w:t>any significant ownership interest in any supplier or customer;</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2"/>
          <w:numId w:val="262"/>
        </w:numPr>
        <w:rPr>
          <w:rFonts w:ascii="Arial" w:cs="Arial" w:eastAsia="Arial" w:hAnsi="Arial"/>
          <w:sz w:val="18"/>
          <w:szCs w:val="18"/>
          <w:color w:val="auto"/>
        </w:rPr>
      </w:pPr>
      <w:r>
        <w:rPr>
          <w:rFonts w:ascii="Arial" w:cs="Arial" w:eastAsia="Arial" w:hAnsi="Arial"/>
          <w:sz w:val="18"/>
          <w:szCs w:val="18"/>
          <w:color w:val="auto"/>
        </w:rPr>
        <w:t>any consulting or employment relationship with any supplier or customer;</w:t>
      </w:r>
    </w:p>
    <w:p>
      <w:pPr>
        <w:spacing w:after="0" w:line="225" w:lineRule="exact"/>
        <w:rPr>
          <w:rFonts w:ascii="Arial" w:cs="Arial" w:eastAsia="Arial" w:hAnsi="Arial"/>
          <w:sz w:val="18"/>
          <w:szCs w:val="18"/>
          <w:color w:val="auto"/>
        </w:rPr>
      </w:pPr>
    </w:p>
    <w:p>
      <w:pPr>
        <w:ind w:left="1300" w:hanging="320"/>
        <w:spacing w:after="0" w:line="277" w:lineRule="auto"/>
        <w:tabs>
          <w:tab w:leader="none" w:pos="1300" w:val="left"/>
        </w:tabs>
        <w:numPr>
          <w:ilvl w:val="2"/>
          <w:numId w:val="262"/>
        </w:numPr>
        <w:rPr>
          <w:rFonts w:ascii="Arial" w:cs="Arial" w:eastAsia="Arial" w:hAnsi="Arial"/>
          <w:sz w:val="18"/>
          <w:szCs w:val="18"/>
          <w:color w:val="auto"/>
        </w:rPr>
      </w:pPr>
      <w:r>
        <w:rPr>
          <w:rFonts w:ascii="Arial" w:cs="Arial" w:eastAsia="Arial" w:hAnsi="Arial"/>
          <w:sz w:val="18"/>
          <w:szCs w:val="18"/>
          <w:color w:val="auto"/>
        </w:rPr>
        <w:t>the receipt of any money, non-nominal gifts or excessive entertainment from any entity with which the Company has current or prospective business dealings;</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2"/>
          <w:numId w:val="262"/>
        </w:numPr>
        <w:rPr>
          <w:rFonts w:ascii="Arial" w:cs="Arial" w:eastAsia="Arial" w:hAnsi="Arial"/>
          <w:sz w:val="18"/>
          <w:szCs w:val="18"/>
          <w:color w:val="auto"/>
        </w:rPr>
      </w:pPr>
      <w:r>
        <w:rPr>
          <w:rFonts w:ascii="Arial" w:cs="Arial" w:eastAsia="Arial" w:hAnsi="Arial"/>
          <w:sz w:val="18"/>
          <w:szCs w:val="18"/>
          <w:color w:val="auto"/>
        </w:rPr>
        <w:t>selling anything to the Company or buying anything from the Company, except on the same terms and conditions as comparable officers or directors are permitted to so purchase or sell;</w:t>
      </w:r>
    </w:p>
    <w:p>
      <w:pPr>
        <w:spacing w:after="0" w:line="170" w:lineRule="exact"/>
        <w:rPr>
          <w:rFonts w:ascii="Arial" w:cs="Arial" w:eastAsia="Arial" w:hAnsi="Arial"/>
          <w:sz w:val="18"/>
          <w:szCs w:val="18"/>
          <w:color w:val="auto"/>
        </w:rPr>
      </w:pPr>
    </w:p>
    <w:p>
      <w:pPr>
        <w:ind w:left="1300" w:right="20" w:hanging="320"/>
        <w:spacing w:after="0" w:line="277" w:lineRule="auto"/>
        <w:tabs>
          <w:tab w:leader="none" w:pos="1300" w:val="left"/>
        </w:tabs>
        <w:numPr>
          <w:ilvl w:val="2"/>
          <w:numId w:val="262"/>
        </w:numPr>
        <w:rPr>
          <w:rFonts w:ascii="Arial" w:cs="Arial" w:eastAsia="Arial" w:hAnsi="Arial"/>
          <w:sz w:val="18"/>
          <w:szCs w:val="18"/>
          <w:color w:val="auto"/>
        </w:rPr>
      </w:pPr>
      <w:r>
        <w:rPr>
          <w:rFonts w:ascii="Arial" w:cs="Arial" w:eastAsia="Arial" w:hAnsi="Arial"/>
          <w:sz w:val="18"/>
          <w:szCs w:val="18"/>
          <w:color w:val="auto"/>
        </w:rPr>
        <w:t>any other financial transaction, arrangement or relationship (including any indebtedness or guarantee of indebtedness) involving the Company; and</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2"/>
          <w:numId w:val="262"/>
        </w:numPr>
        <w:rPr>
          <w:rFonts w:ascii="Arial" w:cs="Arial" w:eastAsia="Arial" w:hAnsi="Arial"/>
          <w:sz w:val="18"/>
          <w:szCs w:val="18"/>
          <w:color w:val="auto"/>
        </w:rPr>
      </w:pPr>
      <w:r>
        <w:rPr>
          <w:rFonts w:ascii="Arial" w:cs="Arial" w:eastAsia="Arial" w:hAnsi="Arial"/>
          <w:sz w:val="18"/>
          <w:szCs w:val="18"/>
          <w:color w:val="auto"/>
        </w:rPr>
        <w:t>any other circumstance, event, relationship or situation in which the personal interest of a person subject to this Code interferes — or even appears to interfere — with the interests of the Company as a whole.</w:t>
      </w:r>
    </w:p>
    <w:p>
      <w:pPr>
        <w:spacing w:after="0" w:line="166" w:lineRule="exact"/>
        <w:rPr>
          <w:rFonts w:ascii="Arial" w:cs="Arial" w:eastAsia="Arial" w:hAnsi="Arial"/>
          <w:sz w:val="18"/>
          <w:szCs w:val="18"/>
          <w:color w:val="auto"/>
        </w:rPr>
      </w:pPr>
    </w:p>
    <w:p>
      <w:pPr>
        <w:ind w:left="660" w:hanging="652"/>
        <w:spacing w:after="0"/>
        <w:tabs>
          <w:tab w:leader="none" w:pos="660" w:val="left"/>
        </w:tabs>
        <w:numPr>
          <w:ilvl w:val="0"/>
          <w:numId w:val="262"/>
        </w:numPr>
        <w:rPr>
          <w:rFonts w:ascii="Arial" w:cs="Arial" w:eastAsia="Arial" w:hAnsi="Arial"/>
          <w:sz w:val="18"/>
          <w:szCs w:val="18"/>
          <w:b w:val="1"/>
          <w:bCs w:val="1"/>
          <w:color w:val="auto"/>
        </w:rPr>
      </w:pPr>
      <w:r>
        <w:rPr>
          <w:rFonts w:ascii="Arial" w:cs="Arial" w:eastAsia="Arial" w:hAnsi="Arial"/>
          <w:sz w:val="18"/>
          <w:szCs w:val="18"/>
          <w:b w:val="1"/>
          <w:bCs w:val="1"/>
          <w:color w:val="auto"/>
        </w:rPr>
        <w:t>DISCLOSURE</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The Company strives to ensure that the contents of and the disclosures in the reports and documents that the Company files with the SEC and</w:t>
      </w:r>
    </w:p>
    <w:p>
      <w:pPr>
        <w:spacing w:after="0" w:line="46"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other public communications shall be full, fair, accurate, timely and understandable in accordance with applicable disclosure standards, including standards of materiality, where appropriate. Each person must:</w:t>
      </w:r>
    </w:p>
    <w:p>
      <w:pPr>
        <w:spacing w:after="0" w:line="185" w:lineRule="exact"/>
        <w:rPr>
          <w:sz w:val="20"/>
          <w:szCs w:val="20"/>
          <w:color w:val="auto"/>
        </w:rPr>
      </w:pPr>
    </w:p>
    <w:p>
      <w:pPr>
        <w:jc w:val="both"/>
        <w:ind w:left="980" w:right="20" w:hanging="324"/>
        <w:spacing w:after="0" w:line="263" w:lineRule="auto"/>
        <w:tabs>
          <w:tab w:leader="none" w:pos="98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not knowingly misrepresent, or cause others to misrepresent, facts about the Company to others, whether within or outside the Company, including to the Company’s independent registered public accountants, governmental regulators, self-regulating organizations and other governmental officials, as appropriate; and</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263"/>
        </w:numPr>
        <w:rPr>
          <w:rFonts w:ascii="Arial" w:cs="Arial" w:eastAsia="Arial" w:hAnsi="Arial"/>
          <w:sz w:val="17"/>
          <w:szCs w:val="17"/>
          <w:color w:val="auto"/>
        </w:rPr>
      </w:pPr>
      <w:r>
        <w:rPr>
          <w:rFonts w:ascii="Arial" w:cs="Arial" w:eastAsia="Arial" w:hAnsi="Arial"/>
          <w:sz w:val="17"/>
          <w:szCs w:val="17"/>
          <w:color w:val="auto"/>
        </w:rPr>
        <w:t>in relation to his or her area of responsibility, properly review and critically analyze proposed disclosure for accuracy and completeness.</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22" w:name="page323"/>
    <w:bookmarkEnd w:id="322"/>
    <w:p>
      <w:pPr>
        <w:jc w:val="both"/>
        <w:ind w:firstLine="648"/>
        <w:spacing w:after="0" w:line="286" w:lineRule="auto"/>
        <w:rPr>
          <w:sz w:val="20"/>
          <w:szCs w:val="20"/>
          <w:color w:val="auto"/>
        </w:rPr>
      </w:pPr>
      <w:r>
        <w:rPr>
          <w:rFonts w:ascii="Arial" w:cs="Arial" w:eastAsia="Arial" w:hAnsi="Arial"/>
          <w:sz w:val="17"/>
          <w:szCs w:val="17"/>
          <w:color w:val="auto"/>
        </w:rPr>
        <w:t>In addition to the foregoing, the Chief Executive Officer and Chief Financial Officer of the Company and each subsidiary of the Company (or persons performing similar functions), and each other person that typically is involved in the financial reporting of the Company, must familiarize himself or herself with the disclosure requirements applicable to the Company as well as the business and financial operations of the Company.</w:t>
      </w:r>
    </w:p>
    <w:p>
      <w:pPr>
        <w:spacing w:after="0" w:line="16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Each person must promptly bring to the attention of the Chairperson, Co-Chairperson or Co-Executive Chairperson of the Board (the “</w:t>
      </w:r>
      <w:r>
        <w:rPr>
          <w:rFonts w:ascii="Arial" w:cs="Arial" w:eastAsia="Arial" w:hAnsi="Arial"/>
          <w:sz w:val="17"/>
          <w:szCs w:val="17"/>
          <w:b w:val="1"/>
          <w:bCs w:val="1"/>
          <w:i w:val="1"/>
          <w:iCs w:val="1"/>
          <w:color w:val="auto"/>
        </w:rPr>
        <w:t>Chairperson</w:t>
      </w:r>
      <w:r>
        <w:rPr>
          <w:rFonts w:ascii="Arial" w:cs="Arial" w:eastAsia="Arial" w:hAnsi="Arial"/>
          <w:sz w:val="17"/>
          <w:szCs w:val="17"/>
          <w:color w:val="auto"/>
        </w:rPr>
        <w:t>”) any information he or she may have concerning (a) significant deficiencies in the design or operation of internal and/or disclosure controls that could adversely affect the Company’s ability to record, process, summarize and report financial data or (b) any fraud that involves management or other employees who have a significant role in the Company’s financial reporting, disclosures or internal controls.</w:t>
      </w:r>
    </w:p>
    <w:p>
      <w:pPr>
        <w:spacing w:after="0" w:line="16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8"/>
          <w:szCs w:val="18"/>
          <w:b w:val="1"/>
          <w:bCs w:val="1"/>
          <w:color w:val="auto"/>
        </w:rPr>
        <w:t>COMPLIANCE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It is the Company’s obligation and policy to comply with all applicable governmental laws, rules and regulations. It is the personal responsibility of each person to, and each person must, adhere to the standards and restrictions imposed by those laws, rules and regulations, including those relating to accounting and auditing matters.</w:t>
      </w:r>
    </w:p>
    <w:p>
      <w:pPr>
        <w:spacing w:after="0" w:line="180" w:lineRule="exact"/>
        <w:rPr>
          <w:sz w:val="20"/>
          <w:szCs w:val="20"/>
          <w:color w:val="auto"/>
        </w:rPr>
      </w:pPr>
    </w:p>
    <w:p>
      <w:pPr>
        <w:ind w:left="660" w:hanging="652"/>
        <w:spacing w:after="0"/>
        <w:tabs>
          <w:tab w:leader="none" w:pos="660" w:val="left"/>
        </w:tabs>
        <w:numPr>
          <w:ilvl w:val="0"/>
          <w:numId w:val="264"/>
        </w:numPr>
        <w:rPr>
          <w:rFonts w:ascii="Arial" w:cs="Arial" w:eastAsia="Arial" w:hAnsi="Arial"/>
          <w:sz w:val="18"/>
          <w:szCs w:val="18"/>
          <w:b w:val="1"/>
          <w:bCs w:val="1"/>
          <w:color w:val="auto"/>
        </w:rPr>
      </w:pPr>
      <w:r>
        <w:rPr>
          <w:rFonts w:ascii="Arial" w:cs="Arial" w:eastAsia="Arial" w:hAnsi="Arial"/>
          <w:sz w:val="18"/>
          <w:szCs w:val="18"/>
          <w:b w:val="1"/>
          <w:bCs w:val="1"/>
          <w:color w:val="auto"/>
        </w:rPr>
        <w:t>REPORTING AND ACCOUNTABILITY</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Board is responsible for applying this Code to specific situations in which questions are presented to it and has the authority to interpret this Code in any particular situation. Any person who becomes aware of any existing or potential breach of this Code is required to notify the Chairperson promptly. Failure to do so is, in and of itself, a breach of this Code.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Specifically, each person must:</w:t>
      </w:r>
    </w:p>
    <w:p>
      <w:pPr>
        <w:spacing w:after="0" w:line="225" w:lineRule="exact"/>
        <w:rPr>
          <w:sz w:val="20"/>
          <w:szCs w:val="20"/>
          <w:color w:val="auto"/>
        </w:rPr>
      </w:pPr>
    </w:p>
    <w:p>
      <w:pPr>
        <w:ind w:left="1300" w:hanging="644"/>
        <w:spacing w:after="0"/>
        <w:tabs>
          <w:tab w:leader="none" w:pos="130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Notify the Chairperson promptly of any existing or potential violation of this Code;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Not retaliate against any other person for reports of potential violations that are made in good faith.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will follow the following procedures in investigating and enforcing this Code and in reporting on this Code:</w:t>
      </w:r>
    </w:p>
    <w:p>
      <w:pPr>
        <w:spacing w:after="0" w:line="225" w:lineRule="exact"/>
        <w:rPr>
          <w:sz w:val="20"/>
          <w:szCs w:val="20"/>
          <w:color w:val="auto"/>
        </w:rPr>
      </w:pPr>
    </w:p>
    <w:p>
      <w:pPr>
        <w:ind w:left="1300" w:hanging="644"/>
        <w:spacing w:after="0"/>
        <w:tabs>
          <w:tab w:leader="none" w:pos="130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The Board will take all appropriate action to investigate any breaches reported to it; and</w:t>
      </w:r>
    </w:p>
    <w:p>
      <w:pPr>
        <w:spacing w:after="0" w:line="225"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Upon determination by the Board that a breach has occurred, the Board (by majority decision) will take or authorize such disciplinary or preventive action as it deems appropriate, after consultation with the Company’s internal or external legal counsel, up to and including dismissal or, in the event of criminal or other serious violations of law, notification of the SEC or other appropriate law enforcement authorities.</w:t>
      </w:r>
    </w:p>
    <w:p>
      <w:pPr>
        <w:spacing w:after="0" w:line="18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No person following the above procedure shall, as a result of following such procedure, be subject by the Company or any officer or employee thereof to discharge, demotion suspension, threat, harassment or, in any manner, discrimination against such person in terms and conditions of employment.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23" w:name="page324"/>
    <w:bookmarkEnd w:id="323"/>
    <w:p>
      <w:pPr>
        <w:spacing w:after="0"/>
        <w:tabs>
          <w:tab w:leader="none" w:pos="640" w:val="left"/>
        </w:tabs>
        <w:rPr>
          <w:sz w:val="20"/>
          <w:szCs w:val="20"/>
          <w:color w:val="auto"/>
        </w:rPr>
      </w:pPr>
      <w:r>
        <w:rPr>
          <w:rFonts w:ascii="Arial" w:cs="Arial" w:eastAsia="Arial" w:hAnsi="Arial"/>
          <w:sz w:val="18"/>
          <w:szCs w:val="18"/>
          <w:b w:val="1"/>
          <w:bCs w:val="1"/>
          <w:color w:val="auto"/>
        </w:rPr>
        <w:t>VI.</w:t>
      </w:r>
      <w:r>
        <w:rPr>
          <w:sz w:val="20"/>
          <w:szCs w:val="20"/>
          <w:color w:val="auto"/>
        </w:rPr>
        <w:tab/>
      </w:r>
      <w:r>
        <w:rPr>
          <w:rFonts w:ascii="Arial" w:cs="Arial" w:eastAsia="Arial" w:hAnsi="Arial"/>
          <w:sz w:val="18"/>
          <w:szCs w:val="18"/>
          <w:b w:val="1"/>
          <w:bCs w:val="1"/>
          <w:color w:val="auto"/>
        </w:rPr>
        <w:t>WAIVERS AND AMENDMENTS</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Any waiver (defined below) or implicit waiver (defined below) from a provision of this Code for the principal executive officer, principal financial officer, principal accounting officer or controller, or persons performing similar functions, or any amendment (as defined below) to this Code is required to be disclosed in a Current Report on Form 8-K filed with the SEC. In lieu of filing a Current Report on Form 8-K to report any such waivers or amendments, the Company may provide such information on its website and keep such information on the website for at least 12 months and disclose the website address as well as any intention to provide such disclosures in this manner in its most recently filed Annual Report on Form 10-K.</w:t>
      </w:r>
    </w:p>
    <w:p>
      <w:pPr>
        <w:spacing w:after="0" w:line="16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w:t>
      </w:r>
      <w:r>
        <w:rPr>
          <w:rFonts w:ascii="Arial" w:cs="Arial" w:eastAsia="Arial" w:hAnsi="Arial"/>
          <w:sz w:val="18"/>
          <w:szCs w:val="18"/>
          <w:b w:val="1"/>
          <w:bCs w:val="1"/>
          <w:i w:val="1"/>
          <w:iCs w:val="1"/>
          <w:color w:val="auto"/>
        </w:rPr>
        <w:t>waiver</w:t>
      </w:r>
      <w:r>
        <w:rPr>
          <w:rFonts w:ascii="Arial" w:cs="Arial" w:eastAsia="Arial" w:hAnsi="Arial"/>
          <w:sz w:val="18"/>
          <w:szCs w:val="18"/>
          <w:color w:val="auto"/>
        </w:rPr>
        <w:t xml:space="preserve">” means the approval by the Board of a material departure from a provision of this Code. An </w:t>
      </w:r>
      <w:r>
        <w:rPr>
          <w:rFonts w:ascii="Arial" w:cs="Arial" w:eastAsia="Arial" w:hAnsi="Arial"/>
          <w:sz w:val="18"/>
          <w:szCs w:val="18"/>
          <w:b w:val="1"/>
          <w:bCs w:val="1"/>
          <w:i w:val="1"/>
          <w:iCs w:val="1"/>
          <w:color w:val="auto"/>
        </w:rPr>
        <w:t>‘</w:t>
      </w:r>
      <w:r>
        <w:rPr>
          <w:rFonts w:ascii="Arial" w:cs="Arial" w:eastAsia="Arial" w:hAnsi="Arial"/>
          <w:sz w:val="18"/>
          <w:szCs w:val="18"/>
          <w:color w:val="auto"/>
        </w:rPr>
        <w:t>“</w:t>
      </w:r>
      <w:r>
        <w:rPr>
          <w:rFonts w:ascii="Arial" w:cs="Arial" w:eastAsia="Arial" w:hAnsi="Arial"/>
          <w:sz w:val="18"/>
          <w:szCs w:val="18"/>
          <w:b w:val="1"/>
          <w:bCs w:val="1"/>
          <w:i w:val="1"/>
          <w:iCs w:val="1"/>
          <w:color w:val="auto"/>
        </w:rPr>
        <w:t>implicit waiver</w:t>
      </w:r>
      <w:r>
        <w:rPr>
          <w:rFonts w:ascii="Arial" w:cs="Arial" w:eastAsia="Arial" w:hAnsi="Arial"/>
          <w:sz w:val="18"/>
          <w:szCs w:val="18"/>
          <w:color w:val="auto"/>
        </w:rPr>
        <w:t>” means the Company’s failure to take action within a reasonable period of time regarding a material departure from a provision of this Code that has been made known to an executive officer of the Company. An “</w:t>
      </w:r>
      <w:r>
        <w:rPr>
          <w:rFonts w:ascii="Arial" w:cs="Arial" w:eastAsia="Arial" w:hAnsi="Arial"/>
          <w:sz w:val="18"/>
          <w:szCs w:val="18"/>
          <w:b w:val="1"/>
          <w:bCs w:val="1"/>
          <w:i w:val="1"/>
          <w:iCs w:val="1"/>
          <w:color w:val="auto"/>
        </w:rPr>
        <w:t>amendment</w:t>
      </w:r>
      <w:r>
        <w:rPr>
          <w:rFonts w:ascii="Arial" w:cs="Arial" w:eastAsia="Arial" w:hAnsi="Arial"/>
          <w:sz w:val="18"/>
          <w:szCs w:val="18"/>
          <w:color w:val="auto"/>
        </w:rPr>
        <w:t>” means any amendment to this Code other than minor technical, administrative or other non-substantive amendments hereto.</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All persons should note that it is not the Company’s intention to grant or to permit waivers from the requirements of this Code. The Company expects full compliance with this Code.</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VII.</w:t>
      </w:r>
      <w:r>
        <w:rPr>
          <w:sz w:val="20"/>
          <w:szCs w:val="20"/>
          <w:color w:val="auto"/>
        </w:rPr>
        <w:tab/>
      </w:r>
      <w:r>
        <w:rPr>
          <w:rFonts w:ascii="Arial" w:cs="Arial" w:eastAsia="Arial" w:hAnsi="Arial"/>
          <w:sz w:val="18"/>
          <w:szCs w:val="18"/>
          <w:b w:val="1"/>
          <w:bCs w:val="1"/>
          <w:color w:val="auto"/>
        </w:rPr>
        <w:t>INSIDER TRADING AND DISSEMINATION OF INSIDE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person shall comply with the Company’s Policy Regarding Insider Trading and Dissemination of Inside Information.</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VIII.</w:t>
        <w:tab/>
        <w:t>FINANCIAL STATEMENTS AND OTHER RECORDS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All of the Company’s books, records, accounts and financial statements must be maintained in reasonable detail, must appropriately reflect the Company’s transactions and must both conform to applicable legal requirements and to the Company’s system of internal controls. Unrecorded or “off the books” funds or assets should not be maintained unless permitted by applicable law or regulation. Records should always be retained or destroyed according to the Company’s record retention policies. In accordance with those policies, in the event of litigation or governmental investigation, please consult the Board or the Company’s internal or external legal counsel.</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IX.</w:t>
      </w:r>
      <w:r>
        <w:rPr>
          <w:sz w:val="20"/>
          <w:szCs w:val="20"/>
          <w:color w:val="auto"/>
        </w:rPr>
        <w:tab/>
      </w:r>
      <w:r>
        <w:rPr>
          <w:rFonts w:ascii="Arial" w:cs="Arial" w:eastAsia="Arial" w:hAnsi="Arial"/>
          <w:sz w:val="18"/>
          <w:szCs w:val="18"/>
          <w:b w:val="1"/>
          <w:bCs w:val="1"/>
          <w:color w:val="auto"/>
        </w:rPr>
        <w:t>IMPROPER INFLUENCE ON CONDUCT OF AUDITS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No director, officer or employee, or any other person acting under the direction thereof, shall directly or indirectly take any action to coerce, manipulate, mislead or fraudulently influence any public or certified public accountant engaged in the performance of an audit or review of the financial statements of the Company or take any action that such person knows or should know that if successful could result in rendering the Company’s financial statements materially misleading. Any person who believes such improper influence is being exerted should report such action to such person’s supervisor, or if that is impractical under the circumstances, to any of our directors.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24" w:name="page325"/>
    <w:bookmarkEnd w:id="324"/>
    <w:p>
      <w:pPr>
        <w:ind w:left="660"/>
        <w:spacing w:after="0"/>
        <w:rPr>
          <w:sz w:val="20"/>
          <w:szCs w:val="20"/>
          <w:color w:val="auto"/>
        </w:rPr>
      </w:pPr>
      <w:r>
        <w:rPr>
          <w:rFonts w:ascii="Arial" w:cs="Arial" w:eastAsia="Arial" w:hAnsi="Arial"/>
          <w:sz w:val="18"/>
          <w:szCs w:val="18"/>
          <w:color w:val="auto"/>
        </w:rPr>
        <w:t>Types of conduct that could constitute improper influence include, but are not limited to, directly or indirectly:</w:t>
      </w:r>
    </w:p>
    <w:p>
      <w:pPr>
        <w:spacing w:after="0" w:line="225" w:lineRule="exact"/>
        <w:rPr>
          <w:sz w:val="20"/>
          <w:szCs w:val="20"/>
          <w:color w:val="auto"/>
        </w:rPr>
      </w:pPr>
    </w:p>
    <w:p>
      <w:pPr>
        <w:ind w:left="980" w:hanging="324"/>
        <w:spacing w:after="0"/>
        <w:tabs>
          <w:tab w:leader="none" w:pos="980" w:val="left"/>
        </w:tabs>
        <w:numPr>
          <w:ilvl w:val="1"/>
          <w:numId w:val="267"/>
        </w:numPr>
        <w:rPr>
          <w:rFonts w:ascii="Arial" w:cs="Arial" w:eastAsia="Arial" w:hAnsi="Arial"/>
          <w:sz w:val="18"/>
          <w:szCs w:val="18"/>
          <w:color w:val="auto"/>
        </w:rPr>
      </w:pPr>
      <w:r>
        <w:rPr>
          <w:rFonts w:ascii="Arial" w:cs="Arial" w:eastAsia="Arial" w:hAnsi="Arial"/>
          <w:sz w:val="18"/>
          <w:szCs w:val="18"/>
          <w:color w:val="auto"/>
        </w:rPr>
        <w:t>Offering or paying bribes or other financial incentives, including future employment or contracts for non-audit services;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267"/>
        </w:numPr>
        <w:rPr>
          <w:rFonts w:ascii="Arial" w:cs="Arial" w:eastAsia="Arial" w:hAnsi="Arial"/>
          <w:sz w:val="18"/>
          <w:szCs w:val="18"/>
          <w:color w:val="auto"/>
        </w:rPr>
      </w:pPr>
      <w:r>
        <w:rPr>
          <w:rFonts w:ascii="Arial" w:cs="Arial" w:eastAsia="Arial" w:hAnsi="Arial"/>
          <w:sz w:val="18"/>
          <w:szCs w:val="18"/>
          <w:color w:val="auto"/>
        </w:rPr>
        <w:t>Providing an auditor with an inaccurate or misleading legal analysis;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267"/>
        </w:numPr>
        <w:rPr>
          <w:rFonts w:ascii="Arial" w:cs="Arial" w:eastAsia="Arial" w:hAnsi="Arial"/>
          <w:sz w:val="18"/>
          <w:szCs w:val="18"/>
          <w:color w:val="auto"/>
        </w:rPr>
      </w:pPr>
      <w:r>
        <w:rPr>
          <w:rFonts w:ascii="Arial" w:cs="Arial" w:eastAsia="Arial" w:hAnsi="Arial"/>
          <w:sz w:val="18"/>
          <w:szCs w:val="18"/>
          <w:color w:val="auto"/>
        </w:rPr>
        <w:t>Threatening to cancel or canceling existing non-audit or audit engagements if the auditor objects to the Company’s accounting;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267"/>
        </w:numPr>
        <w:rPr>
          <w:rFonts w:ascii="Arial" w:cs="Arial" w:eastAsia="Arial" w:hAnsi="Arial"/>
          <w:sz w:val="18"/>
          <w:szCs w:val="18"/>
          <w:color w:val="auto"/>
        </w:rPr>
      </w:pPr>
      <w:r>
        <w:rPr>
          <w:rFonts w:ascii="Arial" w:cs="Arial" w:eastAsia="Arial" w:hAnsi="Arial"/>
          <w:sz w:val="18"/>
          <w:szCs w:val="18"/>
          <w:color w:val="auto"/>
        </w:rPr>
        <w:t>Seeking to have a partner removed from the audit engagement because the partner objects to the Company’s accounting;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267"/>
        </w:numPr>
        <w:rPr>
          <w:rFonts w:ascii="Arial" w:cs="Arial" w:eastAsia="Arial" w:hAnsi="Arial"/>
          <w:sz w:val="18"/>
          <w:szCs w:val="18"/>
          <w:color w:val="auto"/>
        </w:rPr>
      </w:pPr>
      <w:r>
        <w:rPr>
          <w:rFonts w:ascii="Arial" w:cs="Arial" w:eastAsia="Arial" w:hAnsi="Arial"/>
          <w:sz w:val="18"/>
          <w:szCs w:val="18"/>
          <w:color w:val="auto"/>
        </w:rPr>
        <w:t>Blackmailing;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267"/>
        </w:numPr>
        <w:rPr>
          <w:rFonts w:ascii="Arial" w:cs="Arial" w:eastAsia="Arial" w:hAnsi="Arial"/>
          <w:sz w:val="18"/>
          <w:szCs w:val="18"/>
          <w:color w:val="auto"/>
        </w:rPr>
      </w:pPr>
      <w:r>
        <w:rPr>
          <w:rFonts w:ascii="Arial" w:cs="Arial" w:eastAsia="Arial" w:hAnsi="Arial"/>
          <w:sz w:val="18"/>
          <w:szCs w:val="18"/>
          <w:color w:val="auto"/>
        </w:rPr>
        <w:t>Making physical threats.</w:t>
      </w:r>
    </w:p>
    <w:p>
      <w:pPr>
        <w:spacing w:after="0" w:line="221" w:lineRule="exact"/>
        <w:rPr>
          <w:rFonts w:ascii="Arial" w:cs="Arial" w:eastAsia="Arial" w:hAnsi="Arial"/>
          <w:sz w:val="18"/>
          <w:szCs w:val="18"/>
          <w:color w:val="auto"/>
        </w:rPr>
      </w:pPr>
    </w:p>
    <w:p>
      <w:pPr>
        <w:ind w:left="660" w:hanging="652"/>
        <w:spacing w:after="0"/>
        <w:tabs>
          <w:tab w:leader="none" w:pos="660" w:val="left"/>
        </w:tabs>
        <w:numPr>
          <w:ilvl w:val="0"/>
          <w:numId w:val="267"/>
        </w:numPr>
        <w:rPr>
          <w:rFonts w:ascii="Arial" w:cs="Arial" w:eastAsia="Arial" w:hAnsi="Arial"/>
          <w:sz w:val="18"/>
          <w:szCs w:val="18"/>
          <w:b w:val="1"/>
          <w:bCs w:val="1"/>
          <w:color w:val="auto"/>
        </w:rPr>
      </w:pPr>
      <w:r>
        <w:rPr>
          <w:rFonts w:ascii="Arial" w:cs="Arial" w:eastAsia="Arial" w:hAnsi="Arial"/>
          <w:sz w:val="18"/>
          <w:szCs w:val="18"/>
          <w:b w:val="1"/>
          <w:bCs w:val="1"/>
          <w:color w:val="auto"/>
        </w:rPr>
        <w:t>ANTI-CORRUPTION LAWS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The Company complies with the anti-corruption laws of the countries in which it does business, including the U.S. Foreign Corrupt Practices Act</w:t>
      </w:r>
    </w:p>
    <w:p>
      <w:pPr>
        <w:spacing w:after="0" w:line="4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FCPA</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To the extent prohibited by applicable law, directors, officers and employees will not directly or indirectly give anything of value to government officials, including employees of state-owned enterprises or foreign political candidates. These requirements apply both to Company employees and agents, such as third party sales representatives, no matter where they are doing business. If you are authorized to engage agents, you are responsible for ensuring they are reputable and for obtaining a written agreement to uphold the Company’s standards in this area.</w:t>
      </w:r>
    </w:p>
    <w:p>
      <w:pPr>
        <w:spacing w:after="0" w:line="17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XI.</w:t>
      </w:r>
      <w:r>
        <w:rPr>
          <w:sz w:val="20"/>
          <w:szCs w:val="20"/>
          <w:color w:val="auto"/>
        </w:rPr>
        <w:tab/>
      </w:r>
      <w:r>
        <w:rPr>
          <w:rFonts w:ascii="Arial" w:cs="Arial" w:eastAsia="Arial" w:hAnsi="Arial"/>
          <w:sz w:val="18"/>
          <w:szCs w:val="18"/>
          <w:b w:val="1"/>
          <w:bCs w:val="1"/>
          <w:color w:val="auto"/>
        </w:rPr>
        <w:t>VIOLATIONS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Violation of this Code is grounds for disciplinary action up to and including termination of employment. Such action is in addition to any civil or criminal liability which might be imposed by any court or regulatory agency.</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XII.</w:t>
      </w:r>
      <w:r>
        <w:rPr>
          <w:sz w:val="20"/>
          <w:szCs w:val="20"/>
          <w:color w:val="auto"/>
        </w:rPr>
        <w:tab/>
      </w:r>
      <w:r>
        <w:rPr>
          <w:rFonts w:ascii="Arial" w:cs="Arial" w:eastAsia="Arial" w:hAnsi="Arial"/>
          <w:sz w:val="18"/>
          <w:szCs w:val="18"/>
          <w:b w:val="1"/>
          <w:bCs w:val="1"/>
          <w:color w:val="auto"/>
        </w:rPr>
        <w:t>OTHER POLICIES AND PROCEDURES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Any other policy or procedure set out by the Company in writing or made generally known to employees, officers or directors of the Company prior to the effective date hereof or hereafter are separate requirements and remain in full force and effect.</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XIII.</w:t>
        <w:tab/>
        <w:t>INQUIRIES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All inquiries and questions in relation to this Code or its applicability to particular people or situations should be addressed to the Chair of the Audit Committee of the Board, or such other compliance officer as shall be designated from time to time by the Board.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25" w:name="page326"/>
    <w:bookmarkEnd w:id="325"/>
    <w:p>
      <w:pPr>
        <w:jc w:val="right"/>
        <w:spacing w:after="0"/>
        <w:rPr>
          <w:sz w:val="20"/>
          <w:szCs w:val="20"/>
          <w:color w:val="auto"/>
        </w:rPr>
      </w:pPr>
      <w:r>
        <w:rPr>
          <w:rFonts w:ascii="Arial" w:cs="Arial" w:eastAsia="Arial" w:hAnsi="Arial"/>
          <w:sz w:val="22"/>
          <w:szCs w:val="22"/>
          <w:b w:val="1"/>
          <w:bCs w:val="1"/>
          <w:color w:val="auto"/>
        </w:rPr>
        <w:t>Exhibit 23.1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hereby consent to the use in this Registration Statement on Amendment No. 1 to Form S-1, of our report dated July 24, 2020, relating to the balance sheet of FS Development Corp. as of June 30, 2020, and the related statements of operations, changes in stockholder’s equity and cash flows for the period from June 25, 2020 (inception) through June 30, 2020, and to the reference to our Firm under the caption “Experts” in the Prospectus.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7, 2020</w:t>
      </w:r>
    </w:p>
    <w:p>
      <w:pPr>
        <w:sectPr>
          <w:pgSz w:w="11900" w:h="16838" w:orient="portrait"/>
          <w:cols w:equalWidth="0" w:num="1">
            <w:col w:w="11240"/>
          </w:cols>
          <w:pgMar w:left="320" w:top="111" w:right="339" w:bottom="1440" w:gutter="0" w:footer="0" w:header="0"/>
        </w:sectPr>
      </w:pPr>
    </w:p>
    <w:bookmarkStart w:id="326" w:name="page327"/>
    <w:bookmarkEnd w:id="326"/>
    <w:p>
      <w:pPr>
        <w:ind w:left="10320"/>
        <w:spacing w:after="0"/>
        <w:rPr>
          <w:sz w:val="20"/>
          <w:szCs w:val="20"/>
          <w:color w:val="auto"/>
        </w:rPr>
      </w:pPr>
      <w:r>
        <w:rPr>
          <w:rFonts w:ascii="Arial" w:cs="Arial" w:eastAsia="Arial" w:hAnsi="Arial"/>
          <w:sz w:val="16"/>
          <w:szCs w:val="16"/>
          <w:b w:val="1"/>
          <w:bCs w:val="1"/>
          <w:color w:val="auto"/>
        </w:rPr>
        <w:t>Exhibit 99.1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FS DEVELOPMENT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CHARTER</w:t>
      </w:r>
    </w:p>
    <w:p>
      <w:pPr>
        <w:spacing w:after="0" w:line="207"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Effective __________, 2020</w:t>
      </w:r>
    </w:p>
    <w:p>
      <w:pPr>
        <w:spacing w:after="0" w:line="225" w:lineRule="exact"/>
        <w:rPr>
          <w:sz w:val="20"/>
          <w:szCs w:val="20"/>
          <w:color w:val="auto"/>
        </w:rPr>
      </w:pPr>
    </w:p>
    <w:p>
      <w:pPr>
        <w:ind w:left="660" w:hanging="652"/>
        <w:spacing w:after="0"/>
        <w:tabs>
          <w:tab w:leader="none" w:pos="660" w:val="left"/>
        </w:tabs>
        <w:numPr>
          <w:ilvl w:val="0"/>
          <w:numId w:val="268"/>
        </w:numPr>
        <w:rPr>
          <w:rFonts w:ascii="Arial" w:cs="Arial" w:eastAsia="Arial" w:hAnsi="Arial"/>
          <w:sz w:val="18"/>
          <w:szCs w:val="18"/>
          <w:b w:val="1"/>
          <w:bCs w:val="1"/>
          <w:color w:val="auto"/>
        </w:rPr>
      </w:pPr>
      <w:r>
        <w:rPr>
          <w:rFonts w:ascii="Arial" w:cs="Arial" w:eastAsia="Arial" w:hAnsi="Arial"/>
          <w:sz w:val="18"/>
          <w:szCs w:val="18"/>
          <w:b w:val="1"/>
          <w:bCs w:val="1"/>
          <w:color w:val="auto"/>
        </w:rPr>
        <w:t>PURPOSES</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Audit Committee (the “</w:t>
      </w:r>
      <w:r>
        <w:rPr>
          <w:rFonts w:ascii="Arial" w:cs="Arial" w:eastAsia="Arial" w:hAnsi="Arial"/>
          <w:sz w:val="16"/>
          <w:szCs w:val="16"/>
          <w:b w:val="1"/>
          <w:bCs w:val="1"/>
          <w:i w:val="1"/>
          <w:iCs w:val="1"/>
          <w:color w:val="auto"/>
        </w:rPr>
        <w:t>Committee</w:t>
      </w:r>
      <w:r>
        <w:rPr>
          <w:rFonts w:ascii="Arial" w:cs="Arial" w:eastAsia="Arial" w:hAnsi="Arial"/>
          <w:sz w:val="16"/>
          <w:szCs w:val="16"/>
          <w:color w:val="auto"/>
        </w:rPr>
        <w:t>”) is appointed by the Board of Directors (the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of FS Development Corp.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to assist the Board in its oversight of the accounting and financial reporting processes of the Company, the audits of the financial statements of the Company and the Company’s compliance with legal and regulatory requirements. To assist the Board in fulfilling its responsibilities, the Committee shall: (A) oversee: (i) audits of the financial statements of the Company; (ii) the integrity of the Company’s financial statements; (iii) the Company’s processes relating to risk management and the conduct and systems of internal control over financial reporting and disclosure controls and procedures; (iv) the qualifications, engagement, compensation, independence and performance of the Company’s independent auditor, and the auditor’s conduct of the annual audit of the Company’s financial statements and any other services provided to the Company; and (v) the performance of the Company’s internal audit function, if any; and (B) produce the annual report of the Committee required by the rules of the U.S. Securities and Exchange Commission (the “</w:t>
      </w:r>
      <w:r>
        <w:rPr>
          <w:rFonts w:ascii="Arial" w:cs="Arial" w:eastAsia="Arial" w:hAnsi="Arial"/>
          <w:sz w:val="16"/>
          <w:szCs w:val="16"/>
          <w:b w:val="1"/>
          <w:bCs w:val="1"/>
          <w:i w:val="1"/>
          <w:iCs w:val="1"/>
          <w:color w:val="auto"/>
        </w:rPr>
        <w:t>SEC</w:t>
      </w:r>
      <w:r>
        <w:rPr>
          <w:rFonts w:ascii="Arial" w:cs="Arial" w:eastAsia="Arial" w:hAnsi="Arial"/>
          <w:sz w:val="16"/>
          <w:szCs w:val="16"/>
          <w:color w:val="auto"/>
        </w:rPr>
        <w:t>”).</w:t>
      </w:r>
    </w:p>
    <w:p>
      <w:pPr>
        <w:spacing w:after="0" w:line="161" w:lineRule="exact"/>
        <w:rPr>
          <w:sz w:val="20"/>
          <w:szCs w:val="20"/>
          <w:color w:val="auto"/>
        </w:rPr>
      </w:pPr>
    </w:p>
    <w:p>
      <w:pPr>
        <w:ind w:left="660" w:hanging="652"/>
        <w:spacing w:after="0"/>
        <w:tabs>
          <w:tab w:leader="none" w:pos="660" w:val="left"/>
        </w:tabs>
        <w:numPr>
          <w:ilvl w:val="0"/>
          <w:numId w:val="269"/>
        </w:numPr>
        <w:rPr>
          <w:rFonts w:ascii="Arial" w:cs="Arial" w:eastAsia="Arial" w:hAnsi="Arial"/>
          <w:sz w:val="18"/>
          <w:szCs w:val="18"/>
          <w:b w:val="1"/>
          <w:bCs w:val="1"/>
          <w:color w:val="auto"/>
        </w:rPr>
      </w:pPr>
      <w:r>
        <w:rPr>
          <w:rFonts w:ascii="Arial" w:cs="Arial" w:eastAsia="Arial" w:hAnsi="Arial"/>
          <w:sz w:val="18"/>
          <w:szCs w:val="18"/>
          <w:b w:val="1"/>
          <w:bCs w:val="1"/>
          <w:color w:val="auto"/>
        </w:rPr>
        <w:t>COMMITTEE MEMBERSHIP</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6"/>
          <w:szCs w:val="16"/>
          <w:b w:val="1"/>
          <w:bCs w:val="1"/>
          <w:color w:val="auto"/>
        </w:rPr>
        <w:t>Composition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Committee shall consist of at least three members of the Board, subject to applicable phase-in schedules of The Nasdaq Capital Market (“</w:t>
      </w:r>
      <w:r>
        <w:rPr>
          <w:rFonts w:ascii="Arial" w:cs="Arial" w:eastAsia="Arial" w:hAnsi="Arial"/>
          <w:sz w:val="18"/>
          <w:szCs w:val="18"/>
          <w:b w:val="1"/>
          <w:bCs w:val="1"/>
          <w:i w:val="1"/>
          <w:iCs w:val="1"/>
          <w:color w:val="auto"/>
        </w:rPr>
        <w:t>Nasdaq</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Except as otherwise directed by the Board, a director selected as a Committee member shall continue to be a member for as long as he or she remains a director or until his or her earlier resignation or removal from the Committee. Any member may be removed from the Committee by the Board, with or without cause, at any time. Any vacancy on the Committee shall be filled by majority vote of the Board. No member of the Committee shall be removed except by majority vote of the Board.</w:t>
      </w:r>
    </w:p>
    <w:p>
      <w:pPr>
        <w:spacing w:after="0" w:line="184" w:lineRule="exact"/>
        <w:rPr>
          <w:sz w:val="20"/>
          <w:szCs w:val="20"/>
          <w:color w:val="auto"/>
        </w:rPr>
      </w:pPr>
    </w:p>
    <w:p>
      <w:pPr>
        <w:ind w:left="1300" w:hanging="644"/>
        <w:spacing w:after="0"/>
        <w:tabs>
          <w:tab w:leader="none" w:pos="1300" w:val="left"/>
        </w:tabs>
        <w:numPr>
          <w:ilvl w:val="0"/>
          <w:numId w:val="270"/>
        </w:numPr>
        <w:rPr>
          <w:rFonts w:ascii="Arial" w:cs="Arial" w:eastAsia="Arial" w:hAnsi="Arial"/>
          <w:sz w:val="18"/>
          <w:szCs w:val="18"/>
          <w:b w:val="1"/>
          <w:bCs w:val="1"/>
          <w:color w:val="auto"/>
        </w:rPr>
      </w:pPr>
      <w:r>
        <w:rPr>
          <w:rFonts w:ascii="Arial" w:cs="Arial" w:eastAsia="Arial" w:hAnsi="Arial"/>
          <w:sz w:val="18"/>
          <w:szCs w:val="18"/>
          <w:b w:val="1"/>
          <w:bCs w:val="1"/>
          <w:color w:val="auto"/>
        </w:rPr>
        <w:t>Chair</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Chair of the Committee shall be appointed from among the Committee members by, and serve at the pleasure of, the Board, shall preside at meetings of the Committee and shall have authority to convene meetings, set agendas for meetings, and determine the Committee’s information needs, except as otherwise provided by the Board or the Committee, provided that if the Board does not so designate a chairperson, the members of the Committee, by a majority vote, may designate a chairperson. In the absence of the Chair at a duly convened meeting, the Committee shall select a temporary substitute from among its members to serve as chair of the meeting.</w:t>
      </w:r>
    </w:p>
    <w:p>
      <w:pPr>
        <w:spacing w:after="0" w:line="184" w:lineRule="exact"/>
        <w:rPr>
          <w:sz w:val="20"/>
          <w:szCs w:val="20"/>
          <w:color w:val="auto"/>
        </w:rPr>
      </w:pPr>
    </w:p>
    <w:p>
      <w:pPr>
        <w:ind w:left="1300" w:hanging="644"/>
        <w:spacing w:after="0"/>
        <w:tabs>
          <w:tab w:leader="none" w:pos="1300" w:val="left"/>
        </w:tabs>
        <w:numPr>
          <w:ilvl w:val="0"/>
          <w:numId w:val="271"/>
        </w:numPr>
        <w:rPr>
          <w:rFonts w:ascii="Arial" w:cs="Arial" w:eastAsia="Arial" w:hAnsi="Arial"/>
          <w:sz w:val="18"/>
          <w:szCs w:val="18"/>
          <w:b w:val="1"/>
          <w:bCs w:val="1"/>
          <w:color w:val="auto"/>
        </w:rPr>
      </w:pPr>
      <w:r>
        <w:rPr>
          <w:rFonts w:ascii="Arial" w:cs="Arial" w:eastAsia="Arial" w:hAnsi="Arial"/>
          <w:sz w:val="18"/>
          <w:szCs w:val="18"/>
          <w:b w:val="1"/>
          <w:bCs w:val="1"/>
          <w:color w:val="auto"/>
        </w:rPr>
        <w:t>Independence</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Each member of the Committee shall be an “independent” director in accordance with applicable listing standards of Nasdaq and Rule 10A-3 under the United States Securities Exchange Act of 1934, as amended (the </w:t>
      </w:r>
      <w:r>
        <w:rPr>
          <w:rFonts w:ascii="Arial" w:cs="Arial" w:eastAsia="Arial" w:hAnsi="Arial"/>
          <w:sz w:val="18"/>
          <w:szCs w:val="18"/>
          <w:i w:val="1"/>
          <w:iCs w:val="1"/>
          <w:color w:val="auto"/>
        </w:rPr>
        <w:t>‘</w:t>
      </w: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as well as the Company’s Corporate Governance Guidelines, subject to any exceptions or cure periods that are applicable pursuant to the foregoing requirements and the phase-in schedules permitted under the rules of Nasdaq under which the Committee is required to have only one independent member at the time of listing, a majority of independent members within 90 days of listing and all independent members within one year of listing. No member of the Committee shall have participated in the preparation of the Company’s or any of its subsidiaries’ financial statements at any time during the past three years. Any action duly taken by the Committee shall be valid and effective, whether or not the members of the Committee at the time of such action are later determined not to have satisfied the requirements for membership provided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171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7" w:name="page328"/>
    <w:bookmarkEnd w:id="327"/>
    <w:p>
      <w:pPr>
        <w:ind w:left="1300" w:hanging="644"/>
        <w:spacing w:after="0"/>
        <w:tabs>
          <w:tab w:leader="none" w:pos="1300" w:val="left"/>
        </w:tabs>
        <w:numPr>
          <w:ilvl w:val="0"/>
          <w:numId w:val="272"/>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Literacy</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Each member of the Committee shall in the judgment of the Board have the ability to read and understand fundamental financial statements and otherwise meet the financial literacy requirements of Nasdaq. At least one member shall be an “audit committee financial expert” as such term is defined under applicable SEC rules.</w:t>
      </w:r>
    </w:p>
    <w:p>
      <w:pPr>
        <w:spacing w:after="0" w:line="180" w:lineRule="exact"/>
        <w:rPr>
          <w:sz w:val="20"/>
          <w:szCs w:val="20"/>
          <w:color w:val="auto"/>
        </w:rPr>
      </w:pPr>
    </w:p>
    <w:p>
      <w:pPr>
        <w:ind w:left="660" w:hanging="652"/>
        <w:spacing w:after="0"/>
        <w:tabs>
          <w:tab w:leader="none" w:pos="660" w:val="left"/>
        </w:tabs>
        <w:numPr>
          <w:ilvl w:val="0"/>
          <w:numId w:val="273"/>
        </w:numPr>
        <w:rPr>
          <w:rFonts w:ascii="Arial" w:cs="Arial" w:eastAsia="Arial" w:hAnsi="Arial"/>
          <w:sz w:val="18"/>
          <w:szCs w:val="18"/>
          <w:b w:val="1"/>
          <w:bCs w:val="1"/>
          <w:color w:val="auto"/>
        </w:rPr>
      </w:pPr>
      <w:r>
        <w:rPr>
          <w:rFonts w:ascii="Arial" w:cs="Arial" w:eastAsia="Arial" w:hAnsi="Arial"/>
          <w:sz w:val="18"/>
          <w:szCs w:val="18"/>
          <w:b w:val="1"/>
          <w:bCs w:val="1"/>
          <w:color w:val="auto"/>
        </w:rPr>
        <w:t>AUTHORITY</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 discharging its role, the Committee is empowered to inquire into any matter that it considers appropriate to carry out its responsibilities, with access to all books, records, facilities and personnel of the Company, and, subject to the direction of the Board, the Committee is authorized and delegated the authority to act on behalf of the Board with respect to any matter it determines to be necessary or appropriate to the accomplishment of its purposes.</w:t>
      </w:r>
    </w:p>
    <w:p>
      <w:pPr>
        <w:spacing w:after="0" w:line="14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Committee shall have authority to retain, direct and oversee the activities of, and to terminate the engagement of, the Company’s independent auditor and any other accounting firm retained by the Committee to prepare or issue any other audit report or to perform any other audit, review or attest services and any legal counsel, accounting or other advisor or consultant hired to assist the Committee, all of whom shall be accountable to the Committee.</w:t>
      </w:r>
    </w:p>
    <w:p>
      <w:pPr>
        <w:spacing w:after="0" w:line="14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shall provide the Committee with appropriate funding, as determined by the Committee, for the payment of (a) compensation to any registered public accounting firm engaged for the purpose of preparing or issuing an audit report or performing other audit, review or attest services for the Company; (b) compensation to any independent counsel or other advisers retained by the Committee in carrying out its duties; and (c) ordinary administrative expenses of the Committee that are necessary or appropriate in carrying out its duties.</w:t>
      </w:r>
    </w:p>
    <w:p>
      <w:pPr>
        <w:spacing w:after="0" w:line="16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8"/>
          <w:szCs w:val="18"/>
          <w:b w:val="1"/>
          <w:bCs w:val="1"/>
          <w:color w:val="auto"/>
        </w:rPr>
        <w:t>COMMITTEE MEETINGS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Committee shall meet on a regularly scheduled basis at least four times per year and additionally as circumstances dictate.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Committee shall establish its own schedule of meetings. The Committee may also act by unanimous written consent of its members.</w:t>
      </w:r>
    </w:p>
    <w:p>
      <w:pPr>
        <w:spacing w:after="0" w:line="23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Notice of meetings shall be given to all Committee members or may be waived, in the same manner as required for meetings of the Board. Meetings of the Committee may be held by means of conference telephone or other communications equipment by means of which all persons participating in the meeting can hear and speak with each other. A majority of the members of the Committee shall constitute a quorum for a meeting and the affirmative vote of a majority of members present at a meeting at which a quorum is present shall constitute the action of the Committee. The Committee shall otherwise establish its own rules of procedure.</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28" w:name="page329"/>
    <w:bookmarkEnd w:id="328"/>
    <w:p>
      <w:pPr>
        <w:jc w:val="both"/>
        <w:ind w:right="20" w:firstLine="648"/>
        <w:spacing w:after="0" w:line="263" w:lineRule="auto"/>
        <w:rPr>
          <w:sz w:val="20"/>
          <w:szCs w:val="20"/>
          <w:color w:val="auto"/>
        </w:rPr>
      </w:pPr>
      <w:r>
        <w:rPr>
          <w:rFonts w:ascii="Arial" w:cs="Arial" w:eastAsia="Arial" w:hAnsi="Arial"/>
          <w:sz w:val="18"/>
          <w:szCs w:val="18"/>
          <w:color w:val="auto"/>
        </w:rPr>
        <w:t>The Committee shall meet in executive session separately with each of the independent auditor, the internal auditor, if any, and with senior management, at least quarterly. At the end of each of the Committee’s regularly scheduled meetings, and more frequently as deemed necessary, the Committee shall meet in private session with only the Committee members.</w:t>
      </w:r>
    </w:p>
    <w:p>
      <w:pPr>
        <w:spacing w:after="0" w:line="180" w:lineRule="exact"/>
        <w:rPr>
          <w:sz w:val="20"/>
          <w:szCs w:val="20"/>
          <w:color w:val="auto"/>
        </w:rPr>
      </w:pPr>
    </w:p>
    <w:p>
      <w:pPr>
        <w:ind w:left="660" w:hanging="652"/>
        <w:spacing w:after="0"/>
        <w:tabs>
          <w:tab w:leader="none" w:pos="660" w:val="left"/>
        </w:tabs>
        <w:numPr>
          <w:ilvl w:val="0"/>
          <w:numId w:val="274"/>
        </w:numPr>
        <w:rPr>
          <w:rFonts w:ascii="Arial" w:cs="Arial" w:eastAsia="Arial" w:hAnsi="Arial"/>
          <w:sz w:val="18"/>
          <w:szCs w:val="18"/>
          <w:b w:val="1"/>
          <w:bCs w:val="1"/>
          <w:color w:val="auto"/>
        </w:rPr>
      </w:pPr>
      <w:r>
        <w:rPr>
          <w:rFonts w:ascii="Arial" w:cs="Arial" w:eastAsia="Arial" w:hAnsi="Arial"/>
          <w:sz w:val="18"/>
          <w:szCs w:val="18"/>
          <w:b w:val="1"/>
          <w:bCs w:val="1"/>
          <w:color w:val="auto"/>
        </w:rPr>
        <w:t>DELEGATION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Committee, by resolution approved by a majority of the Committee, may form and delegate any of its responsibilities to a subcommittee so long as such subcommittee is solely comprised of one or more members of the Committee and such delegation is not otherwise inconsistent with law and applicable rules and regulations of the SEC and Nasdaq.</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VI.</w:t>
      </w:r>
      <w:r>
        <w:rPr>
          <w:sz w:val="20"/>
          <w:szCs w:val="20"/>
          <w:color w:val="auto"/>
        </w:rPr>
        <w:tab/>
      </w:r>
      <w:r>
        <w:rPr>
          <w:rFonts w:ascii="Arial" w:cs="Arial" w:eastAsia="Arial" w:hAnsi="Arial"/>
          <w:sz w:val="18"/>
          <w:szCs w:val="18"/>
          <w:b w:val="1"/>
          <w:bCs w:val="1"/>
          <w:color w:val="auto"/>
        </w:rPr>
        <w:t>KEY RESPONSIBILITIES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Committee relies on the expertise and knowledge of management, the internal auditors, if any, and the independent auditor in carrying out its oversight responsibilities. Management is responsible for the preparation, presentation, and integrity of the Company’s financial statements, for the appropriateness of the accounting principles and reporting policies that are used by the Company, and for establishing and maintaining effective internal control over financial reporting. The independent auditor is responsible for auditing the Company’s financial statements and, if applicable, the Company’s internal control over financial reporting, and for reviewing the Company’s unaudited interim financial statements.</w:t>
      </w:r>
    </w:p>
    <w:p>
      <w:pPr>
        <w:spacing w:after="0" w:line="17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responsibilities set forth in this charter do not reflect or create any duty or obligation of the Committee to plan or conduct any audit; to determine or certify that the Company’s financial statements are complete, accurate, fairly presented or in accordance with generally accepted accounting principles (“</w:t>
      </w:r>
      <w:r>
        <w:rPr>
          <w:rFonts w:ascii="Arial" w:cs="Arial" w:eastAsia="Arial" w:hAnsi="Arial"/>
          <w:sz w:val="17"/>
          <w:szCs w:val="17"/>
          <w:b w:val="1"/>
          <w:bCs w:val="1"/>
          <w:i w:val="1"/>
          <w:iCs w:val="1"/>
          <w:color w:val="auto"/>
        </w:rPr>
        <w:t>GAAP</w:t>
      </w:r>
      <w:r>
        <w:rPr>
          <w:rFonts w:ascii="Arial" w:cs="Arial" w:eastAsia="Arial" w:hAnsi="Arial"/>
          <w:sz w:val="17"/>
          <w:szCs w:val="17"/>
          <w:color w:val="auto"/>
        </w:rPr>
        <w:t>”) or applicable law; to guarantee or otherwise certify as to the independent auditor’s reports; to conduct investigations; or to assure compliance with laws and regulations or the Company’s code of ethics, internal policies, procedures and controls. The following responsibilities are set forth as a guide for fulfilling the Committee’s purposes in such manner as the Committee determines is appropriate.</w:t>
      </w:r>
    </w:p>
    <w:p>
      <w:pPr>
        <w:spacing w:after="0" w:line="172" w:lineRule="exact"/>
        <w:rPr>
          <w:sz w:val="20"/>
          <w:szCs w:val="20"/>
          <w:color w:val="auto"/>
        </w:rPr>
      </w:pPr>
    </w:p>
    <w:p>
      <w:pPr>
        <w:ind w:left="1300" w:hanging="644"/>
        <w:spacing w:after="0"/>
        <w:tabs>
          <w:tab w:leader="none" w:pos="1300" w:val="left"/>
        </w:tabs>
        <w:numPr>
          <w:ilvl w:val="0"/>
          <w:numId w:val="275"/>
        </w:numPr>
        <w:rPr>
          <w:rFonts w:ascii="Arial" w:cs="Arial" w:eastAsia="Arial" w:hAnsi="Arial"/>
          <w:sz w:val="18"/>
          <w:szCs w:val="18"/>
          <w:b w:val="1"/>
          <w:bCs w:val="1"/>
          <w:color w:val="auto"/>
        </w:rPr>
      </w:pPr>
      <w:r>
        <w:rPr>
          <w:rFonts w:ascii="Arial" w:cs="Arial" w:eastAsia="Arial" w:hAnsi="Arial"/>
          <w:sz w:val="18"/>
          <w:szCs w:val="18"/>
          <w:b w:val="1"/>
          <w:bCs w:val="1"/>
          <w:color w:val="auto"/>
        </w:rPr>
        <w:t>Oversight of the Independent Auditor</w:t>
      </w:r>
    </w:p>
    <w:p>
      <w:pPr>
        <w:spacing w:after="0" w:line="229" w:lineRule="exact"/>
        <w:rPr>
          <w:rFonts w:ascii="Arial" w:cs="Arial" w:eastAsia="Arial" w:hAnsi="Arial"/>
          <w:sz w:val="18"/>
          <w:szCs w:val="18"/>
          <w:b w:val="1"/>
          <w:bCs w:val="1"/>
          <w:color w:val="auto"/>
        </w:rPr>
      </w:pPr>
    </w:p>
    <w:p>
      <w:pPr>
        <w:jc w:val="both"/>
        <w:ind w:left="660" w:firstLine="644"/>
        <w:spacing w:after="0" w:line="263" w:lineRule="auto"/>
        <w:tabs>
          <w:tab w:leader="none" w:pos="1536" w:val="left"/>
        </w:tabs>
        <w:numPr>
          <w:ilvl w:val="1"/>
          <w:numId w:val="275"/>
        </w:numPr>
        <w:rPr>
          <w:rFonts w:ascii="Arial" w:cs="Arial" w:eastAsia="Arial" w:hAnsi="Arial"/>
          <w:sz w:val="18"/>
          <w:szCs w:val="18"/>
          <w:color w:val="auto"/>
        </w:rPr>
      </w:pPr>
      <w:r>
        <w:rPr>
          <w:rFonts w:ascii="Arial" w:cs="Arial" w:eastAsia="Arial" w:hAnsi="Arial"/>
          <w:sz w:val="18"/>
          <w:szCs w:val="18"/>
          <w:b w:val="1"/>
          <w:bCs w:val="1"/>
          <w:i w:val="1"/>
          <w:iCs w:val="1"/>
          <w:color w:val="auto"/>
        </w:rPr>
        <w:t>Independent Auditor Retention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Committee is solely and directly responsible for the appointment, evaluation,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retention and, if appropriate, replacement of the independent auditor. The Committee may, in its discretion, seek stockholder ratification of the public accounting firm selected to be the Company’s independent auditor.</w:t>
      </w:r>
    </w:p>
    <w:p>
      <w:pPr>
        <w:spacing w:after="0" w:line="183" w:lineRule="exact"/>
        <w:rPr>
          <w:rFonts w:ascii="Arial" w:cs="Arial" w:eastAsia="Arial" w:hAnsi="Arial"/>
          <w:sz w:val="18"/>
          <w:szCs w:val="18"/>
          <w:color w:val="auto"/>
        </w:rPr>
      </w:pPr>
    </w:p>
    <w:p>
      <w:pPr>
        <w:jc w:val="both"/>
        <w:ind w:left="660" w:firstLine="644"/>
        <w:spacing w:after="0" w:line="293" w:lineRule="auto"/>
        <w:tabs>
          <w:tab w:leader="none" w:pos="1613" w:val="left"/>
        </w:tabs>
        <w:numPr>
          <w:ilvl w:val="1"/>
          <w:numId w:val="275"/>
        </w:numPr>
        <w:rPr>
          <w:rFonts w:ascii="Arial" w:cs="Arial" w:eastAsia="Arial" w:hAnsi="Arial"/>
          <w:sz w:val="16"/>
          <w:szCs w:val="16"/>
          <w:color w:val="auto"/>
        </w:rPr>
      </w:pPr>
      <w:r>
        <w:rPr>
          <w:rFonts w:ascii="Arial" w:cs="Arial" w:eastAsia="Arial" w:hAnsi="Arial"/>
          <w:sz w:val="16"/>
          <w:szCs w:val="16"/>
          <w:b w:val="1"/>
          <w:bCs w:val="1"/>
          <w:i w:val="1"/>
          <w:iCs w:val="1"/>
          <w:color w:val="auto"/>
        </w:rPr>
        <w:t>Independence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Committee shall assess at least annually the independent auditor’s independence. In connection with this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assessment, the Committee shall ensure the receipt of and review formal written statements from the independent auditor delineating all relationships between the auditor and the Company, consistent with applicable requirements of the Public Company Accounting Oversight Board (“</w:t>
      </w:r>
      <w:r>
        <w:rPr>
          <w:rFonts w:ascii="Arial" w:cs="Arial" w:eastAsia="Arial" w:hAnsi="Arial"/>
          <w:sz w:val="16"/>
          <w:szCs w:val="16"/>
          <w:b w:val="1"/>
          <w:bCs w:val="1"/>
          <w:i w:val="1"/>
          <w:iCs w:val="1"/>
          <w:color w:val="auto"/>
        </w:rPr>
        <w:t>PCAOB</w:t>
      </w:r>
      <w:r>
        <w:rPr>
          <w:rFonts w:ascii="Arial" w:cs="Arial" w:eastAsia="Arial" w:hAnsi="Arial"/>
          <w:sz w:val="16"/>
          <w:szCs w:val="16"/>
          <w:color w:val="auto"/>
        </w:rPr>
        <w:t>”) regarding the independent auditor’s communications with the Committee concerning independence. The Committee shall engage in an active dialogue with the independent auditor concerning any disclosed relationships or services that may impact the objectivity and independence of the auditor and take, or recommend that the Board take, appropriate action to oversee and ensure the independence of the auditor.</w:t>
      </w:r>
    </w:p>
    <w:p>
      <w:pPr>
        <w:spacing w:after="0" w:line="164" w:lineRule="exact"/>
        <w:rPr>
          <w:rFonts w:ascii="Arial" w:cs="Arial" w:eastAsia="Arial" w:hAnsi="Arial"/>
          <w:sz w:val="16"/>
          <w:szCs w:val="16"/>
          <w:color w:val="auto"/>
        </w:rPr>
      </w:pPr>
    </w:p>
    <w:p>
      <w:pPr>
        <w:jc w:val="both"/>
        <w:ind w:left="660" w:firstLine="644"/>
        <w:spacing w:after="0" w:line="296" w:lineRule="auto"/>
        <w:tabs>
          <w:tab w:leader="none" w:pos="1636" w:val="left"/>
        </w:tabs>
        <w:numPr>
          <w:ilvl w:val="1"/>
          <w:numId w:val="275"/>
        </w:numPr>
        <w:rPr>
          <w:rFonts w:ascii="Arial" w:cs="Arial" w:eastAsia="Arial" w:hAnsi="Arial"/>
          <w:sz w:val="16"/>
          <w:szCs w:val="16"/>
          <w:color w:val="auto"/>
        </w:rPr>
      </w:pPr>
      <w:r>
        <w:rPr>
          <w:rFonts w:ascii="Arial" w:cs="Arial" w:eastAsia="Arial" w:hAnsi="Arial"/>
          <w:sz w:val="16"/>
          <w:szCs w:val="16"/>
          <w:b w:val="1"/>
          <w:bCs w:val="1"/>
          <w:i w:val="1"/>
          <w:iCs w:val="1"/>
          <w:color w:val="auto"/>
        </w:rPr>
        <w:t>Quality and Performance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Committee shall evaluate at least annually the qualifications and performance of the independent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auditor, including the lead partner. The evaluation will include obtaining a written report from the independent auditor describing the firm’s internal quality control procedures; any material issues raised by the most recent internal quality control review, PCAOB inspection, or other PCAOB review of the firm, by a peer review of the firm or by any inquiry or investigation by governmental or professional authorities within the past five years, concerning an independent audit or audits carried out by the firm, and any steps taken to address any such issues.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29" w:name="page330"/>
    <w:bookmarkEnd w:id="329"/>
    <w:p>
      <w:pPr>
        <w:jc w:val="both"/>
        <w:ind w:left="660" w:firstLine="644"/>
        <w:spacing w:after="0" w:line="291" w:lineRule="auto"/>
        <w:tabs>
          <w:tab w:leader="none" w:pos="1626" w:val="left"/>
        </w:tabs>
        <w:numPr>
          <w:ilvl w:val="0"/>
          <w:numId w:val="276"/>
        </w:numPr>
        <w:rPr>
          <w:rFonts w:ascii="Arial" w:cs="Arial" w:eastAsia="Arial" w:hAnsi="Arial"/>
          <w:sz w:val="16"/>
          <w:szCs w:val="16"/>
          <w:color w:val="auto"/>
        </w:rPr>
      </w:pPr>
      <w:r>
        <w:rPr>
          <w:rFonts w:ascii="Arial" w:cs="Arial" w:eastAsia="Arial" w:hAnsi="Arial"/>
          <w:sz w:val="16"/>
          <w:szCs w:val="16"/>
          <w:b w:val="1"/>
          <w:bCs w:val="1"/>
          <w:i w:val="1"/>
          <w:iCs w:val="1"/>
          <w:color w:val="auto"/>
        </w:rPr>
        <w:t>General Oversight</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independent auditor reports directly to the Committee. The Committee is responsible for oversight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work of the independent auditor, including resolution of disagreements between management and the independent auditor regarding financial reporting. In connection with its oversight responsibility, the Committee shall consider the independent auditor’s communications regarding, among other things, critical accounting policies and practices, all alternative accounting treatments within GAAP related to items material to the financial statements that have been discussed with management, including the ramifications of the alternative treatments and the treatment preferred by the independent auditor, and all material written communications between the independent auditor and management, and shall review the effect or potential effect of any regulatory regime, accounting initiatives or off-balance sheet structures on the Company’s financial statements.</w:t>
      </w:r>
    </w:p>
    <w:p>
      <w:pPr>
        <w:spacing w:after="0" w:line="166" w:lineRule="exact"/>
        <w:rPr>
          <w:rFonts w:ascii="Arial" w:cs="Arial" w:eastAsia="Arial" w:hAnsi="Arial"/>
          <w:sz w:val="16"/>
          <w:szCs w:val="16"/>
          <w:color w:val="auto"/>
        </w:rPr>
      </w:pPr>
    </w:p>
    <w:p>
      <w:pPr>
        <w:jc w:val="both"/>
        <w:ind w:left="660" w:firstLine="644"/>
        <w:spacing w:after="0" w:line="293" w:lineRule="auto"/>
        <w:tabs>
          <w:tab w:leader="none" w:pos="1563" w:val="left"/>
        </w:tabs>
        <w:numPr>
          <w:ilvl w:val="0"/>
          <w:numId w:val="276"/>
        </w:numPr>
        <w:rPr>
          <w:rFonts w:ascii="Arial" w:cs="Arial" w:eastAsia="Arial" w:hAnsi="Arial"/>
          <w:sz w:val="16"/>
          <w:szCs w:val="16"/>
          <w:color w:val="auto"/>
        </w:rPr>
      </w:pPr>
      <w:r>
        <w:rPr>
          <w:rFonts w:ascii="Arial" w:cs="Arial" w:eastAsia="Arial" w:hAnsi="Arial"/>
          <w:sz w:val="16"/>
          <w:szCs w:val="16"/>
          <w:b w:val="1"/>
          <w:bCs w:val="1"/>
          <w:i w:val="1"/>
          <w:iCs w:val="1"/>
          <w:color w:val="auto"/>
        </w:rPr>
        <w:t>Audit Oversight</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Committee shall establish with the independent auditor an understanding of the terms of the audit engagement,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role of the auditor with respect to the Company’s financial statements and coordination of audit efforts to ensure completeness of coverage, reduction of redundant efforts, the effective use of audit resources, and the use of accounting firms other than the appointed auditors of the Company. The Committee shall review the scope of the annual audit or interim review (including the level of involvement with unaudited quarterly or other interim-period information), and discuss the results, including, without limitation, the independent auditor’s report and all matters required to be communicated to the Committee by the independent auditor in accordance with applicable auditing standards.</w:t>
      </w:r>
    </w:p>
    <w:p>
      <w:pPr>
        <w:spacing w:after="0" w:line="16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Committee shall discuss with the independent auditor, before the issuance of the audit report, the overall audit strategy, including the timing of the audit, significant risks the auditor identified and significant changes to the planned audit strategy or identified risks. The Committee shall review with the independent auditor any audit problems or difficulties encountered during the course of the audit work and management’s response, including any restrictions on the scope of the independent auditor’s activities or access to required records, data and information, any difficult or contentious matters for which the auditor consulted outside the engagement team (for example, the audit firm’s national office), any significant disagreements with management, and any other matters arising from the audit that are significant to the oversight of the Company’s financial reporting process.</w:t>
      </w:r>
    </w:p>
    <w:p>
      <w:pPr>
        <w:spacing w:after="0" w:line="164" w:lineRule="exact"/>
        <w:rPr>
          <w:sz w:val="20"/>
          <w:szCs w:val="20"/>
          <w:color w:val="auto"/>
        </w:rPr>
      </w:pPr>
    </w:p>
    <w:p>
      <w:pPr>
        <w:jc w:val="both"/>
        <w:ind w:left="660" w:firstLine="644"/>
        <w:spacing w:after="0" w:line="263" w:lineRule="auto"/>
        <w:tabs>
          <w:tab w:leader="none" w:pos="1626" w:val="left"/>
        </w:tabs>
        <w:numPr>
          <w:ilvl w:val="0"/>
          <w:numId w:val="277"/>
        </w:numPr>
        <w:rPr>
          <w:rFonts w:ascii="Arial" w:cs="Arial" w:eastAsia="Arial" w:hAnsi="Arial"/>
          <w:sz w:val="18"/>
          <w:szCs w:val="18"/>
          <w:color w:val="auto"/>
        </w:rPr>
      </w:pPr>
      <w:r>
        <w:rPr>
          <w:rFonts w:ascii="Arial" w:cs="Arial" w:eastAsia="Arial" w:hAnsi="Arial"/>
          <w:sz w:val="18"/>
          <w:szCs w:val="18"/>
          <w:b w:val="1"/>
          <w:bCs w:val="1"/>
          <w:i w:val="1"/>
          <w:iCs w:val="1"/>
          <w:color w:val="auto"/>
        </w:rPr>
        <w:t>Auditor Rotation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Committee shall consider whether, in addition to assuring the regular rotation of the lead audit partner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required by law, in the interest of assuring continuing independence of an independent auditor, the Company should regularly rotate the firm appointed as the Company’s independent auditor.</w:t>
      </w:r>
    </w:p>
    <w:p>
      <w:pPr>
        <w:spacing w:after="0" w:line="183" w:lineRule="exact"/>
        <w:rPr>
          <w:rFonts w:ascii="Arial" w:cs="Arial" w:eastAsia="Arial" w:hAnsi="Arial"/>
          <w:sz w:val="18"/>
          <w:szCs w:val="18"/>
          <w:color w:val="auto"/>
        </w:rPr>
      </w:pPr>
    </w:p>
    <w:p>
      <w:pPr>
        <w:jc w:val="both"/>
        <w:ind w:left="660" w:firstLine="644"/>
        <w:spacing w:after="0" w:line="257" w:lineRule="auto"/>
        <w:tabs>
          <w:tab w:leader="none" w:pos="1663" w:val="left"/>
        </w:tabs>
        <w:numPr>
          <w:ilvl w:val="0"/>
          <w:numId w:val="277"/>
        </w:numPr>
        <w:rPr>
          <w:rFonts w:ascii="Arial" w:cs="Arial" w:eastAsia="Arial" w:hAnsi="Arial"/>
          <w:sz w:val="18"/>
          <w:szCs w:val="18"/>
          <w:color w:val="auto"/>
        </w:rPr>
      </w:pPr>
      <w:r>
        <w:rPr>
          <w:rFonts w:ascii="Arial" w:cs="Arial" w:eastAsia="Arial" w:hAnsi="Arial"/>
          <w:sz w:val="18"/>
          <w:szCs w:val="18"/>
          <w:b w:val="1"/>
          <w:bCs w:val="1"/>
          <w:i w:val="1"/>
          <w:iCs w:val="1"/>
          <w:color w:val="auto"/>
        </w:rPr>
        <w:t>Pre-Approval of Auditor Services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Committee is exclusively authorized and directed to consider and, in its discretion, approve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advance any services (including the fees and material terms thereof) proposed to be carried out for the Company by the independent auditor or by any other firm proposed to be engaged by the Company as its independent auditor. In connection with approval of any permissible tax services and services related to internal control over financial reporting, the Committee shall discuss with the independent auditor the potential effects of such services on the independence of the auditor.</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30" w:name="page331"/>
    <w:bookmarkEnd w:id="330"/>
    <w:p>
      <w:pPr>
        <w:ind w:left="644" w:hanging="644"/>
        <w:spacing w:after="0"/>
        <w:tabs>
          <w:tab w:leader="none" w:pos="644" w:val="left"/>
        </w:tabs>
        <w:numPr>
          <w:ilvl w:val="0"/>
          <w:numId w:val="278"/>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 and Other Financial Disclosures</w:t>
      </w:r>
    </w:p>
    <w:p>
      <w:pPr>
        <w:spacing w:after="0" w:line="229" w:lineRule="exact"/>
        <w:rPr>
          <w:rFonts w:ascii="Arial" w:cs="Arial" w:eastAsia="Arial" w:hAnsi="Arial"/>
          <w:sz w:val="18"/>
          <w:szCs w:val="18"/>
          <w:b w:val="1"/>
          <w:bCs w:val="1"/>
          <w:color w:val="auto"/>
        </w:rPr>
      </w:pPr>
    </w:p>
    <w:p>
      <w:pPr>
        <w:ind w:left="884" w:hanging="236"/>
        <w:spacing w:after="0"/>
        <w:tabs>
          <w:tab w:leader="none" w:pos="884" w:val="left"/>
        </w:tabs>
        <w:numPr>
          <w:ilvl w:val="1"/>
          <w:numId w:val="278"/>
        </w:numPr>
        <w:rPr>
          <w:rFonts w:ascii="Arial" w:cs="Arial" w:eastAsia="Arial" w:hAnsi="Arial"/>
          <w:sz w:val="16"/>
          <w:szCs w:val="16"/>
          <w:color w:val="auto"/>
        </w:rPr>
      </w:pPr>
      <w:r>
        <w:rPr>
          <w:rFonts w:ascii="Arial" w:cs="Arial" w:eastAsia="Arial" w:hAnsi="Arial"/>
          <w:sz w:val="16"/>
          <w:szCs w:val="16"/>
          <w:b w:val="1"/>
          <w:bCs w:val="1"/>
          <w:i w:val="1"/>
          <w:iCs w:val="1"/>
          <w:color w:val="auto"/>
        </w:rPr>
        <w:t>Quality and Integrity of Financial Statements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Committee shall review and discuss with management and the independent</w:t>
      </w:r>
    </w:p>
    <w:p>
      <w:pPr>
        <w:spacing w:after="0" w:line="46" w:lineRule="exact"/>
        <w:rPr>
          <w:rFonts w:ascii="Arial" w:cs="Arial" w:eastAsia="Arial" w:hAnsi="Arial"/>
          <w:sz w:val="16"/>
          <w:szCs w:val="16"/>
          <w:color w:val="auto"/>
        </w:rPr>
      </w:pPr>
    </w:p>
    <w:p>
      <w:pPr>
        <w:jc w:val="both"/>
        <w:ind w:left="4"/>
        <w:spacing w:after="0" w:line="252" w:lineRule="auto"/>
        <w:rPr>
          <w:rFonts w:ascii="Arial" w:cs="Arial" w:eastAsia="Arial" w:hAnsi="Arial"/>
          <w:sz w:val="16"/>
          <w:szCs w:val="16"/>
          <w:color w:val="auto"/>
        </w:rPr>
      </w:pPr>
      <w:r>
        <w:rPr>
          <w:rFonts w:ascii="Arial" w:cs="Arial" w:eastAsia="Arial" w:hAnsi="Arial"/>
          <w:sz w:val="18"/>
          <w:szCs w:val="18"/>
          <w:color w:val="auto"/>
        </w:rPr>
        <w:t>auditor: the critical accounting policies and practices used by the Company, and any significant changes in the selection or application of the Company’s accounting and auditing principles and practices as suggested by the Company’s independent auditor, internal auditors, if any, or management; the accounting treatment to be applied in respect of significant new transactions or other significant events not in the ordinary course of the Company’s business; other policies and procedures adopted by the Company to fulfill its responsibilities regarding the presentation of financial statements in accordance with GAAP and applicable rules and regulations of the SEC, including the proper explanation and reconciliation of any non-GAAP measures presented; and any issues that arise with respect to the quality or integrity of the Company’s financial statements.</w:t>
      </w:r>
    </w:p>
    <w:p>
      <w:pPr>
        <w:spacing w:after="0" w:line="192" w:lineRule="exact"/>
        <w:rPr>
          <w:rFonts w:ascii="Arial" w:cs="Arial" w:eastAsia="Arial" w:hAnsi="Arial"/>
          <w:sz w:val="16"/>
          <w:szCs w:val="16"/>
          <w:color w:val="auto"/>
        </w:rPr>
      </w:pPr>
    </w:p>
    <w:p>
      <w:pPr>
        <w:jc w:val="both"/>
        <w:ind w:left="4" w:firstLine="644"/>
        <w:spacing w:after="0" w:line="271" w:lineRule="auto"/>
        <w:tabs>
          <w:tab w:leader="none" w:pos="930" w:val="left"/>
        </w:tabs>
        <w:numPr>
          <w:ilvl w:val="1"/>
          <w:numId w:val="278"/>
        </w:numPr>
        <w:rPr>
          <w:rFonts w:ascii="Arial" w:cs="Arial" w:eastAsia="Arial" w:hAnsi="Arial"/>
          <w:sz w:val="17"/>
          <w:szCs w:val="17"/>
          <w:color w:val="auto"/>
        </w:rPr>
      </w:pPr>
      <w:r>
        <w:rPr>
          <w:rFonts w:ascii="Arial" w:cs="Arial" w:eastAsia="Arial" w:hAnsi="Arial"/>
          <w:sz w:val="17"/>
          <w:szCs w:val="17"/>
          <w:b w:val="1"/>
          <w:bCs w:val="1"/>
          <w:i w:val="1"/>
          <w:iCs w:val="1"/>
          <w:color w:val="auto"/>
        </w:rPr>
        <w:t>Audited Financial Statements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Committee shall review and discuss with management and the independent auditor, before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issuance of the audit report, the financial statements and related notes and the “Management’s Discussion and Analysis of Financial Condition and Results of Operations” proposed to be included in the Company’s Annual Report on Form 10-K. In this connection, the Committee shall review and discuss with management and the independent auditor the analyses prepared by management setting forth significant financial reporting issues and judgments made in connection with the preparation of the financial statements (including analyses of the effects of alternative GAAP methods on the financial statements), and such other matters for which discussion shall be required by applicable auditing and related PCAOB standards. The Committee shall make a recommendation to the Board as to whether such financial statements should be included in the Company’s Annual Report on Form 10-K.</w:t>
      </w:r>
    </w:p>
    <w:p>
      <w:pPr>
        <w:spacing w:after="0" w:line="178" w:lineRule="exact"/>
        <w:rPr>
          <w:rFonts w:ascii="Arial" w:cs="Arial" w:eastAsia="Arial" w:hAnsi="Arial"/>
          <w:sz w:val="17"/>
          <w:szCs w:val="17"/>
          <w:color w:val="auto"/>
        </w:rPr>
      </w:pPr>
    </w:p>
    <w:p>
      <w:pPr>
        <w:ind w:left="4" w:firstLine="644"/>
        <w:spacing w:after="0" w:line="277" w:lineRule="auto"/>
        <w:tabs>
          <w:tab w:leader="none" w:pos="980" w:val="left"/>
        </w:tabs>
        <w:numPr>
          <w:ilvl w:val="1"/>
          <w:numId w:val="278"/>
        </w:numPr>
        <w:rPr>
          <w:rFonts w:ascii="Arial" w:cs="Arial" w:eastAsia="Arial" w:hAnsi="Arial"/>
          <w:sz w:val="18"/>
          <w:szCs w:val="18"/>
          <w:color w:val="auto"/>
        </w:rPr>
      </w:pPr>
      <w:r>
        <w:rPr>
          <w:rFonts w:ascii="Arial" w:cs="Arial" w:eastAsia="Arial" w:hAnsi="Arial"/>
          <w:sz w:val="18"/>
          <w:szCs w:val="18"/>
          <w:b w:val="1"/>
          <w:bCs w:val="1"/>
          <w:i w:val="1"/>
          <w:iCs w:val="1"/>
          <w:color w:val="auto"/>
        </w:rPr>
        <w:t>Audit Committee Report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Committee shall annually prepare an audit committee report for inclusion where necessary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proxy statement relating to the annual meeting of stockholders and/or annual report of the Company.</w:t>
      </w:r>
    </w:p>
    <w:p>
      <w:pPr>
        <w:spacing w:after="0" w:line="170" w:lineRule="exact"/>
        <w:rPr>
          <w:rFonts w:ascii="Arial" w:cs="Arial" w:eastAsia="Arial" w:hAnsi="Arial"/>
          <w:sz w:val="18"/>
          <w:szCs w:val="18"/>
          <w:color w:val="auto"/>
        </w:rPr>
      </w:pPr>
    </w:p>
    <w:p>
      <w:pPr>
        <w:jc w:val="both"/>
        <w:ind w:left="4" w:firstLine="644"/>
        <w:spacing w:after="0" w:line="275" w:lineRule="auto"/>
        <w:tabs>
          <w:tab w:leader="none" w:pos="984" w:val="left"/>
        </w:tabs>
        <w:numPr>
          <w:ilvl w:val="1"/>
          <w:numId w:val="278"/>
        </w:numPr>
        <w:rPr>
          <w:rFonts w:ascii="Arial" w:cs="Arial" w:eastAsia="Arial" w:hAnsi="Arial"/>
          <w:sz w:val="17"/>
          <w:szCs w:val="17"/>
          <w:color w:val="auto"/>
        </w:rPr>
      </w:pPr>
      <w:r>
        <w:rPr>
          <w:rFonts w:ascii="Arial" w:cs="Arial" w:eastAsia="Arial" w:hAnsi="Arial"/>
          <w:sz w:val="17"/>
          <w:szCs w:val="17"/>
          <w:b w:val="1"/>
          <w:bCs w:val="1"/>
          <w:i w:val="1"/>
          <w:iCs w:val="1"/>
          <w:color w:val="auto"/>
        </w:rPr>
        <w:t>Quarterly Financial Statements</w:t>
      </w:r>
      <w:r>
        <w:rPr>
          <w:rFonts w:ascii="Arial" w:cs="Arial" w:eastAsia="Arial" w:hAnsi="Arial"/>
          <w:sz w:val="17"/>
          <w:szCs w:val="17"/>
          <w:color w:val="auto"/>
        </w:rPr>
        <w:t>. The Committee shall review and discuss with management and the independent auditor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quarterly financial statements and related notes and the “Management’s Discussion and Analysis of Financial Condition and Results of Operations” proposed to be included in the Company’s Quarterly Reports on Form 10-Q, together with the analyses prepared by management setting forth significant financial reporting issues and judgments made in connection with the preparation of the financial statements, and such other matters for which discussion shall be required by applicable auditing standards and related PCAOB standards.</w:t>
      </w:r>
    </w:p>
    <w:p>
      <w:pPr>
        <w:spacing w:after="0" w:line="176" w:lineRule="exact"/>
        <w:rPr>
          <w:rFonts w:ascii="Arial" w:cs="Arial" w:eastAsia="Arial" w:hAnsi="Arial"/>
          <w:sz w:val="17"/>
          <w:szCs w:val="17"/>
          <w:color w:val="auto"/>
        </w:rPr>
      </w:pPr>
    </w:p>
    <w:p>
      <w:pPr>
        <w:jc w:val="both"/>
        <w:ind w:left="4" w:firstLine="644"/>
        <w:spacing w:after="0" w:line="279" w:lineRule="auto"/>
        <w:tabs>
          <w:tab w:leader="none" w:pos="920" w:val="left"/>
        </w:tabs>
        <w:numPr>
          <w:ilvl w:val="1"/>
          <w:numId w:val="278"/>
        </w:numPr>
        <w:rPr>
          <w:rFonts w:ascii="Arial" w:cs="Arial" w:eastAsia="Arial" w:hAnsi="Arial"/>
          <w:sz w:val="17"/>
          <w:szCs w:val="17"/>
          <w:color w:val="auto"/>
        </w:rPr>
      </w:pPr>
      <w:r>
        <w:rPr>
          <w:rFonts w:ascii="Arial" w:cs="Arial" w:eastAsia="Arial" w:hAnsi="Arial"/>
          <w:sz w:val="17"/>
          <w:szCs w:val="17"/>
          <w:b w:val="1"/>
          <w:bCs w:val="1"/>
          <w:i w:val="1"/>
          <w:iCs w:val="1"/>
          <w:color w:val="auto"/>
        </w:rPr>
        <w:t>Earnings Releases and Other Financial Information</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Committee shall discuss with management and the independent auditor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prior to issuance, review and approve the Company’s earnings releases, including the financial information, use of any “pro forma” or “adjusted” non-GAAP information, and earnings guidance (if such is provided) to be disclosed in such releases. The Committee shall also discuss with management other significant financial information to be provided to analysts or rating agencies.</w:t>
      </w:r>
    </w:p>
    <w:p>
      <w:pPr>
        <w:spacing w:after="0" w:line="171" w:lineRule="exact"/>
        <w:rPr>
          <w:rFonts w:ascii="Arial" w:cs="Arial" w:eastAsia="Arial" w:hAnsi="Arial"/>
          <w:sz w:val="17"/>
          <w:szCs w:val="17"/>
          <w:color w:val="auto"/>
        </w:rPr>
      </w:pPr>
    </w:p>
    <w:p>
      <w:pPr>
        <w:ind w:left="4" w:firstLine="644"/>
        <w:spacing w:after="0" w:line="277" w:lineRule="auto"/>
        <w:tabs>
          <w:tab w:leader="none" w:pos="957" w:val="left"/>
        </w:tabs>
        <w:numPr>
          <w:ilvl w:val="1"/>
          <w:numId w:val="278"/>
        </w:numPr>
        <w:rPr>
          <w:rFonts w:ascii="Arial" w:cs="Arial" w:eastAsia="Arial" w:hAnsi="Arial"/>
          <w:sz w:val="18"/>
          <w:szCs w:val="18"/>
          <w:color w:val="auto"/>
        </w:rPr>
      </w:pPr>
      <w:r>
        <w:rPr>
          <w:rFonts w:ascii="Arial" w:cs="Arial" w:eastAsia="Arial" w:hAnsi="Arial"/>
          <w:sz w:val="18"/>
          <w:szCs w:val="18"/>
          <w:b w:val="1"/>
          <w:bCs w:val="1"/>
          <w:i w:val="1"/>
          <w:iCs w:val="1"/>
          <w:color w:val="auto"/>
        </w:rPr>
        <w:t>Payments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Committee shall review on a quarterly basis all payments made to the Company’s sponsor, officers or directors, or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Company’s or their affiliates.</w:t>
      </w:r>
    </w:p>
    <w:p>
      <w:pPr>
        <w:spacing w:after="0" w:line="271" w:lineRule="exact"/>
        <w:rPr>
          <w:sz w:val="20"/>
          <w:szCs w:val="20"/>
          <w:color w:val="auto"/>
        </w:rPr>
      </w:pPr>
    </w:p>
    <w:p>
      <w:pPr>
        <w:ind w:left="4924"/>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6985</wp:posOffset>
            </wp:positionV>
            <wp:extent cx="7132320" cy="171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796" w:right="339" w:bottom="1440" w:gutter="0" w:footer="0" w:header="0"/>
        </w:sectPr>
      </w:pPr>
    </w:p>
    <w:bookmarkStart w:id="331" w:name="page332"/>
    <w:bookmarkEnd w:id="331"/>
    <w:p>
      <w:pPr>
        <w:ind w:left="644" w:hanging="644"/>
        <w:spacing w:after="0"/>
        <w:tabs>
          <w:tab w:leader="none" w:pos="644" w:val="left"/>
        </w:tabs>
        <w:numPr>
          <w:ilvl w:val="0"/>
          <w:numId w:val="279"/>
        </w:numPr>
        <w:rPr>
          <w:rFonts w:ascii="Arial" w:cs="Arial" w:eastAsia="Arial" w:hAnsi="Arial"/>
          <w:sz w:val="18"/>
          <w:szCs w:val="18"/>
          <w:b w:val="1"/>
          <w:bCs w:val="1"/>
          <w:color w:val="auto"/>
        </w:rPr>
      </w:pPr>
      <w:r>
        <w:rPr>
          <w:rFonts w:ascii="Arial" w:cs="Arial" w:eastAsia="Arial" w:hAnsi="Arial"/>
          <w:sz w:val="18"/>
          <w:szCs w:val="18"/>
          <w:b w:val="1"/>
          <w:bCs w:val="1"/>
          <w:color w:val="auto"/>
        </w:rPr>
        <w:t>Controls and Procedures</w:t>
      </w:r>
    </w:p>
    <w:p>
      <w:pPr>
        <w:spacing w:after="0" w:line="229" w:lineRule="exact"/>
        <w:rPr>
          <w:rFonts w:ascii="Arial" w:cs="Arial" w:eastAsia="Arial" w:hAnsi="Arial"/>
          <w:sz w:val="18"/>
          <w:szCs w:val="18"/>
          <w:b w:val="1"/>
          <w:bCs w:val="1"/>
          <w:color w:val="auto"/>
        </w:rPr>
      </w:pPr>
    </w:p>
    <w:p>
      <w:pPr>
        <w:jc w:val="both"/>
        <w:ind w:left="4" w:firstLine="644"/>
        <w:spacing w:after="0" w:line="253" w:lineRule="auto"/>
        <w:tabs>
          <w:tab w:leader="none" w:pos="867" w:val="left"/>
        </w:tabs>
        <w:numPr>
          <w:ilvl w:val="1"/>
          <w:numId w:val="279"/>
        </w:numPr>
        <w:rPr>
          <w:rFonts w:ascii="Arial" w:cs="Arial" w:eastAsia="Arial" w:hAnsi="Arial"/>
          <w:sz w:val="18"/>
          <w:szCs w:val="18"/>
          <w:color w:val="auto"/>
        </w:rPr>
      </w:pPr>
      <w:r>
        <w:rPr>
          <w:rFonts w:ascii="Arial" w:cs="Arial" w:eastAsia="Arial" w:hAnsi="Arial"/>
          <w:sz w:val="18"/>
          <w:szCs w:val="18"/>
          <w:b w:val="1"/>
          <w:bCs w:val="1"/>
          <w:i w:val="1"/>
          <w:iCs w:val="1"/>
          <w:color w:val="auto"/>
        </w:rPr>
        <w:t>Oversight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Committee shall provide oversight of management’s design and maintenance of the Company’s internal control over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reporting and disclosure controls and procedures. Prior to the filing of the Company’s Annual Report on Form 10-K, the Committee shall review with the independent auditor, management and the head of the internal audit function, if any: the Company’s annual assessment and report and the independent auditor’s report on the effectiveness of the Company’s internal control over financial reporting, to the extent then applicable; any “material weakness” or “significant deficiency” in the design or operation of internal control over financial reporting, any steps taken to resolve any such control deficiencies and the adequacy of disclosures about changes in internal control over financial reporting; and any related significant findings and recommendations of the independent auditor or internal audit function, if any, together with management’s responses (including, in the case of the independent auditor, any concerns regarding matters within the scope of, and compliance with, Section 10A of the Exchange Act).</w:t>
      </w:r>
    </w:p>
    <w:p>
      <w:pPr>
        <w:spacing w:after="0" w:line="196" w:lineRule="exact"/>
        <w:rPr>
          <w:rFonts w:ascii="Arial" w:cs="Arial" w:eastAsia="Arial" w:hAnsi="Arial"/>
          <w:sz w:val="18"/>
          <w:szCs w:val="18"/>
          <w:color w:val="auto"/>
        </w:rPr>
      </w:pPr>
    </w:p>
    <w:p>
      <w:pPr>
        <w:jc w:val="both"/>
        <w:ind w:left="4" w:firstLine="644"/>
        <w:spacing w:after="0" w:line="255" w:lineRule="auto"/>
        <w:tabs>
          <w:tab w:leader="none" w:pos="930" w:val="left"/>
        </w:tabs>
        <w:numPr>
          <w:ilvl w:val="1"/>
          <w:numId w:val="279"/>
        </w:numPr>
        <w:rPr>
          <w:rFonts w:ascii="Arial" w:cs="Arial" w:eastAsia="Arial" w:hAnsi="Arial"/>
          <w:sz w:val="18"/>
          <w:szCs w:val="18"/>
          <w:color w:val="auto"/>
        </w:rPr>
      </w:pPr>
      <w:r>
        <w:rPr>
          <w:rFonts w:ascii="Arial" w:cs="Arial" w:eastAsia="Arial" w:hAnsi="Arial"/>
          <w:sz w:val="18"/>
          <w:szCs w:val="18"/>
          <w:b w:val="1"/>
          <w:bCs w:val="1"/>
          <w:i w:val="1"/>
          <w:iCs w:val="1"/>
          <w:color w:val="auto"/>
        </w:rPr>
        <w:t>Certifications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Committee shall review and discuss with management and the independent auditor the certifications and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related disclosures made by the Company’s Chief Executive Officer and Chief Financial Officer in the Company’s periodic reports about the results of their evaluation of the effectiveness of disclosure controls and procedures and any significant deficiencies or material weaknesses in the design or operation of internal control over financial reporting, and any fraud involving management or other employees who have a significant role in the Company’s internal control over financial reporting, prior to the filing of the Company’s Annual Reports on Form 10-K and Quarterly Reports on Form 10-Q.</w:t>
      </w:r>
    </w:p>
    <w:p>
      <w:pPr>
        <w:spacing w:after="0" w:line="192" w:lineRule="exact"/>
        <w:rPr>
          <w:rFonts w:ascii="Arial" w:cs="Arial" w:eastAsia="Arial" w:hAnsi="Arial"/>
          <w:sz w:val="18"/>
          <w:szCs w:val="18"/>
          <w:color w:val="auto"/>
        </w:rPr>
      </w:pPr>
    </w:p>
    <w:p>
      <w:pPr>
        <w:jc w:val="both"/>
        <w:ind w:left="4" w:firstLine="644"/>
        <w:spacing w:after="0" w:line="254" w:lineRule="auto"/>
        <w:tabs>
          <w:tab w:leader="none" w:pos="980" w:val="left"/>
        </w:tabs>
        <w:numPr>
          <w:ilvl w:val="1"/>
          <w:numId w:val="279"/>
        </w:numPr>
        <w:rPr>
          <w:rFonts w:ascii="Arial" w:cs="Arial" w:eastAsia="Arial" w:hAnsi="Arial"/>
          <w:sz w:val="18"/>
          <w:szCs w:val="18"/>
          <w:color w:val="auto"/>
        </w:rPr>
      </w:pPr>
      <w:r>
        <w:rPr>
          <w:rFonts w:ascii="Arial" w:cs="Arial" w:eastAsia="Arial" w:hAnsi="Arial"/>
          <w:sz w:val="18"/>
          <w:szCs w:val="18"/>
          <w:b w:val="1"/>
          <w:bCs w:val="1"/>
          <w:i w:val="1"/>
          <w:iCs w:val="1"/>
          <w:color w:val="auto"/>
        </w:rPr>
        <w:t>Internal Audit Function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 least annually, the Committee shall review with the independent auditor the responsibilities, budget,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staffing, effectiveness and performance of the internal audit function, if any, including the structure, qualification and activities of the internal audit function and the scope of internal audit responsibilities in relation to the independent auditor’s duties. The Committee shall review and assess the annual internal audit plan, if any, the process used to develop the plan, and the status of activities, significant findings, recommendations and management’s response. The Committee shall recommend for Board approval all matters related to responsibilities, budget and staffing of the internal audit function, if any. The Committee shall recommend for Board approval the appointment and, if appropriate, replacement of the senior internal audit executive.</w:t>
      </w:r>
    </w:p>
    <w:p>
      <w:pPr>
        <w:spacing w:after="0" w:line="194" w:lineRule="exact"/>
        <w:rPr>
          <w:rFonts w:ascii="Arial" w:cs="Arial" w:eastAsia="Arial" w:hAnsi="Arial"/>
          <w:sz w:val="18"/>
          <w:szCs w:val="18"/>
          <w:color w:val="auto"/>
        </w:rPr>
      </w:pPr>
    </w:p>
    <w:p>
      <w:pPr>
        <w:ind w:left="4" w:firstLine="644"/>
        <w:spacing w:after="0" w:line="277" w:lineRule="auto"/>
        <w:tabs>
          <w:tab w:leader="none" w:pos="984" w:val="left"/>
        </w:tabs>
        <w:numPr>
          <w:ilvl w:val="1"/>
          <w:numId w:val="279"/>
        </w:numPr>
        <w:rPr>
          <w:rFonts w:ascii="Arial" w:cs="Arial" w:eastAsia="Arial" w:hAnsi="Arial"/>
          <w:sz w:val="18"/>
          <w:szCs w:val="18"/>
          <w:color w:val="auto"/>
        </w:rPr>
      </w:pPr>
      <w:r>
        <w:rPr>
          <w:rFonts w:ascii="Arial" w:cs="Arial" w:eastAsia="Arial" w:hAnsi="Arial"/>
          <w:sz w:val="18"/>
          <w:szCs w:val="18"/>
          <w:b w:val="1"/>
          <w:bCs w:val="1"/>
          <w:i w:val="1"/>
          <w:iCs w:val="1"/>
          <w:color w:val="auto"/>
        </w:rPr>
        <w:t>Hiring Policies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Committee shall establish clear policies regarding the hiring of employees and former employees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independent auditor.</w:t>
      </w:r>
    </w:p>
    <w:p>
      <w:pPr>
        <w:spacing w:after="0" w:line="271" w:lineRule="exact"/>
        <w:rPr>
          <w:sz w:val="20"/>
          <w:szCs w:val="20"/>
          <w:color w:val="auto"/>
        </w:rPr>
      </w:pPr>
    </w:p>
    <w:p>
      <w:pPr>
        <w:ind w:left="4924"/>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6985</wp:posOffset>
            </wp:positionV>
            <wp:extent cx="7132320" cy="171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796" w:right="339" w:bottom="1440" w:gutter="0" w:footer="0" w:header="0"/>
        </w:sectPr>
      </w:pPr>
    </w:p>
    <w:bookmarkStart w:id="332" w:name="page333"/>
    <w:bookmarkEnd w:id="332"/>
    <w:p>
      <w:pPr>
        <w:ind w:left="644" w:hanging="644"/>
        <w:spacing w:after="0"/>
        <w:tabs>
          <w:tab w:leader="none" w:pos="644" w:val="left"/>
        </w:tabs>
        <w:numPr>
          <w:ilvl w:val="0"/>
          <w:numId w:val="280"/>
        </w:numPr>
        <w:rPr>
          <w:rFonts w:ascii="Arial" w:cs="Arial" w:eastAsia="Arial" w:hAnsi="Arial"/>
          <w:sz w:val="18"/>
          <w:szCs w:val="18"/>
          <w:b w:val="1"/>
          <w:bCs w:val="1"/>
          <w:color w:val="auto"/>
        </w:rPr>
      </w:pPr>
      <w:r>
        <w:rPr>
          <w:rFonts w:ascii="Arial" w:cs="Arial" w:eastAsia="Arial" w:hAnsi="Arial"/>
          <w:sz w:val="18"/>
          <w:szCs w:val="18"/>
          <w:b w:val="1"/>
          <w:bCs w:val="1"/>
          <w:color w:val="auto"/>
        </w:rPr>
        <w:t>Risk Management, Compliance and Ethics</w:t>
      </w:r>
    </w:p>
    <w:p>
      <w:pPr>
        <w:spacing w:after="0" w:line="229" w:lineRule="exact"/>
        <w:rPr>
          <w:rFonts w:ascii="Arial" w:cs="Arial" w:eastAsia="Arial" w:hAnsi="Arial"/>
          <w:sz w:val="18"/>
          <w:szCs w:val="18"/>
          <w:b w:val="1"/>
          <w:bCs w:val="1"/>
          <w:color w:val="auto"/>
        </w:rPr>
      </w:pPr>
    </w:p>
    <w:p>
      <w:pPr>
        <w:jc w:val="both"/>
        <w:ind w:left="4" w:firstLine="644"/>
        <w:spacing w:after="0" w:line="257" w:lineRule="auto"/>
        <w:tabs>
          <w:tab w:leader="none" w:pos="867" w:val="left"/>
        </w:tabs>
        <w:numPr>
          <w:ilvl w:val="1"/>
          <w:numId w:val="280"/>
        </w:numPr>
        <w:rPr>
          <w:rFonts w:ascii="Arial" w:cs="Arial" w:eastAsia="Arial" w:hAnsi="Arial"/>
          <w:sz w:val="18"/>
          <w:szCs w:val="18"/>
          <w:color w:val="auto"/>
        </w:rPr>
      </w:pPr>
      <w:r>
        <w:rPr>
          <w:rFonts w:ascii="Arial" w:cs="Arial" w:eastAsia="Arial" w:hAnsi="Arial"/>
          <w:sz w:val="18"/>
          <w:szCs w:val="18"/>
          <w:b w:val="1"/>
          <w:bCs w:val="1"/>
          <w:i w:val="1"/>
          <w:iCs w:val="1"/>
          <w:color w:val="auto"/>
        </w:rPr>
        <w:t>Risk Management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Committee shall review and discuss with management, the head of the internal audit function, if any,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independent auditor any significant risks or exposures and the Company’s policies and processes with respect to risk assessment and risk management, and shall assess the steps management has taken to monitor and control such risks, except with respect to those risks for which oversight has been assigned to other committees of the Board or retained by the Board. The Committee shall review the Company’s annual disclosures concerning the role of the Board in the risk oversight of the Company.</w:t>
      </w:r>
    </w:p>
    <w:p>
      <w:pPr>
        <w:spacing w:after="0" w:line="187" w:lineRule="exact"/>
        <w:rPr>
          <w:rFonts w:ascii="Arial" w:cs="Arial" w:eastAsia="Arial" w:hAnsi="Arial"/>
          <w:sz w:val="18"/>
          <w:szCs w:val="18"/>
          <w:color w:val="auto"/>
        </w:rPr>
      </w:pPr>
    </w:p>
    <w:p>
      <w:pPr>
        <w:jc w:val="both"/>
        <w:ind w:left="4" w:firstLine="644"/>
        <w:spacing w:after="0" w:line="272" w:lineRule="auto"/>
        <w:tabs>
          <w:tab w:leader="none" w:pos="944" w:val="left"/>
        </w:tabs>
        <w:numPr>
          <w:ilvl w:val="1"/>
          <w:numId w:val="280"/>
        </w:numPr>
        <w:rPr>
          <w:rFonts w:ascii="Arial" w:cs="Arial" w:eastAsia="Arial" w:hAnsi="Arial"/>
          <w:sz w:val="17"/>
          <w:szCs w:val="17"/>
          <w:color w:val="auto"/>
        </w:rPr>
      </w:pPr>
      <w:r>
        <w:rPr>
          <w:rFonts w:ascii="Arial" w:cs="Arial" w:eastAsia="Arial" w:hAnsi="Arial"/>
          <w:sz w:val="17"/>
          <w:szCs w:val="17"/>
          <w:b w:val="1"/>
          <w:bCs w:val="1"/>
          <w:i w:val="1"/>
          <w:iCs w:val="1"/>
          <w:color w:val="auto"/>
        </w:rPr>
        <w:t>Legal and Regulatory Compliance</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Committee shall review and assess with the Chairman, Co-Chairman or Co-Executive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Chairman of the Board or outside counsel, as appropriate, legal and regulatory matters that may have a material impact on the Company’s financial statements. The Committee shall also review and recommend for Board approval the code of ethics and any other appropriate compliance policies, and will review requests for waivers under the code of ethics sought with respect to any executive officer or director. The Committee shall review annually with the Chairman, Co Chairman or Co-Executive Chairman of the Board or outside counsel, as appropriate, the scope, implementation and effectiveness of the ethics and compliance program, and any significant deviations by officers and employees from the code of ethics or other compliance policies, and other matters pertaining to the integrity of management.</w:t>
      </w:r>
    </w:p>
    <w:p>
      <w:pPr>
        <w:spacing w:after="0" w:line="177" w:lineRule="exact"/>
        <w:rPr>
          <w:rFonts w:ascii="Arial" w:cs="Arial" w:eastAsia="Arial" w:hAnsi="Arial"/>
          <w:sz w:val="17"/>
          <w:szCs w:val="17"/>
          <w:color w:val="auto"/>
        </w:rPr>
      </w:pPr>
    </w:p>
    <w:p>
      <w:pPr>
        <w:jc w:val="both"/>
        <w:ind w:left="4" w:firstLine="644"/>
        <w:spacing w:after="0" w:line="259" w:lineRule="auto"/>
        <w:tabs>
          <w:tab w:leader="none" w:pos="967" w:val="left"/>
        </w:tabs>
        <w:numPr>
          <w:ilvl w:val="1"/>
          <w:numId w:val="280"/>
        </w:numPr>
        <w:rPr>
          <w:rFonts w:ascii="Arial" w:cs="Arial" w:eastAsia="Arial" w:hAnsi="Arial"/>
          <w:sz w:val="18"/>
          <w:szCs w:val="18"/>
          <w:color w:val="auto"/>
        </w:rPr>
      </w:pPr>
      <w:r>
        <w:rPr>
          <w:rFonts w:ascii="Arial" w:cs="Arial" w:eastAsia="Arial" w:hAnsi="Arial"/>
          <w:sz w:val="18"/>
          <w:szCs w:val="18"/>
          <w:b w:val="1"/>
          <w:bCs w:val="1"/>
          <w:i w:val="1"/>
          <w:iCs w:val="1"/>
          <w:color w:val="auto"/>
        </w:rPr>
        <w:t>Procedures for Complaints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Committee shall establish “whistleblowing” procedures for (a) the receipt, retention and treatment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complaints received by the Company regarding accounting, internal accounting controls or auditing matters and (b) the confidential, anonymous submission by the Company’s employees of concerns regarding questionable accounting or auditing matters. The Committee shall review any such significant complaints or concerns.</w:t>
      </w:r>
    </w:p>
    <w:p>
      <w:pPr>
        <w:spacing w:after="0" w:line="186" w:lineRule="exact"/>
        <w:rPr>
          <w:rFonts w:ascii="Arial" w:cs="Arial" w:eastAsia="Arial" w:hAnsi="Arial"/>
          <w:sz w:val="18"/>
          <w:szCs w:val="18"/>
          <w:color w:val="auto"/>
        </w:rPr>
      </w:pPr>
    </w:p>
    <w:p>
      <w:pPr>
        <w:jc w:val="both"/>
        <w:ind w:left="4" w:firstLine="644"/>
        <w:spacing w:after="0" w:line="259" w:lineRule="auto"/>
        <w:tabs>
          <w:tab w:leader="none" w:pos="957" w:val="left"/>
        </w:tabs>
        <w:numPr>
          <w:ilvl w:val="1"/>
          <w:numId w:val="280"/>
        </w:numPr>
        <w:rPr>
          <w:rFonts w:ascii="Arial" w:cs="Arial" w:eastAsia="Arial" w:hAnsi="Arial"/>
          <w:sz w:val="18"/>
          <w:szCs w:val="18"/>
          <w:color w:val="auto"/>
        </w:rPr>
      </w:pPr>
      <w:r>
        <w:rPr>
          <w:rFonts w:ascii="Arial" w:cs="Arial" w:eastAsia="Arial" w:hAnsi="Arial"/>
          <w:sz w:val="18"/>
          <w:szCs w:val="18"/>
          <w:b w:val="1"/>
          <w:bCs w:val="1"/>
          <w:i w:val="1"/>
          <w:iCs w:val="1"/>
          <w:color w:val="auto"/>
        </w:rPr>
        <w:t>Review and Approval of Swap Transactions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Committee shall at least annually review and approve the Company’s decision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 into swaps and other derivative transactions that are exempt from exchange-execution and clearance requirements under “end user exception” regulations, and review and discuss with management applicable Company policies governing the Company’s use of swaps subject to the end-user exception.</w:t>
      </w:r>
    </w:p>
    <w:p>
      <w:pPr>
        <w:spacing w:after="0" w:line="186" w:lineRule="exact"/>
        <w:rPr>
          <w:rFonts w:ascii="Arial" w:cs="Arial" w:eastAsia="Arial" w:hAnsi="Arial"/>
          <w:sz w:val="18"/>
          <w:szCs w:val="18"/>
          <w:color w:val="auto"/>
        </w:rPr>
      </w:pPr>
    </w:p>
    <w:p>
      <w:pPr>
        <w:jc w:val="both"/>
        <w:ind w:left="4" w:firstLine="644"/>
        <w:spacing w:after="0" w:line="263" w:lineRule="auto"/>
        <w:tabs>
          <w:tab w:leader="none" w:pos="920" w:val="left"/>
        </w:tabs>
        <w:numPr>
          <w:ilvl w:val="1"/>
          <w:numId w:val="280"/>
        </w:numPr>
        <w:rPr>
          <w:rFonts w:ascii="Arial" w:cs="Arial" w:eastAsia="Arial" w:hAnsi="Arial"/>
          <w:sz w:val="18"/>
          <w:szCs w:val="18"/>
          <w:color w:val="auto"/>
        </w:rPr>
      </w:pPr>
      <w:r>
        <w:rPr>
          <w:rFonts w:ascii="Arial" w:cs="Arial" w:eastAsia="Arial" w:hAnsi="Arial"/>
          <w:sz w:val="18"/>
          <w:szCs w:val="18"/>
          <w:b w:val="1"/>
          <w:bCs w:val="1"/>
          <w:i w:val="1"/>
          <w:iCs w:val="1"/>
          <w:color w:val="auto"/>
        </w:rPr>
        <w:t>Related Person Transactions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Committee shall review on an ongoing basis and, if appropriate, approve or ratify any related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person transactions and other significant conflicts of interest, in each case in accordance with the Company’s Code of Ethics and Related Party Transactions Policy.</w:t>
      </w:r>
    </w:p>
    <w:p>
      <w:pPr>
        <w:spacing w:after="0" w:line="179" w:lineRule="exact"/>
        <w:rPr>
          <w:rFonts w:ascii="Arial" w:cs="Arial" w:eastAsia="Arial" w:hAnsi="Arial"/>
          <w:sz w:val="18"/>
          <w:szCs w:val="18"/>
          <w:color w:val="auto"/>
        </w:rPr>
      </w:pPr>
    </w:p>
    <w:p>
      <w:pPr>
        <w:ind w:left="644" w:hanging="644"/>
        <w:spacing w:after="0"/>
        <w:tabs>
          <w:tab w:leader="none" w:pos="644" w:val="left"/>
        </w:tabs>
        <w:numPr>
          <w:ilvl w:val="0"/>
          <w:numId w:val="280"/>
        </w:numPr>
        <w:rPr>
          <w:rFonts w:ascii="Arial" w:cs="Arial" w:eastAsia="Arial" w:hAnsi="Arial"/>
          <w:sz w:val="18"/>
          <w:szCs w:val="18"/>
          <w:b w:val="1"/>
          <w:bCs w:val="1"/>
          <w:color w:val="auto"/>
        </w:rPr>
      </w:pPr>
      <w:r>
        <w:rPr>
          <w:rFonts w:ascii="Arial" w:cs="Arial" w:eastAsia="Arial" w:hAnsi="Arial"/>
          <w:sz w:val="18"/>
          <w:szCs w:val="18"/>
          <w:b w:val="1"/>
          <w:bCs w:val="1"/>
          <w:color w:val="auto"/>
        </w:rPr>
        <w:t>Self-Evaluation and Reporting</w:t>
      </w:r>
    </w:p>
    <w:p>
      <w:pPr>
        <w:spacing w:after="0" w:line="229" w:lineRule="exact"/>
        <w:rPr>
          <w:rFonts w:ascii="Arial" w:cs="Arial" w:eastAsia="Arial" w:hAnsi="Arial"/>
          <w:sz w:val="18"/>
          <w:szCs w:val="18"/>
          <w:b w:val="1"/>
          <w:bCs w:val="1"/>
          <w:color w:val="auto"/>
        </w:rPr>
      </w:pPr>
    </w:p>
    <w:p>
      <w:pPr>
        <w:jc w:val="both"/>
        <w:ind w:left="4" w:firstLine="644"/>
        <w:spacing w:after="0" w:line="263" w:lineRule="auto"/>
        <w:tabs>
          <w:tab w:leader="none" w:pos="867" w:val="left"/>
        </w:tabs>
        <w:numPr>
          <w:ilvl w:val="1"/>
          <w:numId w:val="280"/>
        </w:numPr>
        <w:rPr>
          <w:rFonts w:ascii="Arial" w:cs="Arial" w:eastAsia="Arial" w:hAnsi="Arial"/>
          <w:sz w:val="18"/>
          <w:szCs w:val="18"/>
          <w:color w:val="auto"/>
        </w:rPr>
      </w:pPr>
      <w:r>
        <w:rPr>
          <w:rFonts w:ascii="Arial" w:cs="Arial" w:eastAsia="Arial" w:hAnsi="Arial"/>
          <w:sz w:val="18"/>
          <w:szCs w:val="18"/>
          <w:b w:val="1"/>
          <w:bCs w:val="1"/>
          <w:i w:val="1"/>
          <w:iCs w:val="1"/>
          <w:color w:val="auto"/>
        </w:rPr>
        <w:t>Self-Evaluation and Charter Review</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Committee shall conduct an annual self-evaluation of the adequacy of this charter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performance of the Committee, including its effectiveness and compliance with this charter, and recommend to the Board such amendments of this charter as the Committee deems appropriate.</w:t>
      </w:r>
    </w:p>
    <w:p>
      <w:pPr>
        <w:spacing w:after="0" w:line="183" w:lineRule="exact"/>
        <w:rPr>
          <w:rFonts w:ascii="Arial" w:cs="Arial" w:eastAsia="Arial" w:hAnsi="Arial"/>
          <w:sz w:val="18"/>
          <w:szCs w:val="18"/>
          <w:color w:val="auto"/>
        </w:rPr>
      </w:pPr>
    </w:p>
    <w:p>
      <w:pPr>
        <w:ind w:left="4" w:firstLine="644"/>
        <w:spacing w:after="0" w:line="342" w:lineRule="auto"/>
        <w:tabs>
          <w:tab w:leader="none" w:pos="917" w:val="left"/>
        </w:tabs>
        <w:numPr>
          <w:ilvl w:val="1"/>
          <w:numId w:val="280"/>
        </w:numPr>
        <w:rPr>
          <w:rFonts w:ascii="Arial" w:cs="Arial" w:eastAsia="Arial" w:hAnsi="Arial"/>
          <w:sz w:val="16"/>
          <w:szCs w:val="16"/>
          <w:color w:val="auto"/>
        </w:rPr>
      </w:pPr>
      <w:r>
        <w:rPr>
          <w:rFonts w:ascii="Arial" w:cs="Arial" w:eastAsia="Arial" w:hAnsi="Arial"/>
          <w:sz w:val="16"/>
          <w:szCs w:val="16"/>
          <w:b w:val="1"/>
          <w:bCs w:val="1"/>
          <w:i w:val="1"/>
          <w:iCs w:val="1"/>
          <w:color w:val="auto"/>
        </w:rPr>
        <w:t>Reporting</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Committee shall report regularly to the Board on Committee findings and recommendations and any other matters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Committee deems appropriate or the Board requests, and maintain minutes or other records of Committee meetings and activities.</w:t>
      </w:r>
    </w:p>
    <w:p>
      <w:pPr>
        <w:spacing w:after="0" w:line="124" w:lineRule="exact"/>
        <w:rPr>
          <w:sz w:val="20"/>
          <w:szCs w:val="20"/>
          <w:color w:val="auto"/>
        </w:rPr>
      </w:pPr>
    </w:p>
    <w:p>
      <w:pPr>
        <w:ind w:left="4"/>
        <w:spacing w:after="0"/>
        <w:rPr>
          <w:sz w:val="20"/>
          <w:szCs w:val="20"/>
          <w:color w:val="auto"/>
        </w:rPr>
      </w:pPr>
      <w:r>
        <w:rPr>
          <w:rFonts w:ascii="Arial" w:cs="Arial" w:eastAsia="Arial" w:hAnsi="Arial"/>
          <w:sz w:val="17"/>
          <w:szCs w:val="17"/>
          <w:color w:val="auto"/>
        </w:rPr>
        <w:t>The Committee shall undertake such other responsibilities or tasks as the Board may delegate or assign to the Committee from time to time.</w:t>
      </w:r>
    </w:p>
    <w:p>
      <w:pPr>
        <w:spacing w:after="0" w:line="200" w:lineRule="exact"/>
        <w:rPr>
          <w:sz w:val="20"/>
          <w:szCs w:val="20"/>
          <w:color w:val="auto"/>
        </w:rPr>
      </w:pPr>
    </w:p>
    <w:p>
      <w:pPr>
        <w:spacing w:after="0" w:line="253"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171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796" w:right="339" w:bottom="1440" w:gutter="0" w:footer="0" w:header="0"/>
        </w:sectPr>
      </w:pPr>
    </w:p>
    <w:bookmarkStart w:id="333" w:name="page334"/>
    <w:bookmarkEnd w:id="333"/>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FS DEVELOPMENT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COMMITTEE CHARTER</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Effective ____________, 2020</w:t>
      </w:r>
    </w:p>
    <w:p>
      <w:pPr>
        <w:spacing w:after="0" w:line="225" w:lineRule="exact"/>
        <w:rPr>
          <w:sz w:val="20"/>
          <w:szCs w:val="20"/>
          <w:color w:val="auto"/>
        </w:rPr>
      </w:pPr>
    </w:p>
    <w:p>
      <w:pPr>
        <w:ind w:left="660" w:hanging="652"/>
        <w:spacing w:after="0"/>
        <w:tabs>
          <w:tab w:leader="none" w:pos="660" w:val="left"/>
        </w:tabs>
        <w:numPr>
          <w:ilvl w:val="0"/>
          <w:numId w:val="281"/>
        </w:numPr>
        <w:rPr>
          <w:rFonts w:ascii="Arial" w:cs="Arial" w:eastAsia="Arial" w:hAnsi="Arial"/>
          <w:sz w:val="18"/>
          <w:szCs w:val="18"/>
          <w:b w:val="1"/>
          <w:bCs w:val="1"/>
          <w:color w:val="auto"/>
        </w:rPr>
      </w:pPr>
      <w:r>
        <w:rPr>
          <w:rFonts w:ascii="Arial" w:cs="Arial" w:eastAsia="Arial" w:hAnsi="Arial"/>
          <w:sz w:val="18"/>
          <w:szCs w:val="18"/>
          <w:b w:val="1"/>
          <w:bCs w:val="1"/>
          <w:color w:val="auto"/>
        </w:rPr>
        <w:t>PURPOSES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Compensation Committee (the “</w:t>
      </w:r>
      <w:r>
        <w:rPr>
          <w:rFonts w:ascii="Arial" w:cs="Arial" w:eastAsia="Arial" w:hAnsi="Arial"/>
          <w:sz w:val="17"/>
          <w:szCs w:val="17"/>
          <w:b w:val="1"/>
          <w:bCs w:val="1"/>
          <w:i w:val="1"/>
          <w:iCs w:val="1"/>
          <w:color w:val="auto"/>
        </w:rPr>
        <w:t>Committee</w:t>
      </w:r>
      <w:r>
        <w:rPr>
          <w:rFonts w:ascii="Arial" w:cs="Arial" w:eastAsia="Arial" w:hAnsi="Arial"/>
          <w:sz w:val="17"/>
          <w:szCs w:val="17"/>
          <w:color w:val="auto"/>
        </w:rPr>
        <w:t>”) is appointed by the Board of Directors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of FS Development Corp.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to: (A) assist the Board in overseeing the Company’s employee compensation policies and practices, including (i) determining and approving the compensation of the Company’s Chief Executive Officer (“</w:t>
      </w:r>
      <w:r>
        <w:rPr>
          <w:rFonts w:ascii="Arial" w:cs="Arial" w:eastAsia="Arial" w:hAnsi="Arial"/>
          <w:sz w:val="17"/>
          <w:szCs w:val="17"/>
          <w:b w:val="1"/>
          <w:bCs w:val="1"/>
          <w:i w:val="1"/>
          <w:iCs w:val="1"/>
          <w:color w:val="auto"/>
        </w:rPr>
        <w:t>CEO</w:t>
      </w:r>
      <w:r>
        <w:rPr>
          <w:rFonts w:ascii="Arial" w:cs="Arial" w:eastAsia="Arial" w:hAnsi="Arial"/>
          <w:sz w:val="17"/>
          <w:szCs w:val="17"/>
          <w:color w:val="auto"/>
        </w:rPr>
        <w:t>”) and the Company’s other executive officers, and (ii) reviewing and approving incentive compensation and equity compensation policies and programs, and exercising discretion in the administration of such programs; and (B) produce the annual report of the Committee required by the rules of the U.S. Securities and Exchange Commission (“</w:t>
      </w:r>
      <w:r>
        <w:rPr>
          <w:rFonts w:ascii="Arial" w:cs="Arial" w:eastAsia="Arial" w:hAnsi="Arial"/>
          <w:sz w:val="17"/>
          <w:szCs w:val="17"/>
          <w:b w:val="1"/>
          <w:bCs w:val="1"/>
          <w:i w:val="1"/>
          <w:iCs w:val="1"/>
          <w:color w:val="auto"/>
        </w:rPr>
        <w:t>SEC</w:t>
      </w:r>
      <w:r>
        <w:rPr>
          <w:rFonts w:ascii="Arial" w:cs="Arial" w:eastAsia="Arial" w:hAnsi="Arial"/>
          <w:sz w:val="17"/>
          <w:szCs w:val="17"/>
          <w:color w:val="auto"/>
        </w:rPr>
        <w:t>”)</w:t>
      </w:r>
      <w:r>
        <w:rPr>
          <w:rFonts w:ascii="Arial" w:cs="Arial" w:eastAsia="Arial" w:hAnsi="Arial"/>
          <w:sz w:val="17"/>
          <w:szCs w:val="17"/>
          <w:i w:val="1"/>
          <w:iCs w:val="1"/>
          <w:color w:val="auto"/>
        </w:rPr>
        <w:t>.</w:t>
      </w:r>
    </w:p>
    <w:p>
      <w:pPr>
        <w:spacing w:after="0" w:line="172" w:lineRule="exact"/>
        <w:rPr>
          <w:sz w:val="20"/>
          <w:szCs w:val="20"/>
          <w:color w:val="auto"/>
        </w:rPr>
      </w:pPr>
    </w:p>
    <w:p>
      <w:pPr>
        <w:ind w:left="660" w:hanging="652"/>
        <w:spacing w:after="0"/>
        <w:tabs>
          <w:tab w:leader="none" w:pos="660" w:val="left"/>
        </w:tabs>
        <w:numPr>
          <w:ilvl w:val="0"/>
          <w:numId w:val="282"/>
        </w:numPr>
        <w:rPr>
          <w:rFonts w:ascii="Arial" w:cs="Arial" w:eastAsia="Arial" w:hAnsi="Arial"/>
          <w:sz w:val="18"/>
          <w:szCs w:val="18"/>
          <w:b w:val="1"/>
          <w:bCs w:val="1"/>
          <w:color w:val="auto"/>
        </w:rPr>
      </w:pPr>
      <w:r>
        <w:rPr>
          <w:rFonts w:ascii="Arial" w:cs="Arial" w:eastAsia="Arial" w:hAnsi="Arial"/>
          <w:sz w:val="18"/>
          <w:szCs w:val="18"/>
          <w:b w:val="1"/>
          <w:bCs w:val="1"/>
          <w:color w:val="auto"/>
        </w:rPr>
        <w:t>COMMITTEE MEMBERSHIP</w:t>
      </w:r>
    </w:p>
    <w:p>
      <w:pPr>
        <w:spacing w:after="0" w:line="225" w:lineRule="exact"/>
        <w:rPr>
          <w:sz w:val="20"/>
          <w:szCs w:val="20"/>
          <w:color w:val="auto"/>
        </w:rPr>
      </w:pPr>
    </w:p>
    <w:p>
      <w:pPr>
        <w:ind w:left="1300" w:hanging="644"/>
        <w:spacing w:after="0"/>
        <w:tabs>
          <w:tab w:leader="none" w:pos="1300" w:val="left"/>
        </w:tabs>
        <w:numPr>
          <w:ilvl w:val="0"/>
          <w:numId w:val="283"/>
        </w:numPr>
        <w:rPr>
          <w:rFonts w:ascii="Arial" w:cs="Arial" w:eastAsia="Arial" w:hAnsi="Arial"/>
          <w:sz w:val="18"/>
          <w:szCs w:val="18"/>
          <w:b w:val="1"/>
          <w:bCs w:val="1"/>
          <w:color w:val="auto"/>
        </w:rPr>
      </w:pPr>
      <w:r>
        <w:rPr>
          <w:rFonts w:ascii="Arial" w:cs="Arial" w:eastAsia="Arial" w:hAnsi="Arial"/>
          <w:sz w:val="18"/>
          <w:szCs w:val="18"/>
          <w:b w:val="1"/>
          <w:bCs w:val="1"/>
          <w:color w:val="auto"/>
        </w:rPr>
        <w:t>Composition</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Committee shall consist of two or more members of the Board. Except as otherwise directed by the Board, a director selected as a Committee member shall continue to be a member for as long as he or she remains a director or until his or her earlier resignation or removal from the Committee. Any member may be removed from the Committee by the Board, with or without cause, at any time. Any vacancy on the Committee shall be filled by a majority vote of the Board. No member of the Committee shall be removed except by majority vote of the Board.</w:t>
      </w:r>
    </w:p>
    <w:p>
      <w:pPr>
        <w:spacing w:after="0" w:line="167" w:lineRule="exact"/>
        <w:rPr>
          <w:sz w:val="20"/>
          <w:szCs w:val="20"/>
          <w:color w:val="auto"/>
        </w:rPr>
      </w:pPr>
    </w:p>
    <w:p>
      <w:pPr>
        <w:ind w:left="1300" w:hanging="644"/>
        <w:spacing w:after="0"/>
        <w:tabs>
          <w:tab w:leader="none" w:pos="1300" w:val="left"/>
        </w:tabs>
        <w:numPr>
          <w:ilvl w:val="0"/>
          <w:numId w:val="284"/>
        </w:numPr>
        <w:rPr>
          <w:rFonts w:ascii="Arial" w:cs="Arial" w:eastAsia="Arial" w:hAnsi="Arial"/>
          <w:sz w:val="18"/>
          <w:szCs w:val="18"/>
          <w:b w:val="1"/>
          <w:bCs w:val="1"/>
          <w:color w:val="auto"/>
        </w:rPr>
      </w:pPr>
      <w:r>
        <w:rPr>
          <w:rFonts w:ascii="Arial" w:cs="Arial" w:eastAsia="Arial" w:hAnsi="Arial"/>
          <w:sz w:val="18"/>
          <w:szCs w:val="18"/>
          <w:b w:val="1"/>
          <w:bCs w:val="1"/>
          <w:color w:val="auto"/>
        </w:rPr>
        <w:t>Chair</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Chair of the Committee shall be appointed from among the Committee members by, and serve at the pleasure of, the Board, shall preside at meetings of the Committee and shall have authority to convene meetings, set agendas for meetings, and determine the Committee’s information needs, except as otherwise provided by the Board or the Committee, provided that if the Board does not so designate a chairperson, the members of the Committee, by a majority vote, may designate a chairperson. In the absence of the Chair at a duly convened meeting, the Committee shall select a temporary substitute from among its members to serve as chair of the meeting.</w:t>
      </w:r>
    </w:p>
    <w:p>
      <w:pPr>
        <w:spacing w:after="0" w:line="184" w:lineRule="exact"/>
        <w:rPr>
          <w:sz w:val="20"/>
          <w:szCs w:val="20"/>
          <w:color w:val="auto"/>
        </w:rPr>
      </w:pPr>
    </w:p>
    <w:p>
      <w:pPr>
        <w:ind w:left="1300" w:hanging="644"/>
        <w:spacing w:after="0"/>
        <w:tabs>
          <w:tab w:leader="none" w:pos="1300" w:val="left"/>
        </w:tabs>
        <w:numPr>
          <w:ilvl w:val="0"/>
          <w:numId w:val="285"/>
        </w:numPr>
        <w:rPr>
          <w:rFonts w:ascii="Arial" w:cs="Arial" w:eastAsia="Arial" w:hAnsi="Arial"/>
          <w:sz w:val="18"/>
          <w:szCs w:val="18"/>
          <w:b w:val="1"/>
          <w:bCs w:val="1"/>
          <w:color w:val="auto"/>
        </w:rPr>
      </w:pPr>
      <w:r>
        <w:rPr>
          <w:rFonts w:ascii="Arial" w:cs="Arial" w:eastAsia="Arial" w:hAnsi="Arial"/>
          <w:sz w:val="18"/>
          <w:szCs w:val="18"/>
          <w:b w:val="1"/>
          <w:bCs w:val="1"/>
          <w:color w:val="auto"/>
        </w:rPr>
        <w:t>Independence</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Each member of the Committee shall be an “independent” director in accordance with the applicable listing standards of The Nasdaq Capital Market (“</w:t>
      </w:r>
      <w:r>
        <w:rPr>
          <w:rFonts w:ascii="Arial" w:cs="Arial" w:eastAsia="Arial" w:hAnsi="Arial"/>
          <w:sz w:val="17"/>
          <w:szCs w:val="17"/>
          <w:b w:val="1"/>
          <w:bCs w:val="1"/>
          <w:i w:val="1"/>
          <w:iCs w:val="1"/>
          <w:color w:val="auto"/>
        </w:rPr>
        <w:t>Nasdaq</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including standards specifically applicable to compensation committee members, subject to any exceptions or cure periods that are applicable pursuant to the foregoing requirements and the phase-in schedules permitted under the rules of Nasdaq under which the Committee is required to have only one independent member at the time of listing, a majority of independent members within 90 days of listing and all independent members within one year of listing. Any action duly taken by the Committee shall be valid and effective, whether or not the members of the Committee at the time of such action are later determined not to have satisfied the requirements for membership provided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132320" cy="171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4" w:name="page335"/>
    <w:bookmarkEnd w:id="334"/>
    <w:p>
      <w:pPr>
        <w:ind w:left="660" w:hanging="652"/>
        <w:spacing w:after="0"/>
        <w:tabs>
          <w:tab w:leader="none" w:pos="660" w:val="left"/>
        </w:tabs>
        <w:numPr>
          <w:ilvl w:val="0"/>
          <w:numId w:val="286"/>
        </w:numPr>
        <w:rPr>
          <w:rFonts w:ascii="Arial" w:cs="Arial" w:eastAsia="Arial" w:hAnsi="Arial"/>
          <w:sz w:val="18"/>
          <w:szCs w:val="18"/>
          <w:b w:val="1"/>
          <w:bCs w:val="1"/>
          <w:color w:val="auto"/>
        </w:rPr>
      </w:pPr>
      <w:r>
        <w:rPr>
          <w:rFonts w:ascii="Arial" w:cs="Arial" w:eastAsia="Arial" w:hAnsi="Arial"/>
          <w:sz w:val="18"/>
          <w:szCs w:val="18"/>
          <w:b w:val="1"/>
          <w:bCs w:val="1"/>
          <w:color w:val="auto"/>
        </w:rPr>
        <w:t>AUTHORITY</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discharging its role, the Committee is empowered to inquire into any matter that it considers appropriate to carry out its responsibilities, with access to all books, records, facilities and personnel of the Company, and, subject to the direction of the Board, the Committee is authorized and delegated the authority to act on behalf of the Board with respect to any matter necessary or appropriate to the accomplishment of its purposes.</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Committee shall have the sole discretion to retain or obtain advice from, oversee and terminate any compensation consultant, legal counsel or other adviser to the Committee and be directly responsible for the appointment, compensation and oversight of any work of such adviser retained by the Committee, and the Company will provide appropriate funding (as determined by the Committee) for the payment of reasonable compensation to any such adviser.</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8"/>
          <w:szCs w:val="18"/>
          <w:b w:val="1"/>
          <w:bCs w:val="1"/>
          <w:color w:val="auto"/>
        </w:rPr>
        <w:t>COMMITTEE MEETINGS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Committee shall meet as often as necessary to carry out its responsibilities, which, following the Company’s initial business combination, shall be at least quarterly.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Committee shall establish its own schedule of meetings. The Committee may also act by unanimous written consent of its members.</w:t>
      </w:r>
    </w:p>
    <w:p>
      <w:pPr>
        <w:spacing w:after="0" w:line="23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Notice of meetings shall be given to all Committee members or may be waived, in the same manner as required for meetings of the Board. Meetings of the Committee may be held by means of conference telephone or other communications equipment by means of which all persons participating in the meeting can hear and speak with each other. A majority of the members of the Committee shall constitute a quorum for a meeting and the affirmative vote of a majority of members present at a meeting at which a quorum is present shall constitute the action of the Committee. The Committee shall otherwise establish its own rules of procedure.</w:t>
      </w:r>
    </w:p>
    <w:p>
      <w:pPr>
        <w:spacing w:after="0" w:line="184" w:lineRule="exact"/>
        <w:rPr>
          <w:sz w:val="20"/>
          <w:szCs w:val="20"/>
          <w:color w:val="auto"/>
        </w:rPr>
      </w:pPr>
    </w:p>
    <w:p>
      <w:pPr>
        <w:ind w:left="660" w:hanging="652"/>
        <w:spacing w:after="0"/>
        <w:tabs>
          <w:tab w:leader="none" w:pos="660" w:val="left"/>
        </w:tabs>
        <w:numPr>
          <w:ilvl w:val="0"/>
          <w:numId w:val="287"/>
        </w:numPr>
        <w:rPr>
          <w:rFonts w:ascii="Arial" w:cs="Arial" w:eastAsia="Arial" w:hAnsi="Arial"/>
          <w:sz w:val="18"/>
          <w:szCs w:val="18"/>
          <w:b w:val="1"/>
          <w:bCs w:val="1"/>
          <w:color w:val="auto"/>
        </w:rPr>
      </w:pPr>
      <w:r>
        <w:rPr>
          <w:rFonts w:ascii="Arial" w:cs="Arial" w:eastAsia="Arial" w:hAnsi="Arial"/>
          <w:sz w:val="18"/>
          <w:szCs w:val="18"/>
          <w:b w:val="1"/>
          <w:bCs w:val="1"/>
          <w:color w:val="auto"/>
        </w:rPr>
        <w:t>DELEGATION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Committee, by resolution approved by a majority of the Committee, may form and delegate any of its responsibilities to a subcommittee so long as such subcommittee is solely comprised of one or more members of the Committee and such delegation is not otherwise inconsistent with law and applicable rules and regulations of the SEC and Nasdaq.</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the Committee may, by resolution approved by a majority of the Committee, delegate to management the administration of the Company’s incentive compensation and equity-based compensation plans, to the extent permitted by law and as may be permitted by such plans and subject to such rules, policies and guidelines (including limits on the aggregate awards that may be made pursuant to such delegation) as the Committee shall approve, provided that, consistent with Section VI below, the Committee shall determine and approve the awards made under such plan to any executive officer and any other member of senior management as the Committee shall designate and shall at least annually review the awards made to such other members of senior management as the Committee shall designate.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5" w:name="page336"/>
    <w:bookmarkEnd w:id="335"/>
    <w:p>
      <w:pPr>
        <w:spacing w:after="0"/>
        <w:tabs>
          <w:tab w:leader="none" w:pos="640" w:val="left"/>
        </w:tabs>
        <w:rPr>
          <w:sz w:val="20"/>
          <w:szCs w:val="20"/>
          <w:color w:val="auto"/>
        </w:rPr>
      </w:pPr>
      <w:r>
        <w:rPr>
          <w:rFonts w:ascii="Arial" w:cs="Arial" w:eastAsia="Arial" w:hAnsi="Arial"/>
          <w:sz w:val="18"/>
          <w:szCs w:val="18"/>
          <w:b w:val="1"/>
          <w:bCs w:val="1"/>
          <w:color w:val="auto"/>
        </w:rPr>
        <w:t>VI.</w:t>
      </w:r>
      <w:r>
        <w:rPr>
          <w:sz w:val="20"/>
          <w:szCs w:val="20"/>
          <w:color w:val="auto"/>
        </w:rPr>
        <w:tab/>
      </w:r>
      <w:r>
        <w:rPr>
          <w:rFonts w:ascii="Arial" w:cs="Arial" w:eastAsia="Arial" w:hAnsi="Arial"/>
          <w:sz w:val="18"/>
          <w:szCs w:val="18"/>
          <w:b w:val="1"/>
          <w:bCs w:val="1"/>
          <w:color w:val="auto"/>
        </w:rPr>
        <w:t>KEY RESPONSIBILITIES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responsibilities are set forth as a guide for fulfilling the Committee’s purposes in such manner as the Committee determines is appropriate:</w:t>
      </w:r>
    </w:p>
    <w:p>
      <w:pPr>
        <w:spacing w:after="0" w:line="170" w:lineRule="exact"/>
        <w:rPr>
          <w:sz w:val="20"/>
          <w:szCs w:val="20"/>
          <w:color w:val="auto"/>
        </w:rPr>
      </w:pPr>
    </w:p>
    <w:p>
      <w:pPr>
        <w:ind w:left="900" w:hanging="244"/>
        <w:spacing w:after="0"/>
        <w:tabs>
          <w:tab w:leader="none" w:pos="90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establish and review the objectives of the Company’s management compensation programs and its basic compensation policies;</w:t>
      </w:r>
    </w:p>
    <w:p>
      <w:pPr>
        <w:spacing w:after="0" w:line="225" w:lineRule="exact"/>
        <w:rPr>
          <w:rFonts w:ascii="Arial" w:cs="Arial" w:eastAsia="Arial" w:hAnsi="Arial"/>
          <w:sz w:val="18"/>
          <w:szCs w:val="18"/>
          <w:color w:val="auto"/>
        </w:rPr>
      </w:pPr>
    </w:p>
    <w:p>
      <w:pPr>
        <w:ind w:firstLine="656"/>
        <w:spacing w:after="0" w:line="277" w:lineRule="auto"/>
        <w:tabs>
          <w:tab w:leader="none" w:pos="905" w:val="left"/>
        </w:tabs>
        <w:numPr>
          <w:ilvl w:val="0"/>
          <w:numId w:val="288"/>
        </w:numPr>
        <w:rPr>
          <w:rFonts w:ascii="Arial" w:cs="Arial" w:eastAsia="Arial" w:hAnsi="Arial"/>
          <w:sz w:val="18"/>
          <w:szCs w:val="18"/>
          <w:color w:val="auto"/>
        </w:rPr>
      </w:pPr>
      <w:r>
        <w:rPr>
          <w:rFonts w:ascii="Arial" w:cs="Arial" w:eastAsia="Arial" w:hAnsi="Arial"/>
          <w:sz w:val="18"/>
          <w:szCs w:val="18"/>
          <w:color w:val="auto"/>
        </w:rPr>
        <w:t>review and approve corporate goals and objectives relevant to the compensation of the CEO and other executive officers, including annual and long-term performance goals and objectives;</w:t>
      </w:r>
    </w:p>
    <w:p>
      <w:pPr>
        <w:spacing w:after="0" w:line="170" w:lineRule="exact"/>
        <w:rPr>
          <w:rFonts w:ascii="Arial" w:cs="Arial" w:eastAsia="Arial" w:hAnsi="Arial"/>
          <w:sz w:val="18"/>
          <w:szCs w:val="18"/>
          <w:color w:val="auto"/>
        </w:rPr>
      </w:pPr>
    </w:p>
    <w:p>
      <w:pPr>
        <w:ind w:firstLine="656"/>
        <w:spacing w:after="0" w:line="277" w:lineRule="auto"/>
        <w:tabs>
          <w:tab w:leader="none" w:pos="918" w:val="left"/>
        </w:tabs>
        <w:numPr>
          <w:ilvl w:val="0"/>
          <w:numId w:val="288"/>
        </w:numPr>
        <w:rPr>
          <w:rFonts w:ascii="Arial" w:cs="Arial" w:eastAsia="Arial" w:hAnsi="Arial"/>
          <w:sz w:val="18"/>
          <w:szCs w:val="18"/>
          <w:color w:val="auto"/>
        </w:rPr>
      </w:pPr>
      <w:r>
        <w:rPr>
          <w:rFonts w:ascii="Arial" w:cs="Arial" w:eastAsia="Arial" w:hAnsi="Arial"/>
          <w:sz w:val="18"/>
          <w:szCs w:val="18"/>
          <w:color w:val="auto"/>
        </w:rPr>
        <w:t>review and approve, subject to such further action of the Board as the Board shall determine, any employment, compensation, benefit or severance agreement with any executive officer;</w:t>
      </w:r>
    </w:p>
    <w:p>
      <w:pPr>
        <w:spacing w:after="0" w:line="170" w:lineRule="exact"/>
        <w:rPr>
          <w:rFonts w:ascii="Arial" w:cs="Arial" w:eastAsia="Arial" w:hAnsi="Arial"/>
          <w:sz w:val="18"/>
          <w:szCs w:val="18"/>
          <w:color w:val="auto"/>
        </w:rPr>
      </w:pPr>
    </w:p>
    <w:p>
      <w:pPr>
        <w:jc w:val="both"/>
        <w:ind w:firstLine="656"/>
        <w:spacing w:after="0" w:line="257" w:lineRule="auto"/>
        <w:tabs>
          <w:tab w:leader="none" w:pos="907" w:val="left"/>
        </w:tabs>
        <w:numPr>
          <w:ilvl w:val="0"/>
          <w:numId w:val="288"/>
        </w:numPr>
        <w:rPr>
          <w:rFonts w:ascii="Arial" w:cs="Arial" w:eastAsia="Arial" w:hAnsi="Arial"/>
          <w:sz w:val="18"/>
          <w:szCs w:val="18"/>
          <w:color w:val="auto"/>
        </w:rPr>
      </w:pPr>
      <w:r>
        <w:rPr>
          <w:rFonts w:ascii="Arial" w:cs="Arial" w:eastAsia="Arial" w:hAnsi="Arial"/>
          <w:sz w:val="18"/>
          <w:szCs w:val="18"/>
          <w:color w:val="auto"/>
        </w:rPr>
        <w:t>evaluate at least annually the performance of the CEO and other executive officers against corporate goals and objectives including the annual performance objectives and, based on this evaluation, determine and approve, subject to such further action of the Board as the Board shall determine, the compensation (including any awards under any equity-based compensation or non-equity-based incentive compensation plan of the Company and any material perquisites) for the executive officers based on this evaluation, provided that the CEO may not be present during voting or deliberations on his or her compensation;</w:t>
      </w:r>
    </w:p>
    <w:p>
      <w:pPr>
        <w:spacing w:after="0" w:line="187" w:lineRule="exact"/>
        <w:rPr>
          <w:rFonts w:ascii="Arial" w:cs="Arial" w:eastAsia="Arial" w:hAnsi="Arial"/>
          <w:sz w:val="18"/>
          <w:szCs w:val="18"/>
          <w:color w:val="auto"/>
        </w:rPr>
      </w:pPr>
    </w:p>
    <w:p>
      <w:pPr>
        <w:jc w:val="both"/>
        <w:ind w:firstLine="656"/>
        <w:spacing w:after="0" w:line="263" w:lineRule="auto"/>
        <w:tabs>
          <w:tab w:leader="none" w:pos="916" w:val="left"/>
        </w:tabs>
        <w:numPr>
          <w:ilvl w:val="0"/>
          <w:numId w:val="288"/>
        </w:numPr>
        <w:rPr>
          <w:rFonts w:ascii="Arial" w:cs="Arial" w:eastAsia="Arial" w:hAnsi="Arial"/>
          <w:sz w:val="18"/>
          <w:szCs w:val="18"/>
          <w:color w:val="auto"/>
        </w:rPr>
      </w:pPr>
      <w:r>
        <w:rPr>
          <w:rFonts w:ascii="Arial" w:cs="Arial" w:eastAsia="Arial" w:hAnsi="Arial"/>
          <w:sz w:val="18"/>
          <w:szCs w:val="18"/>
          <w:color w:val="auto"/>
        </w:rPr>
        <w:t>determine and approve the compensation level (including any awards under any equity-based compensation or non-equity-based incentive compensation plan of the Company and any material perquisites) for other members of senior management of the Company as the Committee or the Board may from time to time determine to be appropriate;</w:t>
      </w:r>
    </w:p>
    <w:p>
      <w:pPr>
        <w:spacing w:after="0" w:line="183" w:lineRule="exact"/>
        <w:rPr>
          <w:rFonts w:ascii="Arial" w:cs="Arial" w:eastAsia="Arial" w:hAnsi="Arial"/>
          <w:sz w:val="18"/>
          <w:szCs w:val="18"/>
          <w:color w:val="auto"/>
        </w:rPr>
      </w:pPr>
    </w:p>
    <w:p>
      <w:pPr>
        <w:ind w:firstLine="656"/>
        <w:spacing w:after="0" w:line="308" w:lineRule="auto"/>
        <w:tabs>
          <w:tab w:leader="none" w:pos="878" w:val="left"/>
        </w:tabs>
        <w:numPr>
          <w:ilvl w:val="0"/>
          <w:numId w:val="288"/>
        </w:numPr>
        <w:rPr>
          <w:rFonts w:ascii="Arial" w:cs="Arial" w:eastAsia="Arial" w:hAnsi="Arial"/>
          <w:sz w:val="17"/>
          <w:szCs w:val="17"/>
          <w:color w:val="auto"/>
        </w:rPr>
      </w:pPr>
      <w:r>
        <w:rPr>
          <w:rFonts w:ascii="Arial" w:cs="Arial" w:eastAsia="Arial" w:hAnsi="Arial"/>
          <w:sz w:val="17"/>
          <w:szCs w:val="17"/>
          <w:color w:val="auto"/>
        </w:rPr>
        <w:t>review at least annually the compensation of other employees as the Committee determines to be appropriate (including any awards under any equity-based compensation or non-equity-based incentive compensation plan of the Company and any material perquisites);</w:t>
      </w:r>
    </w:p>
    <w:p>
      <w:pPr>
        <w:spacing w:after="0" w:line="146" w:lineRule="exact"/>
        <w:rPr>
          <w:rFonts w:ascii="Arial" w:cs="Arial" w:eastAsia="Arial" w:hAnsi="Arial"/>
          <w:sz w:val="17"/>
          <w:szCs w:val="17"/>
          <w:color w:val="auto"/>
        </w:rPr>
      </w:pPr>
    </w:p>
    <w:p>
      <w:pPr>
        <w:jc w:val="both"/>
        <w:ind w:firstLine="656"/>
        <w:spacing w:after="0" w:line="263" w:lineRule="auto"/>
        <w:tabs>
          <w:tab w:leader="none" w:pos="913" w:val="left"/>
        </w:tabs>
        <w:numPr>
          <w:ilvl w:val="0"/>
          <w:numId w:val="288"/>
        </w:numPr>
        <w:rPr>
          <w:rFonts w:ascii="Arial" w:cs="Arial" w:eastAsia="Arial" w:hAnsi="Arial"/>
          <w:sz w:val="18"/>
          <w:szCs w:val="18"/>
          <w:color w:val="auto"/>
        </w:rPr>
      </w:pPr>
      <w:r>
        <w:rPr>
          <w:rFonts w:ascii="Arial" w:cs="Arial" w:eastAsia="Arial" w:hAnsi="Arial"/>
          <w:sz w:val="18"/>
          <w:szCs w:val="18"/>
          <w:color w:val="auto"/>
        </w:rPr>
        <w:t>review on a periodic basis the Company’s management compensation programs, including any management incentive compensation plans as well as plans and policies pertaining to perquisites, to determine whether they are appropriate, properly coordinated and achieve their intended purpose(s), and recommend to the Board any appropriate modifications or new plans, programs or policies;</w:t>
      </w:r>
    </w:p>
    <w:p>
      <w:pPr>
        <w:spacing w:after="0" w:line="183" w:lineRule="exact"/>
        <w:rPr>
          <w:rFonts w:ascii="Arial" w:cs="Arial" w:eastAsia="Arial" w:hAnsi="Arial"/>
          <w:sz w:val="18"/>
          <w:szCs w:val="18"/>
          <w:color w:val="auto"/>
        </w:rPr>
      </w:pPr>
    </w:p>
    <w:p>
      <w:pPr>
        <w:ind w:firstLine="656"/>
        <w:spacing w:after="0" w:line="277" w:lineRule="auto"/>
        <w:tabs>
          <w:tab w:leader="none" w:pos="925" w:val="left"/>
        </w:tabs>
        <w:numPr>
          <w:ilvl w:val="0"/>
          <w:numId w:val="288"/>
        </w:numPr>
        <w:rPr>
          <w:rFonts w:ascii="Arial" w:cs="Arial" w:eastAsia="Arial" w:hAnsi="Arial"/>
          <w:sz w:val="18"/>
          <w:szCs w:val="18"/>
          <w:color w:val="auto"/>
        </w:rPr>
      </w:pPr>
      <w:r>
        <w:rPr>
          <w:rFonts w:ascii="Arial" w:cs="Arial" w:eastAsia="Arial" w:hAnsi="Arial"/>
          <w:sz w:val="18"/>
          <w:szCs w:val="18"/>
          <w:color w:val="auto"/>
        </w:rPr>
        <w:t>review, approve and recommend to the Board the adoption of any equity-based compensation plan for employees of or consultants to the Company and any modification of any such plan;</w:t>
      </w:r>
    </w:p>
    <w:p>
      <w:pPr>
        <w:spacing w:after="0" w:line="170" w:lineRule="exact"/>
        <w:rPr>
          <w:rFonts w:ascii="Arial" w:cs="Arial" w:eastAsia="Arial" w:hAnsi="Arial"/>
          <w:sz w:val="18"/>
          <w:szCs w:val="18"/>
          <w:color w:val="auto"/>
        </w:rPr>
      </w:pPr>
    </w:p>
    <w:p>
      <w:pPr>
        <w:ind w:firstLine="656"/>
        <w:spacing w:after="0" w:line="277" w:lineRule="auto"/>
        <w:tabs>
          <w:tab w:leader="none" w:pos="865" w:val="left"/>
        </w:tabs>
        <w:numPr>
          <w:ilvl w:val="0"/>
          <w:numId w:val="288"/>
        </w:numPr>
        <w:rPr>
          <w:rFonts w:ascii="Arial" w:cs="Arial" w:eastAsia="Arial" w:hAnsi="Arial"/>
          <w:sz w:val="18"/>
          <w:szCs w:val="18"/>
          <w:color w:val="auto"/>
        </w:rPr>
      </w:pPr>
      <w:r>
        <w:rPr>
          <w:rFonts w:ascii="Arial" w:cs="Arial" w:eastAsia="Arial" w:hAnsi="Arial"/>
          <w:sz w:val="18"/>
          <w:szCs w:val="18"/>
          <w:color w:val="auto"/>
        </w:rPr>
        <w:t>administer the Company’s equity-based compensation plans for employees of and consultants to the Company as provided by the terms of such plans, including authorizing all awards made pursuant to such plans;</w:t>
      </w:r>
    </w:p>
    <w:p>
      <w:pPr>
        <w:spacing w:after="0" w:line="170" w:lineRule="exact"/>
        <w:rPr>
          <w:rFonts w:ascii="Arial" w:cs="Arial" w:eastAsia="Arial" w:hAnsi="Arial"/>
          <w:sz w:val="18"/>
          <w:szCs w:val="18"/>
          <w:color w:val="auto"/>
        </w:rPr>
      </w:pPr>
    </w:p>
    <w:p>
      <w:pPr>
        <w:ind w:firstLine="656"/>
        <w:spacing w:after="0" w:line="308" w:lineRule="auto"/>
        <w:tabs>
          <w:tab w:leader="none" w:pos="904" w:val="left"/>
        </w:tabs>
        <w:numPr>
          <w:ilvl w:val="0"/>
          <w:numId w:val="288"/>
        </w:numPr>
        <w:rPr>
          <w:rFonts w:ascii="Arial" w:cs="Arial" w:eastAsia="Arial" w:hAnsi="Arial"/>
          <w:sz w:val="17"/>
          <w:szCs w:val="17"/>
          <w:color w:val="auto"/>
        </w:rPr>
      </w:pPr>
      <w:r>
        <w:rPr>
          <w:rFonts w:ascii="Arial" w:cs="Arial" w:eastAsia="Arial" w:hAnsi="Arial"/>
          <w:sz w:val="17"/>
          <w:szCs w:val="17"/>
          <w:color w:val="auto"/>
        </w:rPr>
        <w:t>review, approve and recommend to the Board the adoption of any non-equity-based incentive compensation plan for employees of or consultants to the Company and any material modification of any such plan and review at least annually the awards made pursuant to such plans;</w:t>
      </w:r>
    </w:p>
    <w:p>
      <w:pPr>
        <w:spacing w:after="0" w:line="146" w:lineRule="exact"/>
        <w:rPr>
          <w:rFonts w:ascii="Arial" w:cs="Arial" w:eastAsia="Arial" w:hAnsi="Arial"/>
          <w:sz w:val="17"/>
          <w:szCs w:val="17"/>
          <w:color w:val="auto"/>
        </w:rPr>
      </w:pPr>
    </w:p>
    <w:p>
      <w:pPr>
        <w:ind w:firstLine="656"/>
        <w:spacing w:after="0" w:line="277" w:lineRule="auto"/>
        <w:tabs>
          <w:tab w:leader="none" w:pos="904" w:val="left"/>
        </w:tabs>
        <w:numPr>
          <w:ilvl w:val="0"/>
          <w:numId w:val="288"/>
        </w:numPr>
        <w:rPr>
          <w:rFonts w:ascii="Arial" w:cs="Arial" w:eastAsia="Arial" w:hAnsi="Arial"/>
          <w:sz w:val="18"/>
          <w:szCs w:val="18"/>
          <w:color w:val="auto"/>
        </w:rPr>
      </w:pPr>
      <w:r>
        <w:rPr>
          <w:rFonts w:ascii="Arial" w:cs="Arial" w:eastAsia="Arial" w:hAnsi="Arial"/>
          <w:sz w:val="18"/>
          <w:szCs w:val="18"/>
          <w:color w:val="auto"/>
        </w:rPr>
        <w:t>review, approve and recommend to the Board the adoption of any employee retirement plan, and other material employee benefit plan, and any material modification of any such plan;</w:t>
      </w:r>
    </w:p>
    <w:p>
      <w:pPr>
        <w:spacing w:after="0" w:line="170" w:lineRule="exact"/>
        <w:rPr>
          <w:rFonts w:ascii="Arial" w:cs="Arial" w:eastAsia="Arial" w:hAnsi="Arial"/>
          <w:sz w:val="18"/>
          <w:szCs w:val="18"/>
          <w:color w:val="auto"/>
        </w:rPr>
      </w:pPr>
    </w:p>
    <w:p>
      <w:pPr>
        <w:jc w:val="both"/>
        <w:ind w:firstLine="656"/>
        <w:spacing w:after="0" w:line="311" w:lineRule="auto"/>
        <w:tabs>
          <w:tab w:leader="none" w:pos="901" w:val="left"/>
        </w:tabs>
        <w:numPr>
          <w:ilvl w:val="0"/>
          <w:numId w:val="288"/>
        </w:numPr>
        <w:rPr>
          <w:rFonts w:ascii="Arial" w:cs="Arial" w:eastAsia="Arial" w:hAnsi="Arial"/>
          <w:sz w:val="16"/>
          <w:szCs w:val="16"/>
          <w:color w:val="auto"/>
        </w:rPr>
      </w:pPr>
      <w:r>
        <w:rPr>
          <w:rFonts w:ascii="Arial" w:cs="Arial" w:eastAsia="Arial" w:hAnsi="Arial"/>
          <w:sz w:val="16"/>
          <w:szCs w:val="16"/>
          <w:color w:val="auto"/>
        </w:rPr>
        <w:t>review at least annually (a) the Company’s compensation policies and practices for executives, management employees and employees generally to assess whether such policies and practices could lead to excessive risk taking behavior and (b) the manner in which any risks arising out of the Company’s compensation policies and practices are monitored and mitigated and adjustments necessary to address changes in the Company’s risk profile;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6" w:name="page337"/>
    <w:bookmarkEnd w:id="336"/>
    <w:p>
      <w:pPr>
        <w:jc w:val="both"/>
        <w:ind w:firstLine="656"/>
        <w:spacing w:after="0" w:line="257" w:lineRule="auto"/>
        <w:tabs>
          <w:tab w:leader="none" w:pos="967" w:val="left"/>
        </w:tabs>
        <w:numPr>
          <w:ilvl w:val="0"/>
          <w:numId w:val="289"/>
        </w:numPr>
        <w:rPr>
          <w:rFonts w:ascii="Arial" w:cs="Arial" w:eastAsia="Arial" w:hAnsi="Arial"/>
          <w:sz w:val="18"/>
          <w:szCs w:val="18"/>
          <w:color w:val="auto"/>
        </w:rPr>
      </w:pPr>
      <w:r>
        <w:rPr>
          <w:rFonts w:ascii="Arial" w:cs="Arial" w:eastAsia="Arial" w:hAnsi="Arial"/>
          <w:sz w:val="18"/>
          <w:szCs w:val="18"/>
          <w:color w:val="auto"/>
        </w:rPr>
        <w:t>with respect to any compensation consultant who has been engaged to make determinations or recommendations on the amount or form of executive or director compensation: (a) annually, or from time to time as the Committee deems appropriate, assess whether the work of any such compensation consultant (whether retained by the compensation committee or management) has raised any conflicts of interest; and (b) review the engagement and the nature of any additional services provided by such compensation consultant to the Committee or to management, as well as all remuneration provided to such consultant;</w:t>
      </w:r>
    </w:p>
    <w:p>
      <w:pPr>
        <w:spacing w:after="0" w:line="187" w:lineRule="exact"/>
        <w:rPr>
          <w:rFonts w:ascii="Arial" w:cs="Arial" w:eastAsia="Arial" w:hAnsi="Arial"/>
          <w:sz w:val="18"/>
          <w:szCs w:val="18"/>
          <w:color w:val="auto"/>
        </w:rPr>
      </w:pPr>
    </w:p>
    <w:p>
      <w:pPr>
        <w:jc w:val="both"/>
        <w:ind w:firstLine="656"/>
        <w:spacing w:after="0" w:line="263" w:lineRule="auto"/>
        <w:tabs>
          <w:tab w:leader="none" w:pos="933" w:val="left"/>
        </w:tabs>
        <w:numPr>
          <w:ilvl w:val="0"/>
          <w:numId w:val="289"/>
        </w:numPr>
        <w:rPr>
          <w:rFonts w:ascii="Arial" w:cs="Arial" w:eastAsia="Arial" w:hAnsi="Arial"/>
          <w:sz w:val="18"/>
          <w:szCs w:val="18"/>
          <w:color w:val="auto"/>
        </w:rPr>
      </w:pPr>
      <w:r>
        <w:rPr>
          <w:rFonts w:ascii="Arial" w:cs="Arial" w:eastAsia="Arial" w:hAnsi="Arial"/>
          <w:sz w:val="18"/>
          <w:szCs w:val="18"/>
          <w:color w:val="auto"/>
        </w:rPr>
        <w:t>annually, or from time to time as the Committee deems appropriate and prior to retention of any advisers to the Committee, assess the independence of compensation consultants, legal and other advisers to the Committee, taking into consideration all relevant factors the Committee deems appropriate to such adviser’s independence, including factors specified in the listing standards of Nasdaq;</w:t>
      </w:r>
    </w:p>
    <w:p>
      <w:pPr>
        <w:spacing w:after="0" w:line="183" w:lineRule="exact"/>
        <w:rPr>
          <w:rFonts w:ascii="Arial" w:cs="Arial" w:eastAsia="Arial" w:hAnsi="Arial"/>
          <w:sz w:val="18"/>
          <w:szCs w:val="18"/>
          <w:color w:val="auto"/>
        </w:rPr>
      </w:pPr>
    </w:p>
    <w:p>
      <w:pPr>
        <w:jc w:val="both"/>
        <w:ind w:firstLine="656"/>
        <w:spacing w:after="0" w:line="279" w:lineRule="auto"/>
        <w:tabs>
          <w:tab w:leader="none" w:pos="935" w:val="left"/>
        </w:tabs>
        <w:numPr>
          <w:ilvl w:val="0"/>
          <w:numId w:val="289"/>
        </w:numPr>
        <w:rPr>
          <w:rFonts w:ascii="Arial" w:cs="Arial" w:eastAsia="Arial" w:hAnsi="Arial"/>
          <w:sz w:val="17"/>
          <w:szCs w:val="17"/>
          <w:color w:val="auto"/>
        </w:rPr>
      </w:pPr>
      <w:r>
        <w:rPr>
          <w:rFonts w:ascii="Arial" w:cs="Arial" w:eastAsia="Arial" w:hAnsi="Arial"/>
          <w:sz w:val="17"/>
          <w:szCs w:val="17"/>
          <w:color w:val="auto"/>
        </w:rPr>
        <w:t>review and discuss with management the Compensation Discussion and Analysis disclosure required by SEC regulations and determine whether to recommend to the Board, as part of a report of the Committee to the Board, that such disclosure be included in the Company’s Annual Report on Form 10-K and any proxy statement for the election of directors; as part of this review, the Committee shall consider the results of the most recent stockholder advisory vote on executive compensation (“say-on-pay” vote) required by Section 14A of the Exchange Act;</w:t>
      </w:r>
    </w:p>
    <w:p>
      <w:pPr>
        <w:spacing w:after="0" w:line="171" w:lineRule="exact"/>
        <w:rPr>
          <w:rFonts w:ascii="Arial" w:cs="Arial" w:eastAsia="Arial" w:hAnsi="Arial"/>
          <w:sz w:val="17"/>
          <w:szCs w:val="17"/>
          <w:color w:val="auto"/>
        </w:rPr>
      </w:pPr>
    </w:p>
    <w:p>
      <w:pPr>
        <w:ind w:firstLine="656"/>
        <w:spacing w:after="0" w:line="277" w:lineRule="auto"/>
        <w:tabs>
          <w:tab w:leader="none" w:pos="929" w:val="left"/>
        </w:tabs>
        <w:numPr>
          <w:ilvl w:val="0"/>
          <w:numId w:val="289"/>
        </w:numPr>
        <w:rPr>
          <w:rFonts w:ascii="Arial" w:cs="Arial" w:eastAsia="Arial" w:hAnsi="Arial"/>
          <w:sz w:val="18"/>
          <w:szCs w:val="18"/>
          <w:color w:val="auto"/>
        </w:rPr>
      </w:pPr>
      <w:r>
        <w:rPr>
          <w:rFonts w:ascii="Arial" w:cs="Arial" w:eastAsia="Arial" w:hAnsi="Arial"/>
          <w:sz w:val="18"/>
          <w:szCs w:val="18"/>
          <w:color w:val="auto"/>
        </w:rPr>
        <w:t>at least every six years or more frequently as appropriate, make a recommendation to the Board regarding the frequency with which the Company will conduct a say-on-pay vote;</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review the form and amount of director compensation at least annually, and make recommendations thereon to the Board;</w:t>
      </w:r>
    </w:p>
    <w:p>
      <w:pPr>
        <w:spacing w:after="0" w:line="225" w:lineRule="exact"/>
        <w:rPr>
          <w:rFonts w:ascii="Arial" w:cs="Arial" w:eastAsia="Arial" w:hAnsi="Arial"/>
          <w:sz w:val="18"/>
          <w:szCs w:val="18"/>
          <w:color w:val="auto"/>
        </w:rPr>
      </w:pPr>
    </w:p>
    <w:p>
      <w:pPr>
        <w:jc w:val="both"/>
        <w:ind w:right="20" w:firstLine="656"/>
        <w:spacing w:after="0" w:line="259" w:lineRule="auto"/>
        <w:tabs>
          <w:tab w:leader="none" w:pos="912" w:val="left"/>
        </w:tabs>
        <w:numPr>
          <w:ilvl w:val="0"/>
          <w:numId w:val="289"/>
        </w:numPr>
        <w:rPr>
          <w:rFonts w:ascii="Arial" w:cs="Arial" w:eastAsia="Arial" w:hAnsi="Arial"/>
          <w:sz w:val="18"/>
          <w:szCs w:val="18"/>
          <w:color w:val="auto"/>
        </w:rPr>
      </w:pPr>
      <w:r>
        <w:rPr>
          <w:rFonts w:ascii="Arial" w:cs="Arial" w:eastAsia="Arial" w:hAnsi="Arial"/>
          <w:sz w:val="18"/>
          <w:szCs w:val="18"/>
          <w:color w:val="auto"/>
        </w:rPr>
        <w:t>oversee and monitor other compensation related policies and practices of the Company, including: (i) the Company’s stock ownership guidelines for directors and executive officers; (ii) compliance by management with rules regarding equity-based compensation plans for employees and consultants pursuant to the terms of such plans, and the guidelines for issuance of awards as the Board or Committee may establish; and (iii) the Company’s recoupment policy and procedures;</w:t>
      </w:r>
    </w:p>
    <w:p>
      <w:pPr>
        <w:spacing w:after="0" w:line="186" w:lineRule="exact"/>
        <w:rPr>
          <w:rFonts w:ascii="Arial" w:cs="Arial" w:eastAsia="Arial" w:hAnsi="Arial"/>
          <w:sz w:val="18"/>
          <w:szCs w:val="18"/>
          <w:color w:val="auto"/>
        </w:rPr>
      </w:pPr>
    </w:p>
    <w:p>
      <w:pPr>
        <w:ind w:firstLine="656"/>
        <w:spacing w:after="0" w:line="277" w:lineRule="auto"/>
        <w:tabs>
          <w:tab w:leader="none" w:pos="897" w:val="left"/>
        </w:tabs>
        <w:numPr>
          <w:ilvl w:val="0"/>
          <w:numId w:val="289"/>
        </w:numPr>
        <w:rPr>
          <w:rFonts w:ascii="Arial" w:cs="Arial" w:eastAsia="Arial" w:hAnsi="Arial"/>
          <w:sz w:val="18"/>
          <w:szCs w:val="18"/>
          <w:color w:val="auto"/>
        </w:rPr>
      </w:pPr>
      <w:r>
        <w:rPr>
          <w:rFonts w:ascii="Arial" w:cs="Arial" w:eastAsia="Arial" w:hAnsi="Arial"/>
          <w:sz w:val="18"/>
          <w:szCs w:val="18"/>
          <w:color w:val="auto"/>
        </w:rPr>
        <w:t>oversee stockholder communications relating to executive compensation and review and make recommendations with respect to stockholder proposals related to compensation matters;</w:t>
      </w:r>
    </w:p>
    <w:p>
      <w:pPr>
        <w:spacing w:after="0" w:line="170" w:lineRule="exact"/>
        <w:rPr>
          <w:rFonts w:ascii="Arial" w:cs="Arial" w:eastAsia="Arial" w:hAnsi="Arial"/>
          <w:sz w:val="18"/>
          <w:szCs w:val="18"/>
          <w:color w:val="auto"/>
        </w:rPr>
      </w:pPr>
    </w:p>
    <w:p>
      <w:pPr>
        <w:ind w:right="20" w:firstLine="656"/>
        <w:spacing w:after="0" w:line="308" w:lineRule="auto"/>
        <w:tabs>
          <w:tab w:leader="none" w:pos="893" w:val="left"/>
        </w:tabs>
        <w:numPr>
          <w:ilvl w:val="0"/>
          <w:numId w:val="289"/>
        </w:numPr>
        <w:rPr>
          <w:rFonts w:ascii="Arial" w:cs="Arial" w:eastAsia="Arial" w:hAnsi="Arial"/>
          <w:sz w:val="17"/>
          <w:szCs w:val="17"/>
          <w:color w:val="auto"/>
        </w:rPr>
      </w:pPr>
      <w:r>
        <w:rPr>
          <w:rFonts w:ascii="Arial" w:cs="Arial" w:eastAsia="Arial" w:hAnsi="Arial"/>
          <w:sz w:val="17"/>
          <w:szCs w:val="17"/>
          <w:color w:val="auto"/>
        </w:rPr>
        <w:t>conduct an annual self-evaluation of the adequacy of this charter and the performance of the Committee, including its effectiveness and compliance with this charter, and recommend to the Board such amendments of this charter as the Committee deems appropriate;</w:t>
      </w:r>
    </w:p>
    <w:p>
      <w:pPr>
        <w:spacing w:after="0" w:line="146" w:lineRule="exact"/>
        <w:rPr>
          <w:rFonts w:ascii="Arial" w:cs="Arial" w:eastAsia="Arial" w:hAnsi="Arial"/>
          <w:sz w:val="17"/>
          <w:szCs w:val="17"/>
          <w:color w:val="auto"/>
        </w:rPr>
      </w:pPr>
    </w:p>
    <w:p>
      <w:pPr>
        <w:ind w:firstLine="656"/>
        <w:spacing w:after="0" w:line="277" w:lineRule="auto"/>
        <w:tabs>
          <w:tab w:leader="none" w:pos="922" w:val="left"/>
        </w:tabs>
        <w:numPr>
          <w:ilvl w:val="0"/>
          <w:numId w:val="289"/>
        </w:numPr>
        <w:rPr>
          <w:rFonts w:ascii="Arial" w:cs="Arial" w:eastAsia="Arial" w:hAnsi="Arial"/>
          <w:sz w:val="18"/>
          <w:szCs w:val="18"/>
          <w:color w:val="auto"/>
        </w:rPr>
      </w:pPr>
      <w:r>
        <w:rPr>
          <w:rFonts w:ascii="Arial" w:cs="Arial" w:eastAsia="Arial" w:hAnsi="Arial"/>
          <w:sz w:val="18"/>
          <w:szCs w:val="18"/>
          <w:color w:val="auto"/>
        </w:rPr>
        <w:t>report regularly to the Board on Committee findings and recommendations and any other matters the Committee deems appropriate or the Board requests, and maintain minutes or other records of Committee meetings and activities;</w:t>
      </w:r>
    </w:p>
    <w:p>
      <w:pPr>
        <w:spacing w:after="0" w:line="170" w:lineRule="exact"/>
        <w:rPr>
          <w:rFonts w:ascii="Arial" w:cs="Arial" w:eastAsia="Arial" w:hAnsi="Arial"/>
          <w:sz w:val="18"/>
          <w:szCs w:val="18"/>
          <w:color w:val="auto"/>
        </w:rPr>
      </w:pPr>
    </w:p>
    <w:p>
      <w:pPr>
        <w:jc w:val="both"/>
        <w:ind w:firstLine="656"/>
        <w:spacing w:after="0" w:line="263" w:lineRule="auto"/>
        <w:tabs>
          <w:tab w:leader="none" w:pos="914" w:val="left"/>
        </w:tabs>
        <w:numPr>
          <w:ilvl w:val="0"/>
          <w:numId w:val="289"/>
        </w:numPr>
        <w:rPr>
          <w:rFonts w:ascii="Arial" w:cs="Arial" w:eastAsia="Arial" w:hAnsi="Arial"/>
          <w:sz w:val="18"/>
          <w:szCs w:val="18"/>
          <w:color w:val="auto"/>
        </w:rPr>
      </w:pPr>
      <w:r>
        <w:rPr>
          <w:rFonts w:ascii="Arial" w:cs="Arial" w:eastAsia="Arial" w:hAnsi="Arial"/>
          <w:sz w:val="18"/>
          <w:szCs w:val="18"/>
          <w:color w:val="auto"/>
        </w:rPr>
        <w:t>from and after the completion of the Company’s initial business combination, in consultation with the CEO, annually report to the Board on succession planning, which shall include emergency CEO succession, CEO succession in the ordinary course and succession for other members of senior management, working with the entire Board to evaluate potential successors to the CEO; and</w:t>
      </w:r>
    </w:p>
    <w:p>
      <w:pPr>
        <w:spacing w:after="0" w:line="183" w:lineRule="exact"/>
        <w:rPr>
          <w:rFonts w:ascii="Arial" w:cs="Arial" w:eastAsia="Arial" w:hAnsi="Arial"/>
          <w:sz w:val="18"/>
          <w:szCs w:val="18"/>
          <w:color w:val="auto"/>
        </w:rPr>
      </w:pPr>
    </w:p>
    <w:p>
      <w:pPr>
        <w:ind w:left="960" w:hanging="304"/>
        <w:spacing w:after="0"/>
        <w:tabs>
          <w:tab w:leader="none" w:pos="96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undertake such other responsibilities or tasks as the Board may delegate or assign to the Committee from time to time.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7" w:name="page338"/>
    <w:bookmarkEnd w:id="337"/>
    <w:p>
      <w:pPr>
        <w:jc w:val="right"/>
        <w:spacing w:after="0"/>
        <w:rPr>
          <w:sz w:val="20"/>
          <w:szCs w:val="20"/>
          <w:color w:val="auto"/>
        </w:rPr>
      </w:pPr>
      <w:r>
        <w:rPr>
          <w:rFonts w:ascii="Arial" w:cs="Arial" w:eastAsia="Arial" w:hAnsi="Arial"/>
          <w:sz w:val="18"/>
          <w:szCs w:val="18"/>
          <w:b w:val="1"/>
          <w:bCs w:val="1"/>
          <w:color w:val="auto"/>
        </w:rPr>
        <w:t>Exhibit 99.3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FS DEVELOPMENT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NOMINATING AND CORPORATE GOVERNANCE COMMITTEE CHARTER</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Effective ____________, 2020</w:t>
      </w:r>
    </w:p>
    <w:p>
      <w:pPr>
        <w:spacing w:after="0" w:line="225" w:lineRule="exact"/>
        <w:rPr>
          <w:sz w:val="20"/>
          <w:szCs w:val="20"/>
          <w:color w:val="auto"/>
        </w:rPr>
      </w:pPr>
    </w:p>
    <w:p>
      <w:pPr>
        <w:ind w:left="660" w:hanging="652"/>
        <w:spacing w:after="0"/>
        <w:tabs>
          <w:tab w:leader="none" w:pos="660" w:val="left"/>
        </w:tabs>
        <w:numPr>
          <w:ilvl w:val="0"/>
          <w:numId w:val="290"/>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Nominating and Corporate Governance Committee (the “</w:t>
      </w:r>
      <w:r>
        <w:rPr>
          <w:rFonts w:ascii="Arial" w:cs="Arial" w:eastAsia="Arial" w:hAnsi="Arial"/>
          <w:sz w:val="18"/>
          <w:szCs w:val="18"/>
          <w:b w:val="1"/>
          <w:bCs w:val="1"/>
          <w:color w:val="auto"/>
        </w:rPr>
        <w:t>Committee</w:t>
      </w:r>
      <w:r>
        <w:rPr>
          <w:rFonts w:ascii="Arial" w:cs="Arial" w:eastAsia="Arial" w:hAnsi="Arial"/>
          <w:sz w:val="18"/>
          <w:szCs w:val="18"/>
          <w:color w:val="auto"/>
        </w:rPr>
        <w:t xml:space="preserve">”) is appointed by the Board of Directors (the </w:t>
      </w:r>
      <w:r>
        <w:rPr>
          <w:rFonts w:ascii="Arial" w:cs="Arial" w:eastAsia="Arial" w:hAnsi="Arial"/>
          <w:sz w:val="18"/>
          <w:szCs w:val="18"/>
          <w:i w:val="1"/>
          <w:iCs w:val="1"/>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of FS Development Corp. (the “</w:t>
      </w:r>
      <w:r>
        <w:rPr>
          <w:rFonts w:ascii="Arial" w:cs="Arial" w:eastAsia="Arial" w:hAnsi="Arial"/>
          <w:sz w:val="18"/>
          <w:szCs w:val="18"/>
          <w:b w:val="1"/>
          <w:bCs w:val="1"/>
          <w:color w:val="auto"/>
        </w:rPr>
        <w:t>Company</w:t>
      </w:r>
      <w:r>
        <w:rPr>
          <w:rFonts w:ascii="Arial" w:cs="Arial" w:eastAsia="Arial" w:hAnsi="Arial"/>
          <w:sz w:val="18"/>
          <w:szCs w:val="18"/>
          <w:color w:val="auto"/>
        </w:rPr>
        <w:t>”) to: (i) identify and screen individuals qualified to serve as directors and recommend to the Board candidates for nomination for election at the annual meeting of stockholders or to fill Board vacancies; (ii) develop, recommend to the Board and review the Company’s Corporate Governance Guidelines; (iii) coordinate and oversee the annual self-evaluation of the Board, its committees, individual directors and management in the governance of the Company; and (iv) review on a regular basis the overall corporate governance of the Company and recommend improvements for approval by the Board where appropriate.</w:t>
      </w:r>
    </w:p>
    <w:p>
      <w:pPr>
        <w:spacing w:after="0" w:line="187" w:lineRule="exact"/>
        <w:rPr>
          <w:sz w:val="20"/>
          <w:szCs w:val="20"/>
          <w:color w:val="auto"/>
        </w:rPr>
      </w:pPr>
    </w:p>
    <w:p>
      <w:pPr>
        <w:ind w:left="660" w:hanging="652"/>
        <w:spacing w:after="0"/>
        <w:tabs>
          <w:tab w:leader="none" w:pos="660" w:val="left"/>
        </w:tabs>
        <w:numPr>
          <w:ilvl w:val="0"/>
          <w:numId w:val="291"/>
        </w:numPr>
        <w:rPr>
          <w:rFonts w:ascii="Arial" w:cs="Arial" w:eastAsia="Arial" w:hAnsi="Arial"/>
          <w:sz w:val="18"/>
          <w:szCs w:val="18"/>
          <w:b w:val="1"/>
          <w:bCs w:val="1"/>
          <w:color w:val="auto"/>
        </w:rPr>
      </w:pPr>
      <w:r>
        <w:rPr>
          <w:rFonts w:ascii="Arial" w:cs="Arial" w:eastAsia="Arial" w:hAnsi="Arial"/>
          <w:sz w:val="18"/>
          <w:szCs w:val="18"/>
          <w:b w:val="1"/>
          <w:bCs w:val="1"/>
          <w:color w:val="auto"/>
        </w:rPr>
        <w:t>COMMITTEE MEMBERSHIP</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6"/>
          <w:szCs w:val="16"/>
          <w:b w:val="1"/>
          <w:bCs w:val="1"/>
          <w:color w:val="auto"/>
        </w:rPr>
        <w:t>Composition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Committee shall consist of two or more members of the Board. Except as otherwise directed by the Board, a director selected as a Committee member shall continue to be a member for as long as he or she remains a director or until his or her earlier resignation or removal from the Committee. Any member may be removed from the Committee by the Board, with or without cause, at any time.</w:t>
      </w:r>
    </w:p>
    <w:p>
      <w:pPr>
        <w:spacing w:after="0" w:line="180" w:lineRule="exact"/>
        <w:rPr>
          <w:sz w:val="20"/>
          <w:szCs w:val="20"/>
          <w:color w:val="auto"/>
        </w:rPr>
      </w:pPr>
    </w:p>
    <w:p>
      <w:pPr>
        <w:ind w:left="1300" w:hanging="644"/>
        <w:spacing w:after="0"/>
        <w:tabs>
          <w:tab w:leader="none" w:pos="1300" w:val="left"/>
        </w:tabs>
        <w:numPr>
          <w:ilvl w:val="0"/>
          <w:numId w:val="292"/>
        </w:numPr>
        <w:rPr>
          <w:rFonts w:ascii="Arial" w:cs="Arial" w:eastAsia="Arial" w:hAnsi="Arial"/>
          <w:sz w:val="18"/>
          <w:szCs w:val="18"/>
          <w:b w:val="1"/>
          <w:bCs w:val="1"/>
          <w:color w:val="auto"/>
        </w:rPr>
      </w:pPr>
      <w:r>
        <w:rPr>
          <w:rFonts w:ascii="Arial" w:cs="Arial" w:eastAsia="Arial" w:hAnsi="Arial"/>
          <w:sz w:val="18"/>
          <w:szCs w:val="18"/>
          <w:b w:val="1"/>
          <w:bCs w:val="1"/>
          <w:color w:val="auto"/>
        </w:rPr>
        <w:t>Chair</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Chair of the Committee shall be appointed from among the Committee members by, and serve at the pleasure of, the Board, shall preside at meetings of the Committee and shall have authority to convene meetings, set agendas for meetings, and determine the Committee’s information needs, except as otherwise provided by the Board or the Committee. In the absence of the Chair at a duly convened meeting, the Committee shall select a temporary substitute from among its members to serve as chair of the meeting. The Chair of the Committee shall serve as “Administrator” of the Company’s Policy Regarding Insider Trading and Dissemination of Inside Information in the circumstances and to the extent described therein.</w:t>
      </w:r>
    </w:p>
    <w:p>
      <w:pPr>
        <w:spacing w:after="0" w:line="157" w:lineRule="exact"/>
        <w:rPr>
          <w:sz w:val="20"/>
          <w:szCs w:val="20"/>
          <w:color w:val="auto"/>
        </w:rPr>
      </w:pPr>
    </w:p>
    <w:p>
      <w:pPr>
        <w:ind w:left="1300" w:hanging="644"/>
        <w:spacing w:after="0"/>
        <w:tabs>
          <w:tab w:leader="none" w:pos="1300" w:val="left"/>
        </w:tabs>
        <w:numPr>
          <w:ilvl w:val="0"/>
          <w:numId w:val="293"/>
        </w:numPr>
        <w:rPr>
          <w:rFonts w:ascii="Arial" w:cs="Arial" w:eastAsia="Arial" w:hAnsi="Arial"/>
          <w:sz w:val="18"/>
          <w:szCs w:val="18"/>
          <w:b w:val="1"/>
          <w:bCs w:val="1"/>
          <w:color w:val="auto"/>
        </w:rPr>
      </w:pPr>
      <w:r>
        <w:rPr>
          <w:rFonts w:ascii="Arial" w:cs="Arial" w:eastAsia="Arial" w:hAnsi="Arial"/>
          <w:sz w:val="18"/>
          <w:szCs w:val="18"/>
          <w:b w:val="1"/>
          <w:bCs w:val="1"/>
          <w:color w:val="auto"/>
        </w:rPr>
        <w:t>Independence</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Each member of the Committee shall be an “independent” director in accordance with the applicable listing rules of the Nasdaq Stock Market (“</w:t>
      </w:r>
      <w:r>
        <w:rPr>
          <w:rFonts w:ascii="Arial" w:cs="Arial" w:eastAsia="Arial" w:hAnsi="Arial"/>
          <w:sz w:val="17"/>
          <w:szCs w:val="17"/>
          <w:b w:val="1"/>
          <w:bCs w:val="1"/>
          <w:color w:val="auto"/>
        </w:rPr>
        <w:t>Nasdaq</w:t>
      </w:r>
      <w:r>
        <w:rPr>
          <w:rFonts w:ascii="Arial" w:cs="Arial" w:eastAsia="Arial" w:hAnsi="Arial"/>
          <w:sz w:val="17"/>
          <w:szCs w:val="17"/>
          <w:color w:val="auto"/>
        </w:rPr>
        <w:t>”) and the Company’s Corporate Governance Guidelines, subject to any exceptions or cure periods that are applicable pursuant to the foregoing requirements and the phase-in schedules permitted under the rules of Nasdaq under which the Committee is required to have only one independent member at the time of listing, a majority of independent members within 90 days of listing and all independent members within one year of listing. Any action duly taken by the Committee shall be valid and effective, whether or not the members of the Committee at the time of such action are later determined not to have satisfied the requirements for membership provided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132320" cy="171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8" w:name="page339"/>
    <w:bookmarkEnd w:id="338"/>
    <w:p>
      <w:pPr>
        <w:ind w:left="660" w:hanging="652"/>
        <w:spacing w:after="0"/>
        <w:tabs>
          <w:tab w:leader="none" w:pos="660" w:val="left"/>
        </w:tabs>
        <w:numPr>
          <w:ilvl w:val="0"/>
          <w:numId w:val="294"/>
        </w:numPr>
        <w:rPr>
          <w:rFonts w:ascii="Arial" w:cs="Arial" w:eastAsia="Arial" w:hAnsi="Arial"/>
          <w:sz w:val="18"/>
          <w:szCs w:val="18"/>
          <w:b w:val="1"/>
          <w:bCs w:val="1"/>
          <w:color w:val="auto"/>
        </w:rPr>
      </w:pPr>
      <w:r>
        <w:rPr>
          <w:rFonts w:ascii="Arial" w:cs="Arial" w:eastAsia="Arial" w:hAnsi="Arial"/>
          <w:sz w:val="18"/>
          <w:szCs w:val="18"/>
          <w:b w:val="1"/>
          <w:bCs w:val="1"/>
          <w:color w:val="auto"/>
        </w:rPr>
        <w:t>AUTHORITY</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discharging its role, the Committee is empowered to inquire into any matter it considers appropriate to carry out its responsibilities, with access to all books, records, facilities and personnel of the Company, and, subject to the direction of the Board, the Committee is authorized and delegated the authority to act on behalf of the Board with respect to any matter necessary or appropriate to the accomplishment of its purposes.</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Committee shall have the sole discretion to retain or obtain advice from, oversee and terminate any director search or recruitment consultant, legal counsel or other adviser to the Committee and be directly responsible for the appointment, compensation and oversight of any work of such adviser retained by the Committee, and the Company will provide appropriate funding (as determined by the Committee) for the payment of reasonable compensation to any such adviser.</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8"/>
          <w:szCs w:val="18"/>
          <w:b w:val="1"/>
          <w:bCs w:val="1"/>
          <w:color w:val="auto"/>
        </w:rPr>
        <w:t>COMMITTEE MEETINGS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Committee shall meet as often as necessary to carry out its responsibilities, which, following the Company’s initial business combination, shall be at least quarterly.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Committee shall establish its own schedule of meetings. The Committee may also act by unanimous written consent of its members.</w:t>
      </w:r>
    </w:p>
    <w:p>
      <w:pPr>
        <w:spacing w:after="0" w:line="23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Notice of meetings shall be given to all Committee members or may be waived, in the same manner as required for meetings of the Board. Meetings of the Committee may be held by means of conference telephone or other communications equipment by means of which all persons participating in the meeting can hear and speak with each other. A majority of the members of the Committee shall constitute a quorum for a meeting and the affirmative vote of a majority of members present at a meeting at which a quorum is present shall constitute the action of the Committee. The Committee shall otherwise establish its own rules of procedure.</w:t>
      </w:r>
    </w:p>
    <w:p>
      <w:pPr>
        <w:spacing w:after="0" w:line="184" w:lineRule="exact"/>
        <w:rPr>
          <w:sz w:val="20"/>
          <w:szCs w:val="20"/>
          <w:color w:val="auto"/>
        </w:rPr>
      </w:pPr>
    </w:p>
    <w:p>
      <w:pPr>
        <w:ind w:left="660" w:hanging="652"/>
        <w:spacing w:after="0"/>
        <w:tabs>
          <w:tab w:leader="none" w:pos="660" w:val="left"/>
        </w:tabs>
        <w:numPr>
          <w:ilvl w:val="0"/>
          <w:numId w:val="295"/>
        </w:numPr>
        <w:rPr>
          <w:rFonts w:ascii="Arial" w:cs="Arial" w:eastAsia="Arial" w:hAnsi="Arial"/>
          <w:sz w:val="18"/>
          <w:szCs w:val="18"/>
          <w:b w:val="1"/>
          <w:bCs w:val="1"/>
          <w:color w:val="auto"/>
        </w:rPr>
      </w:pPr>
      <w:r>
        <w:rPr>
          <w:rFonts w:ascii="Arial" w:cs="Arial" w:eastAsia="Arial" w:hAnsi="Arial"/>
          <w:sz w:val="18"/>
          <w:szCs w:val="18"/>
          <w:b w:val="1"/>
          <w:bCs w:val="1"/>
          <w:color w:val="auto"/>
        </w:rPr>
        <w:t>DELEGATION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Committee, by resolution approved by a majority of the Committee, may form and delegate any of its responsibilities to a subcommittee so long as such subcommittee is solely comprised of one or more members of the Committee and such delegation is not otherwise inconsistent with law and applicable rules and regulations of the U.S. Securities and Exchange Commission and Nasdaq.</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VI.</w:t>
      </w:r>
      <w:r>
        <w:rPr>
          <w:sz w:val="20"/>
          <w:szCs w:val="20"/>
          <w:color w:val="auto"/>
        </w:rPr>
        <w:tab/>
      </w:r>
      <w:r>
        <w:rPr>
          <w:rFonts w:ascii="Arial" w:cs="Arial" w:eastAsia="Arial" w:hAnsi="Arial"/>
          <w:sz w:val="18"/>
          <w:szCs w:val="18"/>
          <w:b w:val="1"/>
          <w:bCs w:val="1"/>
          <w:color w:val="auto"/>
        </w:rPr>
        <w:t>KEY RESPONSIBILITIES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responsibilities are set forth as a guide for fulfilling the Committee’s purposes in such manner as the Committee determines is appropriate:</w:t>
      </w:r>
    </w:p>
    <w:p>
      <w:pPr>
        <w:spacing w:after="0" w:line="170" w:lineRule="exact"/>
        <w:rPr>
          <w:sz w:val="20"/>
          <w:szCs w:val="20"/>
          <w:color w:val="auto"/>
        </w:rPr>
      </w:pPr>
    </w:p>
    <w:p>
      <w:pPr>
        <w:jc w:val="both"/>
        <w:ind w:firstLine="656"/>
        <w:spacing w:after="0" w:line="259" w:lineRule="auto"/>
        <w:tabs>
          <w:tab w:leader="none" w:pos="935" w:val="left"/>
        </w:tabs>
        <w:numPr>
          <w:ilvl w:val="0"/>
          <w:numId w:val="296"/>
        </w:numPr>
        <w:rPr>
          <w:rFonts w:ascii="Arial" w:cs="Arial" w:eastAsia="Arial" w:hAnsi="Arial"/>
          <w:sz w:val="18"/>
          <w:szCs w:val="18"/>
          <w:color w:val="auto"/>
        </w:rPr>
      </w:pPr>
      <w:r>
        <w:rPr>
          <w:rFonts w:ascii="Arial" w:cs="Arial" w:eastAsia="Arial" w:hAnsi="Arial"/>
          <w:sz w:val="18"/>
          <w:szCs w:val="18"/>
          <w:color w:val="auto"/>
        </w:rPr>
        <w:t>recommend to the Board for approval, review the effectiveness of, recommend modifications as appropriate to, and review Company disclosures concerning: (a) the Company’s policies and procedures for identifying and screening Board nominee candidates; (b) the process and criteria (including experience, qualifications, attributes, diversity or skills in light of the Company’s business and structure) used to evaluate Board membership and director independence; and (c) any policies with regard to diversity on the Board;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9" w:name="page340"/>
    <w:bookmarkEnd w:id="339"/>
    <w:p>
      <w:pPr>
        <w:jc w:val="both"/>
        <w:ind w:firstLine="656"/>
        <w:spacing w:after="0" w:line="301" w:lineRule="auto"/>
        <w:tabs>
          <w:tab w:leader="none" w:pos="903" w:val="left"/>
        </w:tabs>
        <w:numPr>
          <w:ilvl w:val="0"/>
          <w:numId w:val="297"/>
        </w:numPr>
        <w:rPr>
          <w:rFonts w:ascii="Arial" w:cs="Arial" w:eastAsia="Arial" w:hAnsi="Arial"/>
          <w:sz w:val="16"/>
          <w:szCs w:val="16"/>
          <w:color w:val="auto"/>
        </w:rPr>
      </w:pPr>
      <w:r>
        <w:rPr>
          <w:rFonts w:ascii="Arial" w:cs="Arial" w:eastAsia="Arial" w:hAnsi="Arial"/>
          <w:sz w:val="16"/>
          <w:szCs w:val="16"/>
          <w:color w:val="auto"/>
        </w:rPr>
        <w:t>identify and screen director candidates (including incumbent directors for potential renomination and candidates recommended by stockholders in accordance with the Company’s policies as set forth in its proxy statement) consistent with criteria approved by the Board, and recommend to the Board candidates for: (a) nomination for election or re-election by the stockholders; and (b) any Board vacancies that are to be filled by the Board subject to any rights regarding the selection of directors by holders of preferred stock and any other contractual or other commitments of the Company;</w:t>
      </w:r>
    </w:p>
    <w:p>
      <w:pPr>
        <w:spacing w:after="0" w:line="157" w:lineRule="exact"/>
        <w:rPr>
          <w:rFonts w:ascii="Arial" w:cs="Arial" w:eastAsia="Arial" w:hAnsi="Arial"/>
          <w:sz w:val="16"/>
          <w:szCs w:val="16"/>
          <w:color w:val="auto"/>
        </w:rPr>
      </w:pPr>
    </w:p>
    <w:p>
      <w:pPr>
        <w:ind w:firstLine="656"/>
        <w:spacing w:after="0" w:line="277" w:lineRule="auto"/>
        <w:tabs>
          <w:tab w:leader="none" w:pos="93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oversee the Company’s policies and procedures with respect to the consideration of director candidates recommended by stockholders, including the submission of any proxy access nominees by stockholders;</w:t>
      </w:r>
    </w:p>
    <w:p>
      <w:pPr>
        <w:spacing w:after="0" w:line="170" w:lineRule="exact"/>
        <w:rPr>
          <w:rFonts w:ascii="Arial" w:cs="Arial" w:eastAsia="Arial" w:hAnsi="Arial"/>
          <w:sz w:val="18"/>
          <w:szCs w:val="18"/>
          <w:color w:val="auto"/>
        </w:rPr>
      </w:pPr>
    </w:p>
    <w:p>
      <w:pPr>
        <w:ind w:firstLine="656"/>
        <w:spacing w:after="0" w:line="277" w:lineRule="auto"/>
        <w:tabs>
          <w:tab w:leader="none" w:pos="908" w:val="left"/>
        </w:tabs>
        <w:numPr>
          <w:ilvl w:val="0"/>
          <w:numId w:val="297"/>
        </w:numPr>
        <w:rPr>
          <w:rFonts w:ascii="Arial" w:cs="Arial" w:eastAsia="Arial" w:hAnsi="Arial"/>
          <w:sz w:val="18"/>
          <w:szCs w:val="18"/>
          <w:color w:val="auto"/>
        </w:rPr>
      </w:pPr>
      <w:r>
        <w:rPr>
          <w:rFonts w:ascii="Arial" w:cs="Arial" w:eastAsia="Arial" w:hAnsi="Arial"/>
          <w:sz w:val="18"/>
          <w:szCs w:val="18"/>
          <w:color w:val="auto"/>
        </w:rPr>
        <w:t>review Company disclosures concerning the specific experience, qualifications, attributes or skills that led to the conclusion that each director and nominee should serve as a director in light of the Company’s business and structure;</w:t>
      </w:r>
    </w:p>
    <w:p>
      <w:pPr>
        <w:spacing w:after="0" w:line="170" w:lineRule="exact"/>
        <w:rPr>
          <w:rFonts w:ascii="Arial" w:cs="Arial" w:eastAsia="Arial" w:hAnsi="Arial"/>
          <w:sz w:val="18"/>
          <w:szCs w:val="18"/>
          <w:color w:val="auto"/>
        </w:rPr>
      </w:pPr>
    </w:p>
    <w:p>
      <w:pPr>
        <w:jc w:val="both"/>
        <w:ind w:firstLine="656"/>
        <w:spacing w:after="0" w:line="263" w:lineRule="auto"/>
        <w:tabs>
          <w:tab w:leader="none" w:pos="907" w:val="left"/>
        </w:tabs>
        <w:numPr>
          <w:ilvl w:val="0"/>
          <w:numId w:val="297"/>
        </w:numPr>
        <w:rPr>
          <w:rFonts w:ascii="Arial" w:cs="Arial" w:eastAsia="Arial" w:hAnsi="Arial"/>
          <w:sz w:val="18"/>
          <w:szCs w:val="18"/>
          <w:color w:val="auto"/>
        </w:rPr>
      </w:pPr>
      <w:r>
        <w:rPr>
          <w:rFonts w:ascii="Arial" w:cs="Arial" w:eastAsia="Arial" w:hAnsi="Arial"/>
          <w:sz w:val="18"/>
          <w:szCs w:val="18"/>
          <w:color w:val="auto"/>
        </w:rPr>
        <w:t>review annually the relationships between directors, the Company and members of management and recommend to the Board whether each director qualifies as “independent” under the Board’s definition of “independence” and the applicable rules of Nasdaq and the Company’s Corporate Governance Guidelines;</w:t>
      </w:r>
    </w:p>
    <w:p>
      <w:pPr>
        <w:spacing w:after="0" w:line="183" w:lineRule="exact"/>
        <w:rPr>
          <w:rFonts w:ascii="Arial" w:cs="Arial" w:eastAsia="Arial" w:hAnsi="Arial"/>
          <w:sz w:val="18"/>
          <w:szCs w:val="18"/>
          <w:color w:val="auto"/>
        </w:rPr>
      </w:pPr>
    </w:p>
    <w:p>
      <w:pPr>
        <w:jc w:val="both"/>
        <w:ind w:firstLine="656"/>
        <w:spacing w:after="0" w:line="263" w:lineRule="auto"/>
        <w:tabs>
          <w:tab w:leader="none" w:pos="889" w:val="left"/>
        </w:tabs>
        <w:numPr>
          <w:ilvl w:val="0"/>
          <w:numId w:val="297"/>
        </w:numPr>
        <w:rPr>
          <w:rFonts w:ascii="Arial" w:cs="Arial" w:eastAsia="Arial" w:hAnsi="Arial"/>
          <w:sz w:val="18"/>
          <w:szCs w:val="18"/>
          <w:color w:val="auto"/>
        </w:rPr>
      </w:pPr>
      <w:r>
        <w:rPr>
          <w:rFonts w:ascii="Arial" w:cs="Arial" w:eastAsia="Arial" w:hAnsi="Arial"/>
          <w:sz w:val="18"/>
          <w:szCs w:val="18"/>
          <w:color w:val="auto"/>
        </w:rPr>
        <w:t>assess the appropriateness of a director continuing to serve on the Board upon a substantial change in the director’s principal occupation or business association from the position such director held when originally invited to join the Board, and recommend to the Board any action to be taken with respect thereto;</w:t>
      </w:r>
    </w:p>
    <w:p>
      <w:pPr>
        <w:spacing w:after="0" w:line="183" w:lineRule="exact"/>
        <w:rPr>
          <w:rFonts w:ascii="Arial" w:cs="Arial" w:eastAsia="Arial" w:hAnsi="Arial"/>
          <w:sz w:val="18"/>
          <w:szCs w:val="18"/>
          <w:color w:val="auto"/>
        </w:rPr>
      </w:pPr>
    </w:p>
    <w:p>
      <w:pPr>
        <w:ind w:firstLine="656"/>
        <w:spacing w:after="0" w:line="308" w:lineRule="auto"/>
        <w:tabs>
          <w:tab w:leader="none" w:pos="912" w:val="left"/>
        </w:tabs>
        <w:numPr>
          <w:ilvl w:val="0"/>
          <w:numId w:val="297"/>
        </w:numPr>
        <w:rPr>
          <w:rFonts w:ascii="Arial" w:cs="Arial" w:eastAsia="Arial" w:hAnsi="Arial"/>
          <w:sz w:val="17"/>
          <w:szCs w:val="17"/>
          <w:color w:val="auto"/>
        </w:rPr>
      </w:pPr>
      <w:r>
        <w:rPr>
          <w:rFonts w:ascii="Arial" w:cs="Arial" w:eastAsia="Arial" w:hAnsi="Arial"/>
          <w:sz w:val="17"/>
          <w:szCs w:val="17"/>
          <w:color w:val="auto"/>
        </w:rPr>
        <w:t>assess annually whether the composition of the Board as a whole reflects the appropriate balance of independence, sound judgment, business specialization, technical skills, diversity and other desired qualities, and recommend any appropriate changes to the Board;</w:t>
      </w:r>
    </w:p>
    <w:p>
      <w:pPr>
        <w:spacing w:after="0" w:line="146" w:lineRule="exact"/>
        <w:rPr>
          <w:rFonts w:ascii="Arial" w:cs="Arial" w:eastAsia="Arial" w:hAnsi="Arial"/>
          <w:sz w:val="17"/>
          <w:szCs w:val="17"/>
          <w:color w:val="auto"/>
        </w:rPr>
      </w:pPr>
    </w:p>
    <w:p>
      <w:pPr>
        <w:jc w:val="both"/>
        <w:ind w:firstLine="656"/>
        <w:spacing w:after="0" w:line="263" w:lineRule="auto"/>
        <w:tabs>
          <w:tab w:leader="none" w:pos="903" w:val="left"/>
        </w:tabs>
        <w:numPr>
          <w:ilvl w:val="0"/>
          <w:numId w:val="297"/>
        </w:numPr>
        <w:rPr>
          <w:rFonts w:ascii="Arial" w:cs="Arial" w:eastAsia="Arial" w:hAnsi="Arial"/>
          <w:sz w:val="18"/>
          <w:szCs w:val="18"/>
          <w:color w:val="auto"/>
        </w:rPr>
      </w:pPr>
      <w:r>
        <w:rPr>
          <w:rFonts w:ascii="Arial" w:cs="Arial" w:eastAsia="Arial" w:hAnsi="Arial"/>
          <w:sz w:val="18"/>
          <w:szCs w:val="18"/>
          <w:color w:val="auto"/>
        </w:rPr>
        <w:t>(i) review the Board’s leadership structure in light of the specific characteristics or circumstances of the Company and recommend any changes to the Board for approval; (ii) discuss in coordination with the Audit Committee the effect on the Board’s leadership structure of the Board’s role in the risk oversight of the Company; and (iii) review and approve Company disclosures relating to Board leadership;</w:t>
      </w:r>
    </w:p>
    <w:p>
      <w:pPr>
        <w:spacing w:after="0" w:line="183" w:lineRule="exact"/>
        <w:rPr>
          <w:rFonts w:ascii="Arial" w:cs="Arial" w:eastAsia="Arial" w:hAnsi="Arial"/>
          <w:sz w:val="18"/>
          <w:szCs w:val="18"/>
          <w:color w:val="auto"/>
        </w:rPr>
      </w:pPr>
    </w:p>
    <w:p>
      <w:pPr>
        <w:ind w:right="20" w:firstLine="656"/>
        <w:spacing w:after="0" w:line="277" w:lineRule="auto"/>
        <w:tabs>
          <w:tab w:leader="none" w:pos="873" w:val="left"/>
        </w:tabs>
        <w:numPr>
          <w:ilvl w:val="0"/>
          <w:numId w:val="297"/>
        </w:numPr>
        <w:rPr>
          <w:rFonts w:ascii="Arial" w:cs="Arial" w:eastAsia="Arial" w:hAnsi="Arial"/>
          <w:sz w:val="18"/>
          <w:szCs w:val="18"/>
          <w:color w:val="auto"/>
        </w:rPr>
      </w:pPr>
      <w:r>
        <w:rPr>
          <w:rFonts w:ascii="Arial" w:cs="Arial" w:eastAsia="Arial" w:hAnsi="Arial"/>
          <w:sz w:val="18"/>
          <w:szCs w:val="18"/>
          <w:color w:val="auto"/>
        </w:rPr>
        <w:t>review periodically the committee structure of the Board and recommend to the Board the appointment of directors to Board committees and assignment of committee chairs;</w:t>
      </w:r>
    </w:p>
    <w:p>
      <w:pPr>
        <w:spacing w:after="0" w:line="170" w:lineRule="exact"/>
        <w:rPr>
          <w:rFonts w:ascii="Arial" w:cs="Arial" w:eastAsia="Arial" w:hAnsi="Arial"/>
          <w:sz w:val="18"/>
          <w:szCs w:val="18"/>
          <w:color w:val="auto"/>
        </w:rPr>
      </w:pPr>
    </w:p>
    <w:p>
      <w:pPr>
        <w:ind w:left="880" w:hanging="224"/>
        <w:spacing w:after="0"/>
        <w:tabs>
          <w:tab w:leader="none" w:pos="88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review periodically the size of the Board and recommend to the Board any appropriate changes;</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297"/>
        </w:numPr>
        <w:rPr>
          <w:rFonts w:ascii="Arial" w:cs="Arial" w:eastAsia="Arial" w:hAnsi="Arial"/>
          <w:sz w:val="17"/>
          <w:szCs w:val="17"/>
          <w:color w:val="auto"/>
        </w:rPr>
      </w:pPr>
      <w:r>
        <w:rPr>
          <w:rFonts w:ascii="Arial" w:cs="Arial" w:eastAsia="Arial" w:hAnsi="Arial"/>
          <w:sz w:val="17"/>
          <w:szCs w:val="17"/>
          <w:color w:val="auto"/>
        </w:rPr>
        <w:t>coordinate with management to develop an appropriate director orientation program and identify continuing education opportunities;</w:t>
      </w:r>
    </w:p>
    <w:p>
      <w:pPr>
        <w:spacing w:after="0" w:line="236" w:lineRule="exact"/>
        <w:rPr>
          <w:rFonts w:ascii="Arial" w:cs="Arial" w:eastAsia="Arial" w:hAnsi="Arial"/>
          <w:sz w:val="17"/>
          <w:szCs w:val="17"/>
          <w:color w:val="auto"/>
        </w:rPr>
      </w:pPr>
    </w:p>
    <w:p>
      <w:pPr>
        <w:ind w:firstLine="656"/>
        <w:spacing w:after="0" w:line="277" w:lineRule="auto"/>
        <w:tabs>
          <w:tab w:leader="none" w:pos="909" w:val="left"/>
        </w:tabs>
        <w:numPr>
          <w:ilvl w:val="0"/>
          <w:numId w:val="297"/>
        </w:numPr>
        <w:rPr>
          <w:rFonts w:ascii="Arial" w:cs="Arial" w:eastAsia="Arial" w:hAnsi="Arial"/>
          <w:sz w:val="18"/>
          <w:szCs w:val="18"/>
          <w:color w:val="auto"/>
        </w:rPr>
      </w:pPr>
      <w:r>
        <w:rPr>
          <w:rFonts w:ascii="Arial" w:cs="Arial" w:eastAsia="Arial" w:hAnsi="Arial"/>
          <w:sz w:val="18"/>
          <w:szCs w:val="18"/>
          <w:color w:val="auto"/>
        </w:rPr>
        <w:t>coordinate and oversee the annual self-evaluation of the role and performance of the Board, its committees, individual directors and management in the governance of the Company;</w:t>
      </w:r>
    </w:p>
    <w:p>
      <w:pPr>
        <w:spacing w:after="0" w:line="170" w:lineRule="exact"/>
        <w:rPr>
          <w:rFonts w:ascii="Arial" w:cs="Arial" w:eastAsia="Arial" w:hAnsi="Arial"/>
          <w:sz w:val="18"/>
          <w:szCs w:val="18"/>
          <w:color w:val="auto"/>
        </w:rPr>
      </w:pPr>
    </w:p>
    <w:p>
      <w:pPr>
        <w:ind w:firstLine="656"/>
        <w:spacing w:after="0" w:line="277" w:lineRule="auto"/>
        <w:tabs>
          <w:tab w:leader="none" w:pos="955" w:val="left"/>
        </w:tabs>
        <w:numPr>
          <w:ilvl w:val="0"/>
          <w:numId w:val="297"/>
        </w:numPr>
        <w:rPr>
          <w:rFonts w:ascii="Arial" w:cs="Arial" w:eastAsia="Arial" w:hAnsi="Arial"/>
          <w:sz w:val="18"/>
          <w:szCs w:val="18"/>
          <w:color w:val="auto"/>
        </w:rPr>
      </w:pPr>
      <w:r>
        <w:rPr>
          <w:rFonts w:ascii="Arial" w:cs="Arial" w:eastAsia="Arial" w:hAnsi="Arial"/>
          <w:sz w:val="18"/>
          <w:szCs w:val="18"/>
          <w:color w:val="auto"/>
        </w:rPr>
        <w:t>develop and recommend to the Board, review the effectiveness of, and recommend modifications as appropriate to, the Corporate Governance Guidelines and other governance policies of the Company;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0" w:name="page341"/>
    <w:bookmarkEnd w:id="340"/>
    <w:p>
      <w:pPr>
        <w:ind w:left="920" w:hanging="264"/>
        <w:spacing w:after="0"/>
        <w:tabs>
          <w:tab w:leader="none" w:pos="920" w:val="left"/>
        </w:tabs>
        <w:numPr>
          <w:ilvl w:val="0"/>
          <w:numId w:val="298"/>
        </w:numPr>
        <w:rPr>
          <w:rFonts w:ascii="Arial" w:cs="Arial" w:eastAsia="Arial" w:hAnsi="Arial"/>
          <w:sz w:val="16"/>
          <w:szCs w:val="16"/>
          <w:color w:val="auto"/>
        </w:rPr>
      </w:pPr>
      <w:r>
        <w:rPr>
          <w:rFonts w:ascii="Arial" w:cs="Arial" w:eastAsia="Arial" w:hAnsi="Arial"/>
          <w:sz w:val="16"/>
          <w:szCs w:val="16"/>
          <w:color w:val="auto"/>
        </w:rPr>
        <w:t>review and address conflicts of interest of directors and executive officers, and the manner in which any such conflicts are to be monitored;</w:t>
      </w:r>
    </w:p>
    <w:p>
      <w:pPr>
        <w:spacing w:after="0" w:line="248" w:lineRule="exact"/>
        <w:rPr>
          <w:rFonts w:ascii="Arial" w:cs="Arial" w:eastAsia="Arial" w:hAnsi="Arial"/>
          <w:sz w:val="16"/>
          <w:szCs w:val="16"/>
          <w:color w:val="auto"/>
        </w:rPr>
      </w:pPr>
    </w:p>
    <w:p>
      <w:pPr>
        <w:ind w:right="20" w:firstLine="656"/>
        <w:spacing w:after="0" w:line="277" w:lineRule="auto"/>
        <w:tabs>
          <w:tab w:leader="none" w:pos="917" w:val="left"/>
        </w:tabs>
        <w:numPr>
          <w:ilvl w:val="0"/>
          <w:numId w:val="298"/>
        </w:numPr>
        <w:rPr>
          <w:rFonts w:ascii="Arial" w:cs="Arial" w:eastAsia="Arial" w:hAnsi="Arial"/>
          <w:sz w:val="18"/>
          <w:szCs w:val="18"/>
          <w:color w:val="auto"/>
        </w:rPr>
      </w:pPr>
      <w:r>
        <w:rPr>
          <w:rFonts w:ascii="Arial" w:cs="Arial" w:eastAsia="Arial" w:hAnsi="Arial"/>
          <w:sz w:val="18"/>
          <w:szCs w:val="18"/>
          <w:color w:val="auto"/>
        </w:rPr>
        <w:t>review on a periodic basis, and as necessary when specific issues arise, relations with the Company’s stockholders and advise the Board on effective and appropriate stockholder communications;</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review emerging corporate governance issues and practices, including proxy advisory firm policies and recommendations;</w:t>
      </w:r>
    </w:p>
    <w:p>
      <w:pPr>
        <w:spacing w:after="0" w:line="225" w:lineRule="exact"/>
        <w:rPr>
          <w:rFonts w:ascii="Arial" w:cs="Arial" w:eastAsia="Arial" w:hAnsi="Arial"/>
          <w:sz w:val="18"/>
          <w:szCs w:val="18"/>
          <w:color w:val="auto"/>
        </w:rPr>
      </w:pPr>
    </w:p>
    <w:p>
      <w:pPr>
        <w:ind w:firstLine="656"/>
        <w:spacing w:after="0" w:line="277" w:lineRule="auto"/>
        <w:tabs>
          <w:tab w:leader="none" w:pos="928" w:val="left"/>
        </w:tabs>
        <w:numPr>
          <w:ilvl w:val="0"/>
          <w:numId w:val="298"/>
        </w:numPr>
        <w:rPr>
          <w:rFonts w:ascii="Arial" w:cs="Arial" w:eastAsia="Arial" w:hAnsi="Arial"/>
          <w:sz w:val="18"/>
          <w:szCs w:val="18"/>
          <w:color w:val="auto"/>
        </w:rPr>
      </w:pPr>
      <w:r>
        <w:rPr>
          <w:rFonts w:ascii="Arial" w:cs="Arial" w:eastAsia="Arial" w:hAnsi="Arial"/>
          <w:sz w:val="18"/>
          <w:szCs w:val="18"/>
          <w:color w:val="auto"/>
        </w:rPr>
        <w:t>conduct an annual self-evaluation of the performance of the Committee, including its effectiveness and compliance with this charter, and recommend to the Board such amendments of this charter as the Committee deems appropriate;</w:t>
      </w:r>
    </w:p>
    <w:p>
      <w:pPr>
        <w:spacing w:after="0" w:line="170" w:lineRule="exact"/>
        <w:rPr>
          <w:rFonts w:ascii="Arial" w:cs="Arial" w:eastAsia="Arial" w:hAnsi="Arial"/>
          <w:sz w:val="18"/>
          <w:szCs w:val="18"/>
          <w:color w:val="auto"/>
        </w:rPr>
      </w:pPr>
    </w:p>
    <w:p>
      <w:pPr>
        <w:ind w:firstLine="656"/>
        <w:spacing w:after="0" w:line="277" w:lineRule="auto"/>
        <w:tabs>
          <w:tab w:leader="none" w:pos="883" w:val="left"/>
        </w:tabs>
        <w:numPr>
          <w:ilvl w:val="0"/>
          <w:numId w:val="298"/>
        </w:numPr>
        <w:rPr>
          <w:rFonts w:ascii="Arial" w:cs="Arial" w:eastAsia="Arial" w:hAnsi="Arial"/>
          <w:sz w:val="18"/>
          <w:szCs w:val="18"/>
          <w:color w:val="auto"/>
        </w:rPr>
      </w:pPr>
      <w:r>
        <w:rPr>
          <w:rFonts w:ascii="Arial" w:cs="Arial" w:eastAsia="Arial" w:hAnsi="Arial"/>
          <w:sz w:val="18"/>
          <w:szCs w:val="18"/>
          <w:color w:val="auto"/>
        </w:rPr>
        <w:t>report regularly to the Board on Committee findings, recommendations and any other matters the Committee deems appropriate or the Board requests, and maintain minutes or other records of Committee meetings and activities;</w:t>
      </w:r>
    </w:p>
    <w:p>
      <w:pPr>
        <w:spacing w:after="0" w:line="170" w:lineRule="exact"/>
        <w:rPr>
          <w:rFonts w:ascii="Arial" w:cs="Arial" w:eastAsia="Arial" w:hAnsi="Arial"/>
          <w:sz w:val="18"/>
          <w:szCs w:val="18"/>
          <w:color w:val="auto"/>
        </w:rPr>
      </w:pPr>
    </w:p>
    <w:p>
      <w:pPr>
        <w:ind w:left="900" w:hanging="244"/>
        <w:spacing w:after="0"/>
        <w:tabs>
          <w:tab w:leader="none" w:pos="900" w:val="left"/>
        </w:tabs>
        <w:numPr>
          <w:ilvl w:val="0"/>
          <w:numId w:val="298"/>
        </w:numPr>
        <w:rPr>
          <w:rFonts w:ascii="Arial" w:cs="Arial" w:eastAsia="Arial" w:hAnsi="Arial"/>
          <w:sz w:val="16"/>
          <w:szCs w:val="16"/>
          <w:color w:val="auto"/>
        </w:rPr>
      </w:pPr>
      <w:r>
        <w:rPr>
          <w:rFonts w:ascii="Arial" w:cs="Arial" w:eastAsia="Arial" w:hAnsi="Arial"/>
          <w:sz w:val="16"/>
          <w:szCs w:val="16"/>
          <w:color w:val="auto"/>
        </w:rPr>
        <w:t>review all determinations and interpretations under the Company’s Policy Regarding Insider Trading and Dissemination of Inside Information;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ind w:left="880" w:hanging="224"/>
        <w:spacing w:after="0"/>
        <w:tabs>
          <w:tab w:leader="none" w:pos="88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undertake such other responsibilities as the Board may delegate or assign to the Committee from time to time.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5968C1C"/>
    <w:multiLevelType w:val="hybridMultilevel"/>
    <w:lvl w:ilvl="0">
      <w:lvlJc w:val="left"/>
      <w:lvlText w:val="(%1)"/>
      <w:numFmt w:val="decimal"/>
      <w:start w:val="1"/>
    </w:lvl>
  </w:abstractNum>
  <w:abstractNum w:abstractNumId="1">
    <w:nsid w:val="46263DEC"/>
    <w:multiLevelType w:val="hybridMultilevel"/>
    <w:lvl w:ilvl="0">
      <w:lvlJc w:val="left"/>
      <w:lvlText w:val="(%1)"/>
      <w:numFmt w:val="decimal"/>
      <w:start w:val="1"/>
    </w:lvl>
  </w:abstractNum>
  <w:abstractNum w:abstractNumId="2">
    <w:nsid w:val="260D8C4A"/>
    <w:multiLevelType w:val="hybridMultilevel"/>
    <w:lvl w:ilvl="0">
      <w:lvlJc w:val="left"/>
      <w:lvlText w:val="•"/>
      <w:numFmt w:val="bullet"/>
      <w:start w:val="1"/>
    </w:lvl>
  </w:abstractNum>
  <w:abstractNum w:abstractNumId="3">
    <w:nsid w:val="73D4D3C4"/>
    <w:multiLevelType w:val="hybridMultilevel"/>
    <w:lvl w:ilvl="0">
      <w:lvlJc w:val="left"/>
      <w:lvlText w:val="•"/>
      <w:numFmt w:val="bullet"/>
      <w:start w:val="1"/>
    </w:lvl>
  </w:abstractNum>
  <w:abstractNum w:abstractNumId="4">
    <w:nsid w:val="746F2E30"/>
    <w:multiLevelType w:val="hybridMultilevel"/>
    <w:lvl w:ilvl="0">
      <w:lvlJc w:val="left"/>
      <w:lvlText w:val="%1"/>
      <w:numFmt w:val="upperLetter"/>
      <w:start w:val="35"/>
    </w:lvl>
  </w:abstractNum>
  <w:abstractNum w:abstractNumId="5">
    <w:nsid w:val="6FDE8AF6"/>
    <w:multiLevelType w:val="hybridMultilevel"/>
    <w:lvl w:ilvl="0">
      <w:lvlJc w:val="left"/>
      <w:lvlText w:val="•"/>
      <w:numFmt w:val="bullet"/>
      <w:start w:val="1"/>
    </w:lvl>
  </w:abstractNum>
  <w:abstractNum w:abstractNumId="6">
    <w:nsid w:val="3FC32E20"/>
    <w:multiLevelType w:val="hybridMultilevel"/>
    <w:lvl w:ilvl="0">
      <w:lvlJc w:val="left"/>
      <w:lvlText w:val="•"/>
      <w:numFmt w:val="bullet"/>
      <w:start w:val="1"/>
    </w:lvl>
  </w:abstractNum>
  <w:abstractNum w:abstractNumId="7">
    <w:nsid w:val="49C0E823"/>
    <w:multiLevelType w:val="hybridMultilevel"/>
    <w:lvl w:ilvl="0">
      <w:lvlJc w:val="left"/>
      <w:lvlText w:val="(%1)"/>
      <w:numFmt w:val="decimal"/>
      <w:start w:val="2"/>
    </w:lvl>
  </w:abstractNum>
  <w:abstractNum w:abstractNumId="8">
    <w:nsid w:val="14D53685"/>
    <w:multiLevelType w:val="hybridMultilevel"/>
    <w:lvl w:ilvl="0">
      <w:lvlJc w:val="left"/>
      <w:lvlText w:val="(%1)"/>
      <w:numFmt w:val="decimal"/>
      <w:start w:val="1"/>
    </w:lvl>
  </w:abstractNum>
  <w:abstractNum w:abstractNumId="9">
    <w:nsid w:val="230F856C"/>
    <w:multiLevelType w:val="hybridMultilevel"/>
    <w:lvl w:ilvl="0">
      <w:lvlJc w:val="left"/>
      <w:lvlText w:val="•"/>
      <w:numFmt w:val="bullet"/>
      <w:start w:val="1"/>
    </w:lvl>
  </w:abstractNum>
  <w:abstractNum w:abstractNumId="10">
    <w:nsid w:val="6EAA85FB"/>
    <w:multiLevelType w:val="hybridMultilevel"/>
    <w:lvl w:ilvl="0">
      <w:lvlJc w:val="left"/>
      <w:lvlText w:val="•"/>
      <w:numFmt w:val="bullet"/>
      <w:start w:val="1"/>
    </w:lvl>
  </w:abstractNum>
  <w:abstractNum w:abstractNumId="11">
    <w:nsid w:val="3F06ECB2"/>
    <w:multiLevelType w:val="hybridMultilevel"/>
    <w:lvl w:ilvl="0">
      <w:lvlJc w:val="left"/>
      <w:lvlText w:val="(%1)"/>
      <w:numFmt w:val="decimal"/>
      <w:start w:val="2"/>
    </w:lvl>
  </w:abstractNum>
  <w:abstractNum w:abstractNumId="12">
    <w:nsid w:val="3B594807"/>
    <w:multiLevelType w:val="hybridMultilevel"/>
    <w:lvl w:ilvl="0">
      <w:lvlJc w:val="left"/>
      <w:lvlText w:val="•"/>
      <w:numFmt w:val="bullet"/>
      <w:start w:val="1"/>
    </w:lvl>
  </w:abstractNum>
  <w:abstractNum w:abstractNumId="13">
    <w:nsid w:val="6CAA2304"/>
    <w:multiLevelType w:val="hybridMultilevel"/>
    <w:lvl w:ilvl="0">
      <w:lvlJc w:val="left"/>
      <w:lvlText w:val="•"/>
      <w:numFmt w:val="bullet"/>
      <w:start w:val="1"/>
    </w:lvl>
  </w:abstractNum>
  <w:abstractNum w:abstractNumId="14">
    <w:nsid w:val="3F7C2FF4"/>
    <w:multiLevelType w:val="hybridMultilevel"/>
    <w:lvl w:ilvl="0">
      <w:lvlJc w:val="left"/>
      <w:lvlText w:val="•"/>
      <w:numFmt w:val="bullet"/>
      <w:start w:val="1"/>
    </w:lvl>
  </w:abstractNum>
  <w:abstractNum w:abstractNumId="15">
    <w:nsid w:val="25413BEC"/>
    <w:multiLevelType w:val="hybridMultilevel"/>
    <w:lvl w:ilvl="0">
      <w:lvlJc w:val="left"/>
      <w:lvlText w:val="•"/>
      <w:numFmt w:val="bullet"/>
      <w:start w:val="1"/>
    </w:lvl>
  </w:abstractNum>
  <w:abstractNum w:abstractNumId="16">
    <w:nsid w:val="17180B0B"/>
    <w:multiLevelType w:val="hybridMultilevel"/>
    <w:lvl w:ilvl="0">
      <w:lvlJc w:val="left"/>
      <w:lvlText w:val="(%1)"/>
      <w:numFmt w:val="lowerRoman"/>
      <w:start w:val="3"/>
    </w:lvl>
  </w:abstractNum>
  <w:abstractNum w:abstractNumId="17">
    <w:nsid w:val="579328B9"/>
    <w:multiLevelType w:val="hybridMultilevel"/>
    <w:lvl w:ilvl="0">
      <w:lvlJc w:val="left"/>
      <w:lvlText w:val="•"/>
      <w:numFmt w:val="bullet"/>
      <w:start w:val="1"/>
    </w:lvl>
  </w:abstractNum>
  <w:abstractNum w:abstractNumId="18">
    <w:nsid w:val="5D205E20"/>
    <w:multiLevelType w:val="hybridMultilevel"/>
    <w:lvl w:ilvl="0">
      <w:lvlJc w:val="left"/>
      <w:lvlText w:val="•"/>
      <w:numFmt w:val="bullet"/>
      <w:start w:val="1"/>
    </w:lvl>
  </w:abstractNum>
  <w:abstractNum w:abstractNumId="19">
    <w:nsid w:val="11CCA8BA"/>
    <w:multiLevelType w:val="hybridMultilevel"/>
    <w:lvl w:ilvl="0">
      <w:lvlJc w:val="left"/>
      <w:lvlText w:val="(%1)"/>
      <w:numFmt w:val="lowerRoman"/>
      <w:start w:val="1"/>
    </w:lvl>
  </w:abstractNum>
  <w:abstractNum w:abstractNumId="20">
    <w:nsid w:val="4D32AB86"/>
    <w:multiLevelType w:val="hybridMultilevel"/>
    <w:lvl w:ilvl="0">
      <w:lvlJc w:val="left"/>
      <w:lvlText w:val="•"/>
      <w:numFmt w:val="bullet"/>
      <w:start w:val="1"/>
    </w:lvl>
  </w:abstractNum>
  <w:abstractNum w:abstractNumId="21">
    <w:nsid w:val="3F07ACC3"/>
    <w:multiLevelType w:val="hybridMultilevel"/>
    <w:lvl w:ilvl="0">
      <w:lvlJc w:val="left"/>
      <w:lvlText w:val="•"/>
      <w:numFmt w:val="bullet"/>
      <w:start w:val="1"/>
    </w:lvl>
  </w:abstractNum>
  <w:abstractNum w:abstractNumId="22">
    <w:nsid w:val="6B47F63E"/>
    <w:multiLevelType w:val="hybridMultilevel"/>
    <w:lvl w:ilvl="0">
      <w:lvlJc w:val="left"/>
      <w:lvlText w:val="(%1)"/>
      <w:numFmt w:val="lowerRoman"/>
      <w:start w:val="2"/>
    </w:lvl>
  </w:abstractNum>
  <w:abstractNum w:abstractNumId="23">
    <w:nsid w:val="5CB44A05"/>
    <w:multiLevelType w:val="hybridMultilevel"/>
    <w:lvl w:ilvl="0">
      <w:lvlJc w:val="left"/>
      <w:lvlText w:val="•"/>
      <w:numFmt w:val="bullet"/>
      <w:start w:val="1"/>
    </w:lvl>
  </w:abstractNum>
  <w:abstractNum w:abstractNumId="24">
    <w:nsid w:val="16CF80F1"/>
    <w:multiLevelType w:val="hybridMultilevel"/>
    <w:lvl w:ilvl="0">
      <w:lvlJc w:val="left"/>
      <w:lvlText w:val="•"/>
      <w:numFmt w:val="bullet"/>
      <w:start w:val="1"/>
    </w:lvl>
  </w:abstractNum>
  <w:abstractNum w:abstractNumId="25">
    <w:nsid w:val="1C695DEC"/>
    <w:multiLevelType w:val="hybridMultilevel"/>
    <w:lvl w:ilvl="0">
      <w:lvlJc w:val="left"/>
      <w:lvlText w:val="•"/>
      <w:numFmt w:val="bullet"/>
      <w:start w:val="1"/>
    </w:lvl>
  </w:abstractNum>
  <w:abstractNum w:abstractNumId="26">
    <w:nsid w:val="3FCFAED9"/>
    <w:multiLevelType w:val="hybridMultilevel"/>
    <w:lvl w:ilvl="0">
      <w:lvlJc w:val="left"/>
      <w:lvlText w:val="•"/>
      <w:numFmt w:val="bullet"/>
      <w:start w:val="1"/>
    </w:lvl>
  </w:abstractNum>
  <w:abstractNum w:abstractNumId="27">
    <w:nsid w:val="F856867"/>
    <w:multiLevelType w:val="hybridMultilevel"/>
    <w:lvl w:ilvl="0">
      <w:lvlJc w:val="left"/>
      <w:lvlText w:val="•"/>
      <w:numFmt w:val="bullet"/>
      <w:start w:val="1"/>
    </w:lvl>
  </w:abstractNum>
  <w:abstractNum w:abstractNumId="28">
    <w:nsid w:val="11B1CC33"/>
    <w:multiLevelType w:val="hybridMultilevel"/>
    <w:lvl w:ilvl="0">
      <w:lvlJc w:val="left"/>
      <w:lvlText w:val="(%1)"/>
      <w:numFmt w:val="lowerRoman"/>
      <w:start w:val="2"/>
    </w:lvl>
  </w:abstractNum>
  <w:abstractNum w:abstractNumId="29">
    <w:nsid w:val="2E22FBB7"/>
    <w:multiLevelType w:val="hybridMultilevel"/>
    <w:lvl w:ilvl="0">
      <w:lvlJc w:val="left"/>
      <w:lvlText w:val="•"/>
      <w:numFmt w:val="bullet"/>
      <w:start w:val="1"/>
    </w:lvl>
  </w:abstractNum>
  <w:abstractNum w:abstractNumId="30">
    <w:nsid w:val="29934699"/>
    <w:multiLevelType w:val="hybridMultilevel"/>
    <w:lvl w:ilvl="0">
      <w:lvlJc w:val="left"/>
      <w:lvlText w:val="•"/>
      <w:numFmt w:val="bullet"/>
      <w:start w:val="1"/>
    </w:lvl>
  </w:abstractNum>
  <w:abstractNum w:abstractNumId="31">
    <w:nsid w:val="77485850"/>
    <w:multiLevelType w:val="hybridMultilevel"/>
    <w:lvl w:ilvl="0">
      <w:lvlJc w:val="left"/>
      <w:lvlText w:val="(%1)"/>
      <w:numFmt w:val="decimal"/>
      <w:start w:val="1"/>
    </w:lvl>
  </w:abstractNum>
  <w:abstractNum w:abstractNumId="32">
    <w:nsid w:val="744939A3"/>
    <w:multiLevelType w:val="hybridMultilevel"/>
    <w:lvl w:ilvl="0">
      <w:lvlJc w:val="left"/>
      <w:lvlText w:val="(%1)"/>
      <w:numFmt w:val="decimal"/>
      <w:start w:val="4"/>
    </w:lvl>
  </w:abstractNum>
  <w:abstractNum w:abstractNumId="33">
    <w:nsid w:val="4FA0D2E3"/>
    <w:multiLevelType w:val="hybridMultilevel"/>
    <w:lvl w:ilvl="0">
      <w:lvlJc w:val="left"/>
      <w:lvlText w:val="(%1)"/>
      <w:numFmt w:val="decimal"/>
      <w:start w:val="1"/>
    </w:lvl>
  </w:abstractNum>
  <w:abstractNum w:abstractNumId="34">
    <w:nsid w:val="6B1D2C14"/>
    <w:multiLevelType w:val="hybridMultilevel"/>
    <w:lvl w:ilvl="0">
      <w:lvlJc w:val="left"/>
      <w:lvlText w:val="(%1)"/>
      <w:numFmt w:val="decimal"/>
      <w:start w:val="1"/>
    </w:lvl>
  </w:abstractNum>
  <w:abstractNum w:abstractNumId="35">
    <w:nsid w:val="68B867D3"/>
    <w:multiLevelType w:val="hybridMultilevel"/>
    <w:lvl w:ilvl="0">
      <w:lvlJc w:val="left"/>
      <w:lvlText w:val="(%1)"/>
      <w:numFmt w:val="decimal"/>
      <w:start w:val="1"/>
    </w:lvl>
  </w:abstractNum>
  <w:abstractNum w:abstractNumId="36">
    <w:nsid w:val="3F7F5DD9"/>
    <w:multiLevelType w:val="hybridMultilevel"/>
    <w:lvl w:ilvl="0">
      <w:lvlJc w:val="left"/>
      <w:lvlText w:val="•"/>
      <w:numFmt w:val="bullet"/>
      <w:start w:val="1"/>
    </w:lvl>
  </w:abstractNum>
  <w:abstractNum w:abstractNumId="37">
    <w:nsid w:val="2AE05A34"/>
    <w:multiLevelType w:val="hybridMultilevel"/>
    <w:lvl w:ilvl="0">
      <w:lvlJc w:val="left"/>
      <w:lvlText w:val="•"/>
      <w:numFmt w:val="bullet"/>
      <w:start w:val="1"/>
    </w:lvl>
  </w:abstractNum>
  <w:abstractNum w:abstractNumId="38">
    <w:nsid w:val="32794FF7"/>
    <w:multiLevelType w:val="hybridMultilevel"/>
    <w:lvl w:ilvl="0">
      <w:lvlJc w:val="left"/>
      <w:lvlText w:val="•"/>
      <w:numFmt w:val="bullet"/>
      <w:start w:val="1"/>
    </w:lvl>
  </w:abstractNum>
  <w:abstractNum w:abstractNumId="39">
    <w:nsid w:val="5454945E"/>
    <w:multiLevelType w:val="hybridMultilevel"/>
    <w:lvl w:ilvl="0">
      <w:lvlJc w:val="left"/>
      <w:lvlText w:val="•"/>
      <w:numFmt w:val="bullet"/>
      <w:start w:val="1"/>
    </w:lvl>
  </w:abstractNum>
  <w:abstractNum w:abstractNumId="40">
    <w:nsid w:val="4DEFDFA0"/>
    <w:multiLevelType w:val="hybridMultilevel"/>
    <w:lvl w:ilvl="0">
      <w:lvlJc w:val="left"/>
      <w:lvlText w:val="•"/>
      <w:numFmt w:val="bullet"/>
      <w:start w:val="1"/>
    </w:lvl>
  </w:abstractNum>
  <w:abstractNum w:abstractNumId="41">
    <w:nsid w:val="2123D5F2"/>
    <w:multiLevelType w:val="hybridMultilevel"/>
    <w:lvl w:ilvl="0">
      <w:lvlJc w:val="left"/>
      <w:lvlText w:val="•"/>
      <w:numFmt w:val="bullet"/>
      <w:start w:val="1"/>
    </w:lvl>
  </w:abstractNum>
  <w:abstractNum w:abstractNumId="42">
    <w:nsid w:val="135B8110"/>
    <w:multiLevelType w:val="hybridMultilevel"/>
    <w:lvl w:ilvl="0">
      <w:lvlJc w:val="left"/>
      <w:lvlText w:val="•"/>
      <w:numFmt w:val="bullet"/>
      <w:start w:val="1"/>
    </w:lvl>
  </w:abstractNum>
  <w:abstractNum w:abstractNumId="43">
    <w:nsid w:val="94927A8"/>
    <w:multiLevelType w:val="hybridMultilevel"/>
    <w:lvl w:ilvl="0">
      <w:lvlJc w:val="left"/>
      <w:lvlText w:val="•"/>
      <w:numFmt w:val="bullet"/>
      <w:start w:val="1"/>
    </w:lvl>
  </w:abstractNum>
  <w:abstractNum w:abstractNumId="44">
    <w:nsid w:val="DCDF8F6"/>
    <w:multiLevelType w:val="hybridMultilevel"/>
    <w:lvl w:ilvl="0">
      <w:lvlJc w:val="left"/>
      <w:lvlText w:val="•"/>
      <w:numFmt w:val="bullet"/>
      <w:start w:val="1"/>
    </w:lvl>
  </w:abstractNum>
  <w:abstractNum w:abstractNumId="45">
    <w:nsid w:val="52D7B105"/>
    <w:multiLevelType w:val="hybridMultilevel"/>
    <w:lvl w:ilvl="0">
      <w:lvlJc w:val="left"/>
      <w:lvlText w:val="•"/>
      <w:numFmt w:val="bullet"/>
      <w:start w:val="1"/>
    </w:lvl>
  </w:abstractNum>
  <w:abstractNum w:abstractNumId="46">
    <w:nsid w:val="2E8A6394"/>
    <w:multiLevelType w:val="hybridMultilevel"/>
    <w:lvl w:ilvl="0">
      <w:lvlJc w:val="left"/>
      <w:lvlText w:val="•"/>
      <w:numFmt w:val="bullet"/>
      <w:start w:val="1"/>
    </w:lvl>
  </w:abstractNum>
  <w:abstractNum w:abstractNumId="47">
    <w:nsid w:val="24E60401"/>
    <w:multiLevelType w:val="hybridMultilevel"/>
    <w:lvl w:ilvl="0">
      <w:lvlJc w:val="left"/>
      <w:lvlText w:val="•"/>
      <w:numFmt w:val="bullet"/>
      <w:start w:val="1"/>
    </w:lvl>
  </w:abstractNum>
  <w:abstractNum w:abstractNumId="48">
    <w:nsid w:val="2A6AD9BE"/>
    <w:multiLevelType w:val="hybridMultilevel"/>
    <w:lvl w:ilvl="0">
      <w:lvlJc w:val="left"/>
      <w:lvlText w:val="•"/>
      <w:numFmt w:val="bullet"/>
      <w:start w:val="1"/>
    </w:lvl>
  </w:abstractNum>
  <w:abstractNum w:abstractNumId="49">
    <w:nsid w:val="BAAC1B4"/>
    <w:multiLevelType w:val="hybridMultilevel"/>
    <w:lvl w:ilvl="0">
      <w:lvlJc w:val="left"/>
      <w:lvlText w:val="•"/>
      <w:numFmt w:val="bullet"/>
      <w:start w:val="1"/>
    </w:lvl>
  </w:abstractNum>
  <w:abstractNum w:abstractNumId="50">
    <w:nsid w:val="36B2ACBC"/>
    <w:multiLevelType w:val="hybridMultilevel"/>
    <w:lvl w:ilvl="0">
      <w:lvlJc w:val="left"/>
      <w:lvlText w:val="•"/>
      <w:numFmt w:val="bullet"/>
      <w:start w:val="1"/>
    </w:lvl>
  </w:abstractNum>
  <w:abstractNum w:abstractNumId="51">
    <w:nsid w:val="779D8544"/>
    <w:multiLevelType w:val="hybridMultilevel"/>
    <w:lvl w:ilvl="0">
      <w:lvlJc w:val="left"/>
      <w:lvlText w:val="•"/>
      <w:numFmt w:val="bullet"/>
      <w:start w:val="1"/>
    </w:lvl>
  </w:abstractNum>
  <w:abstractNum w:abstractNumId="52">
    <w:nsid w:val="4AB26E78"/>
    <w:multiLevelType w:val="hybridMultilevel"/>
    <w:lvl w:ilvl="0">
      <w:lvlJc w:val="left"/>
      <w:lvlText w:val="•"/>
      <w:numFmt w:val="bullet"/>
      <w:start w:val="1"/>
    </w:lvl>
  </w:abstractNum>
  <w:abstractNum w:abstractNumId="53">
    <w:nsid w:val="21FAA2FA"/>
    <w:multiLevelType w:val="hybridMultilevel"/>
    <w:lvl w:ilvl="0">
      <w:lvlJc w:val="left"/>
      <w:lvlText w:val="•"/>
      <w:numFmt w:val="bullet"/>
      <w:start w:val="1"/>
    </w:lvl>
  </w:abstractNum>
  <w:abstractNum w:abstractNumId="54">
    <w:nsid w:val="5451CF49"/>
    <w:multiLevelType w:val="hybridMultilevel"/>
    <w:lvl w:ilvl="0">
      <w:lvlJc w:val="left"/>
      <w:lvlText w:val="(%1)"/>
      <w:numFmt w:val="decimal"/>
      <w:start w:val="1"/>
    </w:lvl>
  </w:abstractNum>
  <w:abstractNum w:abstractNumId="55">
    <w:nsid w:val="6181EF69"/>
    <w:multiLevelType w:val="hybridMultilevel"/>
    <w:lvl w:ilvl="0">
      <w:lvlJc w:val="left"/>
      <w:lvlText w:val="(%1)"/>
      <w:numFmt w:val="upperLetter"/>
      <w:start w:val="1"/>
    </w:lvl>
  </w:abstractNum>
  <w:abstractNum w:abstractNumId="56">
    <w:nsid w:val="3E6400E6"/>
    <w:multiLevelType w:val="hybridMultilevel"/>
    <w:lvl w:ilvl="0">
      <w:lvlJc w:val="left"/>
      <w:lvlText w:val="(%1)"/>
      <w:numFmt w:val="lowerRoman"/>
      <w:start w:val="1"/>
    </w:lvl>
  </w:abstractNum>
  <w:abstractNum w:abstractNumId="57">
    <w:nsid w:val="14217E23"/>
    <w:multiLevelType w:val="hybridMultilevel"/>
    <w:lvl w:ilvl="0">
      <w:lvlJc w:val="left"/>
      <w:lvlText w:val="•"/>
      <w:numFmt w:val="bullet"/>
      <w:start w:val="1"/>
    </w:lvl>
  </w:abstractNum>
  <w:abstractNum w:abstractNumId="58">
    <w:nsid w:val="710757D0"/>
    <w:multiLevelType w:val="hybridMultilevel"/>
    <w:lvl w:ilvl="0">
      <w:lvlJc w:val="left"/>
      <w:lvlText w:val="(%1)"/>
      <w:numFmt w:val="lowerRoman"/>
      <w:start w:val="1"/>
    </w:lvl>
  </w:abstractNum>
  <w:abstractNum w:abstractNumId="59">
    <w:nsid w:val="5015CD1A"/>
    <w:multiLevelType w:val="hybridMultilevel"/>
    <w:lvl w:ilvl="0">
      <w:lvlJc w:val="left"/>
      <w:lvlText w:val="(%1)"/>
      <w:numFmt w:val="lowerRoman"/>
      <w:start w:val="3"/>
    </w:lvl>
  </w:abstractNum>
  <w:abstractNum w:abstractNumId="60">
    <w:nsid w:val="424479DA"/>
    <w:multiLevelType w:val="hybridMultilevel"/>
    <w:lvl w:ilvl="0">
      <w:lvlJc w:val="left"/>
      <w:lvlText w:val="•"/>
      <w:numFmt w:val="bullet"/>
      <w:start w:val="1"/>
    </w:lvl>
    <w:lvl w:ilvl="1">
      <w:lvlJc w:val="left"/>
      <w:lvlText w:val="(%2)"/>
      <w:numFmt w:val="lowerLetter"/>
      <w:start w:val="35"/>
    </w:lvl>
  </w:abstractNum>
  <w:abstractNum w:abstractNumId="61">
    <w:nsid w:val="1A9A9E69"/>
    <w:multiLevelType w:val="hybridMultilevel"/>
    <w:lvl w:ilvl="0">
      <w:lvlJc w:val="left"/>
      <w:lvlText w:val="•"/>
      <w:numFmt w:val="bullet"/>
      <w:start w:val="1"/>
    </w:lvl>
    <w:lvl w:ilvl="1">
      <w:lvlJc w:val="left"/>
      <w:lvlText w:val="(%2)"/>
      <w:numFmt w:val="lowerLetter"/>
      <w:start w:val="25"/>
    </w:lvl>
  </w:abstractNum>
  <w:abstractNum w:abstractNumId="62">
    <w:nsid w:val="475E256A"/>
    <w:multiLevelType w:val="hybridMultilevel"/>
    <w:lvl w:ilvl="0">
      <w:lvlJc w:val="left"/>
      <w:lvlText w:val="•"/>
      <w:numFmt w:val="bullet"/>
      <w:start w:val="1"/>
    </w:lvl>
  </w:abstractNum>
  <w:abstractNum w:abstractNumId="63">
    <w:nsid w:val="368DB37E"/>
    <w:multiLevelType w:val="hybridMultilevel"/>
    <w:lvl w:ilvl="0">
      <w:lvlJc w:val="left"/>
      <w:lvlText w:val="•"/>
      <w:numFmt w:val="bullet"/>
      <w:start w:val="1"/>
    </w:lvl>
  </w:abstractNum>
  <w:abstractNum w:abstractNumId="64">
    <w:nsid w:val="6A3B714C"/>
    <w:multiLevelType w:val="hybridMultilevel"/>
    <w:lvl w:ilvl="0">
      <w:lvlJc w:val="left"/>
      <w:lvlText w:val="•"/>
      <w:numFmt w:val="bullet"/>
      <w:start w:val="1"/>
    </w:lvl>
  </w:abstractNum>
  <w:abstractNum w:abstractNumId="65">
    <w:nsid w:val="327B517E"/>
    <w:multiLevelType w:val="hybridMultilevel"/>
    <w:lvl w:ilvl="0">
      <w:lvlJc w:val="left"/>
      <w:lvlText w:val="(%1)"/>
      <w:numFmt w:val="lowerRoman"/>
      <w:start w:val="2"/>
    </w:lvl>
  </w:abstractNum>
  <w:abstractNum w:abstractNumId="66">
    <w:nsid w:val="1F461B51"/>
    <w:multiLevelType w:val="hybridMultilevel"/>
    <w:lvl w:ilvl="0">
      <w:lvlJc w:val="left"/>
      <w:lvlText w:val="•"/>
      <w:numFmt w:val="bullet"/>
      <w:start w:val="1"/>
    </w:lvl>
  </w:abstractNum>
  <w:abstractNum w:abstractNumId="67">
    <w:nsid w:val="29BACF25"/>
    <w:multiLevelType w:val="hybridMultilevel"/>
    <w:lvl w:ilvl="0">
      <w:lvlJc w:val="left"/>
      <w:lvlText w:val="•"/>
      <w:numFmt w:val="bullet"/>
      <w:start w:val="1"/>
    </w:lvl>
  </w:abstractNum>
  <w:abstractNum w:abstractNumId="68">
    <w:nsid w:val="5D5BABB3"/>
    <w:multiLevelType w:val="hybridMultilevel"/>
    <w:lvl w:ilvl="0">
      <w:lvlJc w:val="left"/>
      <w:lvlText w:val="•"/>
      <w:numFmt w:val="bullet"/>
      <w:start w:val="1"/>
    </w:lvl>
  </w:abstractNum>
  <w:abstractNum w:abstractNumId="69">
    <w:nsid w:val="51BF6B48"/>
    <w:multiLevelType w:val="hybridMultilevel"/>
    <w:lvl w:ilvl="0">
      <w:lvlJc w:val="left"/>
      <w:lvlText w:val="•"/>
      <w:numFmt w:val="bullet"/>
      <w:start w:val="1"/>
    </w:lvl>
  </w:abstractNum>
  <w:abstractNum w:abstractNumId="70">
    <w:nsid w:val="7E0F6384"/>
    <w:multiLevelType w:val="hybridMultilevel"/>
    <w:lvl w:ilvl="0">
      <w:lvlJc w:val="left"/>
      <w:lvlText w:val="(%1)"/>
      <w:numFmt w:val="lowerRoman"/>
      <w:start w:val="2"/>
    </w:lvl>
  </w:abstractNum>
  <w:abstractNum w:abstractNumId="71">
    <w:nsid w:val="2B4B8B53"/>
    <w:multiLevelType w:val="hybridMultilevel"/>
    <w:lvl w:ilvl="0">
      <w:lvlJc w:val="left"/>
      <w:lvlText w:val="•"/>
      <w:numFmt w:val="bullet"/>
      <w:start w:val="1"/>
    </w:lvl>
  </w:abstractNum>
  <w:abstractNum w:abstractNumId="72">
    <w:nsid w:val="72E3413A"/>
    <w:multiLevelType w:val="hybridMultilevel"/>
    <w:lvl w:ilvl="0">
      <w:lvlJc w:val="left"/>
      <w:lvlText w:val="\emdash "/>
      <w:numFmt w:val="bullet"/>
      <w:start w:val="1"/>
    </w:lvl>
  </w:abstractNum>
  <w:abstractNum w:abstractNumId="73">
    <w:nsid w:val="116AE494"/>
    <w:multiLevelType w:val="hybridMultilevel"/>
    <w:lvl w:ilvl="0">
      <w:lvlJc w:val="left"/>
      <w:lvlText w:val="•"/>
      <w:numFmt w:val="bullet"/>
      <w:start w:val="1"/>
    </w:lvl>
  </w:abstractNum>
  <w:abstractNum w:abstractNumId="74">
    <w:nsid w:val="3494B2FB"/>
    <w:multiLevelType w:val="hybridMultilevel"/>
    <w:lvl w:ilvl="0">
      <w:lvlJc w:val="left"/>
      <w:lvlText w:val="\emdash "/>
      <w:numFmt w:val="bullet"/>
      <w:start w:val="1"/>
    </w:lvl>
  </w:abstractNum>
  <w:abstractNum w:abstractNumId="75">
    <w:nsid w:val="B13A31"/>
    <w:multiLevelType w:val="hybridMultilevel"/>
    <w:lvl w:ilvl="0">
      <w:lvlJc w:val="left"/>
      <w:lvlText w:val="(%1)"/>
      <w:numFmt w:val="decimal"/>
      <w:start w:val="1"/>
    </w:lvl>
  </w:abstractNum>
  <w:abstractNum w:abstractNumId="76">
    <w:nsid w:val="64429599"/>
    <w:multiLevelType w:val="hybridMultilevel"/>
    <w:lvl w:ilvl="0">
      <w:lvlJc w:val="left"/>
      <w:lvlText w:val="(%1)"/>
      <w:numFmt w:val="decimal"/>
      <w:start w:val="2"/>
    </w:lvl>
  </w:abstractNum>
  <w:abstractNum w:abstractNumId="77">
    <w:nsid w:val="631F1690"/>
    <w:multiLevelType w:val="hybridMultilevel"/>
    <w:lvl w:ilvl="0">
      <w:lvlJc w:val="left"/>
      <w:lvlText w:val="(%1)"/>
      <w:numFmt w:val="lowerLetter"/>
      <w:start w:val="1"/>
    </w:lvl>
  </w:abstractNum>
  <w:abstractNum w:abstractNumId="78">
    <w:nsid w:val="25973E32"/>
    <w:multiLevelType w:val="hybridMultilevel"/>
    <w:lvl w:ilvl="0">
      <w:lvlJc w:val="left"/>
      <w:lvlText w:val="(%1)"/>
      <w:numFmt w:val="lowerLetter"/>
      <w:start w:val="2"/>
    </w:lvl>
  </w:abstractNum>
  <w:abstractNum w:abstractNumId="79">
    <w:nsid w:val="EAD6F57"/>
    <w:multiLevelType w:val="hybridMultilevel"/>
    <w:lvl w:ilvl="0">
      <w:lvlJc w:val="left"/>
      <w:lvlText w:val="(%1)"/>
      <w:numFmt w:val="lowerLetter"/>
      <w:start w:val="1"/>
    </w:lvl>
  </w:abstractNum>
  <w:abstractNum w:abstractNumId="80">
    <w:nsid w:val="6EC9D844"/>
    <w:multiLevelType w:val="hybridMultilevel"/>
    <w:lvl w:ilvl="0">
      <w:lvlJc w:val="left"/>
      <w:lvlText w:val="(%1)"/>
      <w:numFmt w:val="lowerRoman"/>
      <w:start w:val="2"/>
    </w:lvl>
  </w:abstractNum>
  <w:abstractNum w:abstractNumId="81">
    <w:nsid w:val="5C49EAEE"/>
    <w:multiLevelType w:val="hybridMultilevel"/>
    <w:lvl w:ilvl="0">
      <w:lvlJc w:val="left"/>
      <w:lvlText w:val="(%1)"/>
      <w:numFmt w:val="lowerRoman"/>
      <w:start w:val="3"/>
    </w:lvl>
  </w:abstractNum>
  <w:abstractNum w:abstractNumId="82">
    <w:nsid w:val="64AF49B"/>
    <w:multiLevelType w:val="hybridMultilevel"/>
    <w:lvl w:ilvl="0">
      <w:lvlJc w:val="left"/>
      <w:lvlText w:val="(%1)"/>
      <w:numFmt w:val="lowerLetter"/>
      <w:start w:val="1"/>
    </w:lvl>
    <w:lvl w:ilvl="1">
      <w:lvlJc w:val="left"/>
      <w:lvlText w:val="•"/>
      <w:numFmt w:val="bullet"/>
      <w:start w:val="1"/>
    </w:lvl>
  </w:abstractNum>
  <w:abstractNum w:abstractNumId="83">
    <w:nsid w:val="397C46BC"/>
    <w:multiLevelType w:val="hybridMultilevel"/>
    <w:lvl w:ilvl="0">
      <w:lvlJc w:val="left"/>
      <w:lvlText w:val="(%1)"/>
      <w:numFmt w:val="decimal"/>
      <w:start w:val="1"/>
    </w:lvl>
  </w:abstractNum>
  <w:abstractNum w:abstractNumId="84">
    <w:nsid w:val="7E448DE9"/>
    <w:multiLevelType w:val="hybridMultilevel"/>
    <w:lvl w:ilvl="0">
      <w:lvlJc w:val="left"/>
      <w:lvlText w:val="(%1)"/>
      <w:numFmt w:val="decimal"/>
      <w:start w:val="1"/>
    </w:lvl>
  </w:abstractNum>
  <w:abstractNum w:abstractNumId="85">
    <w:nsid w:val="5A9CC3E5"/>
    <w:multiLevelType w:val="hybridMultilevel"/>
    <w:lvl w:ilvl="0">
      <w:lvlJc w:val="left"/>
      <w:lvlText w:val="(%1)"/>
      <w:numFmt w:val="decimal"/>
      <w:start w:val="1"/>
    </w:lvl>
  </w:abstractNum>
  <w:abstractNum w:abstractNumId="86">
    <w:nsid w:val="1AFE3625"/>
    <w:multiLevelType w:val="hybridMultilevel"/>
    <w:lvl w:ilvl="0">
      <w:lvlJc w:val="left"/>
      <w:lvlText w:val="$"/>
      <w:numFmt w:val="bullet"/>
      <w:start w:val="1"/>
    </w:lvl>
  </w:abstractNum>
  <w:abstractNum w:abstractNumId="87">
    <w:nsid w:val="3CA88ECF"/>
    <w:multiLevelType w:val="hybridMultilevel"/>
    <w:lvl w:ilvl="0">
      <w:lvlJc w:val="left"/>
      <w:lvlText w:val="(%1)"/>
      <w:numFmt w:val="decimal"/>
      <w:start w:val="1"/>
    </w:lvl>
  </w:abstractNum>
  <w:abstractNum w:abstractNumId="88">
    <w:nsid w:val="6EBE4208"/>
    <w:multiLevelType w:val="hybridMultilevel"/>
    <w:lvl w:ilvl="0">
      <w:lvlJc w:val="left"/>
      <w:lvlText w:val="(%1)"/>
      <w:numFmt w:val="lowerLetter"/>
      <w:start w:val="1"/>
    </w:lvl>
  </w:abstractNum>
  <w:abstractNum w:abstractNumId="89">
    <w:nsid w:val="C058DF5"/>
    <w:multiLevelType w:val="hybridMultilevel"/>
    <w:lvl w:ilvl="0">
      <w:lvlJc w:val="left"/>
      <w:lvlText w:val="(%1)"/>
      <w:numFmt w:val="lowerLetter"/>
      <w:start w:val="3"/>
    </w:lvl>
  </w:abstractNum>
  <w:abstractNum w:abstractNumId="90">
    <w:nsid w:val="CBE5BE9"/>
    <w:multiLevelType w:val="hybridMultilevel"/>
    <w:lvl w:ilvl="0">
      <w:lvlJc w:val="left"/>
      <w:lvlText w:val="(%1)"/>
      <w:numFmt w:val="lowerLetter"/>
      <w:start w:val="10"/>
    </w:lvl>
  </w:abstractNum>
  <w:abstractNum w:abstractNumId="91">
    <w:nsid w:val="3102BBE2"/>
    <w:multiLevelType w:val="hybridMultilevel"/>
    <w:lvl w:ilvl="0">
      <w:lvlJc w:val="left"/>
      <w:lvlText w:val="(%1)"/>
      <w:numFmt w:val="lowerLetter"/>
      <w:start w:val="1"/>
    </w:lvl>
  </w:abstractNum>
  <w:abstractNum w:abstractNumId="92">
    <w:nsid w:val="26A02C5E"/>
    <w:multiLevelType w:val="hybridMultilevel"/>
    <w:lvl w:ilvl="0">
      <w:lvlJc w:val="left"/>
      <w:lvlText w:val="%1"/>
      <w:numFmt w:val="decimal"/>
      <w:start w:val="14"/>
    </w:lvl>
  </w:abstractNum>
  <w:abstractNum w:abstractNumId="93">
    <w:nsid w:val="541C8153"/>
    <w:multiLevelType w:val="hybridMultilevel"/>
    <w:lvl w:ilvl="0">
      <w:lvlJc w:val="left"/>
      <w:lvlText w:val="%1"/>
      <w:numFmt w:val="decimal"/>
      <w:start w:val="24"/>
    </w:lvl>
  </w:abstractNum>
  <w:abstractNum w:abstractNumId="94">
    <w:nsid w:val="67906F60"/>
    <w:multiLevelType w:val="hybridMultilevel"/>
    <w:lvl w:ilvl="0">
      <w:lvlJc w:val="left"/>
      <w:lvlText w:val="*"/>
      <w:numFmt w:val="bullet"/>
      <w:start w:val="1"/>
    </w:lvl>
  </w:abstractNum>
  <w:abstractNum w:abstractNumId="95">
    <w:nsid w:val="10DB9DAA"/>
    <w:multiLevelType w:val="hybridMultilevel"/>
    <w:lvl w:ilvl="0">
      <w:lvlJc w:val="left"/>
      <w:lvlText w:val="(%1)"/>
      <w:numFmt w:val="lowerLetter"/>
      <w:start w:val="2"/>
    </w:lvl>
  </w:abstractNum>
  <w:abstractNum w:abstractNumId="96">
    <w:nsid w:val="697D2D2"/>
    <w:multiLevelType w:val="hybridMultilevel"/>
    <w:lvl w:ilvl="0">
      <w:lvlJc w:val="left"/>
      <w:lvlText w:val="(%1)"/>
      <w:numFmt w:val="lowerLetter"/>
      <w:start w:val="1"/>
    </w:lvl>
    <w:lvl w:ilvl="1">
      <w:lvlJc w:val="left"/>
      <w:lvlText w:val="(%2)"/>
      <w:numFmt w:val="decimal"/>
      <w:start w:val="1"/>
    </w:lvl>
  </w:abstractNum>
  <w:abstractNum w:abstractNumId="97">
    <w:nsid w:val="6D68AB2"/>
    <w:multiLevelType w:val="hybridMultilevel"/>
    <w:lvl w:ilvl="0">
      <w:lvlJc w:val="left"/>
      <w:lvlText w:val="(%1)"/>
      <w:numFmt w:val="lowerLetter"/>
      <w:start w:val="1"/>
    </w:lvl>
  </w:abstractNum>
  <w:abstractNum w:abstractNumId="98">
    <w:nsid w:val="3A966CD0"/>
    <w:multiLevelType w:val="hybridMultilevel"/>
    <w:lvl w:ilvl="0">
      <w:lvlJc w:val="left"/>
      <w:lvlText w:val="(%1)"/>
      <w:numFmt w:val="lowerLetter"/>
      <w:start w:val="3"/>
    </w:lvl>
  </w:abstractNum>
  <w:abstractNum w:abstractNumId="99">
    <w:nsid w:val="63F37E85"/>
    <w:multiLevelType w:val="hybridMultilevel"/>
    <w:lvl w:ilvl="0">
      <w:lvlJc w:val="left"/>
      <w:lvlText w:val="(%1)"/>
      <w:numFmt w:val="lowerLetter"/>
      <w:start w:val="9"/>
    </w:lvl>
  </w:abstractNum>
  <w:abstractNum w:abstractNumId="100">
    <w:nsid w:val="5895F5FA"/>
    <w:multiLevelType w:val="hybridMultilevel"/>
    <w:lvl w:ilvl="0">
      <w:lvlJc w:val="left"/>
      <w:lvlText w:val="(%1)"/>
      <w:numFmt w:val="lowerLetter"/>
      <w:start w:val="17"/>
    </w:lvl>
  </w:abstractNum>
  <w:abstractNum w:abstractNumId="101">
    <w:nsid w:val="38A5D054"/>
    <w:multiLevelType w:val="hybridMultilevel"/>
    <w:lvl w:ilvl="0">
      <w:lvlJc w:val="left"/>
      <w:lvlText w:val="(%1)"/>
      <w:numFmt w:val="lowerLetter"/>
      <w:start w:val="24"/>
    </w:lvl>
  </w:abstractNum>
  <w:abstractNum w:abstractNumId="102">
    <w:nsid w:val="F3F09D8"/>
    <w:multiLevelType w:val="hybridMultilevel"/>
    <w:lvl w:ilvl="0">
      <w:lvlJc w:val="left"/>
      <w:lvlText w:val="(%1)"/>
      <w:numFmt w:val="lowerLetter"/>
      <w:start w:val="27"/>
    </w:lvl>
  </w:abstractNum>
  <w:abstractNum w:abstractNumId="103">
    <w:nsid w:val="4B793735"/>
    <w:multiLevelType w:val="hybridMultilevel"/>
    <w:lvl w:ilvl="0">
      <w:lvlJc w:val="left"/>
      <w:lvlText w:val="(%1)"/>
      <w:numFmt w:val="lowerLetter"/>
      <w:start w:val="29"/>
    </w:lvl>
  </w:abstractNum>
  <w:abstractNum w:abstractNumId="104">
    <w:nsid w:val="4A10B4E8"/>
    <w:multiLevelType w:val="hybridMultilevel"/>
    <w:lvl w:ilvl="0">
      <w:lvlJc w:val="left"/>
      <w:lvlText w:val="(%1)"/>
      <w:numFmt w:val="lowerLetter"/>
      <w:start w:val="34"/>
    </w:lvl>
  </w:abstractNum>
  <w:abstractNum w:abstractNumId="105">
    <w:nsid w:val="43D3BCD4"/>
    <w:multiLevelType w:val="hybridMultilevel"/>
    <w:lvl w:ilvl="0">
      <w:lvlJc w:val="left"/>
      <w:lvlText w:val="(%1)"/>
      <w:numFmt w:val="lowerLetter"/>
      <w:start w:val="42"/>
    </w:lvl>
  </w:abstractNum>
  <w:abstractNum w:abstractNumId="106">
    <w:nsid w:val="4C2A7166"/>
    <w:multiLevelType w:val="hybridMultilevel"/>
    <w:lvl w:ilvl="0">
      <w:lvlJc w:val="left"/>
      <w:lvlText w:val="(%1)"/>
      <w:numFmt w:val="lowerLetter"/>
      <w:start w:val="48"/>
    </w:lvl>
  </w:abstractNum>
  <w:abstractNum w:abstractNumId="107">
    <w:nsid w:val="2E534A82"/>
    <w:multiLevelType w:val="hybridMultilevel"/>
    <w:lvl w:ilvl="0">
      <w:lvlJc w:val="left"/>
      <w:lvlText w:val="(%1)"/>
      <w:numFmt w:val="lowerLetter"/>
      <w:start w:val="52"/>
    </w:lvl>
  </w:abstractNum>
  <w:abstractNum w:abstractNumId="108">
    <w:nsid w:val="26F2D364"/>
    <w:multiLevelType w:val="hybridMultilevel"/>
    <w:lvl w:ilvl="0">
      <w:lvlJc w:val="left"/>
      <w:lvlText w:val="(%1)"/>
      <w:numFmt w:val="lowerLetter"/>
      <w:start w:val="53"/>
    </w:lvl>
  </w:abstractNum>
  <w:abstractNum w:abstractNumId="109">
    <w:nsid w:val="71C1AF98"/>
    <w:multiLevelType w:val="hybridMultilevel"/>
    <w:lvl w:ilvl="0">
      <w:lvlJc w:val="left"/>
      <w:lvlText w:val="(%1)"/>
      <w:numFmt w:val="lowerLetter"/>
      <w:start w:val="1"/>
    </w:lvl>
  </w:abstractNum>
  <w:abstractNum w:abstractNumId="110">
    <w:nsid w:val="3D00B9D9"/>
    <w:multiLevelType w:val="hybridMultilevel"/>
    <w:lvl w:ilvl="0">
      <w:lvlJc w:val="left"/>
      <w:lvlText w:val="(%1)"/>
      <w:numFmt w:val="lowerLetter"/>
      <w:start w:val="3"/>
    </w:lvl>
    <w:lvl w:ilvl="1">
      <w:lvlJc w:val="left"/>
      <w:lvlText w:val="(%2)"/>
      <w:numFmt w:val="lowerLetter"/>
      <w:start w:val="35"/>
    </w:lvl>
  </w:abstractNum>
  <w:abstractNum w:abstractNumId="111">
    <w:nsid w:val="15BCABA8"/>
    <w:multiLevelType w:val="hybridMultilevel"/>
    <w:lvl w:ilvl="0">
      <w:lvlJc w:val="left"/>
      <w:lvlText w:val="(%1)"/>
      <w:numFmt w:val="lowerRoman"/>
      <w:start w:val="3"/>
    </w:lvl>
  </w:abstractNum>
  <w:abstractNum w:abstractNumId="112">
    <w:nsid w:val="4E0B9A87"/>
    <w:multiLevelType w:val="hybridMultilevel"/>
    <w:lvl w:ilvl="0">
      <w:lvlJc w:val="left"/>
      <w:lvlText w:val="(%1)"/>
      <w:numFmt w:val="lowerLetter"/>
      <w:start w:val="1"/>
    </w:lvl>
  </w:abstractNum>
  <w:abstractNum w:abstractNumId="113">
    <w:nsid w:val="434BAE75"/>
    <w:multiLevelType w:val="hybridMultilevel"/>
    <w:lvl w:ilvl="0">
      <w:lvlJc w:val="left"/>
      <w:lvlText w:val="(%1)"/>
      <w:numFmt w:val="lowerLetter"/>
      <w:start w:val="2"/>
    </w:lvl>
  </w:abstractNum>
  <w:abstractNum w:abstractNumId="114">
    <w:nsid w:val="4F38F265"/>
    <w:multiLevelType w:val="hybridMultilevel"/>
    <w:lvl w:ilvl="0">
      <w:lvlJc w:val="left"/>
      <w:lvlText w:val="(%1)"/>
      <w:numFmt w:val="lowerLetter"/>
      <w:start w:val="6"/>
    </w:lvl>
  </w:abstractNum>
  <w:abstractNum w:abstractNumId="115">
    <w:nsid w:val="4C502870"/>
    <w:multiLevelType w:val="hybridMultilevel"/>
    <w:lvl w:ilvl="0">
      <w:lvlJc w:val="left"/>
      <w:lvlText w:val="(%1)"/>
      <w:numFmt w:val="lowerLetter"/>
      <w:start w:val="10"/>
    </w:lvl>
  </w:abstractNum>
  <w:abstractNum w:abstractNumId="116">
    <w:nsid w:val="1DE8725A"/>
    <w:multiLevelType w:val="hybridMultilevel"/>
    <w:lvl w:ilvl="0">
      <w:lvlJc w:val="left"/>
      <w:lvlText w:val="(%1)"/>
      <w:numFmt w:val="lowerLetter"/>
      <w:start w:val="16"/>
    </w:lvl>
  </w:abstractNum>
  <w:abstractNum w:abstractNumId="117">
    <w:nsid w:val="6A37288A"/>
    <w:multiLevelType w:val="hybridMultilevel"/>
    <w:lvl w:ilvl="0">
      <w:lvlJc w:val="left"/>
      <w:lvlText w:val="(%1)"/>
      <w:numFmt w:val="lowerLetter"/>
      <w:start w:val="21"/>
    </w:lvl>
  </w:abstractNum>
  <w:abstractNum w:abstractNumId="118">
    <w:nsid w:val="8F8B73F"/>
    <w:multiLevelType w:val="hybridMultilevel"/>
    <w:lvl w:ilvl="0">
      <w:lvlJc w:val="left"/>
      <w:lvlText w:val="%1"/>
      <w:numFmt w:val="upperLetter"/>
      <w:start w:val="1"/>
    </w:lvl>
    <w:lvl w:ilvl="1">
      <w:lvlJc w:val="left"/>
      <w:lvlText w:val="(%2)"/>
      <w:numFmt w:val="lowerLetter"/>
      <w:start w:val="26"/>
    </w:lvl>
  </w:abstractNum>
  <w:abstractNum w:abstractNumId="119">
    <w:nsid w:val="CA6B462"/>
    <w:multiLevelType w:val="hybridMultilevel"/>
    <w:lvl w:ilvl="0">
      <w:lvlJc w:val="left"/>
      <w:lvlText w:val="(%1)"/>
      <w:numFmt w:val="upperLetter"/>
      <w:start w:val="1"/>
    </w:lvl>
    <w:lvl w:ilvl="1">
      <w:lvlJc w:val="left"/>
      <w:lvlText w:val="%2"/>
      <w:numFmt w:val="lowerLetter"/>
      <w:start w:val="1"/>
    </w:lvl>
  </w:abstractNum>
  <w:abstractNum w:abstractNumId="120">
    <w:nsid w:val="763CB680"/>
    <w:multiLevelType w:val="hybridMultilevel"/>
    <w:lvl w:ilvl="0">
      <w:lvlJc w:val="left"/>
      <w:lvlText w:val="(%1)"/>
      <w:numFmt w:val="lowerLetter"/>
      <w:start w:val="27"/>
    </w:lvl>
  </w:abstractNum>
  <w:abstractNum w:abstractNumId="121">
    <w:nsid w:val="15B71329"/>
    <w:multiLevelType w:val="hybridMultilevel"/>
    <w:lvl w:ilvl="0">
      <w:lvlJc w:val="left"/>
      <w:lvlText w:val="(%1)"/>
      <w:numFmt w:val="lowerLetter"/>
      <w:start w:val="31"/>
    </w:lvl>
  </w:abstractNum>
  <w:abstractNum w:abstractNumId="122">
    <w:nsid w:val="3DA97044"/>
    <w:multiLevelType w:val="hybridMultilevel"/>
    <w:lvl w:ilvl="0">
      <w:lvlJc w:val="left"/>
      <w:lvlText w:val="(%1)"/>
      <w:numFmt w:val="lowerLetter"/>
      <w:start w:val="37"/>
    </w:lvl>
  </w:abstractNum>
  <w:abstractNum w:abstractNumId="123">
    <w:nsid w:val="1CDCE2DE"/>
    <w:multiLevelType w:val="hybridMultilevel"/>
    <w:lvl w:ilvl="0">
      <w:lvlJc w:val="left"/>
      <w:lvlText w:val="(%1)"/>
      <w:numFmt w:val="lowerLetter"/>
      <w:start w:val="1"/>
    </w:lvl>
    <w:lvl w:ilvl="1">
      <w:lvlJc w:val="left"/>
      <w:lvlText w:val="(%2)"/>
      <w:numFmt w:val="lowerRoman"/>
      <w:start w:val="1"/>
    </w:lvl>
  </w:abstractNum>
  <w:abstractNum w:abstractNumId="124">
    <w:nsid w:val="69D3947C"/>
    <w:multiLevelType w:val="hybridMultilevel"/>
    <w:lvl w:ilvl="0">
      <w:lvlJc w:val="left"/>
      <w:lvlText w:val="(%1)"/>
      <w:numFmt w:val="lowerLetter"/>
      <w:start w:val="4"/>
    </w:lvl>
    <w:lvl w:ilvl="1">
      <w:lvlJc w:val="left"/>
      <w:lvlText w:val="(%2)"/>
      <w:numFmt w:val="lowerRoman"/>
      <w:start w:val="1"/>
    </w:lvl>
  </w:abstractNum>
  <w:abstractNum w:abstractNumId="125">
    <w:nsid w:val="2539DFA5"/>
    <w:multiLevelType w:val="hybridMultilevel"/>
    <w:lvl w:ilvl="0">
      <w:lvlJc w:val="left"/>
      <w:lvlText w:val="(%1)"/>
      <w:numFmt w:val="lowerLetter"/>
      <w:start w:val="10"/>
    </w:lvl>
  </w:abstractNum>
  <w:abstractNum w:abstractNumId="126">
    <w:nsid w:val="2DB88089"/>
    <w:multiLevelType w:val="hybridMultilevel"/>
    <w:lvl w:ilvl="0">
      <w:lvlJc w:val="left"/>
      <w:lvlText w:val="(%1)"/>
      <w:numFmt w:val="lowerLetter"/>
      <w:start w:val="1"/>
    </w:lvl>
  </w:abstractNum>
  <w:abstractNum w:abstractNumId="127">
    <w:nsid w:val="706B674E"/>
    <w:multiLevelType w:val="hybridMultilevel"/>
    <w:lvl w:ilvl="0">
      <w:lvlJc w:val="left"/>
      <w:lvlText w:val="(%1)"/>
      <w:numFmt w:val="lowerLetter"/>
      <w:start w:val="2"/>
    </w:lvl>
  </w:abstractNum>
  <w:abstractNum w:abstractNumId="128">
    <w:nsid w:val="2C106A57"/>
    <w:multiLevelType w:val="hybridMultilevel"/>
    <w:lvl w:ilvl="0">
      <w:lvlJc w:val="left"/>
      <w:lvlText w:val="(%1)"/>
      <w:numFmt w:val="lowerLetter"/>
      <w:start w:val="4"/>
    </w:lvl>
  </w:abstractNum>
  <w:abstractNum w:abstractNumId="129">
    <w:nsid w:val="684EED59"/>
    <w:multiLevelType w:val="hybridMultilevel"/>
    <w:lvl w:ilvl="0">
      <w:lvlJc w:val="left"/>
      <w:lvlText w:val="%1."/>
      <w:numFmt w:val="decimal"/>
      <w:start w:val="1"/>
    </w:lvl>
  </w:abstractNum>
  <w:abstractNum w:abstractNumId="130">
    <w:nsid w:val="545EE5D3"/>
    <w:multiLevelType w:val="hybridMultilevel"/>
    <w:lvl w:ilvl="0">
      <w:lvlJc w:val="left"/>
      <w:lvlText w:val="(%1)"/>
      <w:numFmt w:val="lowerRoman"/>
      <w:start w:val="1"/>
    </w:lvl>
  </w:abstractNum>
  <w:abstractNum w:abstractNumId="131">
    <w:nsid w:val="4A66051"/>
    <w:multiLevelType w:val="hybridMultilevel"/>
    <w:lvl w:ilvl="0">
      <w:lvlJc w:val="left"/>
      <w:lvlText w:val="(%1)"/>
      <w:numFmt w:val="lowerLetter"/>
      <w:start w:val="1"/>
    </w:lvl>
    <w:lvl w:ilvl="1">
      <w:lvlJc w:val="left"/>
      <w:lvlText w:val="(%2)"/>
      <w:numFmt w:val="lowerRoman"/>
      <w:start w:val="1"/>
    </w:lvl>
  </w:abstractNum>
  <w:abstractNum w:abstractNumId="132">
    <w:nsid w:val="20F4BDAD"/>
    <w:multiLevelType w:val="hybridMultilevel"/>
    <w:lvl w:ilvl="0">
      <w:lvlJc w:val="left"/>
      <w:lvlText w:val="(%1)"/>
      <w:numFmt w:val="lowerLetter"/>
      <w:start w:val="2"/>
    </w:lvl>
    <w:lvl w:ilvl="1">
      <w:lvlJc w:val="left"/>
      <w:lvlText w:val="(%2)"/>
      <w:numFmt w:val="lowerRoman"/>
      <w:start w:val="1"/>
    </w:lvl>
  </w:abstractNum>
  <w:abstractNum w:abstractNumId="133">
    <w:nsid w:val="639DEFAC"/>
    <w:multiLevelType w:val="hybridMultilevel"/>
    <w:lvl w:ilvl="0">
      <w:lvlJc w:val="left"/>
      <w:lvlText w:val="(%1)"/>
      <w:numFmt w:val="lowerLetter"/>
      <w:start w:val="2"/>
    </w:lvl>
    <w:lvl w:ilvl="1">
      <w:lvlJc w:val="left"/>
      <w:lvlText w:val="%2"/>
      <w:numFmt w:val="lowerRoman"/>
      <w:start w:val="1"/>
    </w:lvl>
  </w:abstractNum>
  <w:abstractNum w:abstractNumId="134">
    <w:nsid w:val="501F9786"/>
    <w:multiLevelType w:val="hybridMultilevel"/>
    <w:lvl w:ilvl="0">
      <w:lvlJc w:val="left"/>
      <w:lvlText w:val="(%1)"/>
      <w:numFmt w:val="lowerRoman"/>
      <w:start w:val="3"/>
    </w:lvl>
  </w:abstractNum>
  <w:abstractNum w:abstractNumId="135">
    <w:nsid w:val="6B057295"/>
    <w:multiLevelType w:val="hybridMultilevel"/>
    <w:lvl w:ilvl="0">
      <w:lvlJc w:val="left"/>
      <w:lvlText w:val="(%1)"/>
      <w:numFmt w:val="lowerLetter"/>
      <w:start w:val="3"/>
    </w:lvl>
  </w:abstractNum>
  <w:abstractNum w:abstractNumId="136">
    <w:nsid w:val="2771AC80"/>
    <w:multiLevelType w:val="hybridMultilevel"/>
    <w:lvl w:ilvl="0">
      <w:lvlJc w:val="left"/>
      <w:lvlText w:val="(%1)"/>
      <w:numFmt w:val="lowerLetter"/>
      <w:start w:val="1"/>
    </w:lvl>
  </w:abstractNum>
  <w:abstractNum w:abstractNumId="137">
    <w:nsid w:val="1C4A08EC"/>
    <w:multiLevelType w:val="hybridMultilevel"/>
    <w:lvl w:ilvl="0">
      <w:lvlJc w:val="left"/>
      <w:lvlText w:val="(%1)"/>
      <w:numFmt w:val="lowerLetter"/>
      <w:start w:val="1"/>
    </w:lvl>
  </w:abstractNum>
  <w:abstractNum w:abstractNumId="138">
    <w:nsid w:val="1958BD17"/>
    <w:multiLevelType w:val="hybridMultilevel"/>
    <w:lvl w:ilvl="0">
      <w:lvlJc w:val="left"/>
      <w:lvlText w:val="(%1)"/>
      <w:numFmt w:val="lowerLetter"/>
      <w:start w:val="2"/>
    </w:lvl>
  </w:abstractNum>
  <w:abstractNum w:abstractNumId="139">
    <w:nsid w:val="4E647FE4"/>
    <w:multiLevelType w:val="hybridMultilevel"/>
    <w:lvl w:ilvl="0">
      <w:lvlJc w:val="left"/>
      <w:lvlText w:val="%1."/>
      <w:numFmt w:val="decimal"/>
      <w:start w:val="1"/>
    </w:lvl>
  </w:abstractNum>
  <w:abstractNum w:abstractNumId="140">
    <w:nsid w:val="E0BB885"/>
    <w:multiLevelType w:val="hybridMultilevel"/>
    <w:lvl w:ilvl="0">
      <w:lvlJc w:val="left"/>
      <w:lvlText w:val="%1."/>
      <w:numFmt w:val="decimal"/>
      <w:start w:val="2"/>
    </w:lvl>
  </w:abstractNum>
  <w:abstractNum w:abstractNumId="141">
    <w:nsid w:val="565976F1"/>
    <w:multiLevelType w:val="hybridMultilevel"/>
    <w:lvl w:ilvl="0">
      <w:lvlJc w:val="left"/>
      <w:lvlText w:val="%1."/>
      <w:numFmt w:val="decimal"/>
      <w:start w:val="1"/>
    </w:lvl>
  </w:abstractNum>
  <w:abstractNum w:abstractNumId="142">
    <w:nsid w:val="64212B8C"/>
    <w:multiLevelType w:val="hybridMultilevel"/>
    <w:lvl w:ilvl="0">
      <w:lvlJc w:val="left"/>
      <w:lvlText w:val="(%1)"/>
      <w:numFmt w:val="lowerLetter"/>
      <w:start w:val="1"/>
    </w:lvl>
    <w:lvl w:ilvl="1">
      <w:lvlJc w:val="left"/>
      <w:lvlText w:val="(%2)"/>
      <w:numFmt w:val="lowerRoman"/>
      <w:start w:val="1"/>
    </w:lvl>
  </w:abstractNum>
  <w:abstractNum w:abstractNumId="143">
    <w:nsid w:val="5C17530C"/>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144">
    <w:nsid w:val="19A52566"/>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abstractNum>
  <w:abstractNum w:abstractNumId="145">
    <w:nsid w:val="335A1DF1"/>
    <w:multiLevelType w:val="hybridMultilevel"/>
    <w:lvl w:ilvl="0">
      <w:lvlJc w:val="left"/>
      <w:lvlText w:val="%1"/>
      <w:numFmt w:val="lowerLetter"/>
      <w:start w:val="1"/>
    </w:lvl>
    <w:lvl w:ilvl="1">
      <w:lvlJc w:val="left"/>
      <w:lvlText w:val="(%2)"/>
      <w:numFmt w:val="lowerLetter"/>
      <w:start w:val="61"/>
    </w:lvl>
  </w:abstractNum>
  <w:abstractNum w:abstractNumId="146">
    <w:nsid w:val="28677B7C"/>
    <w:multiLevelType w:val="hybridMultilevel"/>
    <w:lvl w:ilvl="0">
      <w:lvlJc w:val="left"/>
      <w:lvlText w:val="(%1)"/>
      <w:numFmt w:val="lowerLetter"/>
      <w:start w:val="3"/>
    </w:lvl>
    <w:lvl w:ilvl="1">
      <w:lvlJc w:val="left"/>
      <w:lvlText w:val="%2"/>
      <w:numFmt w:val="lowerLetter"/>
      <w:start w:val="1"/>
    </w:lvl>
  </w:abstractNum>
  <w:abstractNum w:abstractNumId="147">
    <w:nsid w:val="378D97C0"/>
    <w:multiLevelType w:val="hybridMultilevel"/>
    <w:lvl w:ilvl="0">
      <w:lvlJc w:val="left"/>
      <w:lvlText w:val="(%1)"/>
      <w:numFmt w:val="lowerLetter"/>
      <w:start w:val="1"/>
    </w:lvl>
  </w:abstractNum>
  <w:abstractNum w:abstractNumId="148">
    <w:nsid w:val="1D91467C"/>
    <w:multiLevelType w:val="hybridMultilevel"/>
    <w:lvl w:ilvl="0">
      <w:lvlJc w:val="left"/>
      <w:lvlText w:val="(%1)"/>
      <w:numFmt w:val="lowerLetter"/>
      <w:start w:val="1"/>
    </w:lvl>
  </w:abstractNum>
  <w:abstractNum w:abstractNumId="149">
    <w:nsid w:val="316032BB"/>
    <w:multiLevelType w:val="hybridMultilevel"/>
    <w:lvl w:ilvl="0">
      <w:lvlJc w:val="left"/>
      <w:lvlText w:val="(%1)"/>
      <w:numFmt w:val="lowerLetter"/>
      <w:start w:val="3"/>
    </w:lvl>
  </w:abstractNum>
  <w:abstractNum w:abstractNumId="150">
    <w:nsid w:val="44344C22"/>
    <w:multiLevelType w:val="hybridMultilevel"/>
    <w:lvl w:ilvl="0">
      <w:lvlJc w:val="left"/>
      <w:lvlText w:val="(%1)"/>
      <w:numFmt w:val="lowerLetter"/>
      <w:start w:val="1"/>
    </w:lvl>
  </w:abstractNum>
  <w:abstractNum w:abstractNumId="151">
    <w:nsid w:val="13CDFCFC"/>
    <w:multiLevelType w:val="hybridMultilevel"/>
    <w:lvl w:ilvl="0">
      <w:lvlJc w:val="left"/>
      <w:lvlText w:val="(%1)"/>
      <w:numFmt w:val="lowerLetter"/>
      <w:start w:val="1"/>
    </w:lvl>
  </w:abstractNum>
  <w:abstractNum w:abstractNumId="152">
    <w:nsid w:val="471745E4"/>
    <w:multiLevelType w:val="hybridMultilevel"/>
    <w:lvl w:ilvl="0">
      <w:lvlJc w:val="left"/>
      <w:lvlText w:val="(%1)"/>
      <w:numFmt w:val="lowerLetter"/>
      <w:start w:val="4"/>
    </w:lvl>
  </w:abstractNum>
  <w:abstractNum w:abstractNumId="153">
    <w:nsid w:val="1DDBC66"/>
    <w:multiLevelType w:val="hybridMultilevel"/>
    <w:lvl w:ilvl="0">
      <w:lvlJc w:val="left"/>
      <w:lvlText w:val="(%1)"/>
      <w:numFmt w:val="lowerLetter"/>
      <w:start w:val="1"/>
    </w:lvl>
  </w:abstractNum>
  <w:abstractNum w:abstractNumId="154">
    <w:nsid w:val="30AADFDA"/>
    <w:multiLevelType w:val="hybridMultilevel"/>
    <w:lvl w:ilvl="0">
      <w:lvlJc w:val="left"/>
      <w:lvlText w:val="(%1)"/>
      <w:numFmt w:val="lowerRoman"/>
      <w:start w:val="1"/>
    </w:lvl>
  </w:abstractNum>
  <w:abstractNum w:abstractNumId="155">
    <w:nsid w:val="30EADA61"/>
    <w:multiLevelType w:val="hybridMultilevel"/>
    <w:lvl w:ilvl="0">
      <w:lvlJc w:val="left"/>
      <w:lvlText w:val="%1"/>
      <w:numFmt w:val="lowerLetter"/>
      <w:start w:val="1"/>
    </w:lvl>
    <w:lvl w:ilvl="1">
      <w:lvlJc w:val="left"/>
      <w:lvlText w:val="(%2)"/>
      <w:numFmt w:val="lowerLetter"/>
      <w:start w:val="1"/>
    </w:lvl>
  </w:abstractNum>
  <w:abstractNum w:abstractNumId="156">
    <w:nsid w:val="27179C0B"/>
    <w:multiLevelType w:val="hybridMultilevel"/>
    <w:lvl w:ilvl="0">
      <w:lvlJc w:val="left"/>
      <w:lvlText w:val="(%1)"/>
      <w:numFmt w:val="lowerLetter"/>
      <w:start w:val="35"/>
    </w:lvl>
    <w:lvl w:ilvl="1">
      <w:lvlJc w:val="left"/>
      <w:lvlText w:val="%2"/>
      <w:numFmt w:val="lowerLetter"/>
      <w:start w:val="1"/>
    </w:lvl>
  </w:abstractNum>
  <w:abstractNum w:abstractNumId="157">
    <w:nsid w:val="5E636063"/>
    <w:multiLevelType w:val="hybridMultilevel"/>
    <w:lvl w:ilvl="0">
      <w:lvlJc w:val="left"/>
      <w:lvlText w:val="(%1)"/>
      <w:numFmt w:val="lowerLetter"/>
      <w:start w:val="2"/>
    </w:lvl>
    <w:lvl w:ilvl="1">
      <w:lvlJc w:val="left"/>
      <w:lvlText w:val="(%2)"/>
      <w:numFmt w:val="lowerRoman"/>
      <w:start w:val="1"/>
    </w:lvl>
  </w:abstractNum>
  <w:abstractNum w:abstractNumId="158">
    <w:nsid w:val="215641AF"/>
    <w:multiLevelType w:val="hybridMultilevel"/>
    <w:lvl w:ilvl="0">
      <w:lvlJc w:val="left"/>
      <w:lvlText w:val="(%1)"/>
      <w:numFmt w:val="lowerLetter"/>
      <w:start w:val="4"/>
    </w:lvl>
  </w:abstractNum>
  <w:abstractNum w:abstractNumId="159">
    <w:nsid w:val="53280662"/>
    <w:multiLevelType w:val="hybridMultilevel"/>
    <w:lvl w:ilvl="0">
      <w:lvlJc w:val="left"/>
      <w:lvlText w:val="(%1)"/>
      <w:numFmt w:val="lowerLetter"/>
      <w:start w:val="1"/>
    </w:lvl>
    <w:lvl w:ilvl="1">
      <w:lvlJc w:val="left"/>
      <w:lvlText w:val="(%2)"/>
      <w:numFmt w:val="lowerRoman"/>
      <w:start w:val="1"/>
    </w:lvl>
  </w:abstractNum>
  <w:abstractNum w:abstractNumId="160">
    <w:nsid w:val="46B24DBC"/>
    <w:multiLevelType w:val="hybridMultilevel"/>
    <w:lvl w:ilvl="0">
      <w:lvlJc w:val="left"/>
      <w:lvlText w:val="(%1)"/>
      <w:numFmt w:val="lowerRoman"/>
      <w:start w:val="3"/>
    </w:lvl>
  </w:abstractNum>
  <w:abstractNum w:abstractNumId="161">
    <w:nsid w:val="75B52783"/>
    <w:multiLevelType w:val="hybridMultilevel"/>
    <w:lvl w:ilvl="0">
      <w:lvlJc w:val="left"/>
      <w:lvlText w:val="%1"/>
      <w:numFmt w:val="lowerLetter"/>
      <w:start w:val="1"/>
    </w:lvl>
    <w:lvl w:ilvl="1">
      <w:lvlJc w:val="left"/>
      <w:lvlText w:val="(%2)"/>
      <w:numFmt w:val="lowerRoman"/>
      <w:start w:val="4"/>
    </w:lvl>
  </w:abstractNum>
  <w:abstractNum w:abstractNumId="162">
    <w:nsid w:val="57CE66B4"/>
    <w:multiLevelType w:val="hybridMultilevel"/>
    <w:lvl w:ilvl="0">
      <w:lvlJc w:val="left"/>
      <w:lvlText w:val="(%1)"/>
      <w:numFmt w:val="lowerLetter"/>
      <w:start w:val="2"/>
    </w:lvl>
    <w:lvl w:ilvl="1">
      <w:lvlJc w:val="left"/>
      <w:lvlText w:val="%2"/>
      <w:numFmt w:val="lowerRoman"/>
      <w:start w:val="1"/>
    </w:lvl>
  </w:abstractNum>
  <w:abstractNum w:abstractNumId="163">
    <w:nsid w:val="67A70B69"/>
    <w:multiLevelType w:val="hybridMultilevel"/>
    <w:lvl w:ilvl="0">
      <w:lvlJc w:val="left"/>
      <w:lvlText w:val="(%1)"/>
      <w:numFmt w:val="lowerLetter"/>
      <w:start w:val="1"/>
    </w:lvl>
  </w:abstractNum>
  <w:abstractNum w:abstractNumId="164">
    <w:nsid w:val="5953172F"/>
    <w:multiLevelType w:val="hybridMultilevel"/>
    <w:lvl w:ilvl="0">
      <w:lvlJc w:val="left"/>
      <w:lvlText w:val="(%1)"/>
      <w:numFmt w:val="lowerLetter"/>
      <w:start w:val="4"/>
    </w:lvl>
  </w:abstractNum>
  <w:abstractNum w:abstractNumId="165">
    <w:nsid w:val="27EDFE3A"/>
    <w:multiLevelType w:val="hybridMultilevel"/>
    <w:lvl w:ilvl="0">
      <w:lvlJc w:val="left"/>
      <w:lvlText w:val="(%1)"/>
      <w:numFmt w:val="lowerLetter"/>
      <w:start w:val="1"/>
    </w:lvl>
  </w:abstractNum>
  <w:abstractNum w:abstractNumId="166">
    <w:nsid w:val="52AC7DFF"/>
    <w:multiLevelType w:val="hybridMultilevel"/>
    <w:lvl w:ilvl="0">
      <w:lvlJc w:val="left"/>
      <w:lvlText w:val="(%1)"/>
      <w:numFmt w:val="lowerLetter"/>
      <w:start w:val="4"/>
    </w:lvl>
    <w:lvl w:ilvl="1">
      <w:lvlJc w:val="left"/>
      <w:lvlText w:val="(%2)"/>
      <w:numFmt w:val="lowerRoman"/>
      <w:start w:val="1"/>
    </w:lvl>
  </w:abstractNum>
  <w:abstractNum w:abstractNumId="167">
    <w:nsid w:val="C4C3AF"/>
    <w:multiLevelType w:val="hybridMultilevel"/>
    <w:lvl w:ilvl="0">
      <w:lvlJc w:val="left"/>
      <w:lvlText w:val="(%1)"/>
      <w:numFmt w:val="lowerLetter"/>
      <w:start w:val="1"/>
    </w:lvl>
  </w:abstractNum>
  <w:abstractNum w:abstractNumId="168">
    <w:nsid w:val="44380727"/>
    <w:multiLevelType w:val="hybridMultilevel"/>
    <w:lvl w:ilvl="0">
      <w:lvlJc w:val="left"/>
      <w:lvlText w:val="(%1)"/>
      <w:numFmt w:val="lowerLetter"/>
      <w:start w:val="1"/>
    </w:lvl>
  </w:abstractNum>
  <w:abstractNum w:abstractNumId="169">
    <w:nsid w:val="6C053B16"/>
    <w:multiLevelType w:val="hybridMultilevel"/>
    <w:lvl w:ilvl="0">
      <w:lvlJc w:val="left"/>
      <w:lvlText w:val="%1"/>
      <w:numFmt w:val="lowerLetter"/>
      <w:start w:val="1"/>
    </w:lvl>
    <w:lvl w:ilvl="1">
      <w:lvlJc w:val="left"/>
      <w:lvlText w:val="(%2)"/>
      <w:numFmt w:val="lowerLetter"/>
      <w:start w:val="1"/>
    </w:lvl>
  </w:abstractNum>
  <w:abstractNum w:abstractNumId="170">
    <w:nsid w:val="4F294393"/>
    <w:multiLevelType w:val="hybridMultilevel"/>
    <w:lvl w:ilvl="0">
      <w:lvlJc w:val="left"/>
      <w:lvlText w:val="(%1)"/>
      <w:numFmt w:val="lowerLetter"/>
      <w:start w:val="61"/>
    </w:lvl>
    <w:lvl w:ilvl="1">
      <w:lvlJc w:val="left"/>
      <w:lvlText w:val="(%2)"/>
      <w:numFmt w:val="lowerLetter"/>
      <w:start w:val="2"/>
    </w:lvl>
  </w:abstractNum>
  <w:abstractNum w:abstractNumId="171">
    <w:nsid w:val="5243BFAC"/>
    <w:multiLevelType w:val="hybridMultilevel"/>
    <w:lvl w:ilvl="0">
      <w:lvlJc w:val="left"/>
      <w:lvlText w:val="(%1)"/>
      <w:numFmt w:val="lowerLetter"/>
      <w:start w:val="1"/>
    </w:lvl>
    <w:lvl w:ilvl="1">
      <w:lvlJc w:val="left"/>
      <w:lvlText w:val="(%2)"/>
      <w:numFmt w:val="lowerLetter"/>
      <w:start w:val="9"/>
    </w:lvl>
  </w:abstractNum>
  <w:abstractNum w:abstractNumId="172">
    <w:nsid w:val="425EB207"/>
    <w:multiLevelType w:val="hybridMultilevel"/>
    <w:lvl w:ilvl="0">
      <w:lvlJc w:val="left"/>
      <w:lvlText w:val="(%1)"/>
      <w:numFmt w:val="lowerRoman"/>
      <w:start w:val="3"/>
    </w:lvl>
  </w:abstractNum>
  <w:abstractNum w:abstractNumId="173">
    <w:nsid w:val="334A6F1F"/>
    <w:multiLevelType w:val="hybridMultilevel"/>
    <w:lvl w:ilvl="0">
      <w:lvlJc w:val="left"/>
      <w:lvlText w:val="(%1)"/>
      <w:numFmt w:val="lowerLetter"/>
      <w:start w:val="2"/>
    </w:lvl>
  </w:abstractNum>
  <w:abstractNum w:abstractNumId="174">
    <w:nsid w:val="2E5B12B8"/>
    <w:multiLevelType w:val="hybridMultilevel"/>
    <w:lvl w:ilvl="0">
      <w:lvlJc w:val="left"/>
      <w:lvlText w:val="(%1)"/>
      <w:numFmt w:val="lowerLetter"/>
      <w:start w:val="1"/>
    </w:lvl>
  </w:abstractNum>
  <w:abstractNum w:abstractNumId="175">
    <w:nsid w:val="5C03D76D"/>
    <w:multiLevelType w:val="hybridMultilevel"/>
    <w:lvl w:ilvl="0">
      <w:lvlJc w:val="left"/>
      <w:lvlText w:val="(%1)"/>
      <w:numFmt w:val="lowerLetter"/>
      <w:start w:val="2"/>
    </w:lvl>
  </w:abstractNum>
  <w:abstractNum w:abstractNumId="176">
    <w:nsid w:val="66A48D11"/>
    <w:multiLevelType w:val="hybridMultilevel"/>
    <w:lvl w:ilvl="0">
      <w:lvlJc w:val="left"/>
      <w:lvlText w:val="(%1)"/>
      <w:numFmt w:val="lowerLetter"/>
      <w:start w:val="1"/>
    </w:lvl>
  </w:abstractNum>
  <w:abstractNum w:abstractNumId="177">
    <w:nsid w:val="56C28E34"/>
    <w:multiLevelType w:val="hybridMultilevel"/>
    <w:lvl w:ilvl="0">
      <w:lvlJc w:val="left"/>
      <w:lvlText w:val="(%1)"/>
      <w:numFmt w:val="lowerLetter"/>
      <w:start w:val="1"/>
    </w:lvl>
  </w:abstractNum>
  <w:abstractNum w:abstractNumId="178">
    <w:nsid w:val="13916F2D"/>
    <w:multiLevelType w:val="hybridMultilevel"/>
    <w:lvl w:ilvl="0">
      <w:lvlJc w:val="left"/>
      <w:lvlText w:val="(%1)"/>
      <w:numFmt w:val="lowerLetter"/>
      <w:start w:val="2"/>
    </w:lvl>
  </w:abstractNum>
  <w:abstractNum w:abstractNumId="179">
    <w:nsid w:val="435D38D"/>
    <w:multiLevelType w:val="hybridMultilevel"/>
    <w:lvl w:ilvl="0">
      <w:lvlJc w:val="left"/>
      <w:lvlText w:val="(%1)"/>
      <w:numFmt w:val="lowerLetter"/>
      <w:start w:val="5"/>
    </w:lvl>
  </w:abstractNum>
  <w:abstractNum w:abstractNumId="180">
    <w:nsid w:val="822C0EF"/>
    <w:multiLevelType w:val="hybridMultilevel"/>
    <w:lvl w:ilvl="0">
      <w:lvlJc w:val="left"/>
      <w:lvlText w:val="(%1)"/>
      <w:numFmt w:val="decimal"/>
      <w:start w:val="2"/>
    </w:lvl>
  </w:abstractNum>
  <w:abstractNum w:abstractNumId="181">
    <w:nsid w:val="57C5BB4F"/>
    <w:multiLevelType w:val="hybridMultilevel"/>
    <w:lvl w:ilvl="0">
      <w:lvlJc w:val="left"/>
      <w:lvlText w:val="(%1)"/>
      <w:numFmt w:val="lowerLetter"/>
      <w:start w:val="1"/>
    </w:lvl>
    <w:lvl w:ilvl="1">
      <w:lvlJc w:val="left"/>
      <w:lvlText w:val="(%2)"/>
      <w:numFmt w:val="lowerLetter"/>
      <w:start w:val="9"/>
    </w:lvl>
  </w:abstractNum>
  <w:abstractNum w:abstractNumId="182">
    <w:nsid w:val="1803D089"/>
    <w:multiLevelType w:val="hybridMultilevel"/>
    <w:lvl w:ilvl="0">
      <w:lvlJc w:val="left"/>
      <w:lvlText w:val="%1"/>
      <w:numFmt w:val="lowerLetter"/>
      <w:start w:val="1"/>
    </w:lvl>
    <w:lvl w:ilvl="1">
      <w:lvlJc w:val="left"/>
      <w:lvlText w:val="(%2)"/>
      <w:numFmt w:val="lowerLetter"/>
      <w:start w:val="35"/>
    </w:lvl>
  </w:abstractNum>
  <w:abstractNum w:abstractNumId="183">
    <w:nsid w:val="4F3A06D4"/>
    <w:multiLevelType w:val="hybridMultilevel"/>
    <w:lvl w:ilvl="0">
      <w:lvlJc w:val="left"/>
      <w:lvlText w:val="(%1)"/>
      <w:numFmt w:val="lowerLetter"/>
      <w:start w:val="2"/>
    </w:lvl>
    <w:lvl w:ilvl="1">
      <w:lvlJc w:val="left"/>
      <w:lvlText w:val="%2"/>
      <w:numFmt w:val="lowerLetter"/>
      <w:start w:val="1"/>
    </w:lvl>
  </w:abstractNum>
  <w:abstractNum w:abstractNumId="184">
    <w:nsid w:val="59A377B6"/>
    <w:multiLevelType w:val="hybridMultilevel"/>
    <w:lvl w:ilvl="0">
      <w:lvlJc w:val="left"/>
      <w:lvlText w:val="(%1)"/>
      <w:numFmt w:val="lowerLetter"/>
      <w:start w:val="1"/>
    </w:lvl>
  </w:abstractNum>
  <w:abstractNum w:abstractNumId="185">
    <w:nsid w:val="48AEB063"/>
    <w:multiLevelType w:val="hybridMultilevel"/>
    <w:lvl w:ilvl="0">
      <w:lvlJc w:val="left"/>
      <w:lvlText w:val="(%1)"/>
      <w:numFmt w:val="lowerLetter"/>
      <w:start w:val="5"/>
    </w:lvl>
  </w:abstractNum>
  <w:abstractNum w:abstractNumId="186">
    <w:nsid w:val="24E135"/>
    <w:multiLevelType w:val="hybridMultilevel"/>
    <w:lvl w:ilvl="0">
      <w:lvlJc w:val="left"/>
      <w:lvlText w:val="%1."/>
      <w:numFmt w:val="decimal"/>
      <w:start w:val="1"/>
    </w:lvl>
  </w:abstractNum>
  <w:abstractNum w:abstractNumId="187">
    <w:nsid w:val="BB13C1"/>
    <w:multiLevelType w:val="hybridMultilevel"/>
    <w:lvl w:ilvl="0">
      <w:lvlJc w:val="left"/>
      <w:lvlText w:val="%1."/>
      <w:numFmt w:val="decimal"/>
      <w:start w:val="1"/>
    </w:lvl>
  </w:abstractNum>
  <w:abstractNum w:abstractNumId="188">
    <w:nsid w:val="271210C7"/>
    <w:multiLevelType w:val="hybridMultilevel"/>
    <w:lvl w:ilvl="0">
      <w:lvlJc w:val="left"/>
      <w:lvlText w:val="%1"/>
      <w:numFmt w:val="lowerRoman"/>
      <w:start w:val="1"/>
    </w:lvl>
    <w:lvl w:ilvl="1">
      <w:lvlJc w:val="left"/>
      <w:lvlText w:val="%2."/>
      <w:numFmt w:val="decimal"/>
      <w:start w:val="3"/>
    </w:lvl>
  </w:abstractNum>
  <w:abstractNum w:abstractNumId="189">
    <w:nsid w:val="217B22E4"/>
    <w:multiLevelType w:val="hybridMultilevel"/>
    <w:lvl w:ilvl="0">
      <w:lvlJc w:val="left"/>
      <w:lvlText w:val="(%1)"/>
      <w:numFmt w:val="lowerRoman"/>
      <w:start w:val="3"/>
    </w:lvl>
    <w:lvl w:ilvl="1">
      <w:lvlJc w:val="left"/>
      <w:lvlText w:val="%2."/>
      <w:numFmt w:val="decimal"/>
      <w:start w:val="4"/>
    </w:lvl>
  </w:abstractNum>
  <w:abstractNum w:abstractNumId="190">
    <w:nsid w:val="53E31A24"/>
    <w:multiLevelType w:val="hybridMultilevel"/>
    <w:lvl w:ilvl="0">
      <w:lvlJc w:val="left"/>
      <w:lvlText w:val="%1."/>
      <w:numFmt w:val="decimal"/>
      <w:start w:val="5"/>
    </w:lvl>
  </w:abstractNum>
  <w:abstractNum w:abstractNumId="191">
    <w:nsid w:val="6DC45E83"/>
    <w:multiLevelType w:val="hybridMultilevel"/>
    <w:lvl w:ilvl="0">
      <w:lvlJc w:val="left"/>
      <w:lvlText w:val="%1"/>
      <w:numFmt w:val="decimal"/>
      <w:start w:val="1"/>
    </w:lvl>
    <w:lvl w:ilvl="1">
      <w:lvlJc w:val="left"/>
      <w:lvlText w:val="(%2)"/>
      <w:numFmt w:val="lowerLetter"/>
      <w:start w:val="2"/>
    </w:lvl>
  </w:abstractNum>
  <w:abstractNum w:abstractNumId="192">
    <w:nsid w:val="17304A67"/>
    <w:multiLevelType w:val="hybridMultilevel"/>
    <w:lvl w:ilvl="0">
      <w:lvlJc w:val="left"/>
      <w:lvlText w:val="%1."/>
      <w:numFmt w:val="decimal"/>
      <w:start w:val="8"/>
    </w:lvl>
    <w:lvl w:ilvl="1">
      <w:lvlJc w:val="left"/>
      <w:lvlText w:val="%2"/>
      <w:numFmt w:val="lowerLetter"/>
      <w:start w:val="1"/>
    </w:lvl>
  </w:abstractNum>
  <w:abstractNum w:abstractNumId="193">
    <w:nsid w:val="2BB180D8"/>
    <w:multiLevelType w:val="hybridMultilevel"/>
    <w:lvl w:ilvl="0">
      <w:lvlJc w:val="left"/>
      <w:lvlText w:val="%1."/>
      <w:numFmt w:val="decimal"/>
      <w:start w:val="10"/>
    </w:lvl>
  </w:abstractNum>
  <w:abstractNum w:abstractNumId="194">
    <w:nsid w:val="556B69ED"/>
    <w:multiLevelType w:val="hybridMultilevel"/>
    <w:lvl w:ilvl="0">
      <w:lvlJc w:val="left"/>
      <w:lvlText w:val="%1."/>
      <w:numFmt w:val="decimal"/>
      <w:start w:val="14"/>
    </w:lvl>
  </w:abstractNum>
  <w:abstractNum w:abstractNumId="195">
    <w:nsid w:val="70836196"/>
    <w:multiLevelType w:val="hybridMultilevel"/>
    <w:lvl w:ilvl="0">
      <w:lvlJc w:val="left"/>
      <w:lvlText w:val="%1."/>
      <w:numFmt w:val="decimal"/>
      <w:start w:val="1"/>
    </w:lvl>
    <w:lvl w:ilvl="1">
      <w:lvlJc w:val="left"/>
      <w:lvlText w:val="(%2)"/>
      <w:numFmt w:val="lowerLetter"/>
      <w:start w:val="1"/>
    </w:lvl>
  </w:abstractNum>
  <w:abstractNum w:abstractNumId="196">
    <w:nsid w:val="539F7F12"/>
    <w:multiLevelType w:val="hybridMultilevel"/>
    <w:lvl w:ilvl="0">
      <w:lvlJc w:val="left"/>
      <w:lvlText w:val="(%1)"/>
      <w:numFmt w:val="lowerLetter"/>
      <w:start w:val="4"/>
    </w:lvl>
  </w:abstractNum>
  <w:abstractNum w:abstractNumId="197">
    <w:nsid w:val="2817E7EC"/>
    <w:multiLevelType w:val="hybridMultilevel"/>
    <w:lvl w:ilvl="0">
      <w:lvlJc w:val="left"/>
      <w:lvlText w:val="%1"/>
      <w:numFmt w:val="decimal"/>
      <w:start w:val="1"/>
    </w:lvl>
    <w:lvl w:ilvl="1">
      <w:lvlJc w:val="left"/>
      <w:lvlText w:val="(%2)"/>
      <w:numFmt w:val="lowerLetter"/>
      <w:start w:val="11"/>
    </w:lvl>
  </w:abstractNum>
  <w:abstractNum w:abstractNumId="198">
    <w:nsid w:val="71482545"/>
    <w:multiLevelType w:val="hybridMultilevel"/>
    <w:lvl w:ilvl="0">
      <w:lvlJc w:val="left"/>
      <w:lvlText w:val="%1."/>
      <w:numFmt w:val="decimal"/>
      <w:start w:val="2"/>
    </w:lvl>
    <w:lvl w:ilvl="1">
      <w:lvlJc w:val="left"/>
      <w:lvlText w:val="(%2)"/>
      <w:numFmt w:val="lowerLetter"/>
      <w:start w:val="1"/>
    </w:lvl>
  </w:abstractNum>
  <w:abstractNum w:abstractNumId="199">
    <w:nsid w:val="17D78639"/>
    <w:multiLevelType w:val="hybridMultilevel"/>
    <w:lvl w:ilvl="0">
      <w:lvlJc w:val="left"/>
      <w:lvlText w:val="%1"/>
      <w:numFmt w:val="decimal"/>
      <w:start w:val="1"/>
    </w:lvl>
    <w:lvl w:ilvl="1">
      <w:lvlJc w:val="left"/>
      <w:lvlText w:val="(%2)"/>
      <w:numFmt w:val="lowerLetter"/>
      <w:start w:val="4"/>
    </w:lvl>
  </w:abstractNum>
  <w:abstractNum w:abstractNumId="200">
    <w:nsid w:val="141D2302"/>
    <w:multiLevelType w:val="hybridMultilevel"/>
    <w:lvl w:ilvl="0">
      <w:lvlJc w:val="left"/>
      <w:lvlText w:val="%1."/>
      <w:numFmt w:val="decimal"/>
      <w:start w:val="3"/>
    </w:lvl>
    <w:lvl w:ilvl="1">
      <w:lvlJc w:val="left"/>
      <w:lvlText w:val="(%2)"/>
      <w:numFmt w:val="lowerLetter"/>
      <w:start w:val="1"/>
    </w:lvl>
  </w:abstractNum>
  <w:abstractNum w:abstractNumId="201">
    <w:nsid w:val="407168D8"/>
    <w:multiLevelType w:val="hybridMultilevel"/>
    <w:lvl w:ilvl="0">
      <w:lvlJc w:val="left"/>
      <w:lvlText w:val="%1"/>
      <w:numFmt w:val="decimal"/>
      <w:start w:val="1"/>
    </w:lvl>
    <w:lvl w:ilvl="1">
      <w:lvlJc w:val="left"/>
      <w:lvlText w:val="(%2)"/>
      <w:numFmt w:val="lowerLetter"/>
      <w:start w:val="8"/>
    </w:lvl>
  </w:abstractNum>
  <w:abstractNum w:abstractNumId="202">
    <w:nsid w:val="6A1B45E5"/>
    <w:multiLevelType w:val="hybridMultilevel"/>
    <w:lvl w:ilvl="0">
      <w:lvlJc w:val="left"/>
      <w:lvlText w:val="%1."/>
      <w:numFmt w:val="decimal"/>
      <w:start w:val="4"/>
    </w:lvl>
    <w:lvl w:ilvl="1">
      <w:lvlJc w:val="left"/>
      <w:lvlText w:val="(%2)"/>
      <w:numFmt w:val="lowerLetter"/>
      <w:start w:val="1"/>
    </w:lvl>
  </w:abstractNum>
  <w:abstractNum w:abstractNumId="203">
    <w:nsid w:val="567BD50A"/>
    <w:multiLevelType w:val="hybridMultilevel"/>
    <w:lvl w:ilvl="0">
      <w:lvlJc w:val="left"/>
      <w:lvlText w:val="(%1)"/>
      <w:numFmt w:val="lowerLetter"/>
      <w:start w:val="2"/>
    </w:lvl>
  </w:abstractNum>
  <w:abstractNum w:abstractNumId="204">
    <w:nsid w:val="73BBD7F8"/>
    <w:multiLevelType w:val="hybridMultilevel"/>
    <w:lvl w:ilvl="0">
      <w:lvlJc w:val="left"/>
      <w:lvlText w:val="(%1)"/>
      <w:numFmt w:val="lowerLetter"/>
      <w:start w:val="7"/>
    </w:lvl>
  </w:abstractNum>
  <w:abstractNum w:abstractNumId="205">
    <w:nsid w:val="1876589D"/>
    <w:multiLevelType w:val="hybridMultilevel"/>
    <w:lvl w:ilvl="0">
      <w:lvlJc w:val="left"/>
      <w:lvlText w:val="1"/>
      <w:numFmt w:val="bullet"/>
      <w:start w:val="1"/>
    </w:lvl>
  </w:abstractNum>
  <w:abstractNum w:abstractNumId="206">
    <w:nsid w:val="327FAC77"/>
    <w:multiLevelType w:val="hybridMultilevel"/>
    <w:lvl w:ilvl="0">
      <w:lvlJc w:val="left"/>
      <w:lvlText w:val="$"/>
      <w:numFmt w:val="bullet"/>
      <w:start w:val="1"/>
    </w:lvl>
  </w:abstractNum>
  <w:abstractNum w:abstractNumId="207">
    <w:nsid w:val="5A606509"/>
    <w:multiLevelType w:val="hybridMultilevel"/>
    <w:lvl w:ilvl="0">
      <w:lvlJc w:val="left"/>
      <w:lvlText w:val="(%1)"/>
      <w:numFmt w:val="lowerLetter"/>
      <w:start w:val="1"/>
    </w:lvl>
  </w:abstractNum>
  <w:abstractNum w:abstractNumId="208">
    <w:nsid w:val="6F38E6D1"/>
    <w:multiLevelType w:val="hybridMultilevel"/>
    <w:lvl w:ilvl="0">
      <w:lvlJc w:val="left"/>
      <w:lvlText w:val="(%1)"/>
      <w:numFmt w:val="lowerLetter"/>
      <w:start w:val="1"/>
    </w:lvl>
  </w:abstractNum>
  <w:abstractNum w:abstractNumId="209">
    <w:nsid w:val="46111BA5"/>
    <w:multiLevelType w:val="hybridMultilevel"/>
    <w:lvl w:ilvl="0">
      <w:lvlJc w:val="left"/>
      <w:lvlText w:val="(%1)"/>
      <w:numFmt w:val="lowerLetter"/>
      <w:start w:val="2"/>
    </w:lvl>
  </w:abstractNum>
  <w:abstractNum w:abstractNumId="210">
    <w:nsid w:val="5E963896"/>
    <w:multiLevelType w:val="hybridMultilevel"/>
    <w:lvl w:ilvl="0">
      <w:lvlJc w:val="left"/>
      <w:lvlText w:val="(%1)"/>
      <w:numFmt w:val="lowerRoman"/>
      <w:start w:val="1"/>
    </w:lvl>
  </w:abstractNum>
  <w:abstractNum w:abstractNumId="211">
    <w:nsid w:val="775BA7C1"/>
    <w:multiLevelType w:val="hybridMultilevel"/>
    <w:lvl w:ilvl="0">
      <w:lvlJc w:val="left"/>
      <w:lvlText w:val="%1"/>
      <w:numFmt w:val="upperLetter"/>
      <w:start w:val="1"/>
    </w:lvl>
    <w:lvl w:ilvl="1">
      <w:lvlJc w:val="left"/>
      <w:lvlText w:val="(%2)"/>
      <w:numFmt w:val="lowerRoman"/>
      <w:start w:val="1"/>
    </w:lvl>
  </w:abstractNum>
  <w:abstractNum w:abstractNumId="212">
    <w:nsid w:val="1DD6D6F4"/>
    <w:multiLevelType w:val="hybridMultilevel"/>
    <w:lvl w:ilvl="0">
      <w:lvlJc w:val="left"/>
      <w:lvlText w:val="%1."/>
      <w:numFmt w:val="upperLetter"/>
      <w:start w:val="3"/>
    </w:lvl>
    <w:lvl w:ilvl="1">
      <w:lvlJc w:val="left"/>
      <w:lvlText w:val="%2"/>
      <w:numFmt w:val="lowerRoman"/>
      <w:start w:val="1"/>
    </w:lvl>
  </w:abstractNum>
  <w:abstractNum w:abstractNumId="213">
    <w:nsid w:val="769A091F"/>
    <w:multiLevelType w:val="hybridMultilevel"/>
    <w:lvl w:ilvl="0">
      <w:lvlJc w:val="left"/>
      <w:lvlText w:val="%1"/>
      <w:numFmt w:val="upperLetter"/>
      <w:start w:val="1"/>
    </w:lvl>
    <w:lvl w:ilvl="1">
      <w:lvlJc w:val="left"/>
      <w:lvlText w:val="(%2)"/>
      <w:numFmt w:val="lowerRoman"/>
      <w:start w:val="1"/>
    </w:lvl>
  </w:abstractNum>
  <w:abstractNum w:abstractNumId="214">
    <w:nsid w:val="4695AE95"/>
    <w:multiLevelType w:val="hybridMultilevel"/>
    <w:lvl w:ilvl="0">
      <w:lvlJc w:val="left"/>
      <w:lvlText w:val="%1."/>
      <w:numFmt w:val="upperLetter"/>
      <w:start w:val="3"/>
    </w:lvl>
    <w:lvl w:ilvl="1">
      <w:lvlJc w:val="left"/>
      <w:lvlText w:val="(%2)"/>
      <w:numFmt w:val="lowerRoman"/>
      <w:start w:val="1"/>
    </w:lvl>
  </w:abstractNum>
  <w:abstractNum w:abstractNumId="215">
    <w:nsid w:val="777A4EAA"/>
    <w:multiLevelType w:val="hybridMultilevel"/>
    <w:lvl w:ilvl="0">
      <w:lvlJc w:val="left"/>
      <w:lvlText w:val="(%1)"/>
      <w:numFmt w:val="lowerRoman"/>
      <w:start w:val="6"/>
    </w:lvl>
  </w:abstractNum>
  <w:abstractNum w:abstractNumId="216">
    <w:nsid w:val="3F48B982"/>
    <w:multiLevelType w:val="hybridMultilevel"/>
    <w:lvl w:ilvl="0">
      <w:lvlJc w:val="left"/>
      <w:lvlText w:val="%1."/>
      <w:numFmt w:val="decimal"/>
      <w:start w:val="1"/>
    </w:lvl>
  </w:abstractNum>
  <w:abstractNum w:abstractNumId="217">
    <w:nsid w:val="46BA8FCA"/>
    <w:multiLevelType w:val="hybridMultilevel"/>
    <w:lvl w:ilvl="0">
      <w:lvlJc w:val="left"/>
      <w:lvlText w:val="(%1)"/>
      <w:numFmt w:val="lowerLetter"/>
      <w:start w:val="1"/>
    </w:lvl>
    <w:lvl w:ilvl="1">
      <w:lvlJc w:val="left"/>
      <w:lvlText w:val="(%2)"/>
      <w:numFmt w:val="lowerRoman"/>
      <w:start w:val="1"/>
    </w:lvl>
  </w:abstractNum>
  <w:abstractNum w:abstractNumId="218">
    <w:nsid w:val="7835626C"/>
    <w:multiLevelType w:val="hybridMultilevel"/>
    <w:lvl w:ilvl="0">
      <w:lvlJc w:val="left"/>
      <w:lvlText w:val="%1"/>
      <w:numFmt w:val="lowerLetter"/>
      <w:start w:val="1"/>
    </w:lvl>
    <w:lvl w:ilvl="1">
      <w:lvlJc w:val="left"/>
      <w:lvlText w:val="(%2)"/>
      <w:numFmt w:val="lowerRoman"/>
      <w:start w:val="3"/>
    </w:lvl>
  </w:abstractNum>
  <w:abstractNum w:abstractNumId="219">
    <w:nsid w:val="665ACA49"/>
    <w:multiLevelType w:val="hybridMultilevel"/>
    <w:lvl w:ilvl="0">
      <w:lvlJc w:val="left"/>
      <w:lvlText w:val="(%1)"/>
      <w:numFmt w:val="lowerLetter"/>
      <w:start w:val="4"/>
    </w:lvl>
    <w:lvl w:ilvl="1">
      <w:lvlJc w:val="left"/>
      <w:lvlText w:val="%2"/>
      <w:numFmt w:val="lowerRoman"/>
      <w:start w:val="1"/>
    </w:lvl>
  </w:abstractNum>
  <w:abstractNum w:abstractNumId="220">
    <w:nsid w:val="6835B2AE"/>
    <w:multiLevelType w:val="hybridMultilevel"/>
    <w:lvl w:ilvl="0">
      <w:lvlJc w:val="left"/>
      <w:lvlText w:val="(%1)"/>
      <w:numFmt w:val="lowerLetter"/>
      <w:start w:val="10"/>
    </w:lvl>
  </w:abstractNum>
  <w:abstractNum w:abstractNumId="221">
    <w:nsid w:val="4C187C90"/>
    <w:multiLevelType w:val="hybridMultilevel"/>
    <w:lvl w:ilvl="0">
      <w:lvlJc w:val="left"/>
      <w:lvlText w:val="(%1)"/>
      <w:numFmt w:val="lowerLetter"/>
      <w:start w:val="15"/>
    </w:lvl>
  </w:abstractNum>
  <w:abstractNum w:abstractNumId="222">
    <w:nsid w:val="541F28CD"/>
    <w:multiLevelType w:val="hybridMultilevel"/>
    <w:lvl w:ilvl="0">
      <w:lvlJc w:val="left"/>
      <w:lvlText w:val="%1."/>
      <w:numFmt w:val="decimal"/>
      <w:start w:val="3"/>
    </w:lvl>
  </w:abstractNum>
  <w:abstractNum w:abstractNumId="223">
    <w:nsid w:val="7F65FD16"/>
    <w:multiLevelType w:val="hybridMultilevel"/>
    <w:lvl w:ilvl="0">
      <w:lvlJc w:val="left"/>
      <w:lvlText w:val="%1."/>
      <w:numFmt w:val="decimal"/>
      <w:start w:val="6"/>
    </w:lvl>
  </w:abstractNum>
  <w:abstractNum w:abstractNumId="224">
    <w:nsid w:val="77C9FD68"/>
    <w:multiLevelType w:val="hybridMultilevel"/>
    <w:lvl w:ilvl="0">
      <w:lvlJc w:val="left"/>
      <w:lvlText w:val="(%1)"/>
      <w:numFmt w:val="lowerLetter"/>
      <w:start w:val="1"/>
    </w:lvl>
  </w:abstractNum>
  <w:abstractNum w:abstractNumId="225">
    <w:nsid w:val="298A92BA"/>
    <w:multiLevelType w:val="hybridMultilevel"/>
    <w:lvl w:ilvl="0">
      <w:lvlJc w:val="left"/>
      <w:lvlText w:val="%1."/>
      <w:numFmt w:val="decimal"/>
      <w:start w:val="9"/>
    </w:lvl>
  </w:abstractNum>
  <w:abstractNum w:abstractNumId="226">
    <w:nsid w:val="6FE95EAC"/>
    <w:multiLevelType w:val="hybridMultilevel"/>
    <w:lvl w:ilvl="0">
      <w:lvlJc w:val="left"/>
      <w:lvlText w:val="(%1)"/>
      <w:numFmt w:val="lowerLetter"/>
      <w:start w:val="1"/>
    </w:lvl>
  </w:abstractNum>
  <w:abstractNum w:abstractNumId="227">
    <w:nsid w:val="4B697C7A"/>
    <w:multiLevelType w:val="hybridMultilevel"/>
    <w:lvl w:ilvl="0">
      <w:lvlJc w:val="left"/>
      <w:lvlText w:val="(%1)"/>
      <w:numFmt w:val="lowerLetter"/>
      <w:start w:val="2"/>
    </w:lvl>
  </w:abstractNum>
  <w:abstractNum w:abstractNumId="228">
    <w:nsid w:val="51A27AA6"/>
    <w:multiLevelType w:val="hybridMultilevel"/>
    <w:lvl w:ilvl="0">
      <w:lvlJc w:val="left"/>
      <w:lvlText w:val="(%1)"/>
      <w:numFmt w:val="lowerLetter"/>
      <w:start w:val="1"/>
    </w:lvl>
  </w:abstractNum>
  <w:abstractNum w:abstractNumId="229">
    <w:nsid w:val="613183F2"/>
    <w:multiLevelType w:val="hybridMultilevel"/>
    <w:lvl w:ilvl="0">
      <w:lvlJc w:val="left"/>
      <w:lvlText w:val="(%1)"/>
      <w:numFmt w:val="lowerLetter"/>
      <w:start w:val="1"/>
    </w:lvl>
  </w:abstractNum>
  <w:abstractNum w:abstractNumId="230">
    <w:nsid w:val="634102B4"/>
    <w:multiLevelType w:val="hybridMultilevel"/>
    <w:lvl w:ilvl="0">
      <w:lvlJc w:val="left"/>
      <w:lvlText w:val="(%1)"/>
      <w:numFmt w:val="lowerLetter"/>
      <w:start w:val="1"/>
    </w:lvl>
  </w:abstractNum>
  <w:abstractNum w:abstractNumId="231">
    <w:nsid w:val="65BF9DA8"/>
    <w:multiLevelType w:val="hybridMultilevel"/>
    <w:lvl w:ilvl="0">
      <w:lvlJc w:val="left"/>
      <w:lvlText w:val="(%1)"/>
      <w:numFmt w:val="lowerLetter"/>
      <w:start w:val="3"/>
    </w:lvl>
  </w:abstractNum>
  <w:abstractNum w:abstractNumId="232">
    <w:nsid w:val="21A2ECCA"/>
    <w:multiLevelType w:val="hybridMultilevel"/>
    <w:lvl w:ilvl="0">
      <w:lvlJc w:val="left"/>
      <w:lvlText w:val="(%1)"/>
      <w:numFmt w:val="lowerLetter"/>
      <w:start w:val="1"/>
    </w:lvl>
  </w:abstractNum>
  <w:abstractNum w:abstractNumId="233">
    <w:nsid w:val="4D5C4899"/>
    <w:multiLevelType w:val="hybridMultilevel"/>
    <w:lvl w:ilvl="0">
      <w:lvlJc w:val="left"/>
      <w:lvlText w:val="(%1)"/>
      <w:numFmt w:val="lowerLetter"/>
      <w:start w:val="5"/>
    </w:lvl>
  </w:abstractNum>
  <w:abstractNum w:abstractNumId="234">
    <w:nsid w:val="3C3B72B2"/>
    <w:multiLevelType w:val="hybridMultilevel"/>
    <w:lvl w:ilvl="0">
      <w:lvlJc w:val="left"/>
      <w:lvlText w:val="(%1)"/>
      <w:numFmt w:val="lowerLetter"/>
      <w:start w:val="1"/>
    </w:lvl>
  </w:abstractNum>
  <w:abstractNum w:abstractNumId="235">
    <w:nsid w:val="155EC4C2"/>
    <w:multiLevelType w:val="hybridMultilevel"/>
    <w:lvl w:ilvl="0">
      <w:lvlJc w:val="left"/>
      <w:lvlText w:val="(%1)"/>
      <w:numFmt w:val="lowerLetter"/>
      <w:start w:val="5"/>
    </w:lvl>
  </w:abstractNum>
  <w:abstractNum w:abstractNumId="236">
    <w:nsid w:val="65D2A137"/>
    <w:multiLevelType w:val="hybridMultilevel"/>
    <w:lvl w:ilvl="0">
      <w:lvlJc w:val="left"/>
      <w:lvlText w:val="%1."/>
      <w:numFmt w:val="decimal"/>
      <w:start w:val="15"/>
    </w:lvl>
  </w:abstractNum>
  <w:abstractNum w:abstractNumId="237">
    <w:nsid w:val="6EBB1F2A"/>
    <w:multiLevelType w:val="hybridMultilevel"/>
    <w:lvl w:ilvl="0">
      <w:lvlJc w:val="left"/>
      <w:lvlText w:val="(%1)"/>
      <w:numFmt w:val="lowerLetter"/>
      <w:start w:val="1"/>
    </w:lvl>
  </w:abstractNum>
  <w:abstractNum w:abstractNumId="238">
    <w:nsid w:val="6FBF29CB"/>
    <w:multiLevelType w:val="hybridMultilevel"/>
    <w:lvl w:ilvl="0">
      <w:lvlJc w:val="left"/>
      <w:lvlText w:val="%1"/>
      <w:numFmt w:val="lowerLetter"/>
      <w:start w:val="1"/>
    </w:lvl>
    <w:lvl w:ilvl="1">
      <w:lvlJc w:val="left"/>
      <w:lvlText w:val="(%2)"/>
      <w:numFmt w:val="lowerLetter"/>
      <w:start w:val="2"/>
    </w:lvl>
  </w:abstractNum>
  <w:abstractNum w:abstractNumId="239">
    <w:nsid w:val="550B8808"/>
    <w:multiLevelType w:val="hybridMultilevel"/>
    <w:lvl w:ilvl="0">
      <w:lvlJc w:val="left"/>
      <w:lvlText w:val="(%1)"/>
      <w:numFmt w:val="lowerLetter"/>
      <w:start w:val="35"/>
    </w:lvl>
    <w:lvl w:ilvl="1">
      <w:lvlJc w:val="left"/>
      <w:lvlText w:val="%2"/>
      <w:numFmt w:val="lowerLetter"/>
      <w:start w:val="1"/>
    </w:lvl>
  </w:abstractNum>
  <w:abstractNum w:abstractNumId="240">
    <w:nsid w:val="34CC3ACF"/>
    <w:multiLevelType w:val="hybridMultilevel"/>
    <w:lvl w:ilvl="0">
      <w:lvlJc w:val="left"/>
      <w:lvlText w:val="%1."/>
      <w:numFmt w:val="decimal"/>
      <w:start w:val="17"/>
    </w:lvl>
  </w:abstractNum>
  <w:abstractNum w:abstractNumId="241">
    <w:nsid w:val="4E556261"/>
    <w:multiLevelType w:val="hybridMultilevel"/>
    <w:lvl w:ilvl="0">
      <w:lvlJc w:val="left"/>
      <w:lvlText w:val="%1."/>
      <w:numFmt w:val="decimal"/>
      <w:start w:val="18"/>
    </w:lvl>
  </w:abstractNum>
  <w:abstractNum w:abstractNumId="242">
    <w:nsid w:val="4C672FC9"/>
    <w:multiLevelType w:val="hybridMultilevel"/>
    <w:lvl w:ilvl="0">
      <w:lvlJc w:val="left"/>
      <w:lvlText w:val="(%1)"/>
      <w:numFmt w:val="lowerLetter"/>
      <w:start w:val="1"/>
    </w:lvl>
  </w:abstractNum>
  <w:abstractNum w:abstractNumId="243">
    <w:nsid w:val="52A311C3"/>
    <w:multiLevelType w:val="hybridMultilevel"/>
    <w:lvl w:ilvl="0">
      <w:lvlJc w:val="left"/>
      <w:lvlText w:val="%1."/>
      <w:numFmt w:val="decimal"/>
      <w:start w:val="20"/>
    </w:lvl>
  </w:abstractNum>
  <w:abstractNum w:abstractNumId="244">
    <w:nsid w:val="44EF6B80"/>
    <w:multiLevelType w:val="hybridMultilevel"/>
    <w:lvl w:ilvl="0">
      <w:lvlJc w:val="left"/>
      <w:lvlText w:val="(%1)"/>
      <w:numFmt w:val="lowerLetter"/>
      <w:start w:val="1"/>
    </w:lvl>
  </w:abstractNum>
  <w:abstractNum w:abstractNumId="245">
    <w:nsid w:val="12FCDE5E"/>
    <w:multiLevelType w:val="hybridMultilevel"/>
    <w:lvl w:ilvl="0">
      <w:lvlJc w:val="left"/>
      <w:lvlText w:val="%1."/>
      <w:numFmt w:val="decimal"/>
      <w:start w:val="22"/>
    </w:lvl>
  </w:abstractNum>
  <w:abstractNum w:abstractNumId="246">
    <w:nsid w:val="4A1D606E"/>
    <w:multiLevelType w:val="hybridMultilevel"/>
    <w:lvl w:ilvl="0">
      <w:lvlJc w:val="left"/>
      <w:lvlText w:val="%1."/>
      <w:numFmt w:val="decimal"/>
      <w:start w:val="23"/>
    </w:lvl>
  </w:abstractNum>
  <w:abstractNum w:abstractNumId="247">
    <w:nsid w:val="4382503"/>
    <w:multiLevelType w:val="hybridMultilevel"/>
    <w:lvl w:ilvl="0">
      <w:lvlJc w:val="left"/>
      <w:lvlText w:val="%1."/>
      <w:numFmt w:val="decimal"/>
      <w:start w:val="1"/>
    </w:lvl>
  </w:abstractNum>
  <w:abstractNum w:abstractNumId="248">
    <w:nsid w:val="59B76E28"/>
    <w:multiLevelType w:val="hybridMultilevel"/>
    <w:lvl w:ilvl="0">
      <w:lvlJc w:val="left"/>
      <w:lvlText w:val="%1."/>
      <w:numFmt w:val="decimal"/>
      <w:start w:val="5"/>
    </w:lvl>
    <w:lvl w:ilvl="1">
      <w:lvlJc w:val="left"/>
      <w:lvlText w:val="(%2)"/>
      <w:numFmt w:val="lowerLetter"/>
      <w:start w:val="1"/>
    </w:lvl>
  </w:abstractNum>
  <w:abstractNum w:abstractNumId="249">
    <w:nsid w:val="4252C2DA"/>
    <w:multiLevelType w:val="hybridMultilevel"/>
    <w:lvl w:ilvl="0">
      <w:lvlJc w:val="left"/>
      <w:lvlText w:val="%1."/>
      <w:numFmt w:val="decimal"/>
      <w:start w:val="8"/>
    </w:lvl>
  </w:abstractNum>
  <w:abstractNum w:abstractNumId="250">
    <w:nsid w:val="6A92EF4C"/>
    <w:multiLevelType w:val="hybridMultilevel"/>
    <w:lvl w:ilvl="0">
      <w:lvlJc w:val="left"/>
      <w:lvlText w:val="%1."/>
      <w:numFmt w:val="decimal"/>
      <w:start w:val="1"/>
    </w:lvl>
  </w:abstractNum>
  <w:abstractNum w:abstractNumId="251">
    <w:nsid w:val="41ED20D7"/>
    <w:multiLevelType w:val="hybridMultilevel"/>
    <w:lvl w:ilvl="0">
      <w:lvlJc w:val="left"/>
      <w:lvlText w:val="%1."/>
      <w:numFmt w:val="decimal"/>
      <w:start w:val="2"/>
    </w:lvl>
  </w:abstractNum>
  <w:abstractNum w:abstractNumId="252">
    <w:nsid w:val="E6B3F6A"/>
    <w:multiLevelType w:val="hybridMultilevel"/>
    <w:lvl w:ilvl="0">
      <w:lvlJc w:val="left"/>
      <w:lvlText w:val="%1."/>
      <w:numFmt w:val="decimal"/>
      <w:start w:val="3"/>
    </w:lvl>
  </w:abstractNum>
  <w:abstractNum w:abstractNumId="253">
    <w:nsid w:val="3EB21819"/>
    <w:multiLevelType w:val="hybridMultilevel"/>
    <w:lvl w:ilvl="0">
      <w:lvlJc w:val="left"/>
      <w:lvlText w:val="%1."/>
      <w:numFmt w:val="decimal"/>
      <w:start w:val="4"/>
    </w:lvl>
  </w:abstractNum>
  <w:abstractNum w:abstractNumId="254">
    <w:nsid w:val="41531DED"/>
    <w:multiLevelType w:val="hybridMultilevel"/>
    <w:lvl w:ilvl="0">
      <w:lvlJc w:val="left"/>
      <w:lvlText w:val="%1."/>
      <w:numFmt w:val="decimal"/>
      <w:start w:val="5"/>
    </w:lvl>
  </w:abstractNum>
  <w:abstractNum w:abstractNumId="255">
    <w:nsid w:val="6353CD2"/>
    <w:multiLevelType w:val="hybridMultilevel"/>
    <w:lvl w:ilvl="0">
      <w:lvlJc w:val="left"/>
      <w:lvlText w:val="%1."/>
      <w:numFmt w:val="decimal"/>
      <w:start w:val="6"/>
    </w:lvl>
  </w:abstractNum>
  <w:abstractNum w:abstractNumId="256">
    <w:nsid w:val="683CAAD3"/>
    <w:multiLevelType w:val="hybridMultilevel"/>
    <w:lvl w:ilvl="0">
      <w:lvlJc w:val="left"/>
      <w:lvlText w:val="%1."/>
      <w:numFmt w:val="decimal"/>
      <w:start w:val="1"/>
    </w:lvl>
  </w:abstractNum>
  <w:abstractNum w:abstractNumId="257">
    <w:nsid w:val="313C7C99"/>
    <w:multiLevelType w:val="hybridMultilevel"/>
    <w:lvl w:ilvl="0">
      <w:lvlJc w:val="left"/>
      <w:lvlText w:val="%1."/>
      <w:numFmt w:val="upperLetter"/>
      <w:start w:val="9"/>
    </w:lvl>
  </w:abstractNum>
  <w:abstractNum w:abstractNumId="258">
    <w:nsid w:val="519EB94C"/>
    <w:multiLevelType w:val="hybridMultilevel"/>
    <w:lvl w:ilvl="0">
      <w:lvlJc w:val="left"/>
      <w:lvlText w:val="●"/>
      <w:numFmt w:val="bullet"/>
      <w:start w:val="1"/>
    </w:lvl>
  </w:abstractNum>
  <w:abstractNum w:abstractNumId="259">
    <w:nsid w:val="39DF2579"/>
    <w:multiLevelType w:val="hybridMultilevel"/>
    <w:lvl w:ilvl="0">
      <w:lvlJc w:val="left"/>
      <w:lvlText w:val="%1."/>
      <w:numFmt w:val="upperLetter"/>
      <w:start w:val="35"/>
    </w:lvl>
  </w:abstractNum>
  <w:abstractNum w:abstractNumId="260">
    <w:nsid w:val="126E008B"/>
    <w:multiLevelType w:val="hybridMultilevel"/>
    <w:lvl w:ilvl="0">
      <w:lvlJc w:val="left"/>
      <w:lvlText w:val="●"/>
      <w:numFmt w:val="bullet"/>
      <w:start w:val="1"/>
    </w:lvl>
  </w:abstractNum>
  <w:abstractNum w:abstractNumId="261">
    <w:nsid w:val="34DFBC00"/>
    <w:multiLevelType w:val="hybridMultilevel"/>
    <w:lvl w:ilvl="0">
      <w:lvlJc w:val="left"/>
      <w:lvlText w:val="%1."/>
      <w:numFmt w:val="upperLetter"/>
      <w:start w:val="60"/>
    </w:lvl>
    <w:lvl w:ilvl="1">
      <w:lvlJc w:val="left"/>
      <w:lvlText w:val="●"/>
      <w:numFmt w:val="bullet"/>
      <w:start w:val="1"/>
    </w:lvl>
    <w:lvl w:ilvl="2">
      <w:lvlJc w:val="left"/>
      <w:lvlText w:val="●"/>
      <w:numFmt w:val="bullet"/>
      <w:start w:val="1"/>
    </w:lvl>
  </w:abstractNum>
  <w:abstractNum w:abstractNumId="262">
    <w:nsid w:val="1F9EC322"/>
    <w:multiLevelType w:val="hybridMultilevel"/>
    <w:lvl w:ilvl="0">
      <w:lvlJc w:val="left"/>
      <w:lvlText w:val="●"/>
      <w:numFmt w:val="bullet"/>
      <w:start w:val="1"/>
    </w:lvl>
  </w:abstractNum>
  <w:abstractNum w:abstractNumId="263">
    <w:nsid w:val="3410ED56"/>
    <w:multiLevelType w:val="hybridMultilevel"/>
    <w:lvl w:ilvl="0">
      <w:lvlJc w:val="left"/>
      <w:lvlText w:val="%1."/>
      <w:numFmt w:val="upperLetter"/>
      <w:start w:val="22"/>
    </w:lvl>
  </w:abstractNum>
  <w:abstractNum w:abstractNumId="264">
    <w:nsid w:val="23C049A"/>
    <w:multiLevelType w:val="hybridMultilevel"/>
    <w:lvl w:ilvl="0">
      <w:lvlJc w:val="left"/>
      <w:lvlText w:val="●"/>
      <w:numFmt w:val="bullet"/>
      <w:start w:val="1"/>
    </w:lvl>
  </w:abstractNum>
  <w:abstractNum w:abstractNumId="265">
    <w:nsid w:val="5BDA35D4"/>
    <w:multiLevelType w:val="hybridMultilevel"/>
    <w:lvl w:ilvl="0">
      <w:lvlJc w:val="left"/>
      <w:lvlText w:val="●"/>
      <w:numFmt w:val="bullet"/>
      <w:start w:val="1"/>
    </w:lvl>
  </w:abstractNum>
  <w:abstractNum w:abstractNumId="266">
    <w:nsid w:val="496FB218"/>
    <w:multiLevelType w:val="hybridMultilevel"/>
    <w:lvl w:ilvl="0">
      <w:lvlJc w:val="left"/>
      <w:lvlText w:val="%1."/>
      <w:numFmt w:val="upperLetter"/>
      <w:start w:val="23"/>
    </w:lvl>
    <w:lvl w:ilvl="1">
      <w:lvlJc w:val="left"/>
      <w:lvlText w:val="●"/>
      <w:numFmt w:val="bullet"/>
      <w:start w:val="1"/>
    </w:lvl>
  </w:abstractNum>
  <w:abstractNum w:abstractNumId="267">
    <w:nsid w:val="680EA5D1"/>
    <w:multiLevelType w:val="hybridMultilevel"/>
    <w:lvl w:ilvl="0">
      <w:lvlJc w:val="left"/>
      <w:lvlText w:val="%1."/>
      <w:numFmt w:val="upperLetter"/>
      <w:start w:val="9"/>
    </w:lvl>
  </w:abstractNum>
  <w:abstractNum w:abstractNumId="268">
    <w:nsid w:val="4A9554FE"/>
    <w:multiLevelType w:val="hybridMultilevel"/>
    <w:lvl w:ilvl="0">
      <w:lvlJc w:val="left"/>
      <w:lvlText w:val="%1."/>
      <w:numFmt w:val="upperLetter"/>
      <w:start w:val="35"/>
    </w:lvl>
  </w:abstractNum>
  <w:abstractNum w:abstractNumId="269">
    <w:nsid w:val="392EDBE4"/>
    <w:multiLevelType w:val="hybridMultilevel"/>
    <w:lvl w:ilvl="0">
      <w:lvlJc w:val="left"/>
      <w:lvlText w:val="%1."/>
      <w:numFmt w:val="upperLetter"/>
      <w:start w:val="2"/>
    </w:lvl>
  </w:abstractNum>
  <w:abstractNum w:abstractNumId="270">
    <w:nsid w:val="3D1A2DD9"/>
    <w:multiLevelType w:val="hybridMultilevel"/>
    <w:lvl w:ilvl="0">
      <w:lvlJc w:val="left"/>
      <w:lvlText w:val="%1."/>
      <w:numFmt w:val="upperLetter"/>
      <w:start w:val="3"/>
    </w:lvl>
  </w:abstractNum>
  <w:abstractNum w:abstractNumId="271">
    <w:nsid w:val="7F618FCD"/>
    <w:multiLevelType w:val="hybridMultilevel"/>
    <w:lvl w:ilvl="0">
      <w:lvlJc w:val="left"/>
      <w:lvlText w:val="%1."/>
      <w:numFmt w:val="upperLetter"/>
      <w:start w:val="4"/>
    </w:lvl>
  </w:abstractNum>
  <w:abstractNum w:abstractNumId="272">
    <w:nsid w:val="7843E45"/>
    <w:multiLevelType w:val="hybridMultilevel"/>
    <w:lvl w:ilvl="0">
      <w:lvlJc w:val="left"/>
      <w:lvlText w:val="%1."/>
      <w:numFmt w:val="upperLetter"/>
      <w:start w:val="61"/>
    </w:lvl>
  </w:abstractNum>
  <w:abstractNum w:abstractNumId="273">
    <w:nsid w:val="9815DA3"/>
    <w:multiLevelType w:val="hybridMultilevel"/>
    <w:lvl w:ilvl="0">
      <w:lvlJc w:val="left"/>
      <w:lvlText w:val="%1."/>
      <w:numFmt w:val="upperLetter"/>
      <w:start w:val="22"/>
    </w:lvl>
  </w:abstractNum>
  <w:abstractNum w:abstractNumId="274">
    <w:nsid w:val="5204A191"/>
    <w:multiLevelType w:val="hybridMultilevel"/>
    <w:lvl w:ilvl="0">
      <w:lvlJc w:val="left"/>
      <w:lvlText w:val="%1."/>
      <w:numFmt w:val="upperLetter"/>
      <w:start w:val="1"/>
    </w:lvl>
    <w:lvl w:ilvl="1">
      <w:lvlJc w:val="left"/>
      <w:lvlText w:val="(%2)"/>
      <w:numFmt w:val="lowerRoman"/>
      <w:start w:val="1"/>
    </w:lvl>
  </w:abstractNum>
  <w:abstractNum w:abstractNumId="275">
    <w:nsid w:val="4C73A9C6"/>
    <w:multiLevelType w:val="hybridMultilevel"/>
    <w:lvl w:ilvl="0">
      <w:lvlJc w:val="left"/>
      <w:lvlText w:val="(%1)"/>
      <w:numFmt w:val="lowerRoman"/>
      <w:start w:val="4"/>
    </w:lvl>
  </w:abstractNum>
  <w:abstractNum w:abstractNumId="276">
    <w:nsid w:val="1C7E3C01"/>
    <w:multiLevelType w:val="hybridMultilevel"/>
    <w:lvl w:ilvl="0">
      <w:lvlJc w:val="left"/>
      <w:lvlText w:val="(%1)"/>
      <w:numFmt w:val="lowerRoman"/>
      <w:start w:val="6"/>
    </w:lvl>
  </w:abstractNum>
  <w:abstractNum w:abstractNumId="277">
    <w:nsid w:val="1C2201FF"/>
    <w:multiLevelType w:val="hybridMultilevel"/>
    <w:lvl w:ilvl="0">
      <w:lvlJc w:val="left"/>
      <w:lvlText w:val="%1."/>
      <w:numFmt w:val="upperLetter"/>
      <w:start w:val="2"/>
    </w:lvl>
    <w:lvl w:ilvl="1">
      <w:lvlJc w:val="left"/>
      <w:lvlText w:val="(%2)"/>
      <w:numFmt w:val="lowerRoman"/>
      <w:start w:val="1"/>
    </w:lvl>
  </w:abstractNum>
  <w:abstractNum w:abstractNumId="278">
    <w:nsid w:val="50ABCEC9"/>
    <w:multiLevelType w:val="hybridMultilevel"/>
    <w:lvl w:ilvl="0">
      <w:lvlJc w:val="left"/>
      <w:lvlText w:val="%1."/>
      <w:numFmt w:val="upperLetter"/>
      <w:start w:val="3"/>
    </w:lvl>
    <w:lvl w:ilvl="1">
      <w:lvlJc w:val="left"/>
      <w:lvlText w:val="(%2)"/>
      <w:numFmt w:val="lowerRoman"/>
      <w:start w:val="1"/>
    </w:lvl>
  </w:abstractNum>
  <w:abstractNum w:abstractNumId="279">
    <w:nsid w:val="7635AA2A"/>
    <w:multiLevelType w:val="hybridMultilevel"/>
    <w:lvl w:ilvl="0">
      <w:lvlJc w:val="left"/>
      <w:lvlText w:val="%1."/>
      <w:numFmt w:val="upperLetter"/>
      <w:start w:val="4"/>
    </w:lvl>
    <w:lvl w:ilvl="1">
      <w:lvlJc w:val="left"/>
      <w:lvlText w:val="(%2)"/>
      <w:numFmt w:val="lowerRoman"/>
      <w:start w:val="1"/>
    </w:lvl>
  </w:abstractNum>
  <w:abstractNum w:abstractNumId="280">
    <w:nsid w:val="5E74C4D9"/>
    <w:multiLevelType w:val="hybridMultilevel"/>
    <w:lvl w:ilvl="0">
      <w:lvlJc w:val="left"/>
      <w:lvlText w:val="%1."/>
      <w:numFmt w:val="upperLetter"/>
      <w:start w:val="9"/>
    </w:lvl>
  </w:abstractNum>
  <w:abstractNum w:abstractNumId="281">
    <w:nsid w:val="3B3EBE15"/>
    <w:multiLevelType w:val="hybridMultilevel"/>
    <w:lvl w:ilvl="0">
      <w:lvlJc w:val="left"/>
      <w:lvlText w:val="%1."/>
      <w:numFmt w:val="upperLetter"/>
      <w:start w:val="35"/>
    </w:lvl>
  </w:abstractNum>
  <w:abstractNum w:abstractNumId="282">
    <w:nsid w:val="3822CB01"/>
    <w:multiLevelType w:val="hybridMultilevel"/>
    <w:lvl w:ilvl="0">
      <w:lvlJc w:val="left"/>
      <w:lvlText w:val="%1."/>
      <w:numFmt w:val="upperLetter"/>
      <w:start w:val="1"/>
    </w:lvl>
  </w:abstractNum>
  <w:abstractNum w:abstractNumId="283">
    <w:nsid w:val="6CE00443"/>
    <w:multiLevelType w:val="hybridMultilevel"/>
    <w:lvl w:ilvl="0">
      <w:lvlJc w:val="left"/>
      <w:lvlText w:val="%1."/>
      <w:numFmt w:val="upperLetter"/>
      <w:start w:val="2"/>
    </w:lvl>
  </w:abstractNum>
  <w:abstractNum w:abstractNumId="284">
    <w:nsid w:val="79F0D62F"/>
    <w:multiLevelType w:val="hybridMultilevel"/>
    <w:lvl w:ilvl="0">
      <w:lvlJc w:val="left"/>
      <w:lvlText w:val="%1."/>
      <w:numFmt w:val="upperLetter"/>
      <w:start w:val="3"/>
    </w:lvl>
  </w:abstractNum>
  <w:abstractNum w:abstractNumId="285">
    <w:nsid w:val="7975E8EE"/>
    <w:multiLevelType w:val="hybridMultilevel"/>
    <w:lvl w:ilvl="0">
      <w:lvlJc w:val="left"/>
      <w:lvlText w:val="%1."/>
      <w:numFmt w:val="upperLetter"/>
      <w:start w:val="61"/>
    </w:lvl>
  </w:abstractNum>
  <w:abstractNum w:abstractNumId="286">
    <w:nsid w:val="73154115"/>
    <w:multiLevelType w:val="hybridMultilevel"/>
    <w:lvl w:ilvl="0">
      <w:lvlJc w:val="left"/>
      <w:lvlText w:val="%1."/>
      <w:numFmt w:val="upperLetter"/>
      <w:start w:val="22"/>
    </w:lvl>
  </w:abstractNum>
  <w:abstractNum w:abstractNumId="287">
    <w:nsid w:val="622D8102"/>
    <w:multiLevelType w:val="hybridMultilevel"/>
    <w:lvl w:ilvl="0">
      <w:lvlJc w:val="left"/>
      <w:lvlText w:val="(%1)"/>
      <w:numFmt w:val="lowerLetter"/>
      <w:start w:val="1"/>
    </w:lvl>
  </w:abstractNum>
  <w:abstractNum w:abstractNumId="288">
    <w:nsid w:val="2AB26587"/>
    <w:multiLevelType w:val="hybridMultilevel"/>
    <w:lvl w:ilvl="0">
      <w:lvlJc w:val="left"/>
      <w:lvlText w:val="(%1)"/>
      <w:numFmt w:val="lowerLetter"/>
      <w:start w:val="13"/>
    </w:lvl>
  </w:abstractNum>
  <w:abstractNum w:abstractNumId="289">
    <w:nsid w:val="44B3FA61"/>
    <w:multiLevelType w:val="hybridMultilevel"/>
    <w:lvl w:ilvl="0">
      <w:lvlJc w:val="left"/>
      <w:lvlText w:val="%1."/>
      <w:numFmt w:val="upperLetter"/>
      <w:start w:val="9"/>
    </w:lvl>
  </w:abstractNum>
  <w:abstractNum w:abstractNumId="290">
    <w:nsid w:val="1C0CA67C"/>
    <w:multiLevelType w:val="hybridMultilevel"/>
    <w:lvl w:ilvl="0">
      <w:lvlJc w:val="left"/>
      <w:lvlText w:val="%1."/>
      <w:numFmt w:val="upperLetter"/>
      <w:start w:val="35"/>
    </w:lvl>
  </w:abstractNum>
  <w:abstractNum w:abstractNumId="291">
    <w:nsid w:val="3D206613"/>
    <w:multiLevelType w:val="hybridMultilevel"/>
    <w:lvl w:ilvl="0">
      <w:lvlJc w:val="left"/>
      <w:lvlText w:val="%1."/>
      <w:numFmt w:val="upperLetter"/>
      <w:start w:val="2"/>
    </w:lvl>
  </w:abstractNum>
  <w:abstractNum w:abstractNumId="292">
    <w:nsid w:val="7993B662"/>
    <w:multiLevelType w:val="hybridMultilevel"/>
    <w:lvl w:ilvl="0">
      <w:lvlJc w:val="left"/>
      <w:lvlText w:val="%1."/>
      <w:numFmt w:val="upperLetter"/>
      <w:start w:val="3"/>
    </w:lvl>
  </w:abstractNum>
  <w:abstractNum w:abstractNumId="293">
    <w:nsid w:val="3BAB699E"/>
    <w:multiLevelType w:val="hybridMultilevel"/>
    <w:lvl w:ilvl="0">
      <w:lvlJc w:val="left"/>
      <w:lvlText w:val="%1."/>
      <w:numFmt w:val="upperLetter"/>
      <w:start w:val="61"/>
    </w:lvl>
  </w:abstractNum>
  <w:abstractNum w:abstractNumId="294">
    <w:nsid w:val="71315369"/>
    <w:multiLevelType w:val="hybridMultilevel"/>
    <w:lvl w:ilvl="0">
      <w:lvlJc w:val="left"/>
      <w:lvlText w:val="%1."/>
      <w:numFmt w:val="upperLetter"/>
      <w:start w:val="22"/>
    </w:lvl>
  </w:abstractNum>
  <w:abstractNum w:abstractNumId="295">
    <w:nsid w:val="7BCFBAFC"/>
    <w:multiLevelType w:val="hybridMultilevel"/>
    <w:lvl w:ilvl="0">
      <w:lvlJc w:val="left"/>
      <w:lvlText w:val="(%1)"/>
      <w:numFmt w:val="lowerLetter"/>
      <w:start w:val="1"/>
    </w:lvl>
  </w:abstractNum>
  <w:abstractNum w:abstractNumId="296">
    <w:nsid w:val="17859F72"/>
    <w:multiLevelType w:val="hybridMultilevel"/>
    <w:lvl w:ilvl="0">
      <w:lvlJc w:val="left"/>
      <w:lvlText w:val="(%1)"/>
      <w:numFmt w:val="lowerLetter"/>
      <w:start w:val="2"/>
    </w:lvl>
  </w:abstractNum>
  <w:abstractNum w:abstractNumId="297">
    <w:nsid w:val="3AA10581"/>
    <w:multiLevelType w:val="hybridMultilevel"/>
    <w:lvl w:ilvl="0">
      <w:lvlJc w:val="left"/>
      <w:lvlText w:val="(%1)"/>
      <w:numFmt w:val="lowerLetter"/>
      <w:start w:val="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5" Type="http://schemas.openxmlformats.org/officeDocument/2006/relationships/image" Target="media/image204.png"/><Relationship Id="rId216" Type="http://schemas.openxmlformats.org/officeDocument/2006/relationships/image" Target="media/image205.png"/><Relationship Id="rId217" Type="http://schemas.openxmlformats.org/officeDocument/2006/relationships/image" Target="media/image206.png"/><Relationship Id="rId218" Type="http://schemas.openxmlformats.org/officeDocument/2006/relationships/image" Target="media/image207.png"/><Relationship Id="rId219" Type="http://schemas.openxmlformats.org/officeDocument/2006/relationships/image" Target="media/image208.png"/><Relationship Id="rId220" Type="http://schemas.openxmlformats.org/officeDocument/2006/relationships/image" Target="media/image209.png"/><Relationship Id="rId221" Type="http://schemas.openxmlformats.org/officeDocument/2006/relationships/image" Target="media/image210.png"/><Relationship Id="rId222" Type="http://schemas.openxmlformats.org/officeDocument/2006/relationships/image" Target="media/image211.png"/><Relationship Id="rId223" Type="http://schemas.openxmlformats.org/officeDocument/2006/relationships/image" Target="media/image212.png"/><Relationship Id="rId224" Type="http://schemas.openxmlformats.org/officeDocument/2006/relationships/image" Target="media/image213.png"/><Relationship Id="rId225" Type="http://schemas.openxmlformats.org/officeDocument/2006/relationships/image" Target="media/image214.png"/><Relationship Id="rId226" Type="http://schemas.openxmlformats.org/officeDocument/2006/relationships/image" Target="media/image215.png"/><Relationship Id="rId227" Type="http://schemas.openxmlformats.org/officeDocument/2006/relationships/image" Target="media/image216.png"/><Relationship Id="rId228" Type="http://schemas.openxmlformats.org/officeDocument/2006/relationships/image" Target="media/image217.png"/><Relationship Id="rId229" Type="http://schemas.openxmlformats.org/officeDocument/2006/relationships/image" Target="media/image218.png"/><Relationship Id="rId230" Type="http://schemas.openxmlformats.org/officeDocument/2006/relationships/image" Target="media/image219.png"/><Relationship Id="rId231" Type="http://schemas.openxmlformats.org/officeDocument/2006/relationships/image" Target="media/image220.png"/><Relationship Id="rId232" Type="http://schemas.openxmlformats.org/officeDocument/2006/relationships/image" Target="media/image221.png"/><Relationship Id="rId233" Type="http://schemas.openxmlformats.org/officeDocument/2006/relationships/image" Target="media/image222.png"/><Relationship Id="rId234" Type="http://schemas.openxmlformats.org/officeDocument/2006/relationships/image" Target="media/image223.png"/><Relationship Id="rId235" Type="http://schemas.openxmlformats.org/officeDocument/2006/relationships/image" Target="media/image224.png"/><Relationship Id="rId236" Type="http://schemas.openxmlformats.org/officeDocument/2006/relationships/image" Target="media/image225.png"/><Relationship Id="rId237" Type="http://schemas.openxmlformats.org/officeDocument/2006/relationships/image" Target="media/image226.png"/><Relationship Id="rId238" Type="http://schemas.openxmlformats.org/officeDocument/2006/relationships/image" Target="media/image227.png"/><Relationship Id="rId239" Type="http://schemas.openxmlformats.org/officeDocument/2006/relationships/image" Target="media/image228.png"/><Relationship Id="rId240" Type="http://schemas.openxmlformats.org/officeDocument/2006/relationships/image" Target="media/image229.png"/><Relationship Id="rId241" Type="http://schemas.openxmlformats.org/officeDocument/2006/relationships/image" Target="media/image230.png"/><Relationship Id="rId242" Type="http://schemas.openxmlformats.org/officeDocument/2006/relationships/image" Target="media/image231.png"/><Relationship Id="rId243" Type="http://schemas.openxmlformats.org/officeDocument/2006/relationships/image" Target="media/image232.png"/><Relationship Id="rId244" Type="http://schemas.openxmlformats.org/officeDocument/2006/relationships/image" Target="media/image233.png"/><Relationship Id="rId245" Type="http://schemas.openxmlformats.org/officeDocument/2006/relationships/image" Target="media/image234.png"/><Relationship Id="rId246" Type="http://schemas.openxmlformats.org/officeDocument/2006/relationships/image" Target="media/image235.png"/><Relationship Id="rId247" Type="http://schemas.openxmlformats.org/officeDocument/2006/relationships/image" Target="media/image236.png"/><Relationship Id="rId248" Type="http://schemas.openxmlformats.org/officeDocument/2006/relationships/image" Target="media/image237.png"/><Relationship Id="rId249" Type="http://schemas.openxmlformats.org/officeDocument/2006/relationships/image" Target="media/image238.png"/><Relationship Id="rId250" Type="http://schemas.openxmlformats.org/officeDocument/2006/relationships/image" Target="media/image239.png"/><Relationship Id="rId251" Type="http://schemas.openxmlformats.org/officeDocument/2006/relationships/image" Target="media/image240.png"/><Relationship Id="rId252" Type="http://schemas.openxmlformats.org/officeDocument/2006/relationships/image" Target="media/image241.png"/><Relationship Id="rId253" Type="http://schemas.openxmlformats.org/officeDocument/2006/relationships/image" Target="media/image242.png"/><Relationship Id="rId254" Type="http://schemas.openxmlformats.org/officeDocument/2006/relationships/image" Target="media/image243.png"/><Relationship Id="rId255" Type="http://schemas.openxmlformats.org/officeDocument/2006/relationships/image" Target="media/image244.png"/><Relationship Id="rId256" Type="http://schemas.openxmlformats.org/officeDocument/2006/relationships/image" Target="media/image245.png"/><Relationship Id="rId257" Type="http://schemas.openxmlformats.org/officeDocument/2006/relationships/image" Target="media/image246.png"/><Relationship Id="rId258" Type="http://schemas.openxmlformats.org/officeDocument/2006/relationships/image" Target="media/image247.png"/><Relationship Id="rId259" Type="http://schemas.openxmlformats.org/officeDocument/2006/relationships/image" Target="media/image248.png"/><Relationship Id="rId260" Type="http://schemas.openxmlformats.org/officeDocument/2006/relationships/image" Target="media/image249.png"/><Relationship Id="rId261" Type="http://schemas.openxmlformats.org/officeDocument/2006/relationships/image" Target="media/image250.png"/><Relationship Id="rId262" Type="http://schemas.openxmlformats.org/officeDocument/2006/relationships/image" Target="media/image251.png"/><Relationship Id="rId263" Type="http://schemas.openxmlformats.org/officeDocument/2006/relationships/image" Target="media/image252.png"/><Relationship Id="rId264" Type="http://schemas.openxmlformats.org/officeDocument/2006/relationships/image" Target="media/image253.png"/><Relationship Id="rId265" Type="http://schemas.openxmlformats.org/officeDocument/2006/relationships/image" Target="media/image254.png"/><Relationship Id="rId266" Type="http://schemas.openxmlformats.org/officeDocument/2006/relationships/image" Target="media/image255.png"/><Relationship Id="rId267" Type="http://schemas.openxmlformats.org/officeDocument/2006/relationships/image" Target="media/image256.png"/><Relationship Id="rId268" Type="http://schemas.openxmlformats.org/officeDocument/2006/relationships/image" Target="media/image257.png"/><Relationship Id="rId269" Type="http://schemas.openxmlformats.org/officeDocument/2006/relationships/image" Target="media/image258.png"/><Relationship Id="rId270" Type="http://schemas.openxmlformats.org/officeDocument/2006/relationships/image" Target="media/image259.png"/><Relationship Id="rId271" Type="http://schemas.openxmlformats.org/officeDocument/2006/relationships/image" Target="media/image260.png"/><Relationship Id="rId272" Type="http://schemas.openxmlformats.org/officeDocument/2006/relationships/image" Target="media/image261.png"/><Relationship Id="rId273" Type="http://schemas.openxmlformats.org/officeDocument/2006/relationships/image" Target="media/image262.png"/><Relationship Id="rId274" Type="http://schemas.openxmlformats.org/officeDocument/2006/relationships/image" Target="media/image263.png"/><Relationship Id="rId275" Type="http://schemas.openxmlformats.org/officeDocument/2006/relationships/image" Target="media/image264.png"/><Relationship Id="rId276" Type="http://schemas.openxmlformats.org/officeDocument/2006/relationships/image" Target="media/image265.png"/><Relationship Id="rId277" Type="http://schemas.openxmlformats.org/officeDocument/2006/relationships/image" Target="media/image266.png"/><Relationship Id="rId278" Type="http://schemas.openxmlformats.org/officeDocument/2006/relationships/image" Target="media/image267.png"/><Relationship Id="rId279" Type="http://schemas.openxmlformats.org/officeDocument/2006/relationships/image" Target="media/image268.png"/><Relationship Id="rId280" Type="http://schemas.openxmlformats.org/officeDocument/2006/relationships/image" Target="media/image269.png"/><Relationship Id="rId281" Type="http://schemas.openxmlformats.org/officeDocument/2006/relationships/image" Target="media/image270.png"/><Relationship Id="rId282" Type="http://schemas.openxmlformats.org/officeDocument/2006/relationships/image" Target="media/image271.png"/><Relationship Id="rId283" Type="http://schemas.openxmlformats.org/officeDocument/2006/relationships/image" Target="media/image272.png"/><Relationship Id="rId284" Type="http://schemas.openxmlformats.org/officeDocument/2006/relationships/image" Target="media/image273.png"/><Relationship Id="rId285" Type="http://schemas.openxmlformats.org/officeDocument/2006/relationships/image" Target="media/image274.png"/><Relationship Id="rId286" Type="http://schemas.openxmlformats.org/officeDocument/2006/relationships/image" Target="media/image275.png"/><Relationship Id="rId287" Type="http://schemas.openxmlformats.org/officeDocument/2006/relationships/image" Target="media/image276.png"/><Relationship Id="rId288" Type="http://schemas.openxmlformats.org/officeDocument/2006/relationships/image" Target="media/image277.png"/><Relationship Id="rId289" Type="http://schemas.openxmlformats.org/officeDocument/2006/relationships/image" Target="media/image278.png"/><Relationship Id="rId290" Type="http://schemas.openxmlformats.org/officeDocument/2006/relationships/image" Target="media/image279.png"/><Relationship Id="rId291" Type="http://schemas.openxmlformats.org/officeDocument/2006/relationships/image" Target="media/image280.png"/><Relationship Id="rId292" Type="http://schemas.openxmlformats.org/officeDocument/2006/relationships/image" Target="media/image281.png"/><Relationship Id="rId293" Type="http://schemas.openxmlformats.org/officeDocument/2006/relationships/image" Target="media/image282.png"/><Relationship Id="rId294" Type="http://schemas.openxmlformats.org/officeDocument/2006/relationships/image" Target="media/image283.png"/><Relationship Id="rId295" Type="http://schemas.openxmlformats.org/officeDocument/2006/relationships/image" Target="media/image284.png"/><Relationship Id="rId296" Type="http://schemas.openxmlformats.org/officeDocument/2006/relationships/image" Target="media/image285.png"/><Relationship Id="rId297" Type="http://schemas.openxmlformats.org/officeDocument/2006/relationships/image" Target="media/image286.png"/><Relationship Id="rId298" Type="http://schemas.openxmlformats.org/officeDocument/2006/relationships/image" Target="media/image287.png"/><Relationship Id="rId299" Type="http://schemas.openxmlformats.org/officeDocument/2006/relationships/image" Target="media/image288.png"/><Relationship Id="rId300" Type="http://schemas.openxmlformats.org/officeDocument/2006/relationships/image" Target="media/image289.png"/><Relationship Id="rId301" Type="http://schemas.openxmlformats.org/officeDocument/2006/relationships/image" Target="media/image290.png"/><Relationship Id="rId302" Type="http://schemas.openxmlformats.org/officeDocument/2006/relationships/image" Target="media/image291.png"/><Relationship Id="rId303" Type="http://schemas.openxmlformats.org/officeDocument/2006/relationships/image" Target="media/image292.png"/><Relationship Id="rId304" Type="http://schemas.openxmlformats.org/officeDocument/2006/relationships/image" Target="media/image293.png"/><Relationship Id="rId305" Type="http://schemas.openxmlformats.org/officeDocument/2006/relationships/image" Target="media/image294.png"/><Relationship Id="rId306" Type="http://schemas.openxmlformats.org/officeDocument/2006/relationships/image" Target="media/image295.png"/><Relationship Id="rId307" Type="http://schemas.openxmlformats.org/officeDocument/2006/relationships/image" Target="media/image296.png"/><Relationship Id="rId308" Type="http://schemas.openxmlformats.org/officeDocument/2006/relationships/image" Target="media/image297.png"/><Relationship Id="rId309" Type="http://schemas.openxmlformats.org/officeDocument/2006/relationships/image" Target="media/image298.png"/><Relationship Id="rId310" Type="http://schemas.openxmlformats.org/officeDocument/2006/relationships/image" Target="media/image299.png"/><Relationship Id="rId311" Type="http://schemas.openxmlformats.org/officeDocument/2006/relationships/image" Target="media/image300.png"/><Relationship Id="rId312" Type="http://schemas.openxmlformats.org/officeDocument/2006/relationships/image" Target="media/image301.png"/><Relationship Id="rId313" Type="http://schemas.openxmlformats.org/officeDocument/2006/relationships/image" Target="media/image302.png"/><Relationship Id="rId314" Type="http://schemas.openxmlformats.org/officeDocument/2006/relationships/image" Target="media/image303.png"/><Relationship Id="rId315" Type="http://schemas.openxmlformats.org/officeDocument/2006/relationships/image" Target="media/image304.png"/><Relationship Id="rId316" Type="http://schemas.openxmlformats.org/officeDocument/2006/relationships/image" Target="media/image305.jpeg"/><Relationship Id="rId317" Type="http://schemas.openxmlformats.org/officeDocument/2006/relationships/image" Target="media/image306.jpeg"/><Relationship Id="rId318" Type="http://schemas.openxmlformats.org/officeDocument/2006/relationships/image" Target="media/image307.png"/><Relationship Id="rId319" Type="http://schemas.openxmlformats.org/officeDocument/2006/relationships/image" Target="media/image308.jpeg"/><Relationship Id="rId320" Type="http://schemas.openxmlformats.org/officeDocument/2006/relationships/image" Target="media/image309.png"/><Relationship Id="rId321" Type="http://schemas.openxmlformats.org/officeDocument/2006/relationships/image" Target="media/image310.jpeg"/><Relationship Id="rId322" Type="http://schemas.openxmlformats.org/officeDocument/2006/relationships/image" Target="media/image311.png"/><Relationship Id="rId323" Type="http://schemas.openxmlformats.org/officeDocument/2006/relationships/image" Target="media/image312.png"/><Relationship Id="rId324" Type="http://schemas.openxmlformats.org/officeDocument/2006/relationships/image" Target="media/image313.png"/><Relationship Id="rId325" Type="http://schemas.openxmlformats.org/officeDocument/2006/relationships/image" Target="media/image314.png"/><Relationship Id="rId326" Type="http://schemas.openxmlformats.org/officeDocument/2006/relationships/image" Target="media/image315.png"/><Relationship Id="rId327" Type="http://schemas.openxmlformats.org/officeDocument/2006/relationships/image" Target="media/image316.png"/><Relationship Id="rId328" Type="http://schemas.openxmlformats.org/officeDocument/2006/relationships/image" Target="media/image317.png"/><Relationship Id="rId329" Type="http://schemas.openxmlformats.org/officeDocument/2006/relationships/image" Target="media/image318.png"/><Relationship Id="rId330" Type="http://schemas.openxmlformats.org/officeDocument/2006/relationships/image" Target="media/image319.png"/><Relationship Id="rId331" Type="http://schemas.openxmlformats.org/officeDocument/2006/relationships/image" Target="media/image320.png"/><Relationship Id="rId332" Type="http://schemas.openxmlformats.org/officeDocument/2006/relationships/image" Target="media/image321.png"/><Relationship Id="rId333" Type="http://schemas.openxmlformats.org/officeDocument/2006/relationships/image" Target="media/image322.png"/><Relationship Id="rId334" Type="http://schemas.openxmlformats.org/officeDocument/2006/relationships/image" Target="media/image323.png"/><Relationship Id="rId335" Type="http://schemas.openxmlformats.org/officeDocument/2006/relationships/image" Target="media/image324.png"/><Relationship Id="rId336" Type="http://schemas.openxmlformats.org/officeDocument/2006/relationships/image" Target="media/image325.png"/><Relationship Id="rId337" Type="http://schemas.openxmlformats.org/officeDocument/2006/relationships/image" Target="media/image326.png"/><Relationship Id="rId338" Type="http://schemas.openxmlformats.org/officeDocument/2006/relationships/image" Target="media/image327.png"/><Relationship Id="rId339" Type="http://schemas.openxmlformats.org/officeDocument/2006/relationships/image" Target="media/image328.png"/><Relationship Id="rId340" Type="http://schemas.openxmlformats.org/officeDocument/2006/relationships/image" Target="media/image329.png"/><Relationship Id="rId341" Type="http://schemas.openxmlformats.org/officeDocument/2006/relationships/image" Target="media/image330.png"/><Relationship Id="rId342" Type="http://schemas.openxmlformats.org/officeDocument/2006/relationships/image" Target="media/image331.png"/><Relationship Id="rId343" Type="http://schemas.openxmlformats.org/officeDocument/2006/relationships/image" Target="media/image332.png"/><Relationship Id="rId344" Type="http://schemas.openxmlformats.org/officeDocument/2006/relationships/image" Target="media/image333.png"/><Relationship Id="rId345" Type="http://schemas.openxmlformats.org/officeDocument/2006/relationships/image" Target="media/image334.png"/><Relationship Id="rId346" Type="http://schemas.openxmlformats.org/officeDocument/2006/relationships/image" Target="media/image335.png"/><Relationship Id="rId347" Type="http://schemas.openxmlformats.org/officeDocument/2006/relationships/image" Target="media/image336.png"/><Relationship Id="rId348" Type="http://schemas.openxmlformats.org/officeDocument/2006/relationships/image" Target="media/image337.png"/><Relationship Id="rId349" Type="http://schemas.openxmlformats.org/officeDocument/2006/relationships/image" Target="media/image338.png"/><Relationship Id="rId350" Type="http://schemas.openxmlformats.org/officeDocument/2006/relationships/image" Target="media/image339.png"/><Relationship Id="rId351" Type="http://schemas.openxmlformats.org/officeDocument/2006/relationships/image" Target="media/image340.png"/><Relationship Id="rId352" Type="http://schemas.openxmlformats.org/officeDocument/2006/relationships/image" Target="media/image341.png"/><Relationship Id="rId353" Type="http://schemas.openxmlformats.org/officeDocument/2006/relationships/image" Target="media/image342.png"/><Relationship Id="rId354" Type="http://schemas.openxmlformats.org/officeDocument/2006/relationships/image" Target="media/image343.png"/><Relationship Id="rId355" Type="http://schemas.openxmlformats.org/officeDocument/2006/relationships/image" Target="media/image344.png"/><Relationship Id="rId356" Type="http://schemas.openxmlformats.org/officeDocument/2006/relationships/image" Target="media/image345.png"/><Relationship Id="rId357" Type="http://schemas.openxmlformats.org/officeDocument/2006/relationships/image" Target="media/image346.png"/><Relationship Id="rId358" Type="http://schemas.openxmlformats.org/officeDocument/2006/relationships/image" Target="media/image347.png"/><Relationship Id="rId359" Type="http://schemas.openxmlformats.org/officeDocument/2006/relationships/image" Target="media/image348.png"/><Relationship Id="rId360" Type="http://schemas.openxmlformats.org/officeDocument/2006/relationships/image" Target="media/image349.png"/><Relationship Id="rId361" Type="http://schemas.openxmlformats.org/officeDocument/2006/relationships/image" Target="media/image350.png"/><Relationship Id="rId362" Type="http://schemas.openxmlformats.org/officeDocument/2006/relationships/image" Target="media/image351.png"/><Relationship Id="rId363" Type="http://schemas.openxmlformats.org/officeDocument/2006/relationships/image" Target="media/image352.png"/><Relationship Id="rId364" Type="http://schemas.openxmlformats.org/officeDocument/2006/relationships/image" Target="media/image353.png"/><Relationship Id="rId365" Type="http://schemas.openxmlformats.org/officeDocument/2006/relationships/image" Target="media/image354.png"/><Relationship Id="rId366" Type="http://schemas.openxmlformats.org/officeDocument/2006/relationships/image" Target="media/image355.png"/><Relationship Id="rId367" Type="http://schemas.openxmlformats.org/officeDocument/2006/relationships/image" Target="media/image356.png"/><Relationship Id="rId368" Type="http://schemas.openxmlformats.org/officeDocument/2006/relationships/image" Target="media/image357.png"/><Relationship Id="rId369" Type="http://schemas.openxmlformats.org/officeDocument/2006/relationships/image" Target="media/image358.png"/><Relationship Id="rId370" Type="http://schemas.openxmlformats.org/officeDocument/2006/relationships/image" Target="media/image359.png"/><Relationship Id="rId371" Type="http://schemas.openxmlformats.org/officeDocument/2006/relationships/image" Target="media/image360.png"/><Relationship Id="rId372" Type="http://schemas.openxmlformats.org/officeDocument/2006/relationships/image" Target="media/image361.png"/><Relationship Id="rId373" Type="http://schemas.openxmlformats.org/officeDocument/2006/relationships/image" Target="media/image362.png"/><Relationship Id="rId374" Type="http://schemas.openxmlformats.org/officeDocument/2006/relationships/image" Target="media/image363.png"/><Relationship Id="rId375" Type="http://schemas.openxmlformats.org/officeDocument/2006/relationships/image" Target="media/image364.png"/><Relationship Id="rId376" Type="http://schemas.openxmlformats.org/officeDocument/2006/relationships/image" Target="media/image365.png"/><Relationship Id="rId377" Type="http://schemas.openxmlformats.org/officeDocument/2006/relationships/image" Target="media/image366.png"/><Relationship Id="rId378" Type="http://schemas.openxmlformats.org/officeDocument/2006/relationships/image" Target="media/image367.png"/><Relationship Id="rId379" Type="http://schemas.openxmlformats.org/officeDocument/2006/relationships/image" Target="media/image368.png"/><Relationship Id="rId380" Type="http://schemas.openxmlformats.org/officeDocument/2006/relationships/image" Target="media/image369.png"/><Relationship Id="rId381" Type="http://schemas.openxmlformats.org/officeDocument/2006/relationships/image" Target="media/image370.png"/><Relationship Id="rId382" Type="http://schemas.openxmlformats.org/officeDocument/2006/relationships/image" Target="media/image371.png"/><Relationship Id="rId383" Type="http://schemas.openxmlformats.org/officeDocument/2006/relationships/image" Target="media/image372.png"/><Relationship Id="rId384" Type="http://schemas.openxmlformats.org/officeDocument/2006/relationships/image" Target="media/image373.png"/><Relationship Id="rId385" Type="http://schemas.openxmlformats.org/officeDocument/2006/relationships/image" Target="media/image374.png"/><Relationship Id="rId386" Type="http://schemas.openxmlformats.org/officeDocument/2006/relationships/image" Target="media/image375.png"/><Relationship Id="rId387" Type="http://schemas.openxmlformats.org/officeDocument/2006/relationships/image" Target="media/image376.png"/><Relationship Id="rId388" Type="http://schemas.openxmlformats.org/officeDocument/2006/relationships/image" Target="media/image377.png"/><Relationship Id="rId389" Type="http://schemas.openxmlformats.org/officeDocument/2006/relationships/image" Target="media/image378.png"/><Relationship Id="rId390" Type="http://schemas.openxmlformats.org/officeDocument/2006/relationships/image" Target="media/image379.png"/><Relationship Id="rId391" Type="http://schemas.openxmlformats.org/officeDocument/2006/relationships/image" Target="media/image380.png"/><Relationship Id="rId392" Type="http://schemas.openxmlformats.org/officeDocument/2006/relationships/image" Target="media/image381.png"/><Relationship Id="rId393" Type="http://schemas.openxmlformats.org/officeDocument/2006/relationships/image" Target="media/image382.png"/><Relationship Id="rId394" Type="http://schemas.openxmlformats.org/officeDocument/2006/relationships/image" Target="media/image383.png"/><Relationship Id="rId395" Type="http://schemas.openxmlformats.org/officeDocument/2006/relationships/image" Target="media/image384.png"/><Relationship Id="rId396" Type="http://schemas.openxmlformats.org/officeDocument/2006/relationships/image" Target="media/image385.png"/><Relationship Id="rId397" Type="http://schemas.openxmlformats.org/officeDocument/2006/relationships/image" Target="media/image386.png"/><Relationship Id="rId398" Type="http://schemas.openxmlformats.org/officeDocument/2006/relationships/image" Target="media/image387.png"/><Relationship Id="rId399" Type="http://schemas.openxmlformats.org/officeDocument/2006/relationships/image" Target="media/image388.png"/><Relationship Id="rId400" Type="http://schemas.openxmlformats.org/officeDocument/2006/relationships/image" Target="media/image389.png"/><Relationship Id="rId401" Type="http://schemas.openxmlformats.org/officeDocument/2006/relationships/image" Target="media/image390.png"/><Relationship Id="rId402" Type="http://schemas.openxmlformats.org/officeDocument/2006/relationships/image" Target="media/image391.png"/><Relationship Id="rId403" Type="http://schemas.openxmlformats.org/officeDocument/2006/relationships/image" Target="media/image392.png"/><Relationship Id="rId404" Type="http://schemas.openxmlformats.org/officeDocument/2006/relationships/image" Target="media/image393.png"/><Relationship Id="rId405" Type="http://schemas.openxmlformats.org/officeDocument/2006/relationships/image" Target="media/image394.png"/><Relationship Id="rId406" Type="http://schemas.openxmlformats.org/officeDocument/2006/relationships/image" Target="media/image395.png"/><Relationship Id="rId407" Type="http://schemas.openxmlformats.org/officeDocument/2006/relationships/image" Target="media/image396.png"/><Relationship Id="rId408" Type="http://schemas.openxmlformats.org/officeDocument/2006/relationships/image" Target="media/image397.png"/><Relationship Id="rId409" Type="http://schemas.openxmlformats.org/officeDocument/2006/relationships/image" Target="media/image398.png"/><Relationship Id="rId410" Type="http://schemas.openxmlformats.org/officeDocument/2006/relationships/image" Target="media/image399.png"/><Relationship Id="rId411" Type="http://schemas.openxmlformats.org/officeDocument/2006/relationships/image" Target="media/image400.png"/><Relationship Id="rId412" Type="http://schemas.openxmlformats.org/officeDocument/2006/relationships/image" Target="media/image401.png"/><Relationship Id="rId413" Type="http://schemas.openxmlformats.org/officeDocument/2006/relationships/image" Target="media/image402.png"/><Relationship Id="rId414" Type="http://schemas.openxmlformats.org/officeDocument/2006/relationships/image" Target="media/image403.png"/><Relationship Id="rId415" Type="http://schemas.openxmlformats.org/officeDocument/2006/relationships/image" Target="media/image404.png"/><Relationship Id="rId416" Type="http://schemas.openxmlformats.org/officeDocument/2006/relationships/image" Target="media/image405.png"/><Relationship Id="rId417" Type="http://schemas.openxmlformats.org/officeDocument/2006/relationships/image" Target="media/image406.png"/><Relationship Id="rId418" Type="http://schemas.openxmlformats.org/officeDocument/2006/relationships/image" Target="media/image407.png"/><Relationship Id="rId419" Type="http://schemas.openxmlformats.org/officeDocument/2006/relationships/image" Target="media/image408.png"/><Relationship Id="rId420" Type="http://schemas.openxmlformats.org/officeDocument/2006/relationships/image" Target="media/image409.png"/><Relationship Id="rId421" Type="http://schemas.openxmlformats.org/officeDocument/2006/relationships/image" Target="media/image410.png"/><Relationship Id="rId422" Type="http://schemas.openxmlformats.org/officeDocument/2006/relationships/image" Target="media/image411.png"/><Relationship Id="rId423" Type="http://schemas.openxmlformats.org/officeDocument/2006/relationships/image" Target="media/image412.png"/><Relationship Id="rId424" Type="http://schemas.openxmlformats.org/officeDocument/2006/relationships/image" Target="media/image413.png"/><Relationship Id="rId425" Type="http://schemas.openxmlformats.org/officeDocument/2006/relationships/image" Target="media/image414.png"/><Relationship Id="rId426" Type="http://schemas.openxmlformats.org/officeDocument/2006/relationships/image" Target="media/image415.png"/><Relationship Id="rId427" Type="http://schemas.openxmlformats.org/officeDocument/2006/relationships/image" Target="media/image416.png"/><Relationship Id="rId428" Type="http://schemas.openxmlformats.org/officeDocument/2006/relationships/image" Target="media/image417.png"/><Relationship Id="rId429" Type="http://schemas.openxmlformats.org/officeDocument/2006/relationships/image" Target="media/image418.png"/><Relationship Id="rId430" Type="http://schemas.openxmlformats.org/officeDocument/2006/relationships/image" Target="media/image419.png"/><Relationship Id="rId431" Type="http://schemas.openxmlformats.org/officeDocument/2006/relationships/image" Target="media/image420.png"/><Relationship Id="rId432" Type="http://schemas.openxmlformats.org/officeDocument/2006/relationships/image" Target="media/image421.png"/><Relationship Id="rId433" Type="http://schemas.openxmlformats.org/officeDocument/2006/relationships/image" Target="media/image422.png"/><Relationship Id="rId434" Type="http://schemas.openxmlformats.org/officeDocument/2006/relationships/image" Target="media/image423.png"/><Relationship Id="rId435" Type="http://schemas.openxmlformats.org/officeDocument/2006/relationships/image" Target="media/image424.png"/><Relationship Id="rId436" Type="http://schemas.openxmlformats.org/officeDocument/2006/relationships/image" Target="media/image425.png"/><Relationship Id="rId437" Type="http://schemas.openxmlformats.org/officeDocument/2006/relationships/image" Target="media/image426.png"/><Relationship Id="rId438" Type="http://schemas.openxmlformats.org/officeDocument/2006/relationships/image" Target="media/image427.png"/><Relationship Id="rId439" Type="http://schemas.openxmlformats.org/officeDocument/2006/relationships/image" Target="media/image428.png"/><Relationship Id="rId440" Type="http://schemas.openxmlformats.org/officeDocument/2006/relationships/image" Target="media/image429.png"/><Relationship Id="rId441" Type="http://schemas.openxmlformats.org/officeDocument/2006/relationships/image" Target="media/image430.png"/><Relationship Id="rId442" Type="http://schemas.openxmlformats.org/officeDocument/2006/relationships/image" Target="media/image431.png"/><Relationship Id="rId443" Type="http://schemas.openxmlformats.org/officeDocument/2006/relationships/image" Target="media/image432.png"/><Relationship Id="rId444" Type="http://schemas.openxmlformats.org/officeDocument/2006/relationships/image" Target="media/image433.png"/><Relationship Id="rId445" Type="http://schemas.openxmlformats.org/officeDocument/2006/relationships/image" Target="media/image434.png"/><Relationship Id="rId446" Type="http://schemas.openxmlformats.org/officeDocument/2006/relationships/image" Target="media/image435.png"/><Relationship Id="rId447" Type="http://schemas.openxmlformats.org/officeDocument/2006/relationships/image" Target="media/image436.png"/><Relationship Id="rId448" Type="http://schemas.openxmlformats.org/officeDocument/2006/relationships/image" Target="media/image437.png"/><Relationship Id="rId449" Type="http://schemas.openxmlformats.org/officeDocument/2006/relationships/image" Target="media/image438.png"/><Relationship Id="rId450" Type="http://schemas.openxmlformats.org/officeDocument/2006/relationships/image" Target="media/image439.png"/><Relationship Id="rId211" Type="http://schemas.openxmlformats.org/officeDocument/2006/relationships/hyperlink" Target="http://www.sec.gov/Archives/edgar/data/1816736/000121390020018581/fs12020_fsdevelopmentcorp.htm#T333" TargetMode="External"/><Relationship Id="rId212" Type="http://schemas.openxmlformats.org/officeDocument/2006/relationships/hyperlink" Target="http://www.sec.gov/Archives/edgar/data/1816736/000121390020018581/fs12020ex99-4_fsdevelopment.htm" TargetMode="External"/><Relationship Id="rId213" Type="http://schemas.openxmlformats.org/officeDocument/2006/relationships/hyperlink" Target="http://www.sec.gov/Archives/edgar/data/1816736/000121390020018581/fs12020ex99-5_fsdevelopment.htm" TargetMode="External"/><Relationship Id="rId214" Type="http://schemas.openxmlformats.org/officeDocument/2006/relationships/hyperlink" Target="http://www.sec.gov/Archives/edgar/data/1816736/000121390020018581/fs12020ex99-6_fsdevelop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2020-08-07T15:16:54Z</dcterms:created>
  <dcterms:modified xsi:type="dcterms:W3CDTF">2020-08-07T15:16:54Z</dcterms:modified>
</cp:coreProperties>
</file>