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 to 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Disc Medicine, Inc.</w:t>
      </w:r>
    </w:p>
    <w:p>
      <w:pPr>
        <w:sectPr>
          <w:pgSz w:w="11900" w:h="16838" w:orient="portrait"/>
          <w:cols w:equalWidth="0" w:num="1">
            <w:col w:w="11240"/>
          </w:cols>
          <w:pgMar w:left="320" w:top="1288"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1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 w:lineRule="exact"/>
        <w:rPr>
          <w:sz w:val="24"/>
          <w:szCs w:val="24"/>
          <w:color w:val="auto"/>
        </w:rPr>
      </w:pPr>
    </w:p>
    <w:p>
      <w:pPr>
        <w:sectPr>
          <w:pgSz w:w="11900" w:h="16838" w:orient="portrait"/>
          <w:cols w:equalWidth="0" w:num="2">
            <w:col w:w="7520" w:space="340"/>
            <w:col w:w="3380"/>
          </w:cols>
          <w:pgMar w:left="320" w:top="128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Watertown, Massachusetts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jc w:val="right"/>
              <w:ind w:right="2521"/>
              <w:spacing w:after="0"/>
              <w:rPr>
                <w:sz w:val="20"/>
                <w:szCs w:val="20"/>
                <w:color w:val="auto"/>
              </w:rPr>
            </w:pPr>
            <w:r>
              <w:rPr>
                <w:rFonts w:ascii="Times New Roman" w:cs="Times New Roman" w:eastAsia="Times New Roman" w:hAnsi="Times New Roman"/>
                <w:sz w:val="17"/>
                <w:szCs w:val="17"/>
                <w:b w:val="1"/>
                <w:bCs w:val="1"/>
                <w:color w:val="auto"/>
              </w:rPr>
              <w:t>02472</w:t>
            </w:r>
          </w:p>
        </w:tc>
        <w:tc>
          <w:tcPr>
            <w:tcW w:w="0" w:type="dxa"/>
            <w:vAlign w:val="bottom"/>
          </w:tcPr>
          <w:p>
            <w:pPr>
              <w:spacing w:after="0"/>
              <w:rPr>
                <w:sz w:val="1"/>
                <w:szCs w:val="1"/>
                <w:color w:val="auto"/>
              </w:rPr>
            </w:pPr>
          </w:p>
        </w:tc>
      </w:tr>
      <w:tr>
        <w:trPr>
          <w:trHeight w:val="190"/>
        </w:trPr>
        <w:tc>
          <w:tcPr>
            <w:tcW w:w="7320" w:type="dxa"/>
            <w:vAlign w:val="bottom"/>
            <w:gridSpan w:val="8"/>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1"/>
        </w:trPr>
        <w:tc>
          <w:tcPr>
            <w:tcW w:w="3960" w:type="dxa"/>
            <w:vAlign w:val="bottom"/>
          </w:tcPr>
          <w:p>
            <w:pPr>
              <w:spacing w:after="0"/>
              <w:rPr>
                <w:sz w:val="21"/>
                <w:szCs w:val="21"/>
                <w:color w:val="auto"/>
              </w:rPr>
            </w:pPr>
          </w:p>
        </w:tc>
        <w:tc>
          <w:tcPr>
            <w:tcW w:w="224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(617) 674-9274</w:t>
            </w: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336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9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60" w:type="dxa"/>
            <w:vAlign w:val="bottom"/>
            <w:vMerge w:val="restart"/>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4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60" w:type="dxa"/>
            <w:vAlign w:val="bottom"/>
            <w:tcBorders>
              <w:top w:val="single" w:sz="8" w:color="auto"/>
            </w:tcBorders>
          </w:tcPr>
          <w:p>
            <w:pPr>
              <w:jc w:val="center"/>
              <w:ind w:left="259"/>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7"/>
                <w:szCs w:val="17"/>
                <w:b w:val="1"/>
                <w:bCs w:val="1"/>
                <w:color w:val="auto"/>
                <w:w w:val="99"/>
              </w:rPr>
              <w:t>IRON</w:t>
            </w:r>
          </w:p>
        </w:tc>
        <w:tc>
          <w:tcPr>
            <w:tcW w:w="120" w:type="dxa"/>
            <w:vAlign w:val="bottom"/>
          </w:tcPr>
          <w:p>
            <w:pPr>
              <w:spacing w:after="0"/>
              <w:rPr>
                <w:sz w:val="19"/>
                <w:szCs w:val="19"/>
                <w:color w:val="auto"/>
              </w:rPr>
            </w:pPr>
          </w:p>
        </w:tc>
        <w:tc>
          <w:tcPr>
            <w:tcW w:w="1120" w:type="dxa"/>
            <w:vAlign w:val="bottom"/>
            <w:tcBorders>
              <w:top w:val="single" w:sz="8" w:color="auto"/>
            </w:tcBorders>
            <w:gridSpan w:val="2"/>
          </w:tcPr>
          <w:p>
            <w:pPr>
              <w:spacing w:after="0"/>
              <w:rPr>
                <w:sz w:val="19"/>
                <w:szCs w:val="19"/>
                <w:color w:val="auto"/>
              </w:rPr>
            </w:pPr>
          </w:p>
        </w:tc>
        <w:tc>
          <w:tcPr>
            <w:tcW w:w="3920" w:type="dxa"/>
            <w:vAlign w:val="bottom"/>
            <w:tcBorders>
              <w:top w:val="single" w:sz="8" w:color="auto"/>
            </w:tcBorders>
          </w:tcPr>
          <w:p>
            <w:pPr>
              <w:jc w:val="center"/>
              <w:ind w:right="1041"/>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80" w:firstLine="59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200" w:firstLine="59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55" w:lineRule="exact"/>
        <w:rPr>
          <w:sz w:val="24"/>
          <w:szCs w:val="24"/>
          <w:color w:val="auto"/>
        </w:rPr>
      </w:pPr>
    </w:p>
    <w:p>
      <w:pPr>
        <w:jc w:val="both"/>
        <w:ind w:right="240" w:firstLine="599"/>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68"/>
        </w:trPr>
        <w:tc>
          <w:tcPr>
            <w:tcW w:w="188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Large accelerated filer</w:t>
            </w:r>
          </w:p>
        </w:tc>
        <w:tc>
          <w:tcPr>
            <w:tcW w:w="3640" w:type="dxa"/>
            <w:vAlign w:val="bottom"/>
          </w:tcPr>
          <w:p>
            <w:pPr>
              <w:ind w:left="360"/>
              <w:spacing w:after="0" w:line="168"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line="168" w:lineRule="exact"/>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68" w:lineRule="exact"/>
              <w:rPr>
                <w:sz w:val="20"/>
                <w:szCs w:val="20"/>
                <w:color w:val="auto"/>
              </w:rPr>
            </w:pPr>
            <w:r>
              <w:rPr>
                <w:rFonts w:ascii="MS PGothic" w:cs="MS PGothic" w:eastAsia="MS PGothic" w:hAnsi="MS PGothic"/>
                <w:sz w:val="17"/>
                <w:szCs w:val="17"/>
                <w:color w:val="auto"/>
                <w:w w:val="82"/>
              </w:rPr>
              <w:t>☐</w:t>
            </w: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1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37" w:lineRule="exact"/>
        <w:rPr>
          <w:sz w:val="24"/>
          <w:szCs w:val="24"/>
          <w:color w:val="auto"/>
        </w:rPr>
      </w:pPr>
    </w:p>
    <w:p>
      <w:pPr>
        <w:jc w:val="both"/>
        <w:ind w:right="100" w:firstLine="59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740"/>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July 31, 2025 there were 34,765,581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257"/>
        </w:trPr>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3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FORWARD LOOKING STATEMENTS</w:t>
            </w:r>
          </w:p>
        </w:tc>
        <w:tc>
          <w:tcPr>
            <w:tcW w:w="73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2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RISK FACTOR SUMMARY</w:t>
            </w:r>
          </w:p>
        </w:tc>
        <w:tc>
          <w:tcPr>
            <w:tcW w:w="20" w:type="dxa"/>
            <w:vAlign w:val="bottom"/>
            <w:tcBorders>
              <w:bottom w:val="single" w:sz="8" w:color="0000EE"/>
            </w:tcBorders>
          </w:tcPr>
          <w:p>
            <w:pPr>
              <w:spacing w:after="0"/>
              <w:rPr>
                <w:sz w:val="17"/>
                <w:szCs w:val="17"/>
                <w:color w:val="auto"/>
              </w:rPr>
            </w:pPr>
          </w:p>
        </w:tc>
        <w:tc>
          <w:tcPr>
            <w:tcW w:w="81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APOLLO clinical trial of bitopertin, our ongoing and planned clinical trials of DISC-0974 and our ongoing Phase 2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seek and obtain approval for bitopertin under the U.S. Food and Drug Administration’s, or FDA’s, Accelerated Approval Program, including the FDA's acceptance of the APOLLO clinical study as a post-marketing confirmatory trial, the timeline for a potential New Drug Application, or NDA, submission, and whether the NDA submission will meet the standards for accelerated approval;</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our internal control over financial reporting;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geopolitical conflicts, including the conflicts between Russia and Ukraine and in the Middle East, economic sanctions and economic slowdowns or recessions that may result from such developments which could harm our research and development efforts as well as the value of our common stock and our ability to access capital markets; and</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Quarterly Report on Form 10-Q.</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Quarterly Report on Form 10-Q and our other filings with the Securities and Exchange Commission, or SEC, before making an investment decision regarding our common stock.</w:t>
      </w:r>
    </w:p>
    <w:p>
      <w:pPr>
        <w:spacing w:after="0" w:line="7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substantially harmed.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approval from the FDA for bitopertin 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ultimately lead to expedited approval of our product candidates, or approval at all.</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and increased demands upon management as a result of complying with the laws and regulations affecting public companies.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1.</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127,337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665,061</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w:t>
            </w:r>
          </w:p>
        </w:tc>
        <w:tc>
          <w:tcPr>
            <w:tcW w:w="380" w:type="dxa"/>
            <w:vAlign w:val="bottom"/>
            <w:shd w:val="clear" w:color="auto" w:fill="CFF0FC"/>
          </w:tcPr>
          <w:p>
            <w:pPr>
              <w:spacing w:after="0"/>
              <w:rPr>
                <w:sz w:val="17"/>
                <w:szCs w:val="17"/>
                <w:color w:val="auto"/>
              </w:rPr>
            </w:pPr>
          </w:p>
        </w:tc>
        <w:tc>
          <w:tcPr>
            <w:tcW w:w="178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71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June 30, 2025 and December 31, 2024</w:t>
            </w:r>
          </w:p>
        </w:tc>
        <w:tc>
          <w:tcPr>
            <w:tcW w:w="380" w:type="dxa"/>
            <w:vAlign w:val="bottom"/>
            <w:shd w:val="clear" w:color="auto" w:fill="CFF0FC"/>
          </w:tcPr>
          <w:p>
            <w:pPr>
              <w:spacing w:after="0"/>
              <w:rPr>
                <w:sz w:val="10"/>
                <w:szCs w:val="10"/>
                <w:color w:val="auto"/>
              </w:rPr>
            </w:pPr>
          </w:p>
        </w:tc>
        <w:tc>
          <w:tcPr>
            <w:tcW w:w="178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60" w:type="dxa"/>
            <w:vAlign w:val="bottom"/>
            <w:vMerge w:val="continue"/>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4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1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as of June 30, 2025 and</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34,694,882 and 29,865,030 shares issued and outstanding as of June 30,</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1,001,223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(387,334)</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(298,002)</w:t>
            </w:r>
          </w:p>
        </w:tc>
        <w:tc>
          <w:tcPr>
            <w:tcW w:w="0" w:type="dxa"/>
            <w:vAlign w:val="bottom"/>
          </w:tcPr>
          <w:p>
            <w:pPr>
              <w:spacing w:after="0"/>
              <w:rPr>
                <w:sz w:val="1"/>
                <w:szCs w:val="1"/>
                <w:color w:val="auto"/>
              </w:rPr>
            </w:pPr>
          </w:p>
        </w:tc>
      </w:tr>
      <w:tr>
        <w:trPr>
          <w:trHeight w:val="210"/>
        </w:trPr>
        <w:tc>
          <w:tcPr>
            <w:tcW w:w="71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614,165</w:t>
            </w:r>
          </w:p>
        </w:tc>
        <w:tc>
          <w:tcPr>
            <w:tcW w:w="3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665,061</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-3805555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-3248660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-3248660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-1833880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-316865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46,319</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74,082</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47,189</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27,274</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61,410</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101,356</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62,314</w:t>
            </w:r>
          </w:p>
        </w:tc>
        <w:tc>
          <w:tcPr>
            <w:tcW w:w="100" w:type="dxa"/>
            <w:vAlign w:val="bottom"/>
          </w:tcPr>
          <w:p>
            <w:pPr>
              <w:spacing w:after="0"/>
              <w:rPr>
                <w:sz w:val="18"/>
                <w:szCs w:val="18"/>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(61,410)</w:t>
            </w: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(30,852)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(101,356)</w:t>
            </w:r>
          </w:p>
        </w:tc>
        <w:tc>
          <w:tcPr>
            <w:tcW w:w="4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(62,314)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w:t>
            </w: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(1,807)</w:t>
            </w:r>
          </w:p>
        </w:tc>
        <w:tc>
          <w:tcPr>
            <w:tcW w:w="4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48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24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Borders>
              <w:top w:val="single" w:sz="8" w:color="CFF0FC"/>
            </w:tcBorders>
          </w:tcPr>
          <w:p>
            <w:pPr>
              <w:spacing w:after="0"/>
              <w:rPr>
                <w:sz w:val="18"/>
                <w:szCs w:val="18"/>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(55,195)</w:t>
            </w: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(26,292)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(89,161)</w:t>
            </w:r>
          </w:p>
        </w:tc>
        <w:tc>
          <w:tcPr>
            <w:tcW w:w="4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(53,236)</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(55,247)</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(26,352)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(89,332)</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(53,301)</w:t>
            </w:r>
          </w:p>
        </w:tc>
      </w:tr>
      <w:tr>
        <w:trPr>
          <w:trHeight w:val="20"/>
        </w:trPr>
        <w:tc>
          <w:tcPr>
            <w:tcW w:w="4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35,024,592</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25,649,043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34,179,364</w:t>
            </w: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25,229,456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(55,247)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(89,332)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(53,301)</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4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(55,509)</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(26,412)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(89,348)</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(53,361)</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-2887980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-2887980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-2887980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-2048510</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-2048510</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-2048510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-2048510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-1473835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-1473835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-1473835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-1165225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-1148080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-1165225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-1148080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-1165225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-316865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-316865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-316865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2080" w:type="dxa"/>
            <w:vAlign w:val="bottom"/>
            <w:gridSpan w:val="3"/>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269"/>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1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169"/>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1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29,865,030</w:t>
            </w:r>
          </w:p>
        </w:tc>
        <w:tc>
          <w:tcPr>
            <w:tcW w:w="920" w:type="dxa"/>
            <w:vAlign w:val="bottom"/>
            <w:tcBorders>
              <w:bottom w:val="single" w:sz="8" w:color="CFF0FC"/>
            </w:tcBorders>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741,297</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289</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(298,002)</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443,587</w:t>
            </w: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91,524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83,672</w:t>
            </w: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7,814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Sale of common stock in underwritten offering,</w:t>
            </w:r>
          </w:p>
        </w:tc>
        <w:tc>
          <w:tcPr>
            <w:tcW w:w="11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4,533,182</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234,003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234,003</w:t>
            </w:r>
          </w:p>
        </w:tc>
        <w:tc>
          <w:tcPr>
            <w:tcW w:w="0" w:type="dxa"/>
            <w:vAlign w:val="bottom"/>
          </w:tcPr>
          <w:p>
            <w:pPr>
              <w:spacing w:after="0"/>
              <w:rPr>
                <w:sz w:val="1"/>
                <w:szCs w:val="1"/>
                <w:color w:val="auto"/>
              </w:rPr>
            </w:pPr>
          </w:p>
        </w:tc>
      </w:tr>
      <w:tr>
        <w:trPr>
          <w:trHeight w:val="107"/>
        </w:trPr>
        <w:tc>
          <w:tcPr>
            <w:tcW w:w="394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issuance costs of $15,321</w:t>
            </w:r>
          </w:p>
        </w:tc>
        <w:tc>
          <w:tcPr>
            <w:tcW w:w="11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40" w:type="dxa"/>
            <w:vAlign w:val="bottom"/>
            <w:vMerge w:val="continue"/>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Sale of pre-funded warrants in underwritten offering,</w:t>
            </w:r>
          </w:p>
        </w:tc>
        <w:tc>
          <w:tcPr>
            <w:tcW w:w="11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9,386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9,386</w:t>
            </w:r>
          </w:p>
        </w:tc>
        <w:tc>
          <w:tcPr>
            <w:tcW w:w="0" w:type="dxa"/>
            <w:vAlign w:val="bottom"/>
          </w:tcPr>
          <w:p>
            <w:pPr>
              <w:spacing w:after="0"/>
              <w:rPr>
                <w:sz w:val="1"/>
                <w:szCs w:val="1"/>
                <w:color w:val="auto"/>
              </w:rPr>
            </w:pPr>
          </w:p>
        </w:tc>
      </w:tr>
      <w:tr>
        <w:trPr>
          <w:trHeight w:val="107"/>
        </w:trPr>
        <w:tc>
          <w:tcPr>
            <w:tcW w:w="3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net of issuance costs of $615</w:t>
            </w: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16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(34,085)</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(34,085)</w:t>
            </w:r>
          </w:p>
        </w:tc>
        <w:tc>
          <w:tcPr>
            <w:tcW w:w="0" w:type="dxa"/>
            <w:vAlign w:val="bottom"/>
          </w:tcPr>
          <w:p>
            <w:pPr>
              <w:spacing w:after="0"/>
              <w:rPr>
                <w:sz w:val="1"/>
                <w:szCs w:val="1"/>
                <w:color w:val="auto"/>
              </w:rPr>
            </w:pPr>
          </w:p>
        </w:tc>
      </w:tr>
      <w:tr>
        <w:trPr>
          <w:trHeight w:val="255"/>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34,581,222</w:t>
            </w:r>
          </w:p>
        </w:tc>
        <w:tc>
          <w:tcPr>
            <w:tcW w:w="920" w:type="dxa"/>
            <w:vAlign w:val="bottom"/>
            <w:tcBorders>
              <w:bottom w:val="single" w:sz="8" w:color="CFF0FC"/>
            </w:tcBorders>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991,911</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535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(332,087)</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660,362</w:t>
            </w:r>
          </w:p>
        </w:tc>
        <w:tc>
          <w:tcPr>
            <w:tcW w:w="0" w:type="dxa"/>
            <w:vAlign w:val="bottom"/>
          </w:tcPr>
          <w:p>
            <w:pPr>
              <w:spacing w:after="0"/>
              <w:rPr>
                <w:sz w:val="1"/>
                <w:szCs w:val="1"/>
                <w:color w:val="auto"/>
              </w:rPr>
            </w:pPr>
          </w:p>
        </w:tc>
      </w:tr>
      <w:tr>
        <w:trPr>
          <w:trHeight w:val="173"/>
        </w:trPr>
        <w:tc>
          <w:tcPr>
            <w:tcW w:w="3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110,230</w:t>
            </w:r>
          </w:p>
        </w:tc>
        <w:tc>
          <w:tcPr>
            <w:tcW w:w="12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3,430</w:t>
            </w: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8,420</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(55,247)</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(55,247)</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34,694,882</w:t>
            </w:r>
          </w:p>
        </w:tc>
        <w:tc>
          <w:tcPr>
            <w:tcW w:w="920" w:type="dxa"/>
            <w:vAlign w:val="bottom"/>
            <w:gridSpan w:val="2"/>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1,001,223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(387,334)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614,165</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-976630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-959485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-976630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-959485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-976630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-959485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-976630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-959485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-976630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-959485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-170815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28" w:lineRule="exact"/>
        <w:rPr>
          <w:sz w:val="20"/>
          <w:szCs w:val="20"/>
          <w:color w:val="auto"/>
        </w:rPr>
      </w:pPr>
    </w:p>
    <w:p>
      <w:pPr>
        <w:ind w:left="120" w:right="820" w:hanging="107"/>
        <w:spacing w:after="0" w:line="250" w:lineRule="auto"/>
        <w:rPr>
          <w:sz w:val="20"/>
          <w:szCs w:val="20"/>
          <w:color w:val="auto"/>
        </w:rPr>
      </w:pPr>
      <w:r>
        <w:rPr>
          <w:rFonts w:ascii="Times New Roman" w:cs="Times New Roman" w:eastAsia="Times New Roman" w:hAnsi="Times New Roman"/>
          <w:sz w:val="14"/>
          <w:szCs w:val="14"/>
          <w:color w:val="auto"/>
        </w:rPr>
        <w:t>Sale of common stock in at-the-market offerings, net of issuance costs of $518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28" w:lineRule="exact"/>
        <w:rPr>
          <w:sz w:val="20"/>
          <w:szCs w:val="20"/>
          <w:color w:val="auto"/>
        </w:rPr>
      </w:pPr>
    </w:p>
    <w:p>
      <w:pPr>
        <w:ind w:left="120" w:right="920" w:hanging="107"/>
        <w:spacing w:after="0" w:line="250" w:lineRule="auto"/>
        <w:rPr>
          <w:sz w:val="20"/>
          <w:szCs w:val="20"/>
          <w:color w:val="auto"/>
        </w:rPr>
      </w:pPr>
      <w:r>
        <w:rPr>
          <w:rFonts w:ascii="Times New Roman" w:cs="Times New Roman" w:eastAsia="Times New Roman" w:hAnsi="Times New Roman"/>
          <w:sz w:val="14"/>
          <w:szCs w:val="14"/>
          <w:color w:val="auto"/>
        </w:rPr>
        <w:t>Sale of common stock in underwritten offering, net of issuance costs of $5,472</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80" w:type="dxa"/>
            <w:vAlign w:val="bottom"/>
            <w:gridSpan w:val="3"/>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270"/>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11"/>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17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6"/>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24,360,233</w:t>
            </w:r>
          </w:p>
        </w:tc>
        <w:tc>
          <w:tcPr>
            <w:tcW w:w="920" w:type="dxa"/>
            <w:vAlign w:val="bottom"/>
            <w:gridSpan w:val="2"/>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533,764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(188,645)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345,121</w:t>
            </w:r>
          </w:p>
        </w:tc>
        <w:tc>
          <w:tcPr>
            <w:tcW w:w="0" w:type="dxa"/>
            <w:vAlign w:val="bottom"/>
          </w:tcPr>
          <w:p>
            <w:pPr>
              <w:spacing w:after="0"/>
              <w:rPr>
                <w:sz w:val="1"/>
                <w:szCs w:val="1"/>
                <w:color w:val="auto"/>
              </w:rPr>
            </w:pPr>
          </w:p>
        </w:tc>
      </w:tr>
      <w:tr>
        <w:trPr>
          <w:trHeight w:val="216"/>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95,467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216"/>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5,736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56"/>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234,449</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14,790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14,790</w:t>
            </w:r>
          </w:p>
        </w:tc>
        <w:tc>
          <w:tcPr>
            <w:tcW w:w="0" w:type="dxa"/>
            <w:vAlign w:val="bottom"/>
          </w:tcPr>
          <w:p>
            <w:pPr>
              <w:spacing w:after="0"/>
              <w:rPr>
                <w:sz w:val="1"/>
                <w:szCs w:val="1"/>
                <w:color w:val="auto"/>
              </w:rPr>
            </w:pPr>
          </w:p>
        </w:tc>
      </w:tr>
      <w:tr>
        <w:trPr>
          <w:trHeight w:val="257"/>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4,058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216"/>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(26,949)</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24,695,885</w:t>
            </w:r>
          </w:p>
        </w:tc>
        <w:tc>
          <w:tcPr>
            <w:tcW w:w="920" w:type="dxa"/>
            <w:vAlign w:val="bottom"/>
            <w:gridSpan w:val="2"/>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553,663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(215,594)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338,071</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68,112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57"/>
        </w:trPr>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4,944,000</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172,511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172,512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-1330325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-1056005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-730250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-147320</wp:posOffset>
            </wp:positionV>
            <wp:extent cx="71323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-447040</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3660" w:space="280"/>
            <w:col w:w="73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4,091</w:t>
            </w:r>
          </w:p>
        </w:tc>
      </w:tr>
      <w:tr>
        <w:trPr>
          <w:trHeight w:val="154"/>
        </w:trPr>
        <w:tc>
          <w:tcPr>
            <w:tcW w:w="394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60" w:type="dxa"/>
            <w:vAlign w:val="bottom"/>
            <w:shd w:val="clear" w:color="auto" w:fill="CFF0FC"/>
          </w:tcPr>
          <w:p>
            <w:pPr>
              <w:jc w:val="right"/>
              <w:ind w:right="68"/>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48"/>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4"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8"/>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4" w:lineRule="exact"/>
              <w:rPr>
                <w:sz w:val="20"/>
                <w:szCs w:val="20"/>
                <w:color w:val="auto"/>
              </w:rPr>
            </w:pPr>
            <w:r>
              <w:rPr>
                <w:rFonts w:ascii="Times New Roman" w:cs="Times New Roman" w:eastAsia="Times New Roman" w:hAnsi="Times New Roman"/>
                <w:sz w:val="14"/>
                <w:szCs w:val="14"/>
                <w:color w:val="auto"/>
              </w:rPr>
              <w:t>6</w:t>
            </w: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1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r>
      <w:tr>
        <w:trPr>
          <w:trHeight w:val="211"/>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(26,352)</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(26,352)</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29,707,997</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730,832</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(241,946)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488,829</w:t>
            </w:r>
          </w:p>
        </w:tc>
      </w:tr>
      <w:tr>
        <w:trPr>
          <w:trHeight w:val="23"/>
        </w:trPr>
        <w:tc>
          <w:tcPr>
            <w:tcW w:w="39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-170815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(89,332)</w:t>
            </w: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(53,301)</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7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14,783</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8,149</w:t>
            </w:r>
          </w:p>
        </w:tc>
      </w:tr>
      <w:tr>
        <w:trPr>
          <w:trHeight w:val="21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Amortization/accretion of investment securities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7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from initial consolidation of variable interest entity</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lease expense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7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non-cash items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r>
      <w:tr>
        <w:trPr>
          <w:trHeight w:val="216"/>
        </w:trPr>
        <w:tc>
          <w:tcPr>
            <w:tcW w:w="75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w:t>
            </w:r>
          </w:p>
        </w:tc>
      </w:tr>
      <w:tr>
        <w:trPr>
          <w:trHeight w:val="216"/>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8,365</w:t>
            </w:r>
          </w:p>
        </w:tc>
      </w:tr>
      <w:tr>
        <w:trPr>
          <w:trHeight w:val="216"/>
        </w:trPr>
        <w:tc>
          <w:tcPr>
            <w:tcW w:w="75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16"/>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0"/>
        </w:trPr>
        <w:tc>
          <w:tcPr>
            <w:tcW w:w="758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(89,294)</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(48,992)</w:t>
            </w: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(405,876)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(219,752)</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185,819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9"/>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(220,944)</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(219,816)</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underwritten offering, net of issuance costs paid</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234,003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172,683</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pre-funded warrants in underwritten offering, net of issuance costs paid</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9,386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at-the-market offerings, net of issuance costs paid</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14,790</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1,373</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245</w:t>
            </w:r>
          </w:p>
        </w:tc>
      </w:tr>
      <w:tr>
        <w:trPr>
          <w:trHeight w:val="210"/>
        </w:trPr>
        <w:tc>
          <w:tcPr>
            <w:tcW w:w="7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245,143</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189,091</w:t>
            </w:r>
          </w:p>
        </w:tc>
      </w:tr>
      <w:tr>
        <w:trPr>
          <w:trHeight w:val="209"/>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(79,717)</w:t>
            </w:r>
          </w:p>
        </w:tc>
      </w:tr>
      <w:tr>
        <w:trPr>
          <w:trHeight w:val="216"/>
        </w:trPr>
        <w:tc>
          <w:tcPr>
            <w:tcW w:w="7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192,672</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360,616</w:t>
            </w:r>
          </w:p>
        </w:tc>
      </w:tr>
      <w:tr>
        <w:trPr>
          <w:trHeight w:val="209"/>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6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127,577</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280,899</w:t>
            </w:r>
          </w:p>
        </w:tc>
      </w:tr>
      <w:tr>
        <w:trPr>
          <w:trHeight w:val="20"/>
        </w:trPr>
        <w:tc>
          <w:tcPr>
            <w:tcW w:w="7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20"/>
        </w:trPr>
        <w:tc>
          <w:tcPr>
            <w:tcW w:w="7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24"/>
                <w:szCs w:val="24"/>
                <w:color w:val="auto"/>
              </w:rPr>
            </w:pPr>
          </w:p>
        </w:tc>
      </w:tr>
      <w:tr>
        <w:trPr>
          <w:trHeight w:val="173"/>
        </w:trPr>
        <w:tc>
          <w:tcPr>
            <w:tcW w:w="7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r>
      <w:tr>
        <w:trPr>
          <w:trHeight w:val="196"/>
        </w:trPr>
        <w:tc>
          <w:tcPr>
            <w:tcW w:w="7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4"/>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1,407</w:t>
            </w: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-2891155</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-2334260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-1210945</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-928370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the Company continuing as a going concern. The Company expects that its existing cash, cash equivalents and marketable securities as of June 30, 2025 of $650.0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June 30, 2025, the Company had an accumulated deficit of $387.3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condensed consolidated financial statements are described in the Company’s audited consolidated financial statements as of and for the year ended December 31, 2024 and the notes thereto, which are included in the Company’s Annual Report on Form 10-K. There have been no material changes to the significant accounting policies previously disclosed in the Company’s Annual Report on Form 10-K for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All intercompany transactions and balances have been eliminated in consolidation.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June 30, 2025 and for the three and six months ended June 30, 2025 and 2024 are unaudited. The financial data and other information contained in the notes hereto as of June 30, 2025 and for the</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three and six months ended June 30, 2025 and 2024 are also unaudited. The condensed consolidated balance sheet data as of December 31, 2024 was derived from the Company’s audited consolidated financial statements included in the Company’s Annual Report on Form 10-K.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June 30, 2025 and the results of its operations and cash flows for the three and six months ended June 30, 2025 and 2024. These unaudited condensed consolidated financial statements should be read in conjunction with the audited consolidated financial statements as of and for the year ended December 31, 2024, and the notes thereto, included in the Company’s Annual Report on Form 10-K.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for the three and six months ended June 30, 2025 and 2024 are not necessarily indicative of results to be expected for the full years, or any other interim periods, or any future year or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reverse merger with Gemini Therapeutics, Inc. ("Gemini") in December 2022;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127,337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192,434</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191"/>
        </w:trPr>
        <w:tc>
          <w:tcPr>
            <w:tcW w:w="75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as shown on the condensed consolidated statements of</w:t>
            </w:r>
          </w:p>
        </w:tc>
        <w:tc>
          <w:tcPr>
            <w:tcW w:w="4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127,577</w:t>
            </w:r>
          </w:p>
        </w:tc>
        <w:tc>
          <w:tcPr>
            <w:tcW w:w="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192,672</w:t>
            </w:r>
          </w:p>
        </w:tc>
        <w:tc>
          <w:tcPr>
            <w:tcW w:w="0" w:type="dxa"/>
            <w:vAlign w:val="bottom"/>
          </w:tcPr>
          <w:p>
            <w:pPr>
              <w:spacing w:after="0"/>
              <w:rPr>
                <w:sz w:val="1"/>
                <w:szCs w:val="1"/>
                <w:color w:val="auto"/>
              </w:rPr>
            </w:pPr>
          </w:p>
        </w:tc>
      </w:tr>
      <w:tr>
        <w:trPr>
          <w:trHeight w:val="99"/>
        </w:trPr>
        <w:tc>
          <w:tcPr>
            <w:tcW w:w="7560" w:type="dxa"/>
            <w:vAlign w:val="bottom"/>
            <w:vMerge w:val="restart"/>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480" w:type="dxa"/>
            <w:vAlign w:val="bottom"/>
            <w:gridSpan w:val="2"/>
            <w:vMerge w:val="continue"/>
            <w:shd w:val="clear" w:color="auto" w:fill="CFF0FC"/>
          </w:tcPr>
          <w:p>
            <w:pPr>
              <w:spacing w:after="0"/>
              <w:rPr>
                <w:sz w:val="8"/>
                <w:szCs w:val="8"/>
                <w:color w:val="auto"/>
              </w:rPr>
            </w:pPr>
          </w:p>
        </w:tc>
        <w:tc>
          <w:tcPr>
            <w:tcW w:w="1360" w:type="dxa"/>
            <w:vAlign w:val="bottom"/>
            <w:vMerge w:val="continue"/>
            <w:shd w:val="clear" w:color="auto" w:fill="CFF0FC"/>
          </w:tcPr>
          <w:p>
            <w:pPr>
              <w:spacing w:after="0"/>
              <w:rPr>
                <w:sz w:val="8"/>
                <w:szCs w:val="8"/>
                <w:color w:val="auto"/>
              </w:rPr>
            </w:pPr>
          </w:p>
        </w:tc>
        <w:tc>
          <w:tcPr>
            <w:tcW w:w="400" w:type="dxa"/>
            <w:vAlign w:val="bottom"/>
            <w:gridSpan w:val="2"/>
            <w:vMerge w:val="continue"/>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756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4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 which is classified within other assets on the condensed consolidated balance sheets, consists of letters of credit related to leased and subleased office space in Watertown, Massachusetts. The Company is required to maintain a separate cash balance to secure its letters of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as of June 30, 2025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3"/>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449,269</w:t>
            </w:r>
          </w:p>
        </w:tc>
        <w:tc>
          <w:tcPr>
            <w:tcW w:w="11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313</w:t>
            </w:r>
          </w:p>
        </w:tc>
        <w:tc>
          <w:tcPr>
            <w:tcW w:w="12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449,543</w:t>
            </w:r>
          </w:p>
        </w:tc>
      </w:tr>
      <w:tr>
        <w:trPr>
          <w:trHeight w:val="216"/>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73,066</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73,093</w:t>
            </w:r>
          </w:p>
        </w:tc>
      </w:tr>
      <w:tr>
        <w:trPr>
          <w:trHeight w:val="209"/>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522,335</w:t>
            </w:r>
          </w:p>
        </w:tc>
        <w:tc>
          <w:tcPr>
            <w:tcW w:w="16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363</w:t>
            </w:r>
          </w:p>
        </w:tc>
        <w:tc>
          <w:tcPr>
            <w:tcW w:w="12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522,636</w:t>
            </w:r>
          </w:p>
        </w:tc>
      </w:tr>
      <w:tr>
        <w:trPr>
          <w:trHeight w:val="20"/>
        </w:trPr>
        <w:tc>
          <w:tcPr>
            <w:tcW w:w="4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Marketable securities as of December 31, 2024 consisted of the following (in thousands):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04"/>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3"/>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189,409</w:t>
            </w:r>
          </w:p>
        </w:tc>
        <w:tc>
          <w:tcPr>
            <w:tcW w:w="11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288</w:t>
            </w:r>
          </w:p>
        </w:tc>
        <w:tc>
          <w:tcPr>
            <w:tcW w:w="12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189,663</w:t>
            </w:r>
          </w:p>
        </w:tc>
      </w:tr>
      <w:tr>
        <w:trPr>
          <w:trHeight w:val="216"/>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107,722</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107,784</w:t>
            </w: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297,131</w:t>
            </w:r>
          </w:p>
        </w:tc>
        <w:tc>
          <w:tcPr>
            <w:tcW w:w="11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373</w:t>
            </w:r>
          </w:p>
        </w:tc>
        <w:tc>
          <w:tcPr>
            <w:tcW w:w="12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297,447</w:t>
            </w:r>
          </w:p>
        </w:tc>
      </w:tr>
      <w:tr>
        <w:trPr>
          <w:trHeight w:val="20"/>
        </w:trPr>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-1310640</wp:posOffset>
            </wp:positionV>
            <wp:extent cx="111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-1310640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-1310640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111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111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111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all of the Company’s marketable securities are available to the Company for use in current operations. As a result, the Company has classified all of these securities as current assets even though the stated maturity of some individual securities may be one year or more beyond the balance sheet date. The following table shows the fair value of the Company’s marketable securities, by contractual maturity, as of June 30,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14"/>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430,370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6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92,266</w:t>
            </w:r>
          </w:p>
        </w:tc>
      </w:tr>
      <w:tr>
        <w:trPr>
          <w:trHeight w:val="249"/>
        </w:trPr>
        <w:tc>
          <w:tcPr>
            <w:tcW w:w="7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60" w:type="dxa"/>
            <w:vAlign w:val="bottom"/>
            <w:tcBorders>
              <w:bottom w:val="single" w:sz="8" w:color="auto"/>
            </w:tcBorders>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522,636</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fair value of marketable securities with unrealized losses was $193.8 million and $51.0 million as of June 30, 2025 and December 31, 2024, respectively. As of June 30, 2025 and December 31, 2024, twenty-two investments and five investments were in an unrealized loss position, respectively.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and U.S. government agency securities are subject to minimal credit risk. As a result, the Company did not record any charges for credit-related impairments for its available-for-sale securities for three and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consolidated financial statements in the Company’s Annual Report on Form 10-K for the year ended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110,355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8,022</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2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110,355</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8,022</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449,543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73,093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522,636</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110,355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530,658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-1666240</wp:posOffset>
            </wp:positionV>
            <wp:extent cx="136525"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-1666240</wp:posOffset>
            </wp:positionV>
            <wp:extent cx="13652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-942340</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-942340</wp:posOffset>
            </wp:positionV>
            <wp:extent cx="1111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1"/>
        </w:trPr>
        <w:tc>
          <w:tcPr>
            <w:tcW w:w="62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189,663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107,784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297,447</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389,363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-736600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U.S. treasury securities with original maturities of three months or less and marketable securities consisting of U.S. treasury and U.S. government agency securities with original maturities 24 months or less, are determined through third-party pricing services.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three and six months ended June 30, 2025 and 2024. There were no changes in valuation techniques during the three and six months ended June 30, 2025 and 2024. There were no transfers between Level 1, Level 2 and Level 3 financial assets during the three and six months ended June 30, 2025. The Company transferred assets of $0.9 million from Level 2 to Level 1 during the three and six months ended June 30, 2024. The Company did not have any non-recurring fair value measurements on any assets or liabilities during the three and six months ended June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4,154</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7,211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0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355</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8,097</w:t>
            </w:r>
          </w:p>
        </w:tc>
      </w:tr>
      <w:tr>
        <w:trPr>
          <w:trHeight w:val="20"/>
        </w:trPr>
        <w:tc>
          <w:tcPr>
            <w:tcW w:w="7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Licensing Activities and Business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aggregate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Company dosed the first patient in the Phase 2 clinical trial of DISC-0974. Per the license agreement, a milestone payment of $3.0 million was paid to AbbVie on January 31, 2025. As of June 30, 2025, no additional milestones had been achieved.</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F. Hoffmann-La Roche Ltd and Hoffmann-La Roche Inc. (collectively “Roche”)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Company's reverse merger with Gemini, the Company issued 482,313 shares of the Company to Roche for no consideration.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the Company made a milestone payment of $10.0 million upon the initiation of the first Phase 3 clinical trial with a licensed product in a first indication which was recorded within research and development in the Company’s condensed consolidated statements of operations and comprehensive loss for the three and six months ended June 30, 2025. The next potential milestone payment is $15.0 million due upon regulatory approval in the United States with a licensed product in a first indication. As of June 30, 2025, this milestone had not been achieved.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 Therapeutics, Inc. ("Mabwell")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pursuant to which Mabwell granted the Company an exclusive and sublicensable license to certain Mabwell intellectual property.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the Company dosed the first patient in the Phase 1 clinical trial for DISC-3405, resulting in a milestone payment of $5.0 million to Mabwell. The next potential milestone payments include $10.0 million due upon the first administration to a patient in a Phase 2 clinical trial for DISC-3405 and $5.0 million due upon the first administration to a patient in a Phase 1b clinical trial with a licensed product in a second indication. As of June 30, 2025, neither of these milestones had been achieved.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Oak Bay Biosciences, Inc. (“OBB”)</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an out-license agreement with OBB pursuant to which the Company granted an exclusive license, with the right to grant sublicenses, to certain Gemini intellectual property. Under the terms of the agreement, the Company received an upfront payment of $0.2 million with additional consideration receivable upon the achievement of certain clinical, regulatory and sales milestones up to $7.0 million, $35.0 million, and $160.0 million, respectively. As of June 30, 2025, none of the milestones had been achieved and are not considered probable of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27, 2025, the Company acquired a privately held company with a clinic-ready program for myelodysplastic syndromes and similar hematologic conditions. The transaction included no upfront cash payment and up to $50.0 million in late-stage contingent development and sales-based milestone payments (“Contingent Consideration”). The acquired entity’s primary asset was in-process research and development (“IPR&amp;D”) with no alternative future use.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acquired entity did not meet the definition of a business under ASC 805. The transaction was accounted for as the initial consolidation of a variable interest entity (“VIE”) in accordance with ASC 810, as the acquired entity lacked sufficient equity at risk to fund its operations, and the Company became its sole equity holder and primary beneficiary.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the Company recorded the acquired assets and assumed liabilities at their estimated fair values as of the acquisition date, which resulted in net acquired liabilities of $0.5 million, excluding Contingent Consideration. Total consideration transferred, including the fair value of the Contingent Consideration, was $0.3 million. The difference between the consideration transferred and the fair value of net liabilities assumed resulted in a $0.9 million loss upon initial consolidation, which was recorded within research and development in the Company’s condensed consolidated statements of operations and comprehensive loss for the three and six months ended June 30, 2025.</w:t>
      </w:r>
    </w:p>
    <w:p>
      <w:pPr>
        <w:spacing w:after="0" w:line="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Level 3 unobservable inputs including management's estimates of milestone achievement probabilities and the application of an appropriate discount rate. Because the milestone payments were not accounted for as derivatives under ASC 815, they were initially measured at fair value as of the acquisition date and are not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remeasured each reporting period. The Contingent Consideration will be adjusted when it is determined that achievement of the contingent milestone is probable, which is generally upon achievement of the milestone event.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transaction, the Company also obtained an exclusive license to certain intellectual property. Under the terms of the license, the Company is obligated to make certain development and sales-based milestone payments of up to $5.6 million and $20.0 million, respectively, for each compound. Additionally, the Company is required to pay royalties on net sales of licensed products at rates in the low single-digits.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6, 2024 (the "Closing Date"),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Under the Hercules Loan Agreement, the Company borrowed an initial amount of $30.0 million on the Closing Date, and at the Company's sole option, can draw an additional $80.0 million on or prior to December 15, 2026, as well as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January 1, 2027 (or January 1, 2028,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Hercules Loan Agreement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condensed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debt discount and debt issuance costs of $1.8 million upon closing of the Hercules Loan Agreement. Debt discount and unamortized debt issuance costs were recorded as a reduction of the carrying amount on the term loan and are amortized as interest expense using the effective-interest method. In addition, unamortized deferred financing costs of $0.6 million were recorded in other assets as of June 30, 2025, related to the Company's right to borrow additional amounts in the future.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and six months ended June 30, 2025 was $0.9 million and $1.8 million, respectively. As of June 30, 2025, the carrying value of the Term Loan Facility approximates its fair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under the Term Loan Facility as of June 30, 2025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20" w:type="dxa"/>
            <w:vAlign w:val="bottom"/>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8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term loan balance</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5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8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end of term fee</w:t>
            </w:r>
          </w:p>
        </w:tc>
        <w:tc>
          <w:tcPr>
            <w:tcW w:w="58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287</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28,737</w:t>
            </w:r>
          </w:p>
        </w:tc>
      </w:tr>
      <w:tr>
        <w:trPr>
          <w:trHeight w:val="20"/>
        </w:trPr>
        <w:tc>
          <w:tcPr>
            <w:tcW w:w="8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principal payments due under the Term Loan Facility as of June 30, 2025 were as follows (in thousands):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12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2,203</w:t>
            </w: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27,797</w:t>
            </w:r>
          </w:p>
        </w:tc>
      </w:tr>
      <w:tr>
        <w:trPr>
          <w:trHeight w:val="210"/>
        </w:trPr>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30,000</w:t>
            </w:r>
          </w:p>
        </w:tc>
      </w:tr>
      <w:tr>
        <w:trPr>
          <w:trHeight w:val="20"/>
        </w:trPr>
        <w:tc>
          <w:tcPr>
            <w:tcW w:w="8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of future principal payments excludes the End of Term Charge of $2.0 million, which is due upon the maturity of the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 shares of preferred stock, $0.0001 par value per share. As of June 30, 2025, no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100,000,000 shares of common stock, $0.0001 par value per share. As of June 30, 2025, 34,694,882 shares of common stock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in connection with an underwriting agreement with Jeffries LLC, Leerink Partners LLC, Stifel, Nicolaus &amp; Company, Incorporated and Cantor Fitzgerald &amp; Co., the Company issued 4,533,182 shares of its common stock, which included the exercise in full by the underwriters of their option to purchase up to 615,000 additional shares of common stock, at a public offering price of $55.00 per share. The Company also sold pre-funded warrants to purchase an aggregate of 181,818 shares of common stock at a price of $54.9999 per pre-funded warrant. The Company received aggregate net proceeds of $243.4 million, after deducting offering expenses of $15.9 million. As of June 30, 2025, none of the 181,818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Leerink Partners LLC related to an underwritten offering of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As of June 30, 2025, none of the 204,081 pre-funded warrants had been exercised.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 &amp; Co. (“Cantor”)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 offering price of up to $200.0 million. This offering was made pursuant to the Company's effective registration statement on Form S-3 filed in August 2024 (the "August 2024 Shelf"). As of June 30, 2025, there been had no issuances or sales under the Cantor ATM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 ("Jefferies")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entered into an Open Market Sale Agreement with Jefferies as sales agent (the “Jefferies ATM Agreement”) to provide for the offering, issuance and sale by the Company of up to $59.7 million of the Company’s common stock from time to time in at-the-market ("ATM") offerings under the Company's registration statement on Form S-3 filed in January 2023. 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entered into an amendment to the Jefferies ATM Agreement to increase the aggregate offering price of the shares of common stock that the Company may offer under the Jefferies ATM Agreement from $59.7 million to $200.0 million. The material terms and conditions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of the Jefferies ATM Agreement otherwise remained unchanged. On November 15, 2024, the Company terminated the Jefferies ATM Agreement.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sold an aggregate of 234,449 shares of common stock in Jefferies ATM offerings under the November 2023 Shelf and pursuant to the Jefferies ATM Agreement. Aggregate gross proceeds from the transactions were $15.3 million and the Company received $14.8 million in net proceeds, after deducting placement agent fees and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but is no longer granting awards under this plan or its 2021 Inducement Plan. The Company also grants awards under its 2021 Employee Stock Purchase Plan (the “2021 ESPP”), which was approved by the Company's stockholders in July 2021 and amended and restated in January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Out-of-Plan Inducement Grants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selling, general and administrative expenses, respectively, for employees, directors and non-employees is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73"/>
        </w:trPr>
        <w:tc>
          <w:tcPr>
            <w:tcW w:w="3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r>
      <w:tr>
        <w:trPr>
          <w:trHeight w:val="210"/>
        </w:trPr>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3,862</w:t>
            </w:r>
          </w:p>
        </w:tc>
        <w:tc>
          <w:tcPr>
            <w:tcW w:w="11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1,686</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6,821</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4,558</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2,405</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4,920</w:t>
            </w: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8,420</w:t>
            </w:r>
          </w:p>
        </w:tc>
        <w:tc>
          <w:tcPr>
            <w:tcW w:w="11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4,091</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14,783</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8,149</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102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102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record a provision or benefit for federal income taxes during the three and six months ended June 30, 2025 and 2024. The Company recorded state income tax expense of $0.2 million and $0.1 million for the six months ended June 30, 2025 and 2024, respectively, due to interest income. The Company continues to maintain a full valuation allowance against all of its deferred tax assets.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pre-funded</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warrants issued in connection with the Company’s January 2025 underwritten offering and June 2023 follow-on public offering. As of June 30, 2025 and June 30, 2024, 385,899 and 204,081 pre-funded warrants were outstanding,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vMerge w:val="restart"/>
          </w:tcPr>
          <w:p>
            <w:pPr>
              <w:jc w:val="right"/>
              <w:ind w:right="57"/>
              <w:spacing w:after="0"/>
              <w:rPr>
                <w:sz w:val="20"/>
                <w:szCs w:val="20"/>
                <w:color w:val="auto"/>
              </w:rPr>
            </w:pPr>
            <w:r>
              <w:rPr>
                <w:rFonts w:ascii="Times New Roman" w:cs="Times New Roman" w:eastAsia="Times New Roman" w:hAnsi="Times New Roman"/>
                <w:sz w:val="18"/>
                <w:szCs w:val="18"/>
                <w:color w:val="auto"/>
              </w:rPr>
              <w:t>35,024,592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25,649,043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34,179,364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25,229,456</w:t>
            </w:r>
          </w:p>
        </w:tc>
        <w:tc>
          <w:tcPr>
            <w:tcW w:w="0" w:type="dxa"/>
            <w:vAlign w:val="bottom"/>
          </w:tcPr>
          <w:p>
            <w:pPr>
              <w:spacing w:after="0"/>
              <w:rPr>
                <w:sz w:val="1"/>
                <w:szCs w:val="1"/>
                <w:color w:val="auto"/>
              </w:rPr>
            </w:pPr>
          </w:p>
        </w:tc>
      </w:tr>
      <w:tr>
        <w:trPr>
          <w:trHeight w:val="221"/>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-25400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potential common shares from the computation of diluted net loss per share because including them would have had an anti-dilutive effect: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328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324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6"/>
        </w:trPr>
        <w:tc>
          <w:tcPr>
            <w:tcW w:w="4500" w:type="dxa"/>
            <w:vAlign w:val="bottom"/>
          </w:tcPr>
          <w:p>
            <w:pPr>
              <w:spacing w:after="0"/>
              <w:rPr>
                <w:sz w:val="16"/>
                <w:szCs w:val="16"/>
                <w:color w:val="auto"/>
              </w:rPr>
            </w:pPr>
          </w:p>
        </w:tc>
        <w:tc>
          <w:tcPr>
            <w:tcW w:w="160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5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3,452,796</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2,924,576</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3,452,796</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2,924,576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6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997,737</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365,468</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997,737</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365,468</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6,657</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4,837</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6,657</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4,837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loss, as reported on the condensed consolidated statements of operations and comprehensive loss. In addition, the CODM is regularly provided the significant segment expense categories included in the table below, which are reviewed against budgeted expectations to assist in resource allocation decision-making. The categories reflect a change made during the first quarter of 2025 to separately present commercial expense. The prior periods have been recast to reflect this update.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 program external expense</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10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DISC-0974 program external expense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 program external expense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(8,569)</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external research and development expense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and other research and development expense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w:t>
            </w: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expense</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6,163</w:t>
            </w:r>
          </w:p>
        </w:tc>
        <w:tc>
          <w:tcPr>
            <w:tcW w:w="10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12,024</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9,013</w:t>
            </w: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(55,247)</w:t>
            </w:r>
          </w:p>
        </w:tc>
        <w:tc>
          <w:tcPr>
            <w:tcW w:w="10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(53,301)</w:t>
            </w: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*Other segment items include interest income, interest expense, other expense, and income tax expense as reported on the condensed consolidated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Assets regularly provided to the CODM are consistent with those reported on the condensed consolidated balance sheets with particular emphasis on the Company’s available liquidity, including its cash, cash equivalents and marketable securities balances. All of the Company’s tangible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six months ended June 30, 2025 and 2024 and, to the best of its knowledge, no material legal proceedings are currently pending or threatened.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June 30, 2025, the Company has not recognized any amounts related to these contingencies as the amount and timing of such payments are not fixed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9" w:lineRule="exact"/>
        <w:rPr>
          <w:sz w:val="20"/>
          <w:szCs w:val="20"/>
          <w:color w:val="auto"/>
        </w:rPr>
      </w:pPr>
    </w:p>
    <w:p>
      <w:pPr>
        <w:ind w:left="5540" w:right="660" w:hanging="5525"/>
        <w:spacing w:after="0" w:line="284" w:lineRule="auto"/>
        <w:rPr>
          <w:sz w:val="20"/>
          <w:szCs w:val="20"/>
          <w:color w:val="auto"/>
        </w:rPr>
      </w:pPr>
      <w:r>
        <w:rPr>
          <w:rFonts w:ascii="Times New Roman" w:cs="Times New Roman" w:eastAsia="Times New Roman" w:hAnsi="Times New Roman"/>
          <w:sz w:val="18"/>
          <w:szCs w:val="18"/>
          <w:color w:val="auto"/>
        </w:rPr>
        <w:t xml:space="preserve">In January 2025 and June 2024, certain existing investors participated in the Company's underwritten offerings (see </w:t>
      </w:r>
      <w:r>
        <w:rPr>
          <w:rFonts w:ascii="Times New Roman" w:cs="Times New Roman" w:eastAsia="Times New Roman" w:hAnsi="Times New Roman"/>
          <w:sz w:val="18"/>
          <w:szCs w:val="18"/>
          <w:i w:val="1"/>
          <w:iCs w:val="1"/>
          <w:color w:val="auto"/>
        </w:rPr>
        <w:t>Note 9 - Stockholders' Equity</w:t>
      </w:r>
      <w:r>
        <w:rPr>
          <w:rFonts w:ascii="Times New Roman" w:cs="Times New Roman" w:eastAsia="Times New Roman" w:hAnsi="Times New Roman"/>
          <w:sz w:val="18"/>
          <w:szCs w:val="18"/>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 the treatment of polycythemia vera, or PV,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who complete AURORA or BEACON are eligible to participate in HELIOS, an ongoing open-label, long-term extension study of bitopertin in EPP and XLP. In June 2025, we presented interim data from HELIOS, in which longer term treatment of bitopertin was associated with sustained reductions in PPIX, as well as improvements in quality of life, and improved liver biomarkers. In our end-of-Phase 2 meeting, the U.S. Food &amp; Drug Administration, or the FDA, agreed with the potential for reduction of PPIX to serve as a surrogate endpoint to support a potential accelerated approval of bitopertin in EPP and XLP. Under the FDA’s Accelerated Approval Program, we would have the potential to submit a New Drug Application, or NDA, for bitopertin in EPP and XLP based on our existing data, and we would be required to conduct a post-marketing confirmatory clinical trial. In our Type C meeting with the FDA in December 2024, we aligned with the FDA on the design of APOLLO, a randomized, double-blind, placebo-controlled, clinical trial of bitopertin in EPP and XLP patients that in the setting of an accelerated approval would serve as a post-marketing confirmatory clinical trial. We initiated the APOLLO trial in May 2025. Based on feedback from the FDA at our pre-NDA meeting, we plan to submit an NDA in October 2025 for accelerated approval of bitopertin in EPP and XLP in the United States. APOLLO is also intended to serve as a registrational trial with respect to any potential future marketing applications for bitopertin in EPP and XLP in jurisdictions outside the United States. We have also entered into a collaborative research and development agreement with the National Institutes of Health, or NIH, to conduct a clinical trial of bitopertin in DBA, which began in July 2023. We are planning additional trials of bitopertin in other indications.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for non-dialysis dependent CKD and anemia in October 2024. This additional interim data included safety data and changes in hepcidin, iron, and hemoglobin levels for additional patients, as well as longer follow-up. In December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we presented additional analyses of the Phase 1b study in anemia of MF, and in June 2025 we presented longer term data from the continuation phase of this study. We initiated the open-label Phase 2 portion of this clinical trial in December 2024 and we expect to report initial data from this Phase 2 trial in the second half of 2025. We also expect to report data from the multiple-ascending dose, or MAD, portion of the Phase 1b trial in patients with non-dialysis dependent CKD and anemia in the second half of 2025. We are also planning additional trials of DISC-0974 in other anemias of inflammation. In addition, we are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MAD portion of this Phase 1 healthy volunteer study of DISC-3405 in December 2024, and presented updated data from both the SAD and MAD portions of this clinical trial in June 2025. We are developing DISC-3405 for the treatment of PV and other hematologic disorders and initiated a Phase 2 clinical trial of DISC-3405 in PV in the first half of 2025.</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we completed an underwritten offering of shares of our common stock and pre-funded warrants for net proceeds of $243.4 million, after deducting offering expenses. As of June 30, 2025, we had cash, cash equivalents and marketable securities of $650.0 million. We believe that our cash, cash equivalents and marketable securities will be sufficient to fund our current operating and capital expenditure plans and our debt service obligations into 2028,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details.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These expenses include:</w:t>
      </w:r>
    </w:p>
    <w:p>
      <w:pPr>
        <w:spacing w:after="0" w:line="54"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contract research organizations, or CROs;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 for any approved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substantially in the future as we increase our headcount to support our continued research and development and potential commercialization activities, including establishing a sales, marketing and distribution infrastructure to commercialize any product candidates for which we may obtain marketing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U.S. treasury securities and certificates of deposit, as well as marketable securities, consisting of U.S. treasury securities and U.S. government agency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540" w:right="800" w:hanging="5525"/>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amortization of debt issuance costs and discount and interest expense under the Hercules Loan Agreement.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2025 and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09"/>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46,319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23,485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22,834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74,082</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47,189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26,893</w:t>
            </w:r>
          </w:p>
        </w:tc>
      </w:tr>
      <w:tr>
        <w:trPr>
          <w:trHeight w:val="216"/>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15,091</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7,367</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7,724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27,274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15,125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12,149</w:t>
            </w:r>
          </w:p>
        </w:tc>
      </w:tr>
      <w:tr>
        <w:trPr>
          <w:trHeight w:val="209"/>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61,410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30,852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30,558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101,356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62,314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39,042</w:t>
            </w:r>
          </w:p>
        </w:tc>
      </w:tr>
      <w:tr>
        <w:trPr>
          <w:trHeight w:val="20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(61,410)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(101,356)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(39,042)</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7,057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4,573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2,484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13,937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9,092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4,845</w:t>
            </w:r>
          </w:p>
        </w:tc>
      </w:tr>
      <w:tr>
        <w:trPr>
          <w:trHeight w:val="216"/>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16"/>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6,215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4,560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12,195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9,078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3,117</w:t>
            </w:r>
          </w:p>
        </w:tc>
      </w:tr>
      <w:tr>
        <w:trPr>
          <w:trHeight w:val="209"/>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(89,161)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(35,925)</w:t>
            </w:r>
          </w:p>
        </w:tc>
      </w:tr>
      <w:tr>
        <w:trPr>
          <w:trHeight w:val="209"/>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(36,031)</w:t>
            </w: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-1447800</wp:posOffset>
            </wp:positionV>
            <wp:extent cx="1200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-1447800</wp:posOffset>
            </wp:positionV>
            <wp:extent cx="120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-1447800</wp:posOffset>
            </wp:positionV>
            <wp:extent cx="1111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-1447800</wp:posOffset>
            </wp:positionV>
            <wp:extent cx="1111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-1447800</wp:posOffset>
            </wp:positionV>
            <wp:extent cx="1117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-607695</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-607695</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-607695</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-607695</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-607695</wp:posOffset>
            </wp:positionV>
            <wp:extent cx="1117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-316230</wp:posOffset>
            </wp:positionV>
            <wp:extent cx="120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-316230</wp:posOffset>
            </wp:positionV>
            <wp:extent cx="1200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-316230</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-316230</wp:posOffset>
            </wp:positionV>
            <wp:extent cx="1111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-316230</wp:posOffset>
            </wp:positionV>
            <wp:extent cx="1117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111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1117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1117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and six months ended June 30, 2025 and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23,686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7,112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16,574</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32,121</w:t>
            </w:r>
          </w:p>
        </w:tc>
        <w:tc>
          <w:tcPr>
            <w:tcW w:w="5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13,481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18,640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DISC-0974</w:t>
            </w:r>
          </w:p>
        </w:tc>
        <w:tc>
          <w:tcPr>
            <w:tcW w:w="22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4,615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1,908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3,868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8,569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22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5,462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198"/>
        </w:trPr>
        <w:tc>
          <w:tcPr>
            <w:tcW w:w="3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Personnel-related (including equity-based</w:t>
            </w:r>
          </w:p>
        </w:tc>
        <w:tc>
          <w:tcPr>
            <w:tcW w:w="22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10,648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6,288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4,360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12,722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6,822</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46,319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23,485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22,834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74,082</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47,189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26,893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-170815</wp:posOffset>
            </wp:positionV>
            <wp:extent cx="1454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-170815</wp:posOffset>
            </wp:positionV>
            <wp:extent cx="1460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$46.3 million for the three months ended June 30, 2025, compared to $23.5 million for the three months ended June 30, 2024. The increase of $22.8 million was primarily due to an increase of $16.6 million in bitopertin development expense, including a $10.0 million milestone payment triggered by the initiation of our APOLLO trial. The remaining $6.6 million increase reflects ongoing costs associated with both the APOLLO study and the HELIOS long-term extension trial. Additionally, DISC-0974 development expenses increased $1.3 million primarily due to clinical trial advancement and drug manufacturing activities. Personnel-related costs increased $4.4 million related to higher research and development headcount, including an increase of $2.2 million in stock-based compensation driven by awards granted under our equity compensation plans. There was also an increase of $2.5 million in other research programs and expenses related to expanded research initiatives and ongoing program support. These increases were partially offset by a decrease of $2.0 million in DISC-3405 development expense related to manufacturing costs incurred in the three months ended June 30, 2024 that did not recur in the three months ended June 30, 2025.</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$74.1 million for the six months ended June 30, 2025, compared to $47.2 million for the six months ended June 30, 2024. The increase of $26.9 million was primarily due to an increase of $18.6 million in bitopertin development expense, including a $10.0 million milestone payment triggered by the initiation of our APOLLO trial. The remaining $8.6 million increase reflects ongoing costs associated with both the APOLLO study and the HELIOS long-term extension trial. Additionally, DISC-0974 development expenses increased $3.7 million primarily due to clinical trial advancement and drug manufacturing activities. Personnel-related costs increased $6.8 million related to higher research and development headcount, including an increase of $3.6 million in stock-based compensation driven by awards granted under our equity compensation plans. There was also an increase of $2.7 million in other research programs and expenses related to expanded research initiatives and ongoing program support. These increases were partially offset by a decrease of $5.0 million in DISC-3405 development expense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right="1480"/>
        <w:spacing w:after="0" w:line="375" w:lineRule="auto"/>
        <w:rPr>
          <w:sz w:val="20"/>
          <w:szCs w:val="20"/>
          <w:color w:val="auto"/>
        </w:rPr>
      </w:pPr>
      <w:r>
        <w:rPr>
          <w:rFonts w:ascii="Times New Roman" w:cs="Times New Roman" w:eastAsia="Times New Roman" w:hAnsi="Times New Roman"/>
          <w:sz w:val="18"/>
          <w:szCs w:val="18"/>
          <w:color w:val="auto"/>
        </w:rPr>
        <w:t xml:space="preserve">related to manufacturing costs incurred in the six months ended June 30, 2024 that did not recur in the six months ended June 30, 2025. </w:t>
      </w:r>
      <w:r>
        <w:rPr>
          <w:rFonts w:ascii="Times New Roman" w:cs="Times New Roman" w:eastAsia="Times New Roman" w:hAnsi="Times New Roman"/>
          <w:sz w:val="18"/>
          <w:szCs w:val="18"/>
          <w:i w:val="1"/>
          <w:iCs w:val="1"/>
          <w:color w:val="auto"/>
        </w:rPr>
        <w:t>Selling, General and Administrative Expenses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three and six months ended June 30, 2025 and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3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Personnel-related (including equity-based</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8,308</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4,721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3,587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5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9,536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22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1,583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1,835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191"/>
        </w:trPr>
        <w:tc>
          <w:tcPr>
            <w:tcW w:w="33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15,091</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7,367</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7,724</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27,274</w:t>
            </w: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15,125</w:t>
            </w:r>
          </w:p>
        </w:tc>
        <w:tc>
          <w:tcPr>
            <w:tcW w:w="2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12,149</w:t>
            </w:r>
          </w:p>
        </w:tc>
        <w:tc>
          <w:tcPr>
            <w:tcW w:w="0" w:type="dxa"/>
            <w:vAlign w:val="bottom"/>
          </w:tcPr>
          <w:p>
            <w:pPr>
              <w:spacing w:after="0"/>
              <w:rPr>
                <w:sz w:val="1"/>
                <w:szCs w:val="1"/>
                <w:color w:val="auto"/>
              </w:rPr>
            </w:pPr>
          </w:p>
        </w:tc>
      </w:tr>
      <w:tr>
        <w:trPr>
          <w:trHeight w:val="194"/>
        </w:trPr>
        <w:tc>
          <w:tcPr>
            <w:tcW w:w="33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2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-282575</wp:posOffset>
            </wp:positionV>
            <wp:extent cx="1454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-282575</wp:posOffset>
            </wp:positionV>
            <wp:extent cx="1460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-282575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-282575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-282575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$15.1 million for the three months ended June 30, 2025, compared to $7.4 million for the three months ended June 30, 2024. The increase of $7.7 million was due to an increase of $3.6 million in personnel-related costs due to higher selling, general and administrative headcount, including an increase of $2.2 million in stock-based compensation driven by awards granted under our equity compensation plans. There was also a $3.6 million increase in legal, consulting, and professional fees primarily related to developing our commercialization capabilities.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$27.3 million for the six months ended June 30, 2025, compared to $15.1 million for the six months ended June 30, 2024. The increase of $12.1 million was due to an increase of $5.6 million in personnel-related costs due to higher selling, general and administrative headcount, including an increase of $3.0 million in stock-based compensation driven by awards granted under our equity compensation plans. There was also a $5.7 million increase in legal, consulting, and professional fees primarily related to developing our commercialization capabilities.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$6.2 million and $12.2 million for the three and six months ended June 30, 2025, respectively, compared to $4.6 million and $9.1 million for the three and six months ended June 30, 2024, respectively. These increases were primarily due to higher interest income driven by larger cash, cash equivalents and marketable securities balances, partially offset by an increase interest expense associated with our term loan.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$0.1 million and $0.2 million for the three and six months ended June 30, 2025, respectively, compared to $0.1 million for the three and six months ended June 30, 2024. This expense relates to state income tax resulting from an increase in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 product candidates to support potential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Quarterly Report on Form 10-Q for additional risks associated with our substantial capital requirements.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June 30, 2025, we have received net proceeds of $144.5 million from sales of our Series Seed, Series A and Series B convertible preferred stock, $89.5 million from the merger with Gemini, $721.0 million from various private and public sales of our equity securities, and $27.6 million from borrowings under the Hercules Loan Agreement. As of June 30, 2025, we had cash, cash equivalents and marketable securities of $650.0 million.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June 30, 2025, had an accumulated deficit of $387.3 million. In addition, we expect to continue to incur significant and increasing expenses and operating losses for the foreseeable future. We believe that our cash, cash equivalents and marketable securities will be sufficient to fund our current operating and capital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expenditure plans and our debt service obligations into 2028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draws under our Term Loan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11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-3175</wp:posOffset>
            </wp:positionV>
            <wp:extent cx="22459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(89,294)</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(48,992)</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(220,944)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(219,816)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245,143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189,091</w:t>
            </w: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(65,095)</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(79,717)</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-25400</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net cash used in operating activities of $89.3 million was primarily due to our net loss of $89.3 million and the change in operating assets and liabilities of $11.2 million. These were partially offset by non-cash expenses of $11.2 million which included $14.8 million in stock-based compensation, reduced by $5.1 million from amortization and accretion of investment securities.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used in operating activities of $49.0 million was primarily due to our net loss of $53.3 million, which included interest income of $9.1 million, and changes in operating assets and liabilities of $3.7 million, which included a reduction in accounts payable related to a milestone payment to Mabwell of $5.0 million. These were partially offset by non-cash expenses of $8.0 million primarily related to stock-based compensation expense of $8.1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net cash used in investing activities was primarily due to purchases of marketable securities of $405.9 million, partially offset by maturities of marketable securities of $185.8 million.</w:t>
      </w:r>
    </w:p>
    <w:p>
      <w:pPr>
        <w:spacing w:after="0" w:line="54" w:lineRule="exact"/>
        <w:rPr>
          <w:sz w:val="20"/>
          <w:szCs w:val="20"/>
          <w:color w:val="auto"/>
        </w:rPr>
      </w:pPr>
    </w:p>
    <w:p>
      <w:pPr>
        <w:ind w:right="1380"/>
        <w:spacing w:after="0" w:line="375" w:lineRule="auto"/>
        <w:rPr>
          <w:sz w:val="20"/>
          <w:szCs w:val="20"/>
          <w:color w:val="auto"/>
        </w:rPr>
      </w:pPr>
      <w:r>
        <w:rPr>
          <w:rFonts w:ascii="Times New Roman" w:cs="Times New Roman" w:eastAsia="Times New Roman" w:hAnsi="Times New Roman"/>
          <w:sz w:val="18"/>
          <w:szCs w:val="18"/>
          <w:color w:val="auto"/>
        </w:rPr>
        <w:t xml:space="preserve">During the six months ended June 30, 2024, net cash used in investing activities was primarily due to purchases of marketable securities. </w:t>
      </w:r>
      <w:r>
        <w:rPr>
          <w:rFonts w:ascii="Times New Roman" w:cs="Times New Roman" w:eastAsia="Times New Roman" w:hAnsi="Times New Roman"/>
          <w:sz w:val="18"/>
          <w:szCs w:val="18"/>
          <w:i w:val="1"/>
          <w:iCs w:val="1"/>
          <w:color w:val="auto"/>
        </w:rPr>
        <w:t>Financing Activities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net cash provided by financing activities of $245.1 million consisted primarily of aggregate net proceeds of $243.4 million from our underwritten offering in January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of $189.1 million consisted primarily of cash net proceeds of $172.7 million from the underwritten offering.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into and through clinical development and continue to operate as a public company. Our funding requirements and the timing and amount of our operating expenditures will depend largely on:</w:t>
      </w:r>
    </w:p>
    <w:p>
      <w:pPr>
        <w:spacing w:after="0" w:line="68"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any product candidates we may develop,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materials to produce adequate product supply for any preclinical or clinical development of any product candidate we may develop;</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2025 and the effects that such obligations are expected to have on our liquidity and cash flows in future periods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240" w:type="dxa"/>
            <w:vAlign w:val="bottom"/>
          </w:tcPr>
          <w:p>
            <w:pPr>
              <w:spacing w:after="0"/>
              <w:rPr>
                <w:sz w:val="10"/>
                <w:szCs w:val="10"/>
                <w:color w:val="auto"/>
              </w:rPr>
            </w:pPr>
          </w:p>
        </w:tc>
        <w:tc>
          <w:tcPr>
            <w:tcW w:w="96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3 to 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1,331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-170815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ind w:firstLine="8"/>
        <w:spacing w:after="0" w:line="266"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contractual rent payments due for our leased and subleased office spaces in Watertown, Massachusetts as of June 30, 2025 and include contractual payments due under our forward-starting lease which is expected to commence in December 2026. The term date for our existing lease is December 31, 2029 and the term date for our existing sublease is November 30, 2026.</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and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2024 for more </w:t>
      </w:r>
      <w:r>
        <w:rPr>
          <w:rFonts w:ascii="Times New Roman" w:cs="Times New Roman" w:eastAsia="Times New Roman" w:hAnsi="Times New Roman"/>
          <w:sz w:val="18"/>
          <w:szCs w:val="18"/>
          <w:color w:val="212529"/>
        </w:rPr>
        <w:t>information about 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policies as well as a description of our other significant accounting policies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description of recently issued and certain recently adopted accounting pronouncements that have or may potentially impact our financial position and results of operations is included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 our Annual Report on Form 10-K for the year ended December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2025, we had cash, cash equivalents and marketable securities of $650.0 million which consisted of cash, money market funds U.S. treasury securities and U.S. government agency securities, which are classified as available-for-sale securities. As of December 31, 2024, we had cash and cash equivalents of $489.9 million, which consisted of cash, money market funds and U.S. treasury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June 30, 2025, the net fair value of our marketable securities would decrease by approximately $3.0 million.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six months ended June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June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Principal Executive Officer and Principal Financial Officer concluded that, as of such date, our disclosure controls and procedures were not effective at the reasonable assurance level due to the material weakness in the design and maintenance of effective Information Technology General Controls (“ITGC”) over certain key financial IT systems described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2024, we identified a material weakness related to a lack of design and maintenance of effective ITGC's over certain key financial IT systems. Consequently, our IT application controls and IT dependent manual controls that rely upon the ineffective ITGC's, or that use information from the systems impacted by the ineffective ITGC's were also deemed ineffective because they could have been adversely impacted.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or U.S. GAAP.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with the oversight of the audit committee of the board of directors, is committed to maintaining a strong internal control environment. In response to the material weakness identified above, we have identified and continue to implement remediation efforts which include: (i) developing and implementing additional training and awareness programs addressing ITGCs and policies, including educating control owners concerning the principles and requirements of each control, with a focus on understanding user access and program changes; (ii) engaging third-party consultants to assist with remediation efforts, including enhancing our risk assessment, evaluating gaps in our current processes and controls, and developing a remediation plan; (iii) expanding available resources through internal hiring and; (iv) enhancing quarterly reporting on the remediation measures to the Audit Committee of the Board of Directors.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these actions, when fully implemented, will remediate the material weakness. However, the material weakness will not be considered fully remediated until management designs and implements effective controls that operate for a sufficient period of time and management has concluded, through testing, that these controls are effective. As we continue to evaluate operating effectiveness and monitor improvements to our internal control over financial reporting, we may take additional measures to address control deficiencies or modify the remediation plan described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15d-15(f) under the Exchange Act) that occurred during the six months ended June 30, 2025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losses were $89.3 million and $53.3 million for the six months ended June 30, 2025 and 2024, respectively. We had an accumulated deficit of $387.3 million as of June 30, 2025. Substantially all of our net losses have resulted from costs incurred in connection with our research and development programs and from selling,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public health crises;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We do not expect to generate significant revenue unless and until we obtain regulatory approval of, and begin to sell, one or more of our product candidates, which may take longer than we anticipate, or may not occur at all.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will be sufficient to fund our current operating and capital expenditure plans and our debt service obligations into 2028,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7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any public health crises.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$80.0 million of additional advances that may be drawn at our option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have only three product candidates in clinical development, none of which has yet progressed through a completed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 The patient populations for our product candidates are limited to those with specific hematologic diseases. We cannot be certain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that the patient populations for each specific disease will be large enough to allow us to successfully obtain approval for and commercialize our product candidates and achieve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such as our completed BEACON Phase 2 clinical trial of bitopertin and our ongoing Phase 2 clinical trials of DISC-0974 and DISC-3405,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We may face similar challenges with respect to our other product candidates, for which preclinical results may not be indicative or predictive of future clinical trial results.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Phase 1b/2 DISC-0974 trial in patients with anemia of MF in December 2023, June 2024, and December 2024, and from our Phase 1b DISC-0974 trial in patients with anemia and NDD-CKD in December 2023 and October 2024. We also announced initial data from the SAD portion of the Phase 1 clinical trial of DISC-3405 in healthy volunteers in June 2024.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w:t>
      </w:r>
    </w:p>
    <w:p>
      <w:pPr>
        <w:spacing w:after="0" w:line="27" w:lineRule="exact"/>
        <w:rPr>
          <w:sz w:val="20"/>
          <w:szCs w:val="20"/>
          <w:color w:val="auto"/>
        </w:rPr>
      </w:pPr>
    </w:p>
    <w:p>
      <w:pPr>
        <w:ind w:left="5540" w:right="3180" w:hanging="4777"/>
        <w:spacing w:after="0" w:line="260" w:lineRule="auto"/>
        <w:rPr>
          <w:sz w:val="20"/>
          <w:szCs w:val="20"/>
          <w:color w:val="auto"/>
        </w:rPr>
      </w:pPr>
      <w:r>
        <w:rPr>
          <w:rFonts w:ascii="Times New Roman" w:cs="Times New Roman" w:eastAsia="Times New Roman" w:hAnsi="Times New Roman"/>
          <w:sz w:val="18"/>
          <w:szCs w:val="18"/>
          <w:color w:val="auto"/>
        </w:rPr>
        <w:t>with sufficient product supply to conduct or complete preclinical studies or clinical trials, fail to meet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ind w:left="760"/>
        <w:spacing w:after="0" w:line="282" w:lineRule="auto"/>
        <w:rPr>
          <w:sz w:val="20"/>
          <w:szCs w:val="20"/>
          <w:color w:val="auto"/>
        </w:rPr>
      </w:pPr>
      <w:r>
        <w:rPr>
          <w:rFonts w:ascii="Times New Roman" w:cs="Times New Roman" w:eastAsia="Times New Roman" w:hAnsi="Times New Roman"/>
          <w:sz w:val="18"/>
          <w:szCs w:val="18"/>
          <w:color w:val="auto"/>
        </w:rPr>
        <w:t>their contractual obligations to us in a timely manner, or at all, or may deviate from the clinical trial protocol or drop out of the trial, which may require that we add new clinical trial sites or investigators;</w:t>
      </w:r>
    </w:p>
    <w:p>
      <w:pPr>
        <w:spacing w:after="0" w:line="54" w:lineRule="exact"/>
        <w:rPr>
          <w:sz w:val="20"/>
          <w:szCs w:val="20"/>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w:t>
      </w: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willingness and ability of clinicians to screen their patients, such as for specific genetic hematologic conditions, to indicate which patients may be eligible for enrollment in our clinical trials.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we have announced positive initial data from a Phase 1b/2 clinical trial of DISC-0974 in patients with non-dialysis dependent CKD and anemia. However, there can be no assurance that DISC-0974 will achieve the desired effects in this indication. Additionally, we announced positive results from a Phase 1 clinical trial of DISC-3405 in healthy adult volunteers in December 2024,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the majority of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BEACON, our Phase 2 open-label, parallel-dose clinical trial of bitopertin in EPP and XLP patients, at sites in Australia. All participants who complete BEACON are eligible to participate in HELIOS, an open-label, long-term extension study of bitopertin in EPP and XLP patients, that we are also conducting in Australia. We are also planning to conduct APOLLO, a randomized, double-blind, placebo-controlled clinical trial of bitopertin in EPP and XLP patients, in Canada, Europe and Australia, as well as the United States. We may in the future choose to conduct additional clinical trials of our product candidates outside the United States, including in Europe, Australia, or other foreign jurisdictions. The acceptance of trial data from clinical trials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the “Business—Competition” section of our Annual Report on Form 10-K for the year ended December 31, 2024 for examples of the competition that our product candidates face.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and anemia of non-dialysis dependent CKD.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have relied on and expect to continue to rely on medical institutions, clinical investigators, contract laboratories and other third parties, such as CROs, to conduct or otherwise support our clinical trials for our product candidates, including our APOLLO clinical trial of bitopertin in EPP and XLP,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heavily on third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designed our ongoing APOLLO clinical trial of bitopertin, Phase 1b/2 clinical trials of DISC-0974, and Phase 2 clinical trial of DISC-3405, and intend to design other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were relying entirely upon our own staff. Communicating with outside parties can also be challenging, potentially leading to mistakes as well as difficulties in coordinating activities. Outside parties may:</w:t>
      </w:r>
    </w:p>
    <w:p>
      <w:pPr>
        <w:spacing w:after="0" w:line="5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diverts management attention and resources;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Although we believe we have obtained sufficient material to produce bitopertin tablets to complete our ongoing HELIOS and APOLLO clinical trials, DISC-0974 vials to complete our ongoing Phase 1b/2 clinical trials, and DISC-3405 vials to complete our ongoing Phase 2 clinical trial, we cannot be sure we have correctly estimated our drug product and API requirements or that such drug product or API will not expire before we want to use it.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there have been Congressional legislative proposals, such as the bill titled the BIOSECURE Act that was previously considered (and not enacted) in Congress, which would have, among other things, prohibited U.S. federal funding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connection with biotechnology equipment or services produced or provided by certain named Chinese “biotechnology companies of concern” (which includes WuXi AppTech (Hong Kong) Limited and its affiliates, or WuXi) and loans and grants to, and federal contracts with any entity that uses biotechnology equipment or services from one of these entities. The legislation would also have given the federal government the authority to name additional “biotechnology companies of concern” that are engaged in research activities with the Chinese government and that pose a risk of U.S. national security. In addition, in 2025, the United States imposed substantial tariffs on imports from China as well as on other trading partners, including Canada, Mexico, and the EU. We currently rely on certain foreign or foreign-owned third-party vendors, including WuXi and its affiliates, to manufacture certain materials used in clinical trials of our product candidates or to provide services in connection with certain clinical trials or certain discovery activities. Our engagement with these foreign and foreign-owned vendors may be subject to new U.S. legislation similar to the previously proposed BIOSECURE Act, investigations, sanctions, further escalation of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and the tariffs as they develop to determine the effect, if any, on our contractual relationships.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further escalation of tariffs or other trade restrictions or if the previously proposed federal legislation known as the BIOSECURE Act or a similar law were to be enacted. Any negative impact of such matters on our third-party suppliers and manufacturers may also have an adverse impact on our results of operations or financial condition.</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prior to submission of an NDA or BLA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the breadth or strength of protection provided by our patents and patent applications is threatened, it could dissuade companies from collaborating with us to license, develop or commercialize current or future product candidates.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consultants and advisors, even those related to one or more of our current or future product candidates, are rightfully owned by their former or concurrent employer. Litigation may be necessary to defend against these claims.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18"/>
          <w:szCs w:val="18"/>
          <w:color w:val="auto"/>
        </w:rPr>
        <w:t>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2024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 grant review and equivalent proceedings in foreign jurisdictions (such as opposition proceedings). Such proceedings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w:t>
      </w: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The FDA may determine that a marketing application for bitopertin, if approved, does not meet the eligibility criteria for a priority review voucher.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current statutory sunset provisions, the FDA may only award a priority review voucher for an approved rare pediatric disease product application if the sponsor has rare pediatric disease designation for the drug or biologic that is the subject of such application, and that designation was granted by December 20, 2024. After September 30, 2026, the FDA may not award any rare pediatric disease priority review vouchers. As such, if we do not obtain approval of a marketing application for bitopertin in patients with EPP and XLP on or before September 30, 2026, we may not receive a priority review voucher. However, it is possible that the FDA's authority to grant rare pediatric disease designation or award rare pediatric disease priority review vouchers will be further extended by Congress.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from the FDA for bitopertin 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accelerated approval of bitopertin or any of our other current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obtain accelerated approval for a product candidate, we may be required to conduct additional clinical trials beyond those that are contemplated, which would increase the expense of obtaining, and delay the receipt of, full FDA approval, if received at all.</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we announced that, based on discussions with the FDA, reduction in protoporphyrin IX, or PPIX, may be sufficient to serve as a surrogate endpoint supportive of submitting an NDA for bitopertin in EPP and XLP under the FDA’s Accelerated Approval Program based on our existing data. In January 2025, we announced that we had aligned with the FDA on the design of our planned APOLLO trial, which in the setting of an accelerated approval would serve as a post-marketing confirmatory trial. We initiated the APOLLO clinical trial in May 2025. Following our pre-NDA meeting with the FDA, in July 2025 we announced that we plan to submit an NDA in October 2025 for accelerated approval of bitopertin in EPP and XLP. However, the FDA could change its position regarding the sufficiency of PPIX as a surrogate endpoint or the design of our APOLLO clinical trial. Further, even if the FDA continues to agree that reduction of PPIX may be sufficient to serve as a surrogate endpoint supportive of submitting an NDA for accelerated approval of bitopertin in EPP and XLP and remains aligned with the design of APOLLO as a post-marketing confirmatory trial, the FDA may not accept for filing any NDA we submit for accelerated approval for bitopertin, may not grant this approval on a timely basis, or may not grant approval at all. Receiving accelerated approval does not provide assurance of ultimate full FDA approval. Even if the Accelerated Approval Program does result in a faster approval process, there is no guarantee that we will be able to begin commercialization of our product at the time of such approval, that the APOLLO trial will confirm and verify clinical benefit, or that we will be otherwise able to maintain such approval.</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NIH’s ability to conduct and partner with industry on important research, and CMS’s ability to operate efficiently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or a widespread freeze on federal funding occurs,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 In addition, the current administration is seeking to reduce the NIH budget for funding of medical research, which could decrease the ability of facilities that rely on NIH funding to enroll and conduct clinical trials or increase the costs to us of conducting clinical trials.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disruptions at the FDA and other federal agencies, including substantial leadership departures, personnel cuts, and policy changes, could result in delays in the FDA’s responsiveness or in its ability to review and/or approve new drug submissions or applications, issue regulations or guidance, or implement or enforce regulatory requirements in a timely fashion, any of which could adversely affect our business. For example, during 2025, certain federal agencies, including the FDA, began conducting significant layoffs and it is currently unclear whether and how such staff reductions may impact our business.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The current administration could also issue or promulgate executive orders, regulations, policies or guidance that adversely affect us or create a more challenging or costly environment to pursue the development of new therapeutic candidates.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may have a material adverse effect on our business and results of operations.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the Patient Protection and Affordable Care Act, or the ACA, as amended by the Health Care and Education Reconciliation Act of 2010,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a judicial challenge to the ACA brought by several states without specifically ruling on the constitutionality of the ACA. In addition, multiple executive orders have been issued that seek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measures to control drug costs. It is unclear how healthcare reform measures or other efforts, if any, to challenge repeal or replace the ACA, will impact our business.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17" w:lineRule="exact"/>
        <w:rPr>
          <w:sz w:val="20"/>
          <w:szCs w:val="20"/>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for example, included aggregate reductions of Medicare payments to providers of 2% per fiscal year that will remain in effect through fiscal year 2032, absent additional action from Congress.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Statutory Pay-As-You-Go Act of 2010, estimated budget deficit increases resulting from the American Rescue Plan Act of 2021, and subsequent legislation, Medicare payments to providers will be further reduced starting in 2025 absent further legislation. Because the One Big Beautiful Bill Act of 2025 is expected to add to the federal deficit over the next decade, it is unclear whether this will trigger automatic spending cuts as part of the statutory Pay-As-You-Go Act’s requirements.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Rescue Plan Act of 2021 eliminated the statutory Medicaid drug rebate cap, previously set at 100% of a drug’s average manufacturer price, for single source and innovator multiple source drugs, effective January 1, 2024.</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Big Beautiful Bill Act of 2025 also added work requirements and more frequent eligibility enrollment reverifications for Medicaid enrollees, which is expected to have the effect of reducing the number of Medicaid enrollees.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Previously, under the IRA, orphan drugs were exempted from the Medicare drug price negotiation program only if they have one orphan designation and for which the only approved indication is for that disease or condition. If a product received multiple orphan designations or had multiple approved indications, it would not qualify for the orphan drug exemption. The One Big Beautiful Bill Act of 2025 eliminated this restriction, which serves to exempt all orphan drugs from the Medicare drug price negotiation program, regardless of the number of orphan designations or indications. The implementation of the IRA is currently subject to ongoing litigation challenging the constitutionality of the IRA’s Medicare drug price negotiation program. CMS has announced the results of the first round of negotiated prices between CMS and participating drug manufacturers for the ten selected drugs under the IRA’s Medicare drug price negotiation program. These prices go into effect in 2026. CMS has also commenced negotiations for the next 15 drugs selected for the IRA’s Medicare drug price negotiation program. It is unclear whether ongoing litigation will be successful in challenging the constitutionality of the IRA’s Medicare drug price negotiation program and, if so, may provide a mechanism to block the implementation of the program. The effects of the IRA on our business and the healthcare industry in general is not yet known.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recent executive orders have also been issued that have sought to address high prescription drug costs. For example:</w:t>
      </w:r>
    </w:p>
    <w:p>
      <w:pPr>
        <w:spacing w:after="0" w:line="117" w:lineRule="exact"/>
        <w:rPr>
          <w:sz w:val="20"/>
          <w:szCs w:val="20"/>
          <w:color w:val="auto"/>
        </w:rPr>
      </w:pPr>
    </w:p>
    <w:p>
      <w:pPr>
        <w:jc w:val="both"/>
        <w:ind w:left="760" w:hanging="378"/>
        <w:spacing w:after="0" w:line="253"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order, “Delivering Most-Favored-Nation Prescription Drug Pricing,” issued on May 12, 2025, directs the Secretary of HHS to set and communicate most-favored-nation price targets to manufacturers and propose a rulemaking plan to impose most-favored-nation pricing if “significant progress” is not made towards achieving such pricing. It also directs the federal government to support regulatory paths to allow direct-to-patient sales for companies that meet these targets. It also states that the current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Notably, a rule enacted under the first term of the current administration, also known as the “Most Favored Nations” rule, would have set Medicare Part B reimbursement at an amount no higher than the lowest price that a drug manufacturer receives on a particular product in an index of foreign countries. This rule was the subject of litigation and was formally rescinded by the former administration in August 2021. FDA Commissioner Makary also announced in July 2025 that FDA is contemplating a fast-track priority review voucher for drugs whose manufacturers commit to setting a price in line with drug pricing offered in economically similarly situated countries around the world. The effects of these proposals and how these proposals will be implemented are not yet known.</w:t>
      </w:r>
    </w:p>
    <w:p>
      <w:pPr>
        <w:spacing w:after="0" w:line="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order, “Lowering Drug Prices by Once Again Putting Americans First,” issued on April 15, 2025, included a multitude of</w:t>
      </w:r>
    </w:p>
    <w:p>
      <w:pPr>
        <w:spacing w:after="0" w:line="27"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directives to the federal government to lower drug prices. This includes directing HHS to issue updated IRA drug price negotiation guidance, including eliminating the so-called “pill penalty” under the IRA that creates a distinction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left="760" w:right="20"/>
        <w:spacing w:after="0" w:line="282" w:lineRule="auto"/>
        <w:rPr>
          <w:sz w:val="20"/>
          <w:szCs w:val="20"/>
          <w:color w:val="auto"/>
        </w:rPr>
      </w:pPr>
      <w:r>
        <w:rPr>
          <w:rFonts w:ascii="Times New Roman" w:cs="Times New Roman" w:eastAsia="Times New Roman" w:hAnsi="Times New Roman"/>
          <w:sz w:val="18"/>
          <w:szCs w:val="18"/>
          <w:color w:val="auto"/>
        </w:rPr>
        <w:t>between small molecule and large molecule products for purposes of determining when a drug may be eligible for drug price negotiation. Among other provisions, the executive order also directs the government to evaluate the role of pharmacy benefit managers.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pharmaceutical manufacturers, on the one hand,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72" w:lineRule="exact"/>
        <w:rPr>
          <w:sz w:val="20"/>
          <w:szCs w:val="20"/>
          <w:color w:val="auto"/>
        </w:rPr>
      </w:pPr>
    </w:p>
    <w:p>
      <w:pPr>
        <w:jc w:val="both"/>
        <w:ind w:left="760" w:hanging="378"/>
        <w:spacing w:after="0" w:line="254"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CCPA was amended by the California Privacy Rights Act, or CPRA, which as of January 1, 2023, significantly modified the CCPA by expanding consumer rights with respect to certain sensitive information, and creating a new state agency that is vested with authority to implement and enforce the CCPA.</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introduced the Data Protection and Digital Information Bill, which failed in the UK legislative process. A new Data (Use and Access) Bill, or the UK Bill, has been introduced into parliament.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organisations providing services in the EEA, including to certain providers engaged in research and development of medicinal products. To the extent applicable, the new regime imposes direct obligations on management regarding compliance with NIS 2, requiring covered organisations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51" w:lineRule="auto"/>
        <w:rPr>
          <w:sz w:val="20"/>
          <w:szCs w:val="20"/>
          <w:color w:val="auto"/>
        </w:rPr>
      </w:pPr>
      <w:r>
        <w:rPr>
          <w:rFonts w:ascii="Times New Roman" w:cs="Times New Roman" w:eastAsia="Times New Roman" w:hAnsi="Times New Roman"/>
          <w:sz w:val="18"/>
          <w:szCs w:val="18"/>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becomes effective in August 2025. This legislation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w:t>
      </w: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18"/>
          <w:szCs w:val="18"/>
          <w:color w:val="auto"/>
        </w:rPr>
        <w:t>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2025, we had 125 full-time employees and no part-time employees. We expect to experience significant growth in the number of our employees and the scope of our operations, particularly as we mature as a public company and in the 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acquired, and in the future may acquire additional, businesses or products, and we may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on July 4, 2025, President Donald Trump signed the “One Big Beautiful Bill Act,” or OBBBA, into law, which is considered the enactment date under U.S. GAAP.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740, the effects of the new tax law will be recognized in the period of enactment. The Company is currently evaluating the impact of the OBBBA, and does not expect the legislation to have a material financial statement effect.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$117.9 million and $133.8 million, respectively. Substantially all of the federal NOLs are not subject to expiration and the state NOLs begin to expire in 2037. As of December 31, 2024, we also had federal and state research and development tax credit carryforwards of $19.0 million and $2.8 million, respectively, which begin to expire in 2034.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For example, in 2025, the United States imposed tariffs on imports on its trading partners, including Canada, Mexico, the EU and China. Historically, tariffs have led to increased political and trade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Some of the factors that may cause the market price of our common stock to fluctuate include:</w:t>
      </w:r>
    </w:p>
    <w:p>
      <w:pPr>
        <w:spacing w:after="0" w:line="54"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5540" w:right="20" w:hanging="5158"/>
        <w:spacing w:after="0" w:line="282" w:lineRule="auto"/>
        <w:tabs>
          <w:tab w:leader="none" w:pos="7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increased demands upon management as a result of complying with the laws and regulations affecting public companies.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identified a material weakness in our internal control over financial reporting. Any testing by us conducted in connection with Section 404, or any testing by our independent registered public accounting firm, may reveal additional deficiencies in our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that are deemed to be material weaknesses or that may require prospective or retroactive changes to our financial statements or identify other areas for further attention or improvement.</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is the case in this Annual Report on Form 10-K, due to the material weakness identified and described below. Additionally, the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as we no longer qualify as a non-accelerated filer or an emerging growth company,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a lack of design and maintenance of effective Information Technology General Controls, or ITGCs, over certain key financial IT systems. As a result, the related business process controls (specifically, the IT application controls and IT-dependent manual controls) that are dependent on the ineffective ITGCs, or that use information produced from the systems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2024.</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under the oversight of the Audit Committee of our Board of Directors and in consultation with outside advisors, has begun evaluating and implementing measures designed to remediate the material weakness. In particular, we are taking steps to remediate this material weakness by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If an active trading market is not sustained, our ability to raise capital in the future may be impaired.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limited trading history of our common stock, there is a risk that an active trading market for our shares may not be sustained, which could put downward pressure on the market price of our common stock and thereby affect your ability to sell shares you purchased.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our Annual Report on Form 10-K for the year ended December 31, 2024 lapse, the trading price of our common stock could decline. As of June 30, 2025, we had 34,694,882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our executive officers, directors and principal stockholders, in the aggregate, beneficially owned approximately 49%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cash equivalents, and marketable securities and may invest or spend our cash, cash equivalents, and marketable securities in ways with which you do not agree and in ways that may not increase the value of your investment.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have broad discretion over the use of our cash, cash equivalents, and marketable securities. You may not agree with our decisions, and our use of our cash, cash equivalents, and marketable securities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June 30, 2025: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3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Action Taken</w:t>
            </w:r>
          </w:p>
        </w:tc>
        <w:tc>
          <w:tcPr>
            <w:tcW w:w="120" w:type="dxa"/>
            <w:vAlign w:val="bottom"/>
          </w:tcPr>
          <w:p>
            <w:pPr>
              <w:spacing w:after="0"/>
              <w:rPr>
                <w:sz w:val="5"/>
                <w:szCs w:val="5"/>
                <w:color w:val="auto"/>
              </w:rPr>
            </w:pPr>
          </w:p>
        </w:tc>
        <w:tc>
          <w:tcPr>
            <w:tcW w:w="12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Duration or End</w:t>
            </w:r>
          </w:p>
        </w:tc>
        <w:tc>
          <w:tcPr>
            <w:tcW w:w="14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Title</w:t>
            </w:r>
          </w:p>
        </w:tc>
        <w:tc>
          <w:tcPr>
            <w:tcW w:w="326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68"/>
        </w:trPr>
        <w:tc>
          <w:tcPr>
            <w:tcW w:w="2820" w:type="dxa"/>
            <w:vAlign w:val="bottom"/>
            <w:vMerge w:val="continue"/>
          </w:tcPr>
          <w:p>
            <w:pPr>
              <w:spacing w:after="0"/>
              <w:rPr>
                <w:sz w:val="5"/>
                <w:szCs w:val="5"/>
                <w:color w:val="auto"/>
              </w:rPr>
            </w:pPr>
          </w:p>
        </w:tc>
        <w:tc>
          <w:tcPr>
            <w:tcW w:w="3260" w:type="dxa"/>
            <w:vAlign w:val="bottom"/>
            <w:gridSpan w:val="2"/>
            <w:vMerge w:val="continue"/>
          </w:tcPr>
          <w:p>
            <w:pPr>
              <w:spacing w:after="0"/>
              <w:rPr>
                <w:sz w:val="5"/>
                <w:szCs w:val="5"/>
                <w:color w:val="auto"/>
              </w:rPr>
            </w:pPr>
          </w:p>
        </w:tc>
        <w:tc>
          <w:tcPr>
            <w:tcW w:w="13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(Date of Action)</w:t>
            </w:r>
          </w:p>
        </w:tc>
        <w:tc>
          <w:tcPr>
            <w:tcW w:w="120" w:type="dxa"/>
            <w:vAlign w:val="bottom"/>
          </w:tcPr>
          <w:p>
            <w:pPr>
              <w:spacing w:after="0"/>
              <w:rPr>
                <w:sz w:val="5"/>
                <w:szCs w:val="5"/>
                <w:color w:val="auto"/>
              </w:rPr>
            </w:pPr>
          </w:p>
        </w:tc>
        <w:tc>
          <w:tcPr>
            <w:tcW w:w="12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109"/>
        </w:trPr>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8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William Savage, M.D., Ph.D.</w:t>
            </w:r>
          </w:p>
        </w:tc>
        <w:tc>
          <w:tcPr>
            <w:tcW w:w="326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32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End Date</w:t>
            </w: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Up to 13,093</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(June 26, 2025)</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27,</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FF0FC"/>
          </w:tcPr>
          <w:p>
            <w:pPr>
              <w:spacing w:after="0"/>
              <w:rPr>
                <w:sz w:val="20"/>
                <w:szCs w:val="20"/>
                <w:color w:val="auto"/>
              </w:rPr>
            </w:pPr>
          </w:p>
        </w:tc>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4"/>
                <w:szCs w:val="24"/>
                <w:color w:val="auto"/>
              </w:rPr>
            </w:pPr>
          </w:p>
        </w:tc>
        <w:tc>
          <w:tcPr>
            <w:tcW w:w="32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54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7"/>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22"/>
                <w:szCs w:val="22"/>
                <w:color w:val="auto"/>
              </w:rPr>
            </w:pPr>
          </w:p>
        </w:tc>
        <w:tc>
          <w:tcPr>
            <w:tcW w:w="100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10000" w:type="dxa"/>
            <w:vAlign w:val="bottom"/>
            <w:tcBorders>
              <w:bottom w:val="single" w:sz="8" w:color="0000FF"/>
            </w:tcBorders>
            <w:gridSpan w:val="11"/>
          </w:tcPr>
          <w:p>
            <w:pPr>
              <w:ind w:left="20"/>
              <w:spacing w:after="0" w:line="169"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Merger Sub, Inc. and Disc Medicine, Inc. (incorporated by reference to Exhibit 2.1 to the Registrant’s Proxy Statement/Prospectus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Form S-4 (File No. 333-267276) filed on September 2,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99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Amended and Restated Certificate of Incorporation of Disc Medicine, Inc. (incorporated by reference to Annex B to Gemini Therapeutics,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Inc.’s Proxy Statement/Prospectus on Form S-4/A (File No. 333-249785)).</w:t>
              </w:r>
            </w:hyperlink>
          </w:p>
        </w:tc>
        <w:tc>
          <w:tcPr>
            <w:tcW w:w="4560" w:type="dxa"/>
            <w:vAlign w:val="bottom"/>
            <w:gridSpan w:val="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9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(incorporated by reference to Exhibit 3.1 to the Registrant’s Current Report on Form 8-K (File No. 001-39438) filed on December 29,</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252">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99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(incorporated by reference to Exhibit 3.2 to the Registrant’s Current Report on Form 8-K (File No. 001-39438) filed on December 29,</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253">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Amended and Restated By-laws of Disc Medicine, Inc. (incorporated by reference to Annex C to Gemini Therapeutics, Inc.’s Proxy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Statement/Prospectus on Form S-4/A (File No. 333-249785)).</w:t>
              </w:r>
            </w:hyperlink>
          </w:p>
        </w:tc>
        <w:tc>
          <w:tcPr>
            <w:tcW w:w="548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56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346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540" w:type="dxa"/>
            <w:vAlign w:val="bottom"/>
            <w:gridSpan w:val="8"/>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jc w:val="both"/>
        <w:ind w:firstLine="8"/>
        <w:spacing w:after="0" w:line="266" w:lineRule="auto"/>
        <w:tabs>
          <w:tab w:leader="none" w:pos="2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8" w:lineRule="exact"/>
        <w:rPr>
          <w:sz w:val="20"/>
          <w:szCs w:val="20"/>
          <w:color w:val="auto"/>
        </w:rPr>
      </w:pPr>
    </w:p>
    <w:p>
      <w:pPr>
        <w:ind w:firstLine="8"/>
        <w:spacing w:after="0" w:line="282" w:lineRule="auto"/>
        <w:tabs>
          <w:tab w:leader="none" w:pos="1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5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Quisel</w:t>
            </w:r>
          </w:p>
        </w:tc>
      </w:tr>
      <w:tr>
        <w:trPr>
          <w:trHeight w:val="191"/>
        </w:trPr>
        <w:tc>
          <w:tcPr>
            <w:tcW w:w="36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16"/>
        </w:trPr>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8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5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r>
      <w:tr>
        <w:trPr>
          <w:trHeight w:val="211"/>
        </w:trPr>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r>
    </w:tbl>
    <w:p>
      <w:pPr>
        <w:jc w:val="cente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5" w:name="page86"/>
    <w:bookmarkEnd w:id="85"/>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6" w:name="page87"/>
    <w:bookmarkEnd w:id="86"/>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Disc Medicine, Inc. (the “Company”) for the quarter ended June 30, 2025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50" Type="http://schemas.openxmlformats.org/officeDocument/2006/relationships/hyperlink" Target="https://www.sec.gov/Archives/edgar/data/1816736/000114036122032239/ny20005172x1_s4.htm#tANNEXA" TargetMode="External"/><Relationship Id="rId251" Type="http://schemas.openxmlformats.org/officeDocument/2006/relationships/hyperlink" Target="https://www.sec.gov/Archives/edgar/data/1816736/000121390021002636/fs42021a5_fsdevelopment.htm#T52" TargetMode="External"/><Relationship Id="rId252" Type="http://schemas.openxmlformats.org/officeDocument/2006/relationships/hyperlink" Target="https://www.sec.gov/Archives/edgar/data/1816736/000114036122047453/brhc10045896_ex3-1.htm" TargetMode="External"/><Relationship Id="rId253" Type="http://schemas.openxmlformats.org/officeDocument/2006/relationships/hyperlink" Target="https://www.sec.gov/Archives/edgar/data/1816736/000114036122047453/brhc10045896_ex3-2.htm" TargetMode="External"/><Relationship Id="rId254" Type="http://schemas.openxmlformats.org/officeDocument/2006/relationships/hyperlink" Target="https://www.sec.gov/Archives/edgar/data/1816736/000121390021002636/fs42021a5_fsdevelopment.htm#T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2025-08-07T07:45:08Z</dcterms:created>
  <dcterms:modified xsi:type="dcterms:W3CDTF">2025-08-07T07:45:08Z</dcterms:modified>
</cp:coreProperties>
</file>