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254604 101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Dennis Ryan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900 Larkspur Landing Circle, Suite 150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Larkspur, California 94939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(415) 877-4887</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Copy to:</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Joel L. Rubinstein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Bryan Luchs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Patti Marks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White &amp; Case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819-8200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29,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254604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ind w:left="800" w:right="7580" w:hanging="792"/>
        <w:spacing w:after="0" w:line="281" w:lineRule="auto"/>
        <w:tabs>
          <w:tab w:leader="none" w:pos="8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REPORTING PERSONS </w:t>
      </w:r>
      <w:r>
        <w:rPr>
          <w:rFonts w:ascii="Times New Roman" w:cs="Times New Roman" w:eastAsia="Times New Roman" w:hAnsi="Times New Roman"/>
          <w:sz w:val="18"/>
          <w:szCs w:val="18"/>
          <w:color w:val="auto"/>
        </w:rPr>
        <w:t>FS Development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00" w:hanging="792"/>
        <w:spacing w:after="0"/>
        <w:tabs>
          <w:tab w:leader="none" w:pos="8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w:t>
      </w:r>
    </w:p>
    <w:p>
      <w:pPr>
        <w:spacing w:after="0" w:line="31" w:lineRule="exact"/>
        <w:rPr>
          <w:rFonts w:ascii="Times New Roman" w:cs="Times New Roman" w:eastAsia="Times New Roman" w:hAnsi="Times New Roman"/>
          <w:sz w:val="18"/>
          <w:szCs w:val="18"/>
          <w:b w:val="1"/>
          <w:bCs w:val="1"/>
          <w:color w:val="auto"/>
        </w:rPr>
      </w:pPr>
    </w:p>
    <w:p>
      <w:pPr>
        <w:ind w:left="800"/>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 w:lineRule="exact"/>
        <w:rPr>
          <w:sz w:val="20"/>
          <w:szCs w:val="20"/>
          <w:color w:val="auto"/>
        </w:rPr>
      </w:pPr>
    </w:p>
    <w:p>
      <w:pPr>
        <w:ind w:left="800" w:hanging="792"/>
        <w:spacing w:after="0"/>
        <w:tabs>
          <w:tab w:leader="none" w:pos="8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ind w:left="800" w:right="8740" w:hanging="792"/>
        <w:spacing w:after="0" w:line="267" w:lineRule="auto"/>
        <w:tabs>
          <w:tab w:leader="none" w:pos="8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AF</w:t>
      </w:r>
    </w:p>
    <w:p>
      <w:pPr>
        <w:spacing w:after="0" w:line="1" w:lineRule="exact"/>
        <w:rPr>
          <w:sz w:val="20"/>
          <w:szCs w:val="20"/>
          <w:color w:val="auto"/>
        </w:rPr>
      </w:pPr>
    </w:p>
    <w:p>
      <w:pPr>
        <w:ind w:left="800" w:hanging="792"/>
        <w:spacing w:after="0" w:line="207" w:lineRule="exact"/>
        <w:tabs>
          <w:tab w:leader="none" w:pos="8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ind w:left="800" w:right="6500" w:hanging="792"/>
        <w:spacing w:after="0" w:line="275" w:lineRule="auto"/>
        <w:tabs>
          <w:tab w:leader="none" w:pos="8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tbl>
      <w:tblPr>
        <w:tblLayout w:type="fixed"/>
        <w:tblInd w:w="0" w:type="dxa"/>
        <w:tblCellMar>
          <w:top w:w="0" w:type="dxa"/>
          <w:left w:w="0" w:type="dxa"/>
          <w:bottom w:w="0" w:type="dxa"/>
          <w:right w:w="0" w:type="dxa"/>
        </w:tblCellMar>
      </w:tblPr>
      <w:tr>
        <w:trPr>
          <w:trHeight w:val="212"/>
        </w:trPr>
        <w:tc>
          <w:tcPr>
            <w:tcW w:w="17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7</w:t>
            </w:r>
          </w:p>
        </w:tc>
        <w:tc>
          <w:tcPr>
            <w:tcW w:w="89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185"/>
        </w:trPr>
        <w:tc>
          <w:tcPr>
            <w:tcW w:w="17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8940" w:type="dxa"/>
            <w:vAlign w:val="bottom"/>
          </w:tcPr>
          <w:p>
            <w:pPr>
              <w:ind w:left="300"/>
              <w:spacing w:after="0" w:line="185"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0"/>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0" w:type="dxa"/>
            <w:vAlign w:val="bottom"/>
            <w:tcBorders>
              <w:bottom w:val="single" w:sz="8" w:color="auto"/>
            </w:tcBorders>
          </w:tcPr>
          <w:p>
            <w:pPr>
              <w:spacing w:after="0"/>
              <w:rPr>
                <w:sz w:val="6"/>
                <w:szCs w:val="6"/>
                <w:color w:val="auto"/>
              </w:rPr>
            </w:pPr>
          </w:p>
        </w:tc>
        <w:tc>
          <w:tcPr>
            <w:tcW w:w="8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700" w:type="dxa"/>
            <w:vAlign w:val="bottom"/>
            <w:vMerge w:val="continue"/>
          </w:tcPr>
          <w:p>
            <w:pPr>
              <w:spacing w:after="0"/>
              <w:rPr>
                <w:sz w:val="10"/>
                <w:szCs w:val="10"/>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8</w:t>
            </w:r>
          </w:p>
        </w:tc>
        <w:tc>
          <w:tcPr>
            <w:tcW w:w="8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85"/>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600" w:type="dxa"/>
            <w:vAlign w:val="bottom"/>
            <w:vMerge w:val="continue"/>
          </w:tcPr>
          <w:p>
            <w:pPr>
              <w:spacing w:after="0"/>
              <w:rPr>
                <w:sz w:val="7"/>
                <w:szCs w:val="7"/>
                <w:color w:val="auto"/>
              </w:rPr>
            </w:pPr>
          </w:p>
        </w:tc>
        <w:tc>
          <w:tcPr>
            <w:tcW w:w="8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7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487,025</w:t>
            </w:r>
          </w:p>
        </w:tc>
        <w:tc>
          <w:tcPr>
            <w:tcW w:w="0" w:type="dxa"/>
            <w:vAlign w:val="bottom"/>
          </w:tcPr>
          <w:p>
            <w:pPr>
              <w:spacing w:after="0"/>
              <w:rPr>
                <w:sz w:val="1"/>
                <w:szCs w:val="1"/>
                <w:color w:val="auto"/>
              </w:rPr>
            </w:pPr>
          </w:p>
        </w:tc>
      </w:tr>
      <w:tr>
        <w:trPr>
          <w:trHeight w:val="124"/>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6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700" w:type="dxa"/>
            <w:vAlign w:val="bottom"/>
            <w:vMerge w:val="continue"/>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9</w:t>
            </w:r>
          </w:p>
        </w:tc>
        <w:tc>
          <w:tcPr>
            <w:tcW w:w="8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84"/>
        </w:trPr>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EACH REPORTING</w:t>
            </w:r>
          </w:p>
        </w:tc>
        <w:tc>
          <w:tcPr>
            <w:tcW w:w="600" w:type="dxa"/>
            <w:vAlign w:val="bottom"/>
            <w:vMerge w:val="continue"/>
          </w:tcPr>
          <w:p>
            <w:pPr>
              <w:spacing w:after="0"/>
              <w:rPr>
                <w:sz w:val="16"/>
                <w:szCs w:val="16"/>
                <w:color w:val="auto"/>
              </w:rPr>
            </w:pPr>
          </w:p>
        </w:tc>
        <w:tc>
          <w:tcPr>
            <w:tcW w:w="8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600" w:type="dxa"/>
            <w:vAlign w:val="bottom"/>
            <w:tcBorders>
              <w:bottom w:val="single" w:sz="8" w:color="auto"/>
            </w:tcBorders>
          </w:tcPr>
          <w:p>
            <w:pPr>
              <w:spacing w:after="0"/>
              <w:rPr>
                <w:sz w:val="18"/>
                <w:szCs w:val="18"/>
                <w:color w:val="auto"/>
              </w:rPr>
            </w:pPr>
          </w:p>
        </w:tc>
        <w:tc>
          <w:tcPr>
            <w:tcW w:w="8940" w:type="dxa"/>
            <w:vAlign w:val="bottom"/>
            <w:tcBorders>
              <w:bottom w:val="single" w:sz="8" w:color="auto"/>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1"/>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487,025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 w:lineRule="exact"/>
        <w:rPr>
          <w:sz w:val="20"/>
          <w:szCs w:val="20"/>
          <w:color w:val="auto"/>
        </w:rPr>
      </w:pPr>
    </w:p>
    <w:p>
      <w:pPr>
        <w:ind w:left="800" w:right="3500" w:hanging="792"/>
        <w:spacing w:after="0" w:line="267" w:lineRule="auto"/>
        <w:tabs>
          <w:tab w:leader="none" w:pos="8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487,025</w:t>
      </w:r>
    </w:p>
    <w:p>
      <w:pPr>
        <w:ind w:left="800" w:hanging="792"/>
        <w:spacing w:after="0" w:line="207" w:lineRule="exact"/>
        <w:tabs>
          <w:tab w:leader="none" w:pos="8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b w:val="1"/>
          <w:bCs w:val="1"/>
          <w:color w:val="auto"/>
        </w:rPr>
      </w:pPr>
    </w:p>
    <w:p>
      <w:pPr>
        <w:ind w:left="800" w:right="5040" w:hanging="792"/>
        <w:spacing w:after="0" w:line="281" w:lineRule="auto"/>
        <w:tabs>
          <w:tab w:leader="none" w:pos="8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REPRESENTED BY AMOUNT IN ROW (11) </w:t>
      </w:r>
      <w:r>
        <w:rPr>
          <w:rFonts w:ascii="Times New Roman" w:cs="Times New Roman" w:eastAsia="Times New Roman" w:hAnsi="Times New Roman"/>
          <w:sz w:val="18"/>
          <w:szCs w:val="18"/>
          <w:color w:val="auto"/>
        </w:rPr>
        <w:t>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TYPE OF REPORTING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4" w:lineRule="exact"/>
        <w:rPr>
          <w:sz w:val="20"/>
          <w:szCs w:val="20"/>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calculated based on 16,923,285 shares of common stock, par value $0.0001 (the “Common Stock”), of Disc Medicine, Inc. (the “Issuer”) outstanding as of December 29, 2022, as reported by the Issuer in its Current Report on Form 8-K filed with the U.S. Securities and Exchange Commission on December 29, 2022 (the “8-K”).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CUSIP No. 254604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ind w:left="800" w:right="7580" w:hanging="792"/>
        <w:spacing w:after="0" w:line="281" w:lineRule="auto"/>
        <w:tabs>
          <w:tab w:leader="none" w:pos="8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REPORTING PERSONS </w:t>
      </w:r>
      <w:r>
        <w:rPr>
          <w:rFonts w:ascii="Times New Roman" w:cs="Times New Roman" w:eastAsia="Times New Roman" w:hAnsi="Times New Roman"/>
          <w:sz w:val="18"/>
          <w:szCs w:val="18"/>
          <w:color w:val="auto"/>
        </w:rPr>
        <w:t>Foresite Capital 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00" w:hanging="792"/>
        <w:spacing w:after="0"/>
        <w:tabs>
          <w:tab w:leader="none" w:pos="8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w:t>
      </w:r>
    </w:p>
    <w:p>
      <w:pPr>
        <w:spacing w:after="0" w:line="31" w:lineRule="exact"/>
        <w:rPr>
          <w:rFonts w:ascii="Times New Roman" w:cs="Times New Roman" w:eastAsia="Times New Roman" w:hAnsi="Times New Roman"/>
          <w:sz w:val="18"/>
          <w:szCs w:val="18"/>
          <w:b w:val="1"/>
          <w:bCs w:val="1"/>
          <w:color w:val="auto"/>
        </w:rPr>
      </w:pPr>
    </w:p>
    <w:p>
      <w:pPr>
        <w:ind w:left="800"/>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 w:lineRule="exact"/>
        <w:rPr>
          <w:sz w:val="20"/>
          <w:szCs w:val="20"/>
          <w:color w:val="auto"/>
        </w:rPr>
      </w:pPr>
    </w:p>
    <w:p>
      <w:pPr>
        <w:ind w:left="800" w:hanging="792"/>
        <w:spacing w:after="0"/>
        <w:tabs>
          <w:tab w:leader="none" w:pos="8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ind w:left="800" w:right="8740" w:hanging="792"/>
        <w:spacing w:after="0" w:line="267" w:lineRule="auto"/>
        <w:tabs>
          <w:tab w:leader="none" w:pos="8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w:t>
      </w:r>
    </w:p>
    <w:p>
      <w:pPr>
        <w:spacing w:after="0" w:line="1" w:lineRule="exact"/>
        <w:rPr>
          <w:sz w:val="20"/>
          <w:szCs w:val="20"/>
          <w:color w:val="auto"/>
        </w:rPr>
      </w:pPr>
    </w:p>
    <w:p>
      <w:pPr>
        <w:ind w:left="800" w:hanging="792"/>
        <w:spacing w:after="0" w:line="207" w:lineRule="exact"/>
        <w:tabs>
          <w:tab w:leader="none" w:pos="8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ind w:left="800" w:right="6500" w:hanging="792"/>
        <w:spacing w:after="0" w:line="275" w:lineRule="auto"/>
        <w:tabs>
          <w:tab w:leader="none" w:pos="8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tbl>
      <w:tblPr>
        <w:tblLayout w:type="fixed"/>
        <w:tblInd w:w="0" w:type="dxa"/>
        <w:tblCellMar>
          <w:top w:w="0" w:type="dxa"/>
          <w:left w:w="0" w:type="dxa"/>
          <w:bottom w:w="0" w:type="dxa"/>
          <w:right w:w="0" w:type="dxa"/>
        </w:tblCellMar>
      </w:tblPr>
      <w:tr>
        <w:trPr>
          <w:trHeight w:val="212"/>
        </w:trPr>
        <w:tc>
          <w:tcPr>
            <w:tcW w:w="17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7</w:t>
            </w:r>
          </w:p>
        </w:tc>
        <w:tc>
          <w:tcPr>
            <w:tcW w:w="89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185"/>
        </w:trPr>
        <w:tc>
          <w:tcPr>
            <w:tcW w:w="17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8940" w:type="dxa"/>
            <w:vAlign w:val="bottom"/>
          </w:tcPr>
          <w:p>
            <w:pPr>
              <w:ind w:left="300"/>
              <w:spacing w:after="0" w:line="185"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0"/>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0" w:type="dxa"/>
            <w:vAlign w:val="bottom"/>
            <w:tcBorders>
              <w:bottom w:val="single" w:sz="8" w:color="auto"/>
            </w:tcBorders>
          </w:tcPr>
          <w:p>
            <w:pPr>
              <w:spacing w:after="0"/>
              <w:rPr>
                <w:sz w:val="6"/>
                <w:szCs w:val="6"/>
                <w:color w:val="auto"/>
              </w:rPr>
            </w:pPr>
          </w:p>
        </w:tc>
        <w:tc>
          <w:tcPr>
            <w:tcW w:w="8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700" w:type="dxa"/>
            <w:vAlign w:val="bottom"/>
            <w:vMerge w:val="continue"/>
          </w:tcPr>
          <w:p>
            <w:pPr>
              <w:spacing w:after="0"/>
              <w:rPr>
                <w:sz w:val="10"/>
                <w:szCs w:val="10"/>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8</w:t>
            </w:r>
          </w:p>
        </w:tc>
        <w:tc>
          <w:tcPr>
            <w:tcW w:w="8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85"/>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600" w:type="dxa"/>
            <w:vAlign w:val="bottom"/>
            <w:vMerge w:val="continue"/>
          </w:tcPr>
          <w:p>
            <w:pPr>
              <w:spacing w:after="0"/>
              <w:rPr>
                <w:sz w:val="7"/>
                <w:szCs w:val="7"/>
                <w:color w:val="auto"/>
              </w:rPr>
            </w:pPr>
          </w:p>
        </w:tc>
        <w:tc>
          <w:tcPr>
            <w:tcW w:w="8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7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487,025</w:t>
            </w:r>
          </w:p>
        </w:tc>
        <w:tc>
          <w:tcPr>
            <w:tcW w:w="0" w:type="dxa"/>
            <w:vAlign w:val="bottom"/>
          </w:tcPr>
          <w:p>
            <w:pPr>
              <w:spacing w:after="0"/>
              <w:rPr>
                <w:sz w:val="1"/>
                <w:szCs w:val="1"/>
                <w:color w:val="auto"/>
              </w:rPr>
            </w:pPr>
          </w:p>
        </w:tc>
      </w:tr>
      <w:tr>
        <w:trPr>
          <w:trHeight w:val="124"/>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6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700" w:type="dxa"/>
            <w:vAlign w:val="bottom"/>
            <w:vMerge w:val="continue"/>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9</w:t>
            </w:r>
          </w:p>
        </w:tc>
        <w:tc>
          <w:tcPr>
            <w:tcW w:w="8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84"/>
        </w:trPr>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EACH REPORTING</w:t>
            </w:r>
          </w:p>
        </w:tc>
        <w:tc>
          <w:tcPr>
            <w:tcW w:w="600" w:type="dxa"/>
            <w:vAlign w:val="bottom"/>
            <w:vMerge w:val="continue"/>
          </w:tcPr>
          <w:p>
            <w:pPr>
              <w:spacing w:after="0"/>
              <w:rPr>
                <w:sz w:val="16"/>
                <w:szCs w:val="16"/>
                <w:color w:val="auto"/>
              </w:rPr>
            </w:pPr>
          </w:p>
        </w:tc>
        <w:tc>
          <w:tcPr>
            <w:tcW w:w="8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600" w:type="dxa"/>
            <w:vAlign w:val="bottom"/>
            <w:tcBorders>
              <w:bottom w:val="single" w:sz="8" w:color="auto"/>
            </w:tcBorders>
          </w:tcPr>
          <w:p>
            <w:pPr>
              <w:spacing w:after="0"/>
              <w:rPr>
                <w:sz w:val="18"/>
                <w:szCs w:val="18"/>
                <w:color w:val="auto"/>
              </w:rPr>
            </w:pPr>
          </w:p>
        </w:tc>
        <w:tc>
          <w:tcPr>
            <w:tcW w:w="8940" w:type="dxa"/>
            <w:vAlign w:val="bottom"/>
            <w:tcBorders>
              <w:bottom w:val="single" w:sz="8" w:color="auto"/>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1"/>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487,025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 w:lineRule="exact"/>
        <w:rPr>
          <w:sz w:val="20"/>
          <w:szCs w:val="20"/>
          <w:color w:val="auto"/>
        </w:rPr>
      </w:pPr>
    </w:p>
    <w:p>
      <w:pPr>
        <w:ind w:left="800" w:right="3500" w:hanging="792"/>
        <w:spacing w:after="0" w:line="267" w:lineRule="auto"/>
        <w:tabs>
          <w:tab w:leader="none" w:pos="8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487,025</w:t>
      </w:r>
    </w:p>
    <w:p>
      <w:pPr>
        <w:ind w:left="800" w:hanging="792"/>
        <w:spacing w:after="0" w:line="207" w:lineRule="exact"/>
        <w:tabs>
          <w:tab w:leader="none" w:pos="8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b w:val="1"/>
          <w:bCs w:val="1"/>
          <w:color w:val="auto"/>
        </w:rPr>
      </w:pPr>
    </w:p>
    <w:p>
      <w:pPr>
        <w:ind w:left="800" w:right="5040" w:hanging="792"/>
        <w:spacing w:after="0" w:line="281" w:lineRule="auto"/>
        <w:tabs>
          <w:tab w:leader="none" w:pos="8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REPRESENTED BY AMOUNT IN ROW (11) </w:t>
      </w:r>
      <w:r>
        <w:rPr>
          <w:rFonts w:ascii="Times New Roman" w:cs="Times New Roman" w:eastAsia="Times New Roman" w:hAnsi="Times New Roman"/>
          <w:sz w:val="18"/>
          <w:szCs w:val="18"/>
          <w:color w:val="auto"/>
        </w:rPr>
        <w:t>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TYPE OF REPORTING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4" w:lineRule="exact"/>
        <w:rPr>
          <w:sz w:val="20"/>
          <w:szCs w:val="20"/>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calculated based on 16,923,285 shares of the Common Stock of the Issuer outstanding as of December 29, 2022, as reported by the Issuer in the 8-K.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254604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ind w:left="800" w:right="7580" w:hanging="792"/>
        <w:spacing w:after="0" w:line="281" w:lineRule="auto"/>
        <w:tabs>
          <w:tab w:leader="none" w:pos="8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REPORTING PERSONS </w:t>
      </w:r>
      <w:r>
        <w:rPr>
          <w:rFonts w:ascii="Times New Roman" w:cs="Times New Roman" w:eastAsia="Times New Roman" w:hAnsi="Times New Roman"/>
          <w:sz w:val="18"/>
          <w:szCs w:val="18"/>
          <w:color w:val="auto"/>
        </w:rPr>
        <w:t>Foresite Capital Management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00" w:hanging="792"/>
        <w:spacing w:after="0"/>
        <w:tabs>
          <w:tab w:leader="none" w:pos="8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w:t>
      </w:r>
    </w:p>
    <w:p>
      <w:pPr>
        <w:spacing w:after="0" w:line="31" w:lineRule="exact"/>
        <w:rPr>
          <w:rFonts w:ascii="Times New Roman" w:cs="Times New Roman" w:eastAsia="Times New Roman" w:hAnsi="Times New Roman"/>
          <w:sz w:val="18"/>
          <w:szCs w:val="18"/>
          <w:b w:val="1"/>
          <w:bCs w:val="1"/>
          <w:color w:val="auto"/>
        </w:rPr>
      </w:pPr>
    </w:p>
    <w:p>
      <w:pPr>
        <w:ind w:left="800"/>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 w:lineRule="exact"/>
        <w:rPr>
          <w:sz w:val="20"/>
          <w:szCs w:val="20"/>
          <w:color w:val="auto"/>
        </w:rPr>
      </w:pPr>
    </w:p>
    <w:p>
      <w:pPr>
        <w:ind w:left="800" w:hanging="792"/>
        <w:spacing w:after="0"/>
        <w:tabs>
          <w:tab w:leader="none" w:pos="8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ind w:left="800" w:right="8740" w:hanging="792"/>
        <w:spacing w:after="0" w:line="267" w:lineRule="auto"/>
        <w:tabs>
          <w:tab w:leader="none" w:pos="8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AF</w:t>
      </w:r>
    </w:p>
    <w:p>
      <w:pPr>
        <w:spacing w:after="0" w:line="1" w:lineRule="exact"/>
        <w:rPr>
          <w:sz w:val="20"/>
          <w:szCs w:val="20"/>
          <w:color w:val="auto"/>
        </w:rPr>
      </w:pPr>
    </w:p>
    <w:p>
      <w:pPr>
        <w:ind w:left="800" w:hanging="792"/>
        <w:spacing w:after="0" w:line="207" w:lineRule="exact"/>
        <w:tabs>
          <w:tab w:leader="none" w:pos="8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ind w:left="800" w:right="6500" w:hanging="792"/>
        <w:spacing w:after="0" w:line="275" w:lineRule="auto"/>
        <w:tabs>
          <w:tab w:leader="none" w:pos="8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tbl>
      <w:tblPr>
        <w:tblLayout w:type="fixed"/>
        <w:tblInd w:w="0" w:type="dxa"/>
        <w:tblCellMar>
          <w:top w:w="0" w:type="dxa"/>
          <w:left w:w="0" w:type="dxa"/>
          <w:bottom w:w="0" w:type="dxa"/>
          <w:right w:w="0" w:type="dxa"/>
        </w:tblCellMar>
      </w:tblPr>
      <w:tr>
        <w:trPr>
          <w:trHeight w:val="212"/>
        </w:trPr>
        <w:tc>
          <w:tcPr>
            <w:tcW w:w="17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7</w:t>
            </w:r>
          </w:p>
        </w:tc>
        <w:tc>
          <w:tcPr>
            <w:tcW w:w="89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185"/>
        </w:trPr>
        <w:tc>
          <w:tcPr>
            <w:tcW w:w="17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8940" w:type="dxa"/>
            <w:vAlign w:val="bottom"/>
          </w:tcPr>
          <w:p>
            <w:pPr>
              <w:ind w:left="300"/>
              <w:spacing w:after="0" w:line="185"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0"/>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0" w:type="dxa"/>
            <w:vAlign w:val="bottom"/>
            <w:tcBorders>
              <w:bottom w:val="single" w:sz="8" w:color="auto"/>
            </w:tcBorders>
          </w:tcPr>
          <w:p>
            <w:pPr>
              <w:spacing w:after="0"/>
              <w:rPr>
                <w:sz w:val="6"/>
                <w:szCs w:val="6"/>
                <w:color w:val="auto"/>
              </w:rPr>
            </w:pPr>
          </w:p>
        </w:tc>
        <w:tc>
          <w:tcPr>
            <w:tcW w:w="8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700" w:type="dxa"/>
            <w:vAlign w:val="bottom"/>
            <w:vMerge w:val="continue"/>
          </w:tcPr>
          <w:p>
            <w:pPr>
              <w:spacing w:after="0"/>
              <w:rPr>
                <w:sz w:val="10"/>
                <w:szCs w:val="10"/>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8</w:t>
            </w:r>
          </w:p>
        </w:tc>
        <w:tc>
          <w:tcPr>
            <w:tcW w:w="8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85"/>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600" w:type="dxa"/>
            <w:vAlign w:val="bottom"/>
            <w:vMerge w:val="continue"/>
          </w:tcPr>
          <w:p>
            <w:pPr>
              <w:spacing w:after="0"/>
              <w:rPr>
                <w:sz w:val="7"/>
                <w:szCs w:val="7"/>
                <w:color w:val="auto"/>
              </w:rPr>
            </w:pPr>
          </w:p>
        </w:tc>
        <w:tc>
          <w:tcPr>
            <w:tcW w:w="8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7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487,025</w:t>
            </w:r>
          </w:p>
        </w:tc>
        <w:tc>
          <w:tcPr>
            <w:tcW w:w="0" w:type="dxa"/>
            <w:vAlign w:val="bottom"/>
          </w:tcPr>
          <w:p>
            <w:pPr>
              <w:spacing w:after="0"/>
              <w:rPr>
                <w:sz w:val="1"/>
                <w:szCs w:val="1"/>
                <w:color w:val="auto"/>
              </w:rPr>
            </w:pPr>
          </w:p>
        </w:tc>
      </w:tr>
      <w:tr>
        <w:trPr>
          <w:trHeight w:val="124"/>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6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700" w:type="dxa"/>
            <w:vAlign w:val="bottom"/>
            <w:vMerge w:val="continue"/>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9</w:t>
            </w:r>
          </w:p>
        </w:tc>
        <w:tc>
          <w:tcPr>
            <w:tcW w:w="8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84"/>
        </w:trPr>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EACH REPORTING</w:t>
            </w:r>
          </w:p>
        </w:tc>
        <w:tc>
          <w:tcPr>
            <w:tcW w:w="600" w:type="dxa"/>
            <w:vAlign w:val="bottom"/>
            <w:vMerge w:val="continue"/>
          </w:tcPr>
          <w:p>
            <w:pPr>
              <w:spacing w:after="0"/>
              <w:rPr>
                <w:sz w:val="16"/>
                <w:szCs w:val="16"/>
                <w:color w:val="auto"/>
              </w:rPr>
            </w:pPr>
          </w:p>
        </w:tc>
        <w:tc>
          <w:tcPr>
            <w:tcW w:w="8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600" w:type="dxa"/>
            <w:vAlign w:val="bottom"/>
            <w:tcBorders>
              <w:bottom w:val="single" w:sz="8" w:color="auto"/>
            </w:tcBorders>
          </w:tcPr>
          <w:p>
            <w:pPr>
              <w:spacing w:after="0"/>
              <w:rPr>
                <w:sz w:val="18"/>
                <w:szCs w:val="18"/>
                <w:color w:val="auto"/>
              </w:rPr>
            </w:pPr>
          </w:p>
        </w:tc>
        <w:tc>
          <w:tcPr>
            <w:tcW w:w="8940" w:type="dxa"/>
            <w:vAlign w:val="bottom"/>
            <w:tcBorders>
              <w:bottom w:val="single" w:sz="8" w:color="auto"/>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1"/>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487,025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 w:lineRule="exact"/>
        <w:rPr>
          <w:sz w:val="20"/>
          <w:szCs w:val="20"/>
          <w:color w:val="auto"/>
        </w:rPr>
      </w:pPr>
    </w:p>
    <w:p>
      <w:pPr>
        <w:ind w:left="800" w:right="3500" w:hanging="792"/>
        <w:spacing w:after="0" w:line="267" w:lineRule="auto"/>
        <w:tabs>
          <w:tab w:leader="none" w:pos="8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487,025</w:t>
      </w:r>
    </w:p>
    <w:p>
      <w:pPr>
        <w:ind w:left="800" w:hanging="792"/>
        <w:spacing w:after="0" w:line="207" w:lineRule="exact"/>
        <w:tabs>
          <w:tab w:leader="none" w:pos="8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b w:val="1"/>
          <w:bCs w:val="1"/>
          <w:color w:val="auto"/>
        </w:rPr>
      </w:pPr>
    </w:p>
    <w:p>
      <w:pPr>
        <w:ind w:left="800" w:right="5040" w:hanging="792"/>
        <w:spacing w:after="0" w:line="281" w:lineRule="auto"/>
        <w:tabs>
          <w:tab w:leader="none" w:pos="8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REPRESENTED BY AMOUNT IN ROW (11) </w:t>
      </w:r>
      <w:r>
        <w:rPr>
          <w:rFonts w:ascii="Times New Roman" w:cs="Times New Roman" w:eastAsia="Times New Roman" w:hAnsi="Times New Roman"/>
          <w:sz w:val="18"/>
          <w:szCs w:val="18"/>
          <w:color w:val="auto"/>
        </w:rPr>
        <w:t>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TYPE OF REPORTING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4" w:lineRule="exact"/>
        <w:rPr>
          <w:sz w:val="20"/>
          <w:szCs w:val="20"/>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calculated based on 16,923,285 shares of the Common Stock of the Issuer outstanding as of December 29, 2022, as reported by the Issuer in the 8-K.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254604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ind w:left="800" w:right="7420" w:hanging="792"/>
        <w:spacing w:after="0" w:line="298" w:lineRule="auto"/>
        <w:tabs>
          <w:tab w:leader="none" w:pos="80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 OF REPORTING PERSONS </w:t>
      </w:r>
      <w:r>
        <w:rPr>
          <w:rFonts w:ascii="Times New Roman" w:cs="Times New Roman" w:eastAsia="Times New Roman" w:hAnsi="Times New Roman"/>
          <w:sz w:val="17"/>
          <w:szCs w:val="17"/>
          <w:color w:val="auto"/>
        </w:rPr>
        <w:t>Foresite Capital Opportunity 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00" w:hanging="792"/>
        <w:spacing w:after="0"/>
        <w:tabs>
          <w:tab w:leader="none" w:pos="8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w:t>
      </w:r>
    </w:p>
    <w:p>
      <w:pPr>
        <w:spacing w:after="0" w:line="31" w:lineRule="exact"/>
        <w:rPr>
          <w:rFonts w:ascii="Times New Roman" w:cs="Times New Roman" w:eastAsia="Times New Roman" w:hAnsi="Times New Roman"/>
          <w:sz w:val="18"/>
          <w:szCs w:val="18"/>
          <w:b w:val="1"/>
          <w:bCs w:val="1"/>
          <w:color w:val="auto"/>
        </w:rPr>
      </w:pPr>
    </w:p>
    <w:p>
      <w:pPr>
        <w:ind w:left="800"/>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 w:lineRule="exact"/>
        <w:rPr>
          <w:sz w:val="20"/>
          <w:szCs w:val="20"/>
          <w:color w:val="auto"/>
        </w:rPr>
      </w:pPr>
    </w:p>
    <w:p>
      <w:pPr>
        <w:ind w:left="800" w:hanging="792"/>
        <w:spacing w:after="0"/>
        <w:tabs>
          <w:tab w:leader="none" w:pos="8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ind w:left="800" w:right="8740" w:hanging="792"/>
        <w:spacing w:after="0" w:line="267" w:lineRule="auto"/>
        <w:tabs>
          <w:tab w:leader="none" w:pos="8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w:t>
      </w:r>
    </w:p>
    <w:p>
      <w:pPr>
        <w:spacing w:after="0" w:line="1" w:lineRule="exact"/>
        <w:rPr>
          <w:sz w:val="20"/>
          <w:szCs w:val="20"/>
          <w:color w:val="auto"/>
        </w:rPr>
      </w:pPr>
    </w:p>
    <w:p>
      <w:pPr>
        <w:ind w:left="800" w:hanging="792"/>
        <w:spacing w:after="0" w:line="207" w:lineRule="exact"/>
        <w:tabs>
          <w:tab w:leader="none" w:pos="8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ind w:left="800" w:right="6500" w:hanging="792"/>
        <w:spacing w:after="0" w:line="275" w:lineRule="auto"/>
        <w:tabs>
          <w:tab w:leader="none" w:pos="8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tbl>
      <w:tblPr>
        <w:tblLayout w:type="fixed"/>
        <w:tblInd w:w="0" w:type="dxa"/>
        <w:tblCellMar>
          <w:top w:w="0" w:type="dxa"/>
          <w:left w:w="0" w:type="dxa"/>
          <w:bottom w:w="0" w:type="dxa"/>
          <w:right w:w="0" w:type="dxa"/>
        </w:tblCellMar>
      </w:tblPr>
      <w:tr>
        <w:trPr>
          <w:trHeight w:val="212"/>
        </w:trPr>
        <w:tc>
          <w:tcPr>
            <w:tcW w:w="17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7</w:t>
            </w:r>
          </w:p>
        </w:tc>
        <w:tc>
          <w:tcPr>
            <w:tcW w:w="89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185"/>
        </w:trPr>
        <w:tc>
          <w:tcPr>
            <w:tcW w:w="17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8940" w:type="dxa"/>
            <w:vAlign w:val="bottom"/>
          </w:tcPr>
          <w:p>
            <w:pPr>
              <w:ind w:left="300"/>
              <w:spacing w:after="0" w:line="185"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0"/>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0" w:type="dxa"/>
            <w:vAlign w:val="bottom"/>
            <w:tcBorders>
              <w:bottom w:val="single" w:sz="8" w:color="auto"/>
            </w:tcBorders>
          </w:tcPr>
          <w:p>
            <w:pPr>
              <w:spacing w:after="0"/>
              <w:rPr>
                <w:sz w:val="6"/>
                <w:szCs w:val="6"/>
                <w:color w:val="auto"/>
              </w:rPr>
            </w:pPr>
          </w:p>
        </w:tc>
        <w:tc>
          <w:tcPr>
            <w:tcW w:w="8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700" w:type="dxa"/>
            <w:vAlign w:val="bottom"/>
            <w:vMerge w:val="continue"/>
          </w:tcPr>
          <w:p>
            <w:pPr>
              <w:spacing w:after="0"/>
              <w:rPr>
                <w:sz w:val="10"/>
                <w:szCs w:val="10"/>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8</w:t>
            </w:r>
          </w:p>
        </w:tc>
        <w:tc>
          <w:tcPr>
            <w:tcW w:w="8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85"/>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600" w:type="dxa"/>
            <w:vAlign w:val="bottom"/>
            <w:vMerge w:val="continue"/>
          </w:tcPr>
          <w:p>
            <w:pPr>
              <w:spacing w:after="0"/>
              <w:rPr>
                <w:sz w:val="7"/>
                <w:szCs w:val="7"/>
                <w:color w:val="auto"/>
              </w:rPr>
            </w:pPr>
          </w:p>
        </w:tc>
        <w:tc>
          <w:tcPr>
            <w:tcW w:w="8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7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487,025</w:t>
            </w:r>
          </w:p>
        </w:tc>
        <w:tc>
          <w:tcPr>
            <w:tcW w:w="0" w:type="dxa"/>
            <w:vAlign w:val="bottom"/>
          </w:tcPr>
          <w:p>
            <w:pPr>
              <w:spacing w:after="0"/>
              <w:rPr>
                <w:sz w:val="1"/>
                <w:szCs w:val="1"/>
                <w:color w:val="auto"/>
              </w:rPr>
            </w:pPr>
          </w:p>
        </w:tc>
      </w:tr>
      <w:tr>
        <w:trPr>
          <w:trHeight w:val="124"/>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6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700" w:type="dxa"/>
            <w:vAlign w:val="bottom"/>
            <w:vMerge w:val="continue"/>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9</w:t>
            </w:r>
          </w:p>
        </w:tc>
        <w:tc>
          <w:tcPr>
            <w:tcW w:w="8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84"/>
        </w:trPr>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EACH REPORTING</w:t>
            </w:r>
          </w:p>
        </w:tc>
        <w:tc>
          <w:tcPr>
            <w:tcW w:w="600" w:type="dxa"/>
            <w:vAlign w:val="bottom"/>
            <w:vMerge w:val="continue"/>
          </w:tcPr>
          <w:p>
            <w:pPr>
              <w:spacing w:after="0"/>
              <w:rPr>
                <w:sz w:val="16"/>
                <w:szCs w:val="16"/>
                <w:color w:val="auto"/>
              </w:rPr>
            </w:pPr>
          </w:p>
        </w:tc>
        <w:tc>
          <w:tcPr>
            <w:tcW w:w="8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600" w:type="dxa"/>
            <w:vAlign w:val="bottom"/>
            <w:tcBorders>
              <w:bottom w:val="single" w:sz="8" w:color="auto"/>
            </w:tcBorders>
          </w:tcPr>
          <w:p>
            <w:pPr>
              <w:spacing w:after="0"/>
              <w:rPr>
                <w:sz w:val="18"/>
                <w:szCs w:val="18"/>
                <w:color w:val="auto"/>
              </w:rPr>
            </w:pPr>
          </w:p>
        </w:tc>
        <w:tc>
          <w:tcPr>
            <w:tcW w:w="8940" w:type="dxa"/>
            <w:vAlign w:val="bottom"/>
            <w:tcBorders>
              <w:bottom w:val="single" w:sz="8" w:color="auto"/>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1"/>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487,025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 w:lineRule="exact"/>
        <w:rPr>
          <w:sz w:val="20"/>
          <w:szCs w:val="20"/>
          <w:color w:val="auto"/>
        </w:rPr>
      </w:pPr>
    </w:p>
    <w:p>
      <w:pPr>
        <w:ind w:left="800" w:right="3500" w:hanging="792"/>
        <w:spacing w:after="0" w:line="267" w:lineRule="auto"/>
        <w:tabs>
          <w:tab w:leader="none" w:pos="8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487,025</w:t>
      </w:r>
    </w:p>
    <w:p>
      <w:pPr>
        <w:ind w:left="800" w:hanging="792"/>
        <w:spacing w:after="0" w:line="207" w:lineRule="exact"/>
        <w:tabs>
          <w:tab w:leader="none" w:pos="8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b w:val="1"/>
          <w:bCs w:val="1"/>
          <w:color w:val="auto"/>
        </w:rPr>
      </w:pPr>
    </w:p>
    <w:p>
      <w:pPr>
        <w:ind w:left="800" w:right="5040" w:hanging="792"/>
        <w:spacing w:after="0" w:line="281" w:lineRule="auto"/>
        <w:tabs>
          <w:tab w:leader="none" w:pos="8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REPRESENTED BY AMOUNT IN ROW (11) </w:t>
      </w:r>
      <w:r>
        <w:rPr>
          <w:rFonts w:ascii="Times New Roman" w:cs="Times New Roman" w:eastAsia="Times New Roman" w:hAnsi="Times New Roman"/>
          <w:sz w:val="18"/>
          <w:szCs w:val="18"/>
          <w:color w:val="auto"/>
        </w:rPr>
        <w:t>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TYPE OF REPORTING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4" w:lineRule="exact"/>
        <w:rPr>
          <w:sz w:val="20"/>
          <w:szCs w:val="20"/>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calculated based on 16,923,285 shares of the Common Stock of the Issuer outstanding as of December 29, 2022, as reported by the Issuer in the 8-K.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254604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ind w:left="800" w:hanging="792"/>
        <w:spacing w:after="0"/>
        <w:tabs>
          <w:tab w:leader="none" w:pos="8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REPORTING PERSONS</w:t>
      </w:r>
    </w:p>
    <w:p>
      <w:pPr>
        <w:spacing w:after="0" w:line="31"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Foresite Capital Opportunity Management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 w:lineRule="exact"/>
        <w:rPr>
          <w:sz w:val="20"/>
          <w:szCs w:val="20"/>
          <w:color w:val="auto"/>
        </w:rPr>
      </w:pPr>
    </w:p>
    <w:p>
      <w:pPr>
        <w:ind w:left="800" w:hanging="792"/>
        <w:spacing w:after="0"/>
        <w:tabs>
          <w:tab w:leader="none" w:pos="8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w:t>
      </w:r>
    </w:p>
    <w:p>
      <w:pPr>
        <w:spacing w:after="0" w:line="31" w:lineRule="exact"/>
        <w:rPr>
          <w:rFonts w:ascii="Times New Roman" w:cs="Times New Roman" w:eastAsia="Times New Roman" w:hAnsi="Times New Roman"/>
          <w:sz w:val="18"/>
          <w:szCs w:val="18"/>
          <w:b w:val="1"/>
          <w:bCs w:val="1"/>
          <w:color w:val="auto"/>
        </w:rPr>
      </w:pPr>
    </w:p>
    <w:p>
      <w:pPr>
        <w:ind w:left="800"/>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 w:lineRule="exact"/>
        <w:rPr>
          <w:sz w:val="20"/>
          <w:szCs w:val="20"/>
          <w:color w:val="auto"/>
        </w:rPr>
      </w:pPr>
    </w:p>
    <w:p>
      <w:pPr>
        <w:ind w:left="800" w:hanging="792"/>
        <w:spacing w:after="0"/>
        <w:tabs>
          <w:tab w:leader="none" w:pos="8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ind w:left="800" w:right="8740" w:hanging="792"/>
        <w:spacing w:after="0" w:line="267" w:lineRule="auto"/>
        <w:tabs>
          <w:tab w:leader="none" w:pos="8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AF</w:t>
      </w:r>
    </w:p>
    <w:p>
      <w:pPr>
        <w:spacing w:after="0" w:line="1" w:lineRule="exact"/>
        <w:rPr>
          <w:sz w:val="20"/>
          <w:szCs w:val="20"/>
          <w:color w:val="auto"/>
        </w:rPr>
      </w:pPr>
    </w:p>
    <w:p>
      <w:pPr>
        <w:ind w:left="800" w:hanging="792"/>
        <w:spacing w:after="0" w:line="207" w:lineRule="exact"/>
        <w:tabs>
          <w:tab w:leader="none" w:pos="8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ind w:left="800" w:right="6500" w:hanging="792"/>
        <w:spacing w:after="0" w:line="275" w:lineRule="auto"/>
        <w:tabs>
          <w:tab w:leader="none" w:pos="8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tbl>
      <w:tblPr>
        <w:tblLayout w:type="fixed"/>
        <w:tblInd w:w="0" w:type="dxa"/>
        <w:tblCellMar>
          <w:top w:w="0" w:type="dxa"/>
          <w:left w:w="0" w:type="dxa"/>
          <w:bottom w:w="0" w:type="dxa"/>
          <w:right w:w="0" w:type="dxa"/>
        </w:tblCellMar>
      </w:tblPr>
      <w:tr>
        <w:trPr>
          <w:trHeight w:val="212"/>
        </w:trPr>
        <w:tc>
          <w:tcPr>
            <w:tcW w:w="17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7</w:t>
            </w:r>
          </w:p>
        </w:tc>
        <w:tc>
          <w:tcPr>
            <w:tcW w:w="89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185"/>
        </w:trPr>
        <w:tc>
          <w:tcPr>
            <w:tcW w:w="17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8940" w:type="dxa"/>
            <w:vAlign w:val="bottom"/>
          </w:tcPr>
          <w:p>
            <w:pPr>
              <w:ind w:left="300"/>
              <w:spacing w:after="0" w:line="185"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0"/>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0" w:type="dxa"/>
            <w:vAlign w:val="bottom"/>
            <w:tcBorders>
              <w:bottom w:val="single" w:sz="8" w:color="auto"/>
            </w:tcBorders>
          </w:tcPr>
          <w:p>
            <w:pPr>
              <w:spacing w:after="0"/>
              <w:rPr>
                <w:sz w:val="6"/>
                <w:szCs w:val="6"/>
                <w:color w:val="auto"/>
              </w:rPr>
            </w:pPr>
          </w:p>
        </w:tc>
        <w:tc>
          <w:tcPr>
            <w:tcW w:w="8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700" w:type="dxa"/>
            <w:vAlign w:val="bottom"/>
            <w:vMerge w:val="continue"/>
          </w:tcPr>
          <w:p>
            <w:pPr>
              <w:spacing w:after="0"/>
              <w:rPr>
                <w:sz w:val="10"/>
                <w:szCs w:val="10"/>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8</w:t>
            </w:r>
          </w:p>
        </w:tc>
        <w:tc>
          <w:tcPr>
            <w:tcW w:w="8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85"/>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600" w:type="dxa"/>
            <w:vAlign w:val="bottom"/>
            <w:vMerge w:val="continue"/>
          </w:tcPr>
          <w:p>
            <w:pPr>
              <w:spacing w:after="0"/>
              <w:rPr>
                <w:sz w:val="7"/>
                <w:szCs w:val="7"/>
                <w:color w:val="auto"/>
              </w:rPr>
            </w:pPr>
          </w:p>
        </w:tc>
        <w:tc>
          <w:tcPr>
            <w:tcW w:w="8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7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487,025</w:t>
            </w:r>
          </w:p>
        </w:tc>
        <w:tc>
          <w:tcPr>
            <w:tcW w:w="0" w:type="dxa"/>
            <w:vAlign w:val="bottom"/>
          </w:tcPr>
          <w:p>
            <w:pPr>
              <w:spacing w:after="0"/>
              <w:rPr>
                <w:sz w:val="1"/>
                <w:szCs w:val="1"/>
                <w:color w:val="auto"/>
              </w:rPr>
            </w:pPr>
          </w:p>
        </w:tc>
      </w:tr>
      <w:tr>
        <w:trPr>
          <w:trHeight w:val="124"/>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6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700" w:type="dxa"/>
            <w:vAlign w:val="bottom"/>
            <w:vMerge w:val="continue"/>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9</w:t>
            </w:r>
          </w:p>
        </w:tc>
        <w:tc>
          <w:tcPr>
            <w:tcW w:w="8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84"/>
        </w:trPr>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EACH REPORTING</w:t>
            </w:r>
          </w:p>
        </w:tc>
        <w:tc>
          <w:tcPr>
            <w:tcW w:w="600" w:type="dxa"/>
            <w:vAlign w:val="bottom"/>
            <w:vMerge w:val="continue"/>
          </w:tcPr>
          <w:p>
            <w:pPr>
              <w:spacing w:after="0"/>
              <w:rPr>
                <w:sz w:val="16"/>
                <w:szCs w:val="16"/>
                <w:color w:val="auto"/>
              </w:rPr>
            </w:pPr>
          </w:p>
        </w:tc>
        <w:tc>
          <w:tcPr>
            <w:tcW w:w="8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600" w:type="dxa"/>
            <w:vAlign w:val="bottom"/>
            <w:tcBorders>
              <w:bottom w:val="single" w:sz="8" w:color="auto"/>
            </w:tcBorders>
          </w:tcPr>
          <w:p>
            <w:pPr>
              <w:spacing w:after="0"/>
              <w:rPr>
                <w:sz w:val="18"/>
                <w:szCs w:val="18"/>
                <w:color w:val="auto"/>
              </w:rPr>
            </w:pPr>
          </w:p>
        </w:tc>
        <w:tc>
          <w:tcPr>
            <w:tcW w:w="8940" w:type="dxa"/>
            <w:vAlign w:val="bottom"/>
            <w:tcBorders>
              <w:bottom w:val="single" w:sz="8" w:color="auto"/>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1"/>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487,025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 w:lineRule="exact"/>
        <w:rPr>
          <w:sz w:val="20"/>
          <w:szCs w:val="20"/>
          <w:color w:val="auto"/>
        </w:rPr>
      </w:pPr>
    </w:p>
    <w:p>
      <w:pPr>
        <w:ind w:left="800" w:right="3500" w:hanging="792"/>
        <w:spacing w:after="0" w:line="267" w:lineRule="auto"/>
        <w:tabs>
          <w:tab w:leader="none" w:pos="8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487,025</w:t>
      </w:r>
    </w:p>
    <w:p>
      <w:pPr>
        <w:ind w:left="800" w:hanging="792"/>
        <w:spacing w:after="0" w:line="207" w:lineRule="exact"/>
        <w:tabs>
          <w:tab w:leader="none" w:pos="8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b w:val="1"/>
          <w:bCs w:val="1"/>
          <w:color w:val="auto"/>
        </w:rPr>
      </w:pPr>
    </w:p>
    <w:p>
      <w:pPr>
        <w:ind w:left="800" w:right="5040" w:hanging="792"/>
        <w:spacing w:after="0" w:line="281" w:lineRule="auto"/>
        <w:tabs>
          <w:tab w:leader="none" w:pos="8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REPRESENTED BY AMOUNT IN ROW (11) </w:t>
      </w:r>
      <w:r>
        <w:rPr>
          <w:rFonts w:ascii="Times New Roman" w:cs="Times New Roman" w:eastAsia="Times New Roman" w:hAnsi="Times New Roman"/>
          <w:sz w:val="18"/>
          <w:szCs w:val="18"/>
          <w:color w:val="auto"/>
        </w:rPr>
        <w:t>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TYPE OF REPORTING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4" w:lineRule="exact"/>
        <w:rPr>
          <w:sz w:val="20"/>
          <w:szCs w:val="20"/>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calculated based on 16,923,285 shares of the Common Stock of the Issuer outstanding as of December 29, 2022, as reported by the Issuer in the 8-K.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CUSIP No. 254604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ind w:left="800" w:right="7580" w:hanging="792"/>
        <w:spacing w:after="0" w:line="281" w:lineRule="auto"/>
        <w:tabs>
          <w:tab w:leader="none" w:pos="8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REPORTING PERSONS </w:t>
      </w:r>
      <w:r>
        <w:rPr>
          <w:rFonts w:ascii="Times New Roman" w:cs="Times New Roman" w:eastAsia="Times New Roman" w:hAnsi="Times New Roman"/>
          <w:sz w:val="18"/>
          <w:szCs w:val="18"/>
          <w:color w:val="auto"/>
        </w:rPr>
        <w:t>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00" w:hanging="792"/>
        <w:spacing w:after="0"/>
        <w:tabs>
          <w:tab w:leader="none" w:pos="8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w:t>
      </w:r>
    </w:p>
    <w:p>
      <w:pPr>
        <w:spacing w:after="0" w:line="31" w:lineRule="exact"/>
        <w:rPr>
          <w:rFonts w:ascii="Times New Roman" w:cs="Times New Roman" w:eastAsia="Times New Roman" w:hAnsi="Times New Roman"/>
          <w:sz w:val="18"/>
          <w:szCs w:val="18"/>
          <w:b w:val="1"/>
          <w:bCs w:val="1"/>
          <w:color w:val="auto"/>
        </w:rPr>
      </w:pPr>
    </w:p>
    <w:p>
      <w:pPr>
        <w:ind w:left="800"/>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 w:lineRule="exact"/>
        <w:rPr>
          <w:sz w:val="20"/>
          <w:szCs w:val="20"/>
          <w:color w:val="auto"/>
        </w:rPr>
      </w:pPr>
    </w:p>
    <w:p>
      <w:pPr>
        <w:ind w:left="800" w:hanging="792"/>
        <w:spacing w:after="0"/>
        <w:tabs>
          <w:tab w:leader="none" w:pos="8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ind w:left="800" w:right="8740" w:hanging="792"/>
        <w:spacing w:after="0" w:line="267" w:lineRule="auto"/>
        <w:tabs>
          <w:tab w:leader="none" w:pos="8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AF</w:t>
      </w:r>
    </w:p>
    <w:p>
      <w:pPr>
        <w:spacing w:after="0" w:line="1" w:lineRule="exact"/>
        <w:rPr>
          <w:sz w:val="20"/>
          <w:szCs w:val="20"/>
          <w:color w:val="auto"/>
        </w:rPr>
      </w:pPr>
    </w:p>
    <w:p>
      <w:pPr>
        <w:ind w:left="800" w:hanging="792"/>
        <w:spacing w:after="0" w:line="207" w:lineRule="exact"/>
        <w:tabs>
          <w:tab w:leader="none" w:pos="8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ind w:left="800" w:right="6500" w:hanging="792"/>
        <w:spacing w:after="0" w:line="275" w:lineRule="auto"/>
        <w:tabs>
          <w:tab w:leader="none" w:pos="8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tbl>
      <w:tblPr>
        <w:tblLayout w:type="fixed"/>
        <w:tblInd w:w="0" w:type="dxa"/>
        <w:tblCellMar>
          <w:top w:w="0" w:type="dxa"/>
          <w:left w:w="0" w:type="dxa"/>
          <w:bottom w:w="0" w:type="dxa"/>
          <w:right w:w="0" w:type="dxa"/>
        </w:tblCellMar>
      </w:tblPr>
      <w:tr>
        <w:trPr>
          <w:trHeight w:val="212"/>
        </w:trPr>
        <w:tc>
          <w:tcPr>
            <w:tcW w:w="17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7</w:t>
            </w:r>
          </w:p>
        </w:tc>
        <w:tc>
          <w:tcPr>
            <w:tcW w:w="89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185"/>
        </w:trPr>
        <w:tc>
          <w:tcPr>
            <w:tcW w:w="17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8940" w:type="dxa"/>
            <w:vAlign w:val="bottom"/>
          </w:tcPr>
          <w:p>
            <w:pPr>
              <w:ind w:left="300"/>
              <w:spacing w:after="0" w:line="185"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0"/>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0" w:type="dxa"/>
            <w:vAlign w:val="bottom"/>
            <w:tcBorders>
              <w:bottom w:val="single" w:sz="8" w:color="auto"/>
            </w:tcBorders>
          </w:tcPr>
          <w:p>
            <w:pPr>
              <w:spacing w:after="0"/>
              <w:rPr>
                <w:sz w:val="6"/>
                <w:szCs w:val="6"/>
                <w:color w:val="auto"/>
              </w:rPr>
            </w:pPr>
          </w:p>
        </w:tc>
        <w:tc>
          <w:tcPr>
            <w:tcW w:w="8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700" w:type="dxa"/>
            <w:vAlign w:val="bottom"/>
            <w:vMerge w:val="continue"/>
          </w:tcPr>
          <w:p>
            <w:pPr>
              <w:spacing w:after="0"/>
              <w:rPr>
                <w:sz w:val="10"/>
                <w:szCs w:val="10"/>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8</w:t>
            </w:r>
          </w:p>
        </w:tc>
        <w:tc>
          <w:tcPr>
            <w:tcW w:w="8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85"/>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600" w:type="dxa"/>
            <w:vAlign w:val="bottom"/>
            <w:vMerge w:val="continue"/>
          </w:tcPr>
          <w:p>
            <w:pPr>
              <w:spacing w:after="0"/>
              <w:rPr>
                <w:sz w:val="7"/>
                <w:szCs w:val="7"/>
                <w:color w:val="auto"/>
              </w:rPr>
            </w:pPr>
          </w:p>
        </w:tc>
        <w:tc>
          <w:tcPr>
            <w:tcW w:w="8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7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487,025</w:t>
            </w:r>
          </w:p>
        </w:tc>
        <w:tc>
          <w:tcPr>
            <w:tcW w:w="0" w:type="dxa"/>
            <w:vAlign w:val="bottom"/>
          </w:tcPr>
          <w:p>
            <w:pPr>
              <w:spacing w:after="0"/>
              <w:rPr>
                <w:sz w:val="1"/>
                <w:szCs w:val="1"/>
                <w:color w:val="auto"/>
              </w:rPr>
            </w:pPr>
          </w:p>
        </w:tc>
      </w:tr>
      <w:tr>
        <w:trPr>
          <w:trHeight w:val="124"/>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6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700" w:type="dxa"/>
            <w:vAlign w:val="bottom"/>
            <w:vMerge w:val="continue"/>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9</w:t>
            </w:r>
          </w:p>
        </w:tc>
        <w:tc>
          <w:tcPr>
            <w:tcW w:w="8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84"/>
        </w:trPr>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EACH REPORTING</w:t>
            </w:r>
          </w:p>
        </w:tc>
        <w:tc>
          <w:tcPr>
            <w:tcW w:w="600" w:type="dxa"/>
            <w:vAlign w:val="bottom"/>
            <w:vMerge w:val="continue"/>
          </w:tcPr>
          <w:p>
            <w:pPr>
              <w:spacing w:after="0"/>
              <w:rPr>
                <w:sz w:val="16"/>
                <w:szCs w:val="16"/>
                <w:color w:val="auto"/>
              </w:rPr>
            </w:pPr>
          </w:p>
        </w:tc>
        <w:tc>
          <w:tcPr>
            <w:tcW w:w="8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600" w:type="dxa"/>
            <w:vAlign w:val="bottom"/>
            <w:tcBorders>
              <w:bottom w:val="single" w:sz="8" w:color="auto"/>
            </w:tcBorders>
          </w:tcPr>
          <w:p>
            <w:pPr>
              <w:spacing w:after="0"/>
              <w:rPr>
                <w:sz w:val="18"/>
                <w:szCs w:val="18"/>
                <w:color w:val="auto"/>
              </w:rPr>
            </w:pPr>
          </w:p>
        </w:tc>
        <w:tc>
          <w:tcPr>
            <w:tcW w:w="8940" w:type="dxa"/>
            <w:vAlign w:val="bottom"/>
            <w:tcBorders>
              <w:bottom w:val="single" w:sz="8" w:color="auto"/>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1"/>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487,025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 w:lineRule="exact"/>
        <w:rPr>
          <w:sz w:val="20"/>
          <w:szCs w:val="20"/>
          <w:color w:val="auto"/>
        </w:rPr>
      </w:pPr>
    </w:p>
    <w:p>
      <w:pPr>
        <w:ind w:left="800" w:right="3500" w:hanging="792"/>
        <w:spacing w:after="0" w:line="267" w:lineRule="auto"/>
        <w:tabs>
          <w:tab w:leader="none" w:pos="8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487,025</w:t>
      </w:r>
    </w:p>
    <w:p>
      <w:pPr>
        <w:ind w:left="800" w:hanging="792"/>
        <w:spacing w:after="0" w:line="207" w:lineRule="exact"/>
        <w:tabs>
          <w:tab w:leader="none" w:pos="8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b w:val="1"/>
          <w:bCs w:val="1"/>
          <w:color w:val="auto"/>
        </w:rPr>
      </w:pPr>
    </w:p>
    <w:p>
      <w:pPr>
        <w:ind w:left="800" w:right="5040" w:hanging="792"/>
        <w:spacing w:after="0" w:line="281" w:lineRule="auto"/>
        <w:tabs>
          <w:tab w:leader="none" w:pos="8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REPRESENTED BY AMOUNT IN ROW (11) </w:t>
      </w:r>
      <w:r>
        <w:rPr>
          <w:rFonts w:ascii="Times New Roman" w:cs="Times New Roman" w:eastAsia="Times New Roman" w:hAnsi="Times New Roman"/>
          <w:sz w:val="18"/>
          <w:szCs w:val="18"/>
          <w:color w:val="auto"/>
        </w:rPr>
        <w:t>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TYPE OF REPORTING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4" w:lineRule="exact"/>
        <w:rPr>
          <w:sz w:val="20"/>
          <w:szCs w:val="20"/>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calculated based on 16,923,285 shares of the Common Stock of the Issuer outstanding as of December 29, 2022, as reported by the Issuer in the 8-K.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SCHEDULE 13D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Amendment No. 2 (the “</w:t>
      </w:r>
      <w:r>
        <w:rPr>
          <w:rFonts w:ascii="Times New Roman" w:cs="Times New Roman" w:eastAsia="Times New Roman" w:hAnsi="Times New Roman"/>
          <w:sz w:val="18"/>
          <w:szCs w:val="18"/>
          <w:b w:val="1"/>
          <w:bCs w:val="1"/>
          <w:color w:val="auto"/>
        </w:rPr>
        <w:t>Amendment No.2</w:t>
      </w:r>
      <w:r>
        <w:rPr>
          <w:rFonts w:ascii="Times New Roman" w:cs="Times New Roman" w:eastAsia="Times New Roman" w:hAnsi="Times New Roman"/>
          <w:sz w:val="18"/>
          <w:szCs w:val="18"/>
          <w:color w:val="auto"/>
        </w:rPr>
        <w:t>”) amends and supplements the statement on Schedule 13D and Amendment No.1 to such Schedule 13D filed respectively on February 12, 2021 and August 12, 2022, (collectively, the “</w:t>
      </w:r>
      <w:r>
        <w:rPr>
          <w:rFonts w:ascii="Times New Roman" w:cs="Times New Roman" w:eastAsia="Times New Roman" w:hAnsi="Times New Roman"/>
          <w:sz w:val="18"/>
          <w:szCs w:val="18"/>
          <w:b w:val="1"/>
          <w:bCs w:val="1"/>
          <w:color w:val="auto"/>
        </w:rPr>
        <w:t>Schedule 13D</w:t>
      </w:r>
      <w:r>
        <w:rPr>
          <w:rFonts w:ascii="Times New Roman" w:cs="Times New Roman" w:eastAsia="Times New Roman" w:hAnsi="Times New Roman"/>
          <w:sz w:val="18"/>
          <w:szCs w:val="18"/>
          <w:color w:val="auto"/>
        </w:rPr>
        <w:t>”) with the U.S. Securities and Exchange Commission relating to the Common Stock of Disc Medicine, Inc. (formerly Gemini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by FS Development Holdings, LLC (“</w:t>
      </w:r>
      <w:r>
        <w:rPr>
          <w:rFonts w:ascii="Times New Roman" w:cs="Times New Roman" w:eastAsia="Times New Roman" w:hAnsi="Times New Roman"/>
          <w:sz w:val="18"/>
          <w:szCs w:val="18"/>
          <w:b w:val="1"/>
          <w:bCs w:val="1"/>
          <w:color w:val="auto"/>
        </w:rPr>
        <w:t>FSDH</w:t>
      </w:r>
      <w:r>
        <w:rPr>
          <w:rFonts w:ascii="Times New Roman" w:cs="Times New Roman" w:eastAsia="Times New Roman" w:hAnsi="Times New Roman"/>
          <w:sz w:val="18"/>
          <w:szCs w:val="18"/>
          <w:color w:val="auto"/>
        </w:rPr>
        <w:t>”), Foresite Capital Fund V, L.P. (“</w:t>
      </w:r>
      <w:r>
        <w:rPr>
          <w:rFonts w:ascii="Times New Roman" w:cs="Times New Roman" w:eastAsia="Times New Roman" w:hAnsi="Times New Roman"/>
          <w:sz w:val="18"/>
          <w:szCs w:val="18"/>
          <w:b w:val="1"/>
          <w:bCs w:val="1"/>
          <w:color w:val="auto"/>
        </w:rPr>
        <w:t>FCF V</w:t>
      </w:r>
      <w:r>
        <w:rPr>
          <w:rFonts w:ascii="Times New Roman" w:cs="Times New Roman" w:eastAsia="Times New Roman" w:hAnsi="Times New Roman"/>
          <w:sz w:val="18"/>
          <w:szCs w:val="18"/>
          <w:color w:val="auto"/>
        </w:rPr>
        <w:t>”), Foresite Capital Management V, LLC (“</w:t>
      </w:r>
      <w:r>
        <w:rPr>
          <w:rFonts w:ascii="Times New Roman" w:cs="Times New Roman" w:eastAsia="Times New Roman" w:hAnsi="Times New Roman"/>
          <w:sz w:val="18"/>
          <w:szCs w:val="18"/>
          <w:b w:val="1"/>
          <w:bCs w:val="1"/>
          <w:color w:val="auto"/>
        </w:rPr>
        <w:t>FCM V LLC</w:t>
      </w:r>
      <w:r>
        <w:rPr>
          <w:rFonts w:ascii="Times New Roman" w:cs="Times New Roman" w:eastAsia="Times New Roman" w:hAnsi="Times New Roman"/>
          <w:sz w:val="18"/>
          <w:szCs w:val="18"/>
          <w:color w:val="auto"/>
        </w:rPr>
        <w:t>”), Foresite Capital Opportunity Fund V, L.P. (“</w:t>
      </w:r>
      <w:r>
        <w:rPr>
          <w:rFonts w:ascii="Times New Roman" w:cs="Times New Roman" w:eastAsia="Times New Roman" w:hAnsi="Times New Roman"/>
          <w:sz w:val="18"/>
          <w:szCs w:val="18"/>
          <w:b w:val="1"/>
          <w:bCs w:val="1"/>
          <w:color w:val="auto"/>
        </w:rPr>
        <w:t>FCOF V</w:t>
      </w:r>
      <w:r>
        <w:rPr>
          <w:rFonts w:ascii="Times New Roman" w:cs="Times New Roman" w:eastAsia="Times New Roman" w:hAnsi="Times New Roman"/>
          <w:sz w:val="18"/>
          <w:szCs w:val="18"/>
          <w:color w:val="auto"/>
        </w:rPr>
        <w:t>”), Foresite Capital Opportunity Management V, LLC (“</w:t>
      </w:r>
      <w:r>
        <w:rPr>
          <w:rFonts w:ascii="Times New Roman" w:cs="Times New Roman" w:eastAsia="Times New Roman" w:hAnsi="Times New Roman"/>
          <w:sz w:val="18"/>
          <w:szCs w:val="18"/>
          <w:b w:val="1"/>
          <w:bCs w:val="1"/>
          <w:color w:val="auto"/>
        </w:rPr>
        <w:t>FCOM V LLC</w:t>
      </w:r>
      <w:r>
        <w:rPr>
          <w:rFonts w:ascii="Times New Roman" w:cs="Times New Roman" w:eastAsia="Times New Roman" w:hAnsi="Times New Roman"/>
          <w:sz w:val="18"/>
          <w:szCs w:val="18"/>
          <w:color w:val="auto"/>
        </w:rPr>
        <w:t>”) and Dr. James Tananbaum (and together with FSDH, FCF V, FCM V LLC, FCOF V, and FCOM V LLC, the “</w:t>
      </w:r>
      <w:r>
        <w:rPr>
          <w:rFonts w:ascii="Times New Roman" w:cs="Times New Roman" w:eastAsia="Times New Roman" w:hAnsi="Times New Roman"/>
          <w:sz w:val="18"/>
          <w:szCs w:val="18"/>
          <w:b w:val="1"/>
          <w:bCs w:val="1"/>
          <w:color w:val="auto"/>
        </w:rPr>
        <w:t>Reporting Persons</w:t>
      </w:r>
      <w:r>
        <w:rPr>
          <w:rFonts w:ascii="Times New Roman" w:cs="Times New Roman" w:eastAsia="Times New Roman" w:hAnsi="Times New Roman"/>
          <w:sz w:val="18"/>
          <w:szCs w:val="18"/>
          <w:color w:val="auto"/>
        </w:rPr>
        <w:t>”). Except as specifically provided herein, this Amendment No.2 does not modify any of the information previously reported on the Schedule 13D. Capitalized terms used but not defined herein shall have the same meanings as are ascribed to them in the Schedule 13D, as applicable.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29, 2022, the Company completed its business combination with Disc Medicine Opco, Inc. (formerly Disc Medicine, Inc.) (“</w:t>
      </w:r>
      <w:r>
        <w:rPr>
          <w:rFonts w:ascii="Times New Roman" w:cs="Times New Roman" w:eastAsia="Times New Roman" w:hAnsi="Times New Roman"/>
          <w:sz w:val="18"/>
          <w:szCs w:val="18"/>
          <w:b w:val="1"/>
          <w:bCs w:val="1"/>
          <w:color w:val="auto"/>
        </w:rPr>
        <w:t>Disc</w:t>
      </w:r>
      <w:r>
        <w:rPr>
          <w:rFonts w:ascii="Times New Roman" w:cs="Times New Roman" w:eastAsia="Times New Roman" w:hAnsi="Times New Roman"/>
          <w:sz w:val="18"/>
          <w:szCs w:val="18"/>
          <w:color w:val="auto"/>
        </w:rPr>
        <w:t>”) in accordance with the terms of the Agreement and Plan of Merger and Reorganization, dated as of August 9, 2022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the Company, Disc and Gemstone Merger Sub, Inc., a Delaware corporation and a wholly owned subsidiary of the Company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pursuant to which, among other matters, Merger Sub merged with and into Disc, with Disc continuing as a wholly owned subsidiary of the Company and the surviving corporation of the merger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In addition, on December 29, 2022, the Company effected a 1-for-10 reverse stock split of its common stock and implemented a reduction in the number of authorized shares of common stock to 100,000,000. In connection with the Merger, the Company changed its name to “Disc Medicine, Inc.” Following the completion of the Merger, the business conducted by the Company became primarily the business conducted by Disc.</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Merger Agreement, immediately prior to the effective time of the Merger, each share of Disc’s preferred stock was converted into a share of Disc’s common stock. At the closing of the Merger, the Company issued an aggregate of approximately 12,533,557 shares of its common stock to Disc stockholders, based on an exchange ratio of 0.1096 shares of the Company’s common stock for each share of Disc common stock outstanding immediately prior to the Merger, including those shares of common stock issued upon conversion of the Disc preferred stock (the “</w:t>
      </w:r>
      <w:r>
        <w:rPr>
          <w:rFonts w:ascii="Times New Roman" w:cs="Times New Roman" w:eastAsia="Times New Roman" w:hAnsi="Times New Roman"/>
          <w:sz w:val="18"/>
          <w:szCs w:val="18"/>
          <w:b w:val="1"/>
          <w:bCs w:val="1"/>
          <w:color w:val="auto"/>
        </w:rPr>
        <w:t>Share Issuance</w:t>
      </w:r>
      <w:r>
        <w:rPr>
          <w:rFonts w:ascii="Times New Roman" w:cs="Times New Roman" w:eastAsia="Times New Roman" w:hAnsi="Times New Roman"/>
          <w:sz w:val="18"/>
          <w:szCs w:val="18"/>
          <w:color w:val="auto"/>
        </w:rPr>
        <w:t>”), resulting in approximately 16,923,285 shares of the Company’s common stock being issued and outstanding immediately following the effective time of the Merger.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of the Company’s Common Stock listed on The Nasdaq Global Market, previously trading through the close of business on Thursday, December 29, 2022 under the ticker symbol “GMTX,” commenced trading on The Nasdaq Global Market under the ticker symbol “IRON” on December 30, 2022. The Company’s Common Stock is represented by a new CUSIP number, 254604 101. The principal executive offices of the Issuer are located at 321 Arsenal Street, Suite 101, Watertown, Massachusetts 02472.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No.2 is being filed to report that on December 29, 2022, as a result of the completion of the foregoing Merger and Share Issuance, each of the Reporting Persons ceased to be the beneficial owner of more than five percent of the outstanding Common Stock of the Issuer. The filing of this Amendment No. 2 represents the final amendment to the Schedule 13D and constitutes an exit filing for the Reporting Persons.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following Items of the Schedule 13D are hereby amended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Explanatory Note is hereby incorporated by reference into this Item 1, as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13D is being filed by the following Reporting Persons:</w:t>
      </w:r>
    </w:p>
    <w:p>
      <w:pPr>
        <w:spacing w:after="0" w:line="225" w:lineRule="exact"/>
        <w:rPr>
          <w:sz w:val="20"/>
          <w:szCs w:val="20"/>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FSDH is a Delaware limited liability company with a principal place of business located at 600 Montgomery Street, Suite 4500, San Francisco, California 94111. The principal business of FSDH is investing in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FCM V LLC and FCOM V LLC are general partners, respectively, of FCF V and FCOF V, the sole shareholders of FSDH.</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James Tananbaum is the managing member of each of FCM V LLC and FCOM V LLC. Dr. Tananbaum has been a director of the Company until December 29,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last five years, none of the Reporting Person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OF SECURITIES OF THE ISSUER.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percentages used in this Item and in the rest of the Schedule 13D are calculated based upon an aggregate of 16,923,285 shares of Common Stock outstanding on December 29, 2022, as reported in the Issuer’s 8-K.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(b)</w:t>
      </w:r>
    </w:p>
    <w:p>
      <w:pPr>
        <w:spacing w:after="0" w:line="225" w:lineRule="exact"/>
        <w:rPr>
          <w:sz w:val="20"/>
          <w:szCs w:val="20"/>
          <w:color w:val="auto"/>
        </w:rPr>
      </w:pPr>
    </w:p>
    <w:p>
      <w:pPr>
        <w:ind w:left="800" w:hanging="455"/>
        <w:spacing w:after="0"/>
        <w:tabs>
          <w:tab w:leader="none" w:pos="8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FSDH beneficially owned directly 487,025 shares of Common Stock, representing 2.88% of the Issuer’s Common Stock.</w:t>
      </w:r>
    </w:p>
    <w:p>
      <w:pPr>
        <w:spacing w:after="0" w:line="225"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has engaged in any transaction during the past 60 days involving the Common Stock.</w:t>
      </w:r>
    </w:p>
    <w:p>
      <w:pPr>
        <w:spacing w:after="0" w:line="225" w:lineRule="exact"/>
        <w:rPr>
          <w:sz w:val="20"/>
          <w:szCs w:val="20"/>
          <w:color w:val="auto"/>
        </w:rPr>
      </w:pPr>
    </w:p>
    <w:p>
      <w:pPr>
        <w:jc w:val="both"/>
        <w:ind w:left="800" w:hanging="792"/>
        <w:spacing w:after="0" w:line="266" w:lineRule="auto"/>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completion of the Merger and the Share Issuance described herein, on December 29, 2022, each of the Reporting Persons ceased to be the beneficial owner of more than five percent of the shares of the Common Stock. The filing of this Amendment No. 2 represents the final amendment to the Schedule 13D and constitutes an exit filing for the Reporting Persons.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or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4,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3753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B. Tananbaum</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FORESITE CAPITAL FUND V, L.P.</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Foresite Capital Management V, LLC</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3753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B. Tananbaum</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FORESITE CAPITAL MANAGEMENT V,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3753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B. Tananbaum</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FORESITE CAPITAL OPPORTUNITY FUND V, L.P.</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Foresite Capital Management V, LLC</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3753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B. Tananbaum</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FORESITE CAPITAL OPPORTUNITY MANAGEMENT 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3753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B. Tananbaum</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3753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B. Tananbaum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bullet"/>
      <w:start w:val="1"/>
    </w:lvl>
  </w:abstractNum>
  <w:abstractNum w:abstractNumId="2">
    <w:nsid w:val="2CA88611"/>
    <w:multiLevelType w:val="hybridMultilevel"/>
    <w:lvl w:ilvl="0">
      <w:lvlJc w:val="left"/>
      <w:lvlText w:val="2"/>
      <w:numFmt w:val="bullet"/>
      <w:start w:val="1"/>
    </w:lvl>
  </w:abstractNum>
  <w:abstractNum w:abstractNumId="3">
    <w:nsid w:val="836C40E"/>
    <w:multiLevelType w:val="hybridMultilevel"/>
    <w:lvl w:ilvl="0">
      <w:lvlJc w:val="left"/>
      <w:lvlText w:val="3"/>
      <w:numFmt w:val="bullet"/>
      <w:start w:val="1"/>
    </w:lvl>
  </w:abstractNum>
  <w:abstractNum w:abstractNumId="4">
    <w:nsid w:val="2901D82"/>
    <w:multiLevelType w:val="hybridMultilevel"/>
    <w:lvl w:ilvl="0">
      <w:lvlJc w:val="left"/>
      <w:lvlText w:val="4"/>
      <w:numFmt w:val="bullet"/>
      <w:start w:val="1"/>
    </w:lvl>
  </w:abstractNum>
  <w:abstractNum w:abstractNumId="5">
    <w:nsid w:val="3A95F874"/>
    <w:multiLevelType w:val="hybridMultilevel"/>
    <w:lvl w:ilvl="0">
      <w:lvlJc w:val="left"/>
      <w:lvlText w:val="5"/>
      <w:numFmt w:val="bullet"/>
      <w:start w:val="1"/>
    </w:lvl>
  </w:abstractNum>
  <w:abstractNum w:abstractNumId="6">
    <w:nsid w:val="8138641"/>
    <w:multiLevelType w:val="hybridMultilevel"/>
    <w:lvl w:ilvl="0">
      <w:lvlJc w:val="left"/>
      <w:lvlText w:val="6"/>
      <w:numFmt w:val="bullet"/>
      <w:start w:val="1"/>
    </w:lvl>
  </w:abstractNum>
  <w:abstractNum w:abstractNumId="7">
    <w:nsid w:val="1E7FF521"/>
    <w:multiLevelType w:val="hybridMultilevel"/>
    <w:lvl w:ilvl="0">
      <w:lvlJc w:val="left"/>
      <w:lvlText w:val="%1"/>
      <w:numFmt w:val="decimal"/>
      <w:start w:val="1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bullet"/>
      <w:start w:val="1"/>
    </w:lvl>
  </w:abstractNum>
  <w:abstractNum w:abstractNumId="10">
    <w:nsid w:val="6CEAF087"/>
    <w:multiLevelType w:val="hybridMultilevel"/>
    <w:lvl w:ilvl="0">
      <w:lvlJc w:val="left"/>
      <w:lvlText w:val="2"/>
      <w:numFmt w:val="bullet"/>
      <w:start w:val="1"/>
    </w:lvl>
  </w:abstractNum>
  <w:abstractNum w:abstractNumId="11">
    <w:nsid w:val="22221A70"/>
    <w:multiLevelType w:val="hybridMultilevel"/>
    <w:lvl w:ilvl="0">
      <w:lvlJc w:val="left"/>
      <w:lvlText w:val="3"/>
      <w:numFmt w:val="bullet"/>
      <w:start w:val="1"/>
    </w:lvl>
  </w:abstractNum>
  <w:abstractNum w:abstractNumId="12">
    <w:nsid w:val="4516DDE9"/>
    <w:multiLevelType w:val="hybridMultilevel"/>
    <w:lvl w:ilvl="0">
      <w:lvlJc w:val="left"/>
      <w:lvlText w:val="4"/>
      <w:numFmt w:val="bullet"/>
      <w:start w:val="1"/>
    </w:lvl>
  </w:abstractNum>
  <w:abstractNum w:abstractNumId="13">
    <w:nsid w:val="3006C83E"/>
    <w:multiLevelType w:val="hybridMultilevel"/>
    <w:lvl w:ilvl="0">
      <w:lvlJc w:val="left"/>
      <w:lvlText w:val="5"/>
      <w:numFmt w:val="bullet"/>
      <w:start w:val="1"/>
    </w:lvl>
  </w:abstractNum>
  <w:abstractNum w:abstractNumId="14">
    <w:nsid w:val="614FD4A1"/>
    <w:multiLevelType w:val="hybridMultilevel"/>
    <w:lvl w:ilvl="0">
      <w:lvlJc w:val="left"/>
      <w:lvlText w:val="6"/>
      <w:numFmt w:val="bullet"/>
      <w:start w:val="1"/>
    </w:lvl>
  </w:abstractNum>
  <w:abstractNum w:abstractNumId="15">
    <w:nsid w:val="419AC241"/>
    <w:multiLevelType w:val="hybridMultilevel"/>
    <w:lvl w:ilvl="0">
      <w:lvlJc w:val="left"/>
      <w:lvlText w:val="%1"/>
      <w:numFmt w:val="decimal"/>
      <w:start w:val="1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1"/>
      <w:numFmt w:val="bullet"/>
      <w:start w:val="1"/>
    </w:lvl>
  </w:abstractNum>
  <w:abstractNum w:abstractNumId="18">
    <w:nsid w:val="5072367"/>
    <w:multiLevelType w:val="hybridMultilevel"/>
    <w:lvl w:ilvl="0">
      <w:lvlJc w:val="left"/>
      <w:lvlText w:val="2"/>
      <w:numFmt w:val="bullet"/>
      <w:start w:val="1"/>
    </w:lvl>
  </w:abstractNum>
  <w:abstractNum w:abstractNumId="19">
    <w:nsid w:val="3804823E"/>
    <w:multiLevelType w:val="hybridMultilevel"/>
    <w:lvl w:ilvl="0">
      <w:lvlJc w:val="left"/>
      <w:lvlText w:val="3"/>
      <w:numFmt w:val="bullet"/>
      <w:start w:val="1"/>
    </w:lvl>
  </w:abstractNum>
  <w:abstractNum w:abstractNumId="20">
    <w:nsid w:val="77465F01"/>
    <w:multiLevelType w:val="hybridMultilevel"/>
    <w:lvl w:ilvl="0">
      <w:lvlJc w:val="left"/>
      <w:lvlText w:val="4"/>
      <w:numFmt w:val="bullet"/>
      <w:start w:val="1"/>
    </w:lvl>
  </w:abstractNum>
  <w:abstractNum w:abstractNumId="21">
    <w:nsid w:val="7724C67E"/>
    <w:multiLevelType w:val="hybridMultilevel"/>
    <w:lvl w:ilvl="0">
      <w:lvlJc w:val="left"/>
      <w:lvlText w:val="5"/>
      <w:numFmt w:val="bullet"/>
      <w:start w:val="1"/>
    </w:lvl>
  </w:abstractNum>
  <w:abstractNum w:abstractNumId="22">
    <w:nsid w:val="5C482A97"/>
    <w:multiLevelType w:val="hybridMultilevel"/>
    <w:lvl w:ilvl="0">
      <w:lvlJc w:val="left"/>
      <w:lvlText w:val="6"/>
      <w:numFmt w:val="bullet"/>
      <w:start w:val="1"/>
    </w:lvl>
  </w:abstractNum>
  <w:abstractNum w:abstractNumId="23">
    <w:nsid w:val="2463B9EA"/>
    <w:multiLevelType w:val="hybridMultilevel"/>
    <w:lvl w:ilvl="0">
      <w:lvlJc w:val="left"/>
      <w:lvlText w:val="%1"/>
      <w:numFmt w:val="decimal"/>
      <w:start w:val="1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1"/>
      <w:numFmt w:val="bullet"/>
      <w:start w:val="1"/>
    </w:lvl>
  </w:abstractNum>
  <w:abstractNum w:abstractNumId="26">
    <w:nsid w:val="2D517796"/>
    <w:multiLevelType w:val="hybridMultilevel"/>
    <w:lvl w:ilvl="0">
      <w:lvlJc w:val="left"/>
      <w:lvlText w:val="2"/>
      <w:numFmt w:val="bullet"/>
      <w:start w:val="1"/>
    </w:lvl>
  </w:abstractNum>
  <w:abstractNum w:abstractNumId="27">
    <w:nsid w:val="580BD78F"/>
    <w:multiLevelType w:val="hybridMultilevel"/>
    <w:lvl w:ilvl="0">
      <w:lvlJc w:val="left"/>
      <w:lvlText w:val="3"/>
      <w:numFmt w:val="bullet"/>
      <w:start w:val="1"/>
    </w:lvl>
  </w:abstractNum>
  <w:abstractNum w:abstractNumId="28">
    <w:nsid w:val="153EA438"/>
    <w:multiLevelType w:val="hybridMultilevel"/>
    <w:lvl w:ilvl="0">
      <w:lvlJc w:val="left"/>
      <w:lvlText w:val="4"/>
      <w:numFmt w:val="bullet"/>
      <w:start w:val="1"/>
    </w:lvl>
  </w:abstractNum>
  <w:abstractNum w:abstractNumId="29">
    <w:nsid w:val="3855585C"/>
    <w:multiLevelType w:val="hybridMultilevel"/>
    <w:lvl w:ilvl="0">
      <w:lvlJc w:val="left"/>
      <w:lvlText w:val="5"/>
      <w:numFmt w:val="bullet"/>
      <w:start w:val="1"/>
    </w:lvl>
  </w:abstractNum>
  <w:abstractNum w:abstractNumId="30">
    <w:nsid w:val="70A64E2A"/>
    <w:multiLevelType w:val="hybridMultilevel"/>
    <w:lvl w:ilvl="0">
      <w:lvlJc w:val="left"/>
      <w:lvlText w:val="6"/>
      <w:numFmt w:val="bullet"/>
      <w:start w:val="1"/>
    </w:lvl>
  </w:abstractNum>
  <w:abstractNum w:abstractNumId="31">
    <w:nsid w:val="6A2342EC"/>
    <w:multiLevelType w:val="hybridMultilevel"/>
    <w:lvl w:ilvl="0">
      <w:lvlJc w:val="left"/>
      <w:lvlText w:val="%1"/>
      <w:numFmt w:val="decimal"/>
      <w:start w:val="1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1"/>
      <w:numFmt w:val="bullet"/>
      <w:start w:val="1"/>
    </w:lvl>
  </w:abstractNum>
  <w:abstractNum w:abstractNumId="34">
    <w:nsid w:val="725A06FB"/>
    <w:multiLevelType w:val="hybridMultilevel"/>
    <w:lvl w:ilvl="0">
      <w:lvlJc w:val="left"/>
      <w:lvlText w:val="2"/>
      <w:numFmt w:val="bullet"/>
      <w:start w:val="1"/>
    </w:lvl>
  </w:abstractNum>
  <w:abstractNum w:abstractNumId="35">
    <w:nsid w:val="2CD89A32"/>
    <w:multiLevelType w:val="hybridMultilevel"/>
    <w:lvl w:ilvl="0">
      <w:lvlJc w:val="left"/>
      <w:lvlText w:val="3"/>
      <w:numFmt w:val="bullet"/>
      <w:start w:val="1"/>
    </w:lvl>
  </w:abstractNum>
  <w:abstractNum w:abstractNumId="36">
    <w:nsid w:val="57E4CCAF"/>
    <w:multiLevelType w:val="hybridMultilevel"/>
    <w:lvl w:ilvl="0">
      <w:lvlJc w:val="left"/>
      <w:lvlText w:val="4"/>
      <w:numFmt w:val="bullet"/>
      <w:start w:val="1"/>
    </w:lvl>
  </w:abstractNum>
  <w:abstractNum w:abstractNumId="37">
    <w:nsid w:val="7A6D8D3C"/>
    <w:multiLevelType w:val="hybridMultilevel"/>
    <w:lvl w:ilvl="0">
      <w:lvlJc w:val="left"/>
      <w:lvlText w:val="5"/>
      <w:numFmt w:val="bullet"/>
      <w:start w:val="1"/>
    </w:lvl>
  </w:abstractNum>
  <w:abstractNum w:abstractNumId="38">
    <w:nsid w:val="4B588F54"/>
    <w:multiLevelType w:val="hybridMultilevel"/>
    <w:lvl w:ilvl="0">
      <w:lvlJc w:val="left"/>
      <w:lvlText w:val="6"/>
      <w:numFmt w:val="bullet"/>
      <w:start w:val="1"/>
    </w:lvl>
  </w:abstractNum>
  <w:abstractNum w:abstractNumId="39">
    <w:nsid w:val="542289EC"/>
    <w:multiLevelType w:val="hybridMultilevel"/>
    <w:lvl w:ilvl="0">
      <w:lvlJc w:val="left"/>
      <w:lvlText w:val="%1"/>
      <w:numFmt w:val="decimal"/>
      <w:start w:val="1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bullet"/>
      <w:start w:val="1"/>
    </w:lvl>
  </w:abstractNum>
  <w:abstractNum w:abstractNumId="42">
    <w:nsid w:val="7644A45C"/>
    <w:multiLevelType w:val="hybridMultilevel"/>
    <w:lvl w:ilvl="0">
      <w:lvlJc w:val="left"/>
      <w:lvlText w:val="2"/>
      <w:numFmt w:val="bullet"/>
      <w:start w:val="1"/>
    </w:lvl>
  </w:abstractNum>
  <w:abstractNum w:abstractNumId="43">
    <w:nsid w:val="32FFF902"/>
    <w:multiLevelType w:val="hybridMultilevel"/>
    <w:lvl w:ilvl="0">
      <w:lvlJc w:val="left"/>
      <w:lvlText w:val="3"/>
      <w:numFmt w:val="bullet"/>
      <w:start w:val="1"/>
    </w:lvl>
  </w:abstractNum>
  <w:abstractNum w:abstractNumId="44">
    <w:nsid w:val="684A481A"/>
    <w:multiLevelType w:val="hybridMultilevel"/>
    <w:lvl w:ilvl="0">
      <w:lvlJc w:val="left"/>
      <w:lvlText w:val="4"/>
      <w:numFmt w:val="bullet"/>
      <w:start w:val="1"/>
    </w:lvl>
  </w:abstractNum>
  <w:abstractNum w:abstractNumId="45">
    <w:nsid w:val="579478FE"/>
    <w:multiLevelType w:val="hybridMultilevel"/>
    <w:lvl w:ilvl="0">
      <w:lvlJc w:val="left"/>
      <w:lvlText w:val="5"/>
      <w:numFmt w:val="bullet"/>
      <w:start w:val="1"/>
    </w:lvl>
  </w:abstractNum>
  <w:abstractNum w:abstractNumId="46">
    <w:nsid w:val="749ABB43"/>
    <w:multiLevelType w:val="hybridMultilevel"/>
    <w:lvl w:ilvl="0">
      <w:lvlJc w:val="left"/>
      <w:lvlText w:val="6"/>
      <w:numFmt w:val="bullet"/>
      <w:start w:val="1"/>
    </w:lvl>
  </w:abstractNum>
  <w:abstractNum w:abstractNumId="47">
    <w:nsid w:val="3DC240FB"/>
    <w:multiLevelType w:val="hybridMultilevel"/>
    <w:lvl w:ilvl="0">
      <w:lvlJc w:val="left"/>
      <w:lvlText w:val="%1"/>
      <w:numFmt w:val="decimal"/>
      <w:start w:val="1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lowerLetter"/>
      <w:start w:val="1"/>
    </w:lvl>
    <w:lvl w:ilvl="1">
      <w:lvlJc w:val="left"/>
      <w:lvlText w:val="%2."/>
      <w:numFmt w:val="decimal"/>
      <w:start w:val="1"/>
    </w:lvl>
  </w:abstractNum>
  <w:abstractNum w:abstractNumId="51">
    <w:nsid w:val="12E685FB"/>
    <w:multiLevelType w:val="hybridMultilevel"/>
    <w:lvl w:ilvl="0">
      <w:lvlJc w:val="left"/>
      <w:lvlText w:val="(%1)"/>
      <w:numFmt w:val="lowerLetter"/>
      <w:start w:val="3"/>
    </w:lvl>
    <w:lvl w:ilvl="1">
      <w:lvlJc w:val="left"/>
      <w:lvlText w:val="%2"/>
      <w:numFmt w:val="decimal"/>
      <w:start w:val="1"/>
    </w:lvl>
  </w:abstractNum>
  <w:abstractNum w:abstractNumId="52">
    <w:nsid w:val="70C6A529"/>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2023-01-05T23:06:58Z</dcterms:created>
  <dcterms:modified xsi:type="dcterms:W3CDTF">2023-01-05T23:06:58Z</dcterms:modified>
</cp:coreProperties>
</file>