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June 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Disc Medicine, Inc.</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001-39438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85-1612845</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82" w:right="439" w:bottom="1440" w:gutter="0" w:footer="0" w:header="0"/>
          <w:type w:val="continuous"/>
        </w:sectPr>
      </w:pPr>
    </w:p>
    <w:p>
      <w:pPr>
        <w:spacing w:after="0" w:line="5" w:lineRule="exact"/>
        <w:rPr>
          <w:sz w:val="24"/>
          <w:szCs w:val="24"/>
          <w:color w:val="auto"/>
        </w:rPr>
      </w:pPr>
    </w:p>
    <w:p>
      <w:pPr>
        <w:jc w:val="center"/>
        <w:ind w:right="1836"/>
        <w:spacing w:after="0"/>
        <w:rPr>
          <w:sz w:val="20"/>
          <w:szCs w:val="20"/>
          <w:color w:val="auto"/>
        </w:rPr>
      </w:pPr>
      <w:r>
        <w:rPr>
          <w:rFonts w:ascii="Arial" w:cs="Arial" w:eastAsia="Arial" w:hAnsi="Arial"/>
          <w:sz w:val="16"/>
          <w:szCs w:val="16"/>
          <w:b w:val="1"/>
          <w:bCs w:val="1"/>
          <w:color w:val="auto"/>
        </w:rPr>
        <w:t>321 Arsenal Street, Suite 101</w:t>
      </w:r>
    </w:p>
    <w:p>
      <w:pPr>
        <w:spacing w:after="0" w:line="50" w:lineRule="exact"/>
        <w:rPr>
          <w:sz w:val="24"/>
          <w:szCs w:val="24"/>
          <w:color w:val="auto"/>
        </w:rPr>
      </w:pPr>
    </w:p>
    <w:p>
      <w:pPr>
        <w:jc w:val="center"/>
        <w:ind w:right="1836"/>
        <w:spacing w:after="0"/>
        <w:rPr>
          <w:sz w:val="20"/>
          <w:szCs w:val="20"/>
          <w:color w:val="auto"/>
        </w:rPr>
      </w:pPr>
      <w:r>
        <w:rPr>
          <w:rFonts w:ascii="Arial" w:cs="Arial" w:eastAsia="Arial" w:hAnsi="Arial"/>
          <w:sz w:val="17"/>
          <w:szCs w:val="17"/>
          <w:b w:val="1"/>
          <w:bCs w:val="1"/>
          <w:color w:val="auto"/>
        </w:rPr>
        <w:t>Watertown, Massachusetts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02472</w:t>
      </w:r>
    </w:p>
    <w:p>
      <w:pPr>
        <w:spacing w:after="0" w:line="62" w:lineRule="exact"/>
        <w:rPr>
          <w:sz w:val="24"/>
          <w:szCs w:val="24"/>
          <w:color w:val="auto"/>
        </w:rPr>
      </w:pPr>
    </w:p>
    <w:p>
      <w:pPr>
        <w:sectPr>
          <w:pgSz w:w="11900" w:h="16838" w:orient="portrait"/>
          <w:cols w:equalWidth="0" w:num="2">
            <w:col w:w="7404" w:space="720"/>
            <w:col w:w="2900"/>
          </w:cols>
          <w:pgMar w:left="436" w:top="382" w:right="439" w:bottom="1440" w:gutter="0" w:footer="0" w:header="0"/>
          <w:type w:val="continuous"/>
        </w:sectPr>
      </w:pPr>
    </w:p>
    <w:p>
      <w:pPr>
        <w:ind w:left="154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84" w:space="720"/>
            <w:col w:w="3020"/>
          </w:cols>
          <w:pgMar w:left="436" w:top="382"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(617) 674-9274</w:t>
      </w:r>
    </w:p>
    <w:p>
      <w:pPr>
        <w:spacing w:after="0" w:line="19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8"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92"/>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30"/>
        </w:trPr>
        <w:tc>
          <w:tcPr>
            <w:tcW w:w="3740" w:type="dxa"/>
            <w:vAlign w:val="bottom"/>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7"/>
              </w:rPr>
              <w:t>IRON</w:t>
            </w: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2"/>
              </w:rPr>
              <w:t>The Nasdaq Global Market</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left="4"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5"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3"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June 9, 2023, Disc Medicine, Inc. (the “Company”) held its 2023 Annual Meeting of Stockholders (the “Annual Meeting”). At the Annual Meeting, the Company’s stockholders considered and voted on the two proposals set forth below, each of which is described in greater detail in the Company’s Definitive Proxy Statement on Schedule 14A, which was filed with the Securities and Exchange Commission on April 20, 2023. The final voting results are set forth below.</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1 - Election of Class II and Class III Director Nominees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stockholders of the Company elected Georges Gemayel, Ph.D., Mark Chin, MS, MBA, and Liam Ratcliffe, M.D., Ph.D. as Class II directors of the Company, for a two-year term ending at the annual meeting of stockholders to be held in 2025 and until their successors have been duly elected and qualified, or until their earlier death, resignation or removal. The results of the stockholders’ vote with respect to the election of the Class II directors were as follows:</w:t>
      </w:r>
    </w:p>
    <w:p>
      <w:pPr>
        <w:spacing w:after="0" w:line="205" w:lineRule="exact"/>
        <w:rPr>
          <w:sz w:val="20"/>
          <w:szCs w:val="20"/>
          <w:color w:val="auto"/>
        </w:rPr>
      </w:pPr>
    </w:p>
    <w:tbl>
      <w:tblPr>
        <w:tblLayout w:type="fixed"/>
        <w:tblInd w:w="88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4880" w:type="dxa"/>
            <w:vAlign w:val="bottom"/>
          </w:tcPr>
          <w:p>
            <w:pPr>
              <w:spacing w:after="0"/>
              <w:rPr>
                <w:sz w:val="16"/>
                <w:szCs w:val="16"/>
                <w:color w:val="auto"/>
              </w:rPr>
            </w:pPr>
          </w:p>
        </w:tc>
        <w:tc>
          <w:tcPr>
            <w:tcW w:w="860" w:type="dxa"/>
            <w:vAlign w:val="bottom"/>
          </w:tcPr>
          <w:p>
            <w:pPr>
              <w:jc w:val="right"/>
              <w:ind w:right="55"/>
              <w:spacing w:after="0"/>
              <w:rPr>
                <w:sz w:val="20"/>
                <w:szCs w:val="20"/>
                <w:color w:val="auto"/>
              </w:rPr>
            </w:pPr>
            <w:r>
              <w:rPr>
                <w:rFonts w:ascii="Arial" w:cs="Arial" w:eastAsia="Arial" w:hAnsi="Arial"/>
                <w:sz w:val="14"/>
                <w:szCs w:val="14"/>
                <w:b w:val="1"/>
                <w:bCs w:val="1"/>
                <w:color w:val="auto"/>
              </w:rPr>
              <w:t>Votes For</w:t>
            </w:r>
          </w:p>
        </w:tc>
        <w:tc>
          <w:tcPr>
            <w:tcW w:w="5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90"/>
              </w:rPr>
              <w:t>Votes Withheld</w:t>
            </w:r>
          </w:p>
        </w:tc>
        <w:tc>
          <w:tcPr>
            <w:tcW w:w="54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Broker Non-Votes</w:t>
            </w:r>
          </w:p>
        </w:tc>
      </w:tr>
      <w:tr>
        <w:trPr>
          <w:trHeight w:val="203"/>
        </w:trPr>
        <w:tc>
          <w:tcPr>
            <w:tcW w:w="52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Georges Gemayel, Ph.D.</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13,073,343</w:t>
            </w:r>
          </w:p>
        </w:tc>
        <w:tc>
          <w:tcPr>
            <w:tcW w:w="5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16,929</w:t>
            </w:r>
          </w:p>
        </w:tc>
        <w:tc>
          <w:tcPr>
            <w:tcW w:w="5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980,030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Mark Chin, MS, MBA</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13,073,267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17,005</w:t>
            </w:r>
          </w:p>
        </w:tc>
        <w:tc>
          <w:tcPr>
            <w:tcW w:w="1700" w:type="dxa"/>
            <w:vAlign w:val="bottom"/>
            <w:gridSpan w:val="3"/>
          </w:tcPr>
          <w:p>
            <w:pPr>
              <w:jc w:val="right"/>
              <w:ind w:right="60"/>
              <w:spacing w:after="0"/>
              <w:rPr>
                <w:sz w:val="20"/>
                <w:szCs w:val="20"/>
                <w:color w:val="auto"/>
              </w:rPr>
            </w:pPr>
            <w:r>
              <w:rPr>
                <w:rFonts w:ascii="Arial" w:cs="Arial" w:eastAsia="Arial" w:hAnsi="Arial"/>
                <w:sz w:val="18"/>
                <w:szCs w:val="18"/>
                <w:color w:val="auto"/>
              </w:rPr>
              <w:t>980,030</w:t>
            </w: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Liam Ratcliffe, M.D., Ph.D.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13,081,593</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8,679</w:t>
            </w: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980,030</w:t>
            </w: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stockholders of the Company elected Donald Nicholson, Ph.D., William White, MPP, J.D., and John Quisel, J.D., Ph.D. as Class III directors of the Company, for a three-year term ending at the annual meeting of stockholders to be held in 2026 and until their successors have been duly elected and qualified, or until their earlier death, resignation or removal. The results of the stockholders’ vote with respect to the election of the Class III directors were as follows:</w:t>
      </w:r>
    </w:p>
    <w:p>
      <w:pPr>
        <w:spacing w:after="0" w:line="205"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4880" w:type="dxa"/>
            <w:vAlign w:val="bottom"/>
          </w:tcPr>
          <w:p>
            <w:pPr>
              <w:spacing w:after="0"/>
              <w:rPr>
                <w:sz w:val="14"/>
                <w:szCs w:val="14"/>
                <w:color w:val="auto"/>
              </w:rPr>
            </w:pPr>
          </w:p>
        </w:tc>
        <w:tc>
          <w:tcPr>
            <w:tcW w:w="860" w:type="dxa"/>
            <w:vAlign w:val="bottom"/>
          </w:tcPr>
          <w:p>
            <w:pPr>
              <w:jc w:val="right"/>
              <w:ind w:right="55"/>
              <w:spacing w:after="0"/>
              <w:rPr>
                <w:sz w:val="20"/>
                <w:szCs w:val="20"/>
                <w:color w:val="auto"/>
              </w:rPr>
            </w:pPr>
            <w:r>
              <w:rPr>
                <w:rFonts w:ascii="Arial" w:cs="Arial" w:eastAsia="Arial" w:hAnsi="Arial"/>
                <w:sz w:val="14"/>
                <w:szCs w:val="14"/>
                <w:b w:val="1"/>
                <w:bCs w:val="1"/>
                <w:color w:val="auto"/>
              </w:rPr>
              <w:t>Votes For</w:t>
            </w:r>
          </w:p>
        </w:tc>
        <w:tc>
          <w:tcPr>
            <w:tcW w:w="52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0"/>
              </w:rPr>
              <w:t>Votes Withheld</w:t>
            </w:r>
          </w:p>
        </w:tc>
        <w:tc>
          <w:tcPr>
            <w:tcW w:w="1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Broker Non-Votes</w:t>
            </w:r>
          </w:p>
        </w:tc>
      </w:tr>
      <w:tr>
        <w:trPr>
          <w:trHeight w:val="20"/>
        </w:trPr>
        <w:tc>
          <w:tcPr>
            <w:tcW w:w="36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Nicholson, Ph.D.</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13,033,283</w:t>
            </w: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56,989</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980,030</w:t>
            </w: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William White, MPP, J.D.</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13,087,710</w:t>
            </w: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2,562</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980,030</w:t>
            </w: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Quisel, J.D., Ph.D.</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13,087,705</w:t>
            </w: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2,567</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980,030</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2 – Ratification of Appointment of the Company’s Independent Registered Public Accounting Firm</w:t>
      </w:r>
    </w:p>
    <w:p>
      <w:pPr>
        <w:spacing w:after="0" w:line="11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stockholders of the Company ratified the appointment of Ernst &amp; Young LLP as the Company’s independent registered public accounting firm for the fiscal year ending December 31, 2023. The results of the stockholders’ vote with respect to such ratification were as follows:</w:t>
      </w:r>
    </w:p>
    <w:p>
      <w:pPr>
        <w:spacing w:after="0" w:line="165" w:lineRule="exact"/>
        <w:rPr>
          <w:sz w:val="20"/>
          <w:szCs w:val="20"/>
          <w:color w:val="auto"/>
        </w:rPr>
      </w:pPr>
    </w:p>
    <w:tbl>
      <w:tblPr>
        <w:tblLayout w:type="fixed"/>
        <w:tblInd w:w="1320" w:type="dxa"/>
        <w:tblCellMar>
          <w:top w:w="0" w:type="dxa"/>
          <w:left w:w="0" w:type="dxa"/>
          <w:bottom w:w="0" w:type="dxa"/>
          <w:right w:w="0" w:type="dxa"/>
        </w:tblCellMar>
      </w:tblPr>
      <w:tr>
        <w:trPr>
          <w:trHeight w:val="185"/>
        </w:trPr>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Votes For</w:t>
            </w:r>
          </w:p>
        </w:tc>
        <w:tc>
          <w:tcPr>
            <w:tcW w:w="80" w:type="dxa"/>
            <w:vAlign w:val="bottom"/>
          </w:tcPr>
          <w:p>
            <w:pPr>
              <w:spacing w:after="0"/>
              <w:rPr>
                <w:sz w:val="16"/>
                <w:szCs w:val="16"/>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Votes Against</w:t>
            </w:r>
          </w:p>
        </w:tc>
        <w:tc>
          <w:tcPr>
            <w:tcW w:w="100" w:type="dxa"/>
            <w:vAlign w:val="bottom"/>
          </w:tcPr>
          <w:p>
            <w:pPr>
              <w:spacing w:after="0"/>
              <w:rPr>
                <w:sz w:val="16"/>
                <w:szCs w:val="16"/>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Abstain</w:t>
            </w:r>
          </w:p>
        </w:tc>
      </w:tr>
      <w:tr>
        <w:trPr>
          <w:trHeight w:val="210"/>
        </w:trPr>
        <w:tc>
          <w:tcPr>
            <w:tcW w:w="2840" w:type="dxa"/>
            <w:vAlign w:val="bottom"/>
            <w:shd w:val="clear" w:color="auto" w:fill="CCEEFF"/>
          </w:tcPr>
          <w:p>
            <w:pPr>
              <w:jc w:val="right"/>
              <w:ind w:right="939"/>
              <w:spacing w:after="0"/>
              <w:rPr>
                <w:sz w:val="20"/>
                <w:szCs w:val="20"/>
                <w:color w:val="auto"/>
              </w:rPr>
            </w:pPr>
            <w:r>
              <w:rPr>
                <w:rFonts w:ascii="Arial" w:cs="Arial" w:eastAsia="Arial" w:hAnsi="Arial"/>
                <w:sz w:val="18"/>
                <w:szCs w:val="18"/>
                <w:color w:val="auto"/>
              </w:rPr>
              <w:t>13,678,267</w:t>
            </w:r>
          </w:p>
        </w:tc>
        <w:tc>
          <w:tcPr>
            <w:tcW w:w="2760" w:type="dxa"/>
            <w:vAlign w:val="bottom"/>
            <w:gridSpan w:val="2"/>
            <w:shd w:val="clear" w:color="auto" w:fill="CCEEFF"/>
          </w:tcPr>
          <w:p>
            <w:pPr>
              <w:jc w:val="right"/>
              <w:ind w:right="1008"/>
              <w:spacing w:after="0"/>
              <w:rPr>
                <w:sz w:val="20"/>
                <w:szCs w:val="20"/>
                <w:color w:val="auto"/>
              </w:rPr>
            </w:pPr>
            <w:r>
              <w:rPr>
                <w:rFonts w:ascii="Arial" w:cs="Arial" w:eastAsia="Arial" w:hAnsi="Arial"/>
                <w:sz w:val="18"/>
                <w:szCs w:val="18"/>
                <w:color w:val="auto"/>
              </w:rPr>
              <w:t>18,084</w:t>
            </w:r>
          </w:p>
        </w:tc>
        <w:tc>
          <w:tcPr>
            <w:tcW w:w="2760" w:type="dxa"/>
            <w:vAlign w:val="bottom"/>
            <w:gridSpan w:val="2"/>
            <w:shd w:val="clear" w:color="auto" w:fill="CCEEFF"/>
          </w:tcPr>
          <w:p>
            <w:pPr>
              <w:jc w:val="right"/>
              <w:ind w:right="968"/>
              <w:spacing w:after="0"/>
              <w:rPr>
                <w:sz w:val="20"/>
                <w:szCs w:val="20"/>
                <w:color w:val="auto"/>
              </w:rPr>
            </w:pPr>
            <w:r>
              <w:rPr>
                <w:rFonts w:ascii="Arial" w:cs="Arial" w:eastAsia="Arial" w:hAnsi="Arial"/>
                <w:sz w:val="18"/>
                <w:szCs w:val="18"/>
                <w:color w:val="auto"/>
              </w:rPr>
              <w:t>373,951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 other matters were submitted to or voted on by the Company’s stockholders at the Annual Meeting.</w:t>
      </w:r>
    </w:p>
    <w:p>
      <w:pPr>
        <w:sectPr>
          <w:pgSz w:w="11900" w:h="16838" w:orient="portrait"/>
          <w:cols w:equalWidth="0" w:num="1">
            <w:col w:w="10960"/>
          </w:cols>
          <w:pgMar w:left="440" w:top="513" w:right="499" w:bottom="1440" w:gutter="0" w:footer="0" w:header="0"/>
        </w:sectPr>
      </w:pPr>
    </w:p>
    <w:bookmarkStart w:id="2" w:name="page3"/>
    <w:bookmarkEnd w:id="2"/>
    <w:p>
      <w:pPr>
        <w:ind w:left="4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DISC MEDICINE, INC.</w:t>
      </w:r>
    </w:p>
    <w:p>
      <w:pPr>
        <w:spacing w:after="0" w:line="225" w:lineRule="exact"/>
        <w:rPr>
          <w:sz w:val="20"/>
          <w:szCs w:val="20"/>
          <w:color w:val="auto"/>
        </w:rPr>
      </w:pPr>
    </w:p>
    <w:p>
      <w:pPr>
        <w:spacing w:after="0"/>
        <w:tabs>
          <w:tab w:leader="none" w:pos="5480" w:val="left"/>
          <w:tab w:leader="none" w:pos="6140" w:val="left"/>
        </w:tabs>
        <w:rPr>
          <w:sz w:val="20"/>
          <w:szCs w:val="20"/>
          <w:color w:val="auto"/>
        </w:rPr>
      </w:pPr>
      <w:r>
        <w:rPr>
          <w:rFonts w:ascii="Arial" w:cs="Arial" w:eastAsia="Arial" w:hAnsi="Arial"/>
          <w:sz w:val="18"/>
          <w:szCs w:val="18"/>
          <w:color w:val="auto"/>
        </w:rPr>
        <w:t>Date: June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14605</wp:posOffset>
            </wp:positionV>
            <wp:extent cx="3077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0" w:lineRule="exact"/>
        <w:rPr>
          <w:sz w:val="20"/>
          <w:szCs w:val="20"/>
          <w:color w:val="auto"/>
        </w:rPr>
      </w:pPr>
    </w:p>
    <w:p>
      <w:pPr>
        <w:ind w:left="5500"/>
        <w:spacing w:after="0"/>
        <w:tabs>
          <w:tab w:leader="none" w:pos="6140" w:val="left"/>
        </w:tabs>
        <w:rPr>
          <w:sz w:val="20"/>
          <w:szCs w:val="20"/>
          <w:color w:val="auto"/>
        </w:rPr>
      </w:pPr>
      <w:r>
        <w:rPr>
          <w:rFonts w:ascii="Arial" w:cs="Arial" w:eastAsia="Arial" w:hAnsi="Arial"/>
          <w:sz w:val="18"/>
          <w:szCs w:val="18"/>
          <w:color w:val="auto"/>
        </w:rPr>
        <w:t>Name:</w:t>
        <w:tab/>
        <w:t>John Quisel, J.D., Ph.D.</w:t>
      </w:r>
    </w:p>
    <w:p>
      <w:pPr>
        <w:spacing w:after="0" w:line="9" w:lineRule="exact"/>
        <w:rPr>
          <w:sz w:val="20"/>
          <w:szCs w:val="20"/>
          <w:color w:val="auto"/>
        </w:rPr>
      </w:pPr>
    </w:p>
    <w:p>
      <w:pPr>
        <w:ind w:left="550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sectPr>
      <w:pgSz w:w="11900" w:h="16838" w:orient="portrait"/>
      <w:cols w:equalWidth="0" w:num="1">
        <w:col w:w="10260"/>
      </w:cols>
      <w:pgMar w:left="440" w:top="517"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2023-06-09T15:56:20Z</dcterms:created>
  <dcterms:modified xsi:type="dcterms:W3CDTF">2023-06-09T15:56:20Z</dcterms:modified>
</cp:coreProperties>
</file>