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03,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3, 2025, Mona Ashiya, Ph.D., a Class I member of the Board of Directors (the “Board”) of Disc Medicine, Inc. (the “Company”), notified the Company of her resignation from the Board, effective October 3, 2025. Dr. Ashiya was a member of the Compensation Committee and the Nominating and Corporate Governance Committee of the Board and, by resigning from the Board, also resigned from such committees.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Dr. Ashiya's decision to resign was not the result of any disagreement with the Company on any matter relating to the Company’s operations, policies or practices. Effective upon Dr. Ashiya’s resignation, the size of the Board was reduced from nine members to 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6, 2025</w:t>
      </w:r>
      <w:r>
        <w:rPr>
          <w:sz w:val="20"/>
          <w:szCs w:val="20"/>
          <w:color w:val="auto"/>
        </w:rPr>
        <w:tab/>
      </w:r>
      <w:r>
        <w:rPr>
          <w:rFonts w:ascii="Times New Roman" w:cs="Times New Roman" w:eastAsia="Times New Roman" w:hAnsi="Times New Roman"/>
          <w:sz w:val="18"/>
          <w:szCs w:val="18"/>
          <w:color w:val="auto"/>
        </w:rPr>
        <w:t>By:</w:t>
        <w:tab/>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2025-10-06T15:23:58Z</dcterms:created>
  <dcterms:modified xsi:type="dcterms:W3CDTF">2025-10-06T15:23:58Z</dcterms:modified>
</cp:coreProperties>
</file>