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333-281359</w:t>
      </w:r>
    </w:p>
    <w:p>
      <w:pPr>
        <w:spacing w:after="0" w:line="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83185</wp:posOffset>
            </wp:positionV>
            <wp:extent cx="370332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332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Up to $200,000,000</w:t>
      </w:r>
    </w:p>
    <w:p>
      <w:pPr>
        <w:spacing w:after="0" w:line="1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170180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ind w:left="120" w:right="40"/>
        <w:spacing w:after="0" w:line="230" w:lineRule="auto"/>
        <w:rPr>
          <w:sz w:val="20"/>
          <w:szCs w:val="20"/>
          <w:color w:val="auto"/>
        </w:rPr>
      </w:pPr>
      <w:r>
        <w:rPr>
          <w:rFonts w:ascii="Times New Roman" w:cs="Times New Roman" w:eastAsia="Times New Roman" w:hAnsi="Times New Roman"/>
          <w:sz w:val="18"/>
          <w:szCs w:val="18"/>
          <w:color w:val="auto"/>
        </w:rPr>
        <w:t>We have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sales agreement, with Cantor Fitzgerald &amp; Co., or Cantor, relating to the sale of shares of our common stock offered by this prospectus. In accordance with the terms of the sales agreement, pursuant to this prospectus supplement and the accompanying prospectus, we may offer and sell shares of our common stock having an aggregate gross sales price of up to $200.0 million from time to time through or to Cantor, acting as our sales agent or principal.</w:t>
      </w:r>
    </w:p>
    <w:p>
      <w:pPr>
        <w:spacing w:after="0" w:line="90" w:lineRule="exact"/>
        <w:rPr>
          <w:sz w:val="24"/>
          <w:szCs w:val="24"/>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November 14, 2024, the closing sale price of our common stock on The Nasdaq Global Market was $60.67 per share.</w:t>
      </w:r>
    </w:p>
    <w:p>
      <w:pPr>
        <w:spacing w:after="0" w:line="54" w:lineRule="exact"/>
        <w:rPr>
          <w:sz w:val="24"/>
          <w:szCs w:val="24"/>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base prospectus will be made by any method permitted that is deemed to be an “at the market offering” as defined in Rule 415(a)(4) promulgated under the Securities Act of 1933, as amended, or the Securities Act. Cantor is not required to sell any specific number or dollar amount of securities, but will act as a sales agent using commercially reasonable efforts consistent with its normal sales and trading practices to sell on our behalf all of the shares of common stock requested to be sold by us, on mutually agreed terms between Cantor and us. There is no arrangement for funds to be received in any escrow, trust or similar arrangement.</w:t>
      </w:r>
    </w:p>
    <w:p>
      <w:pPr>
        <w:spacing w:after="0" w:line="75" w:lineRule="exact"/>
        <w:rPr>
          <w:sz w:val="24"/>
          <w:szCs w:val="24"/>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Cantor will be entitled to compensation at a commission rate of up to 3.0% of the gross proceeds of any shares of common stock sold under the sales agreement. In connection with the sale of our common stock on our behalf, Cantor will be deemed to be an “underwriter” within the meaning of the Securities Act and the compensation of Cantor will be deemed to be underwriting commissions or discounts. We have also agreed to provide indemnification and contribution to Cantor against certain liabilities, including liabilities under the Securities Act and the Securities Exchange Act of 1934, as amended, or the Exchange Act. See “Plan of Distribution” beginning on page S-13 for additional information regarding the compensation to be paid to Cantor.</w:t>
      </w:r>
    </w:p>
    <w:p>
      <w:pPr>
        <w:spacing w:after="0" w:line="79" w:lineRule="exact"/>
        <w:rPr>
          <w:sz w:val="24"/>
          <w:szCs w:val="24"/>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the federal securities laws and, as such, we have elected to comply with certain reduced public company reporting requirements for this prospectus supplement. Based on the aggregate market value of our common shares held by non-affiliates as of June 30, 2024, we expect to become a “large accelerated filer” and no longer qualify as an emerging growth company or a smaller reporting company as of December 31, 2024. See “Prospectus Supplement Summary—Implications of Being an Emerging Growth Company and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136525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5" w:lineRule="exact"/>
        <w:rPr>
          <w:sz w:val="24"/>
          <w:szCs w:val="24"/>
          <w:color w:val="auto"/>
        </w:rPr>
      </w:pPr>
    </w:p>
    <w:p>
      <w:pPr>
        <w:ind w:left="120" w:right="8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S-6 of this prospectus supplement, and under similar headings in the other documents that are incorporated by reference into this prospectus supplement concerning factors you should consider before investing in our common stock.</w:t>
      </w:r>
    </w:p>
    <w:p>
      <w:pPr>
        <w:spacing w:after="0" w:line="68" w:lineRule="exact"/>
        <w:rPr>
          <w:sz w:val="24"/>
          <w:szCs w:val="24"/>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688340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242570</wp:posOffset>
            </wp:positionV>
            <wp:extent cx="154305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0" cy="300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15, 2024.</w:t>
      </w:r>
    </w:p>
    <w:p>
      <w:pPr>
        <w:sectPr>
          <w:pgSz w:w="11900" w:h="16838" w:orient="portrait"/>
          <w:cols w:equalWidth="0" w:num="1">
            <w:col w:w="11140"/>
          </w:cols>
          <w:pgMar w:left="320" w:top="225"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42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34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100" w:type="dxa"/>
            <w:vAlign w:val="bottom"/>
            <w:gridSpan w:val="5"/>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7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26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694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680" w:type="dxa"/>
            <w:vAlign w:val="bottom"/>
            <w:gridSpan w:val="1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96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650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20"/>
        </w:trPr>
        <w:tc>
          <w:tcPr>
            <w:tcW w:w="120" w:type="dxa"/>
            <w:vAlign w:val="bottom"/>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367"/>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120" w:type="dxa"/>
            <w:vAlign w:val="bottom"/>
          </w:tcPr>
          <w:p>
            <w:pPr>
              <w:spacing w:after="0"/>
              <w:rPr>
                <w:sz w:val="16"/>
                <w:szCs w:val="16"/>
                <w:color w:val="auto"/>
              </w:rPr>
            </w:pPr>
          </w:p>
        </w:tc>
        <w:tc>
          <w:tcPr>
            <w:tcW w:w="854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6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2"/>
          </w:tcPr>
          <w:p>
            <w:pPr>
              <w:spacing w:after="0"/>
              <w:rPr>
                <w:sz w:val="17"/>
                <w:szCs w:val="17"/>
                <w:color w:val="auto"/>
              </w:rPr>
            </w:pPr>
          </w:p>
        </w:tc>
        <w:tc>
          <w:tcPr>
            <w:tcW w:w="322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694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96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33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516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gridSpan w:val="8"/>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2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06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52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650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20" w:type="dxa"/>
            <w:vAlign w:val="bottom"/>
          </w:tcPr>
          <w:p>
            <w:pPr>
              <w:spacing w:after="0"/>
              <w:rPr>
                <w:sz w:val="17"/>
                <w:szCs w:val="17"/>
                <w:color w:val="auto"/>
              </w:rPr>
            </w:pPr>
          </w:p>
        </w:tc>
        <w:tc>
          <w:tcPr>
            <w:tcW w:w="8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This prospectus supplement is part of an automatic shelf registration statement on Form S-3 that we filed with the Securities and Exchange Commission, or the SEC, as a “well-known seasoned issuer” as defined in Rule 405 of the Securities Act.</w:t>
      </w:r>
    </w:p>
    <w:p>
      <w:pPr>
        <w:spacing w:after="0" w:line="16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shares of our common stock having an aggregate offering price of up to $200,000,000 from time to time through or to Cantor, acting as our sales agent, at prices and on terms to be determined by market conditions at the time of offering. The second part is the accompanying base prospectus, which provides more general information, some of which may not apply to this offering.</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Before buying any of the shares of common stock offered hereby, we urge you to read carefully this prospectus supplement and the accompanying base prospectus, together with the information incorporated herein by reference as described below under the heading “Incorporation of Certain Information by Reference.” These documents contain important information that you should consider when making your investment decision. To the extent there is a conflict between the information contained in this prospectus supplement, on the one hand, and the accompanying base prospectus or the information contained in any document incorporated by reference in this prospectus supplement that was filed with the SEC before the date of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prospectus—the statement in the document having the later date modifies or supersedes the earlier statement.</w:t>
      </w:r>
    </w:p>
    <w:p>
      <w:pPr>
        <w:spacing w:after="0" w:line="19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have not, and Cantor has not, authorized anyone to provide you with information other than the information that we have provided or incorporated by reference in this prospectus supplement or the accompanying base prospectus and your reliance on any unauthorized information or representation is at your own risk. This prospectus supplement may be used only in jurisdictions where offers and sales of these securities are permitted.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Our business, financial condition and results of operations may have changed since those dates.</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only in jurisdictions where offers and sales are permitted. The distribution of this prospectus supplement and the accompanying base prospectus and the offering of the common stock in certain jurisdictions may be restricted by law. No action is being taken in any jurisdiction outside the United States to permit a public offering of the securities or possession or distribution of this prospectus supplement or the accompanying base prospectus in that jurisdiction. Persons outside the United States who come into possession of this prospectus supplement and the accompanying base prospectus must inform themselves about, and observe any restrictions relating to, the offering of the common stock and pre-funded warrants and the distribution of this prospectus supplement and the accompanying base prospectus outside the United States. This prospectus supplement and the accompanying base prospectus do not constitute, and may not be used in connection with, an offer to sell, or a solicitation of an offer to buy, any securities offered by this prospectus supplement and the accompanying base prospectus by any person in any jurisdiction in which it is unlawful for such person to make such an offer or solicitation.</w:t>
      </w:r>
    </w:p>
    <w:p>
      <w:pPr>
        <w:spacing w:after="0" w:line="188"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December 29, 2022, we acquired Disc Medicine Opco, Inc. (formerly Disc Medicine, Inc.), or Private Disc, pursuant to an agreement and plan of merger, or the Merger, and we changed our name to Disc Medicine, Inc. on 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base prospectus and the documents that we incorporate by reference contain “forward-looking statements” within the meaning of Section 27A of the Securities Act and Section 21E of the Exchange Act. All statements, other than statements of historical facts, included in this prospectus supplement and the accompanying base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w:t>
      </w:r>
    </w:p>
    <w:p>
      <w:pPr>
        <w:spacing w:after="0" w:line="97" w:lineRule="exact"/>
        <w:rPr>
          <w:sz w:val="20"/>
          <w:szCs w:val="20"/>
          <w:color w:val="auto"/>
        </w:rPr>
      </w:pPr>
    </w:p>
    <w:p>
      <w:pPr>
        <w:ind w:left="1080" w:right="80" w:hanging="424"/>
        <w:spacing w:after="0" w:line="258"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planned APOLLO clinical trial of bitopertin, our ongoing Phase 1b/2 clinical trials of DISC-0974 and our ongoing Phase 1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the U.S. Food and Drug Administration’s, or FDA’s, Accelerated Approval Program for bitopertin;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conflicts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proceeds from this offering; and</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w:t>
      </w:r>
    </w:p>
    <w:p>
      <w:pPr>
        <w:spacing w:after="0" w:line="180"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base prospectus, their estimates, in particular, as they relate to projections, involve numerous assumptions, are subject to risks and uncertainties and are subject to change based on various factors. You should read this prospectus supplement, the accompanying base prospectus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in our Annual Reports on Form 10-K, Quarterly Reports on Form 10-Q and Current Reports on Form 8-K which are incorporated into this prospectus supplement by reference, and the section of this prospectus supplement and the accompanying base prospectus entitled “Risk Factors.”</w:t>
      </w:r>
    </w:p>
    <w:p>
      <w:pPr>
        <w:spacing w:after="0" w:line="1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060"/>
          </w:cols>
          <w:pgMar w:left="320" w:top="45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and this offering and does not contain all of the information that you should consider before investing in our common stock. You should read this prospectus supplement, the accompanying base prospectus and the documents incorporated by reference herein and therein carefully, especially the discussion of the risks related to investing in our common stock discussed under “Risk Factors” beginning on page S-7 of this prospectus supplement, and in our most recent annual report on Form 10-K and any subsequent Quarterly Reports on Form 10-Q or Current Reports on Form 8-K we file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40"/>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94"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April 2024, we presented topline data from AURORA, a Phase 2, randomized, double-blind, placebo-controlled clinical trial of bitopertin in EPP patients conducted at sites in the United States. In June and December 2023, we presented interim data from BEACON, a Phase 2 open-label, parallel-dose clinical trial of bitopertin in EPP and XLP patients conducted at sites in Australia. Additional analyses of the BEACON and AURORA trials were presented in June 2024 and we plan to share further analyses in December 2024. All participants in AURORA and BEACON are eligible to participate in HELIOS, an ongoing open-label, long-term extension clinical trial of bitopertin in EPP and XLP. We are also planning APOLLO, a randomized, double-blind, placebo-controlled clinical trial of bitopertin in EPP and XLP patients. As a result of our end-of-Phase 2 meeting with the U.S. Food &amp; Drug Administration, or the FDA, we agreed with the FDA on all proposed attributes of the APOLLO trial, which we plan to initiate by mid-2025. In addition, the FDA agreed with the potential for reduction of protoporphyrin IX, or PPIX, to serve as a surrogate endpoint to support a potential accelerated approval. Under the FDA’s Accelerated Approval Program, we would have the potential to submit a New Drug Application, or NDA, for bitopertin in EPP and XLP based on our existing data and, subject to further discussion with the FDA, APOLLO would serve as a confirmatory trial. We will be meeting with the FDA to finalize the details of APOLLO and plan to provide an update in the first quarter of 2025 on this discussion as well as timing for a potential NDA filing under an accelerated pathway. We have also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in-licensed from AbbVie Deutschland GmbH &amp; Co. KG, or AbbVie. DISC-0974 is designed to suppress hepcidin production and increase serum iron levels. We submitted an Investigational New Drug application, or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as well as additional interim data for anemia of MF in June 2024 and non-dialysis dependent CKD and anemia in October 2024, which additional interim data included safety and changes in hepcidin, iron, and hemoglobin levels for additional patients, as well as longer follow-up. We anticipate presenting additional analyses of the Phase 1b study in anemia of MF in December 2024. In addition, we are developing a preclinical anti-hemojuvelin, or HJV, monoclonal antibody, DISC-0998, which also targets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190" w:lineRule="exact"/>
        <w:rPr>
          <w:sz w:val="20"/>
          <w:szCs w:val="20"/>
          <w:color w:val="auto"/>
        </w:rPr>
      </w:pPr>
    </w:p>
    <w:p>
      <w:pPr>
        <w:ind w:left="300" w:right="160"/>
        <w:spacing w:after="0" w:line="256"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or SAD, portion of the Phase 1 clinical trial of DISC-3405 in healthy volunteers in June 2024. We anticipate presenting data from the multiple-ascending dose, or MAD, portion of the Phase 1 healthy volunteer study of DISC-3405 in December 2024. We expect to develop DISC-3405 for the treatment of PV and other hematologic disorders.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or Disc Opco, in December 2022. On December 29, 2022, we completed our business combination with Gemini Therapeutics, Inc., or Gemini, in accordance with the terms of the Agreement and Plan of Merger and Reorganization, dated as of August 9, 2022, or the Merger Agreement, by and among Gemini, us and Gemstone Merger Sub, Inc., a Delaware corporation and a wholly owned subsidiary of Gemini, or Merger Sub,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89" w:lineRule="exact"/>
        <w:rPr>
          <w:sz w:val="20"/>
          <w:szCs w:val="20"/>
          <w:color w:val="auto"/>
        </w:rPr>
      </w:pPr>
    </w:p>
    <w:p>
      <w:pPr>
        <w:jc w:val="both"/>
        <w:ind w:left="300" w:right="8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We maintain an Internet website at the following address: www.discmedicine.com. We do not incorporate the information on or accessible through our website into this prospectus supplement, and you should not consider any information on, or that can be accessed through, our website as part of this prospectus supplement.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300" w:right="80"/>
        <w:spacing w:after="0" w:line="282"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or the JOBS Act. As an emerging growth company, we may take advantage of specified reduced</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58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46589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disclosure and other requirements that are otherwise applicable generally to public companies. These provisions include:</w:t>
      </w:r>
    </w:p>
    <w:p>
      <w:pPr>
        <w:spacing w:after="0" w:line="131" w:lineRule="exact"/>
        <w:rPr>
          <w:sz w:val="20"/>
          <w:szCs w:val="20"/>
          <w:color w:val="auto"/>
        </w:rPr>
      </w:pPr>
    </w:p>
    <w:p>
      <w:pPr>
        <w:ind w:left="1240" w:right="10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300" w:right="80"/>
        <w:spacing w:after="0" w:line="254" w:lineRule="auto"/>
        <w:rPr>
          <w:sz w:val="20"/>
          <w:szCs w:val="20"/>
          <w:color w:val="auto"/>
        </w:rPr>
      </w:pPr>
      <w:r>
        <w:rPr>
          <w:rFonts w:ascii="Times New Roman" w:cs="Times New Roman" w:eastAsia="Times New Roman" w:hAnsi="Times New Roman"/>
          <w:sz w:val="18"/>
          <w:szCs w:val="18"/>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w:t>
      </w:r>
    </w:p>
    <w:p>
      <w:pPr>
        <w:spacing w:after="0" w:line="192"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183"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Based on the aggregate market value of our common stock held by non-affiliates as of June 30, 2024, we expect that will become a “large accelerated filer” and no longer qualify as an emerging growth company or a smaller reporting company as of December 31, 2024. Accordingly, beginning with our Annual Report on Form 10-K for the year ended December 31, 2024, we may no longer be permitted to take advantage of the reduced reporting requirements applicable to an emerging growth company or a smaller reporting company and will be required to adhere to, among other things, the auditor attestation report on our system of internal controls over financial reporting otherwise required by Section 404(b) of the Sarbanes-Oxley Act of 2002.</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35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Common stock offered by us</w:t>
      </w:r>
      <w:r>
        <w:rPr>
          <w:sz w:val="20"/>
          <w:szCs w:val="20"/>
          <w:color w:val="auto"/>
        </w:rPr>
        <w:tab/>
      </w:r>
      <w:r>
        <w:rPr>
          <w:rFonts w:ascii="Times New Roman" w:cs="Times New Roman" w:eastAsia="Times New Roman" w:hAnsi="Times New Roman"/>
          <w:sz w:val="17"/>
          <w:szCs w:val="17"/>
          <w:color w:val="auto"/>
        </w:rPr>
        <w:t>Shares of our common stock having an aggregate offering price of up to $200,000,000.</w:t>
      </w:r>
    </w:p>
    <w:p>
      <w:pPr>
        <w:spacing w:after="0" w:line="266" w:lineRule="exact"/>
        <w:rPr>
          <w:sz w:val="20"/>
          <w:szCs w:val="20"/>
          <w:color w:val="auto"/>
        </w:rPr>
      </w:pPr>
    </w:p>
    <w:p>
      <w:pPr>
        <w:ind w:left="4340" w:right="140" w:hanging="403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Common stock to be outstanding after this offering </w:t>
      </w:r>
      <w:r>
        <w:rPr>
          <w:rFonts w:ascii="Times New Roman" w:cs="Times New Roman" w:eastAsia="Times New Roman" w:hAnsi="Times New Roman"/>
          <w:sz w:val="18"/>
          <w:szCs w:val="18"/>
          <w:color w:val="auto"/>
        </w:rPr>
        <w:t>Up to 33,044,676 shares of our common stock, assuming sales of 3,296,522 shares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in this offering at an offering price of $60.67 per share, which was the last reported sale price of our common stock on The Nasdaq Global Market on November 14, 2024. The actual number of shares of common stock issued will vary depending on the sales price under this offering.</w:t>
      </w:r>
    </w:p>
    <w:p>
      <w:pPr>
        <w:sectPr>
          <w:pgSz w:w="11900" w:h="16838" w:orient="portrait"/>
          <w:cols w:equalWidth="0" w:num="1">
            <w:col w:w="10920"/>
          </w:cols>
          <w:pgMar w:left="320" w:top="455" w:right="659" w:bottom="1440" w:gutter="0" w:footer="0" w:header="0"/>
        </w:sectPr>
      </w:pP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the market offering” that may be made from time to time on The Nasdaq Global Market or such other national securities exchange on which our common stock is then listed, through or to our sales agent, Cantor. See the section entitled “Plan of Distribution” on page S-13 of this prospectus supplement.</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and cash equivalents, to fund research and clinical development of, and pre-commercialization and, if approved, commercialization activities for, our current and future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See “Use of Proceeds” on page S-9 of this prospectus supplement.</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supplement beginning on page S-7 and the other information included in, or incorporated by reference into, this prospectus supplement and the accompanying base prospectus for a discussion of factors to consider before deciding to purchase shares of our common stock.</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IRON</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9" w:lineRule="exact"/>
        <w:rPr>
          <w:sz w:val="20"/>
          <w:szCs w:val="20"/>
          <w:color w:val="auto"/>
        </w:rPr>
      </w:pPr>
    </w:p>
    <w:p>
      <w:pPr>
        <w:ind w:left="300" w:right="280"/>
        <w:spacing w:after="0" w:line="266" w:lineRule="auto"/>
        <w:rPr>
          <w:sz w:val="20"/>
          <w:szCs w:val="20"/>
          <w:color w:val="auto"/>
        </w:rPr>
      </w:pPr>
      <w:r>
        <w:rPr>
          <w:rFonts w:ascii="Times New Roman" w:cs="Times New Roman" w:eastAsia="Times New Roman" w:hAnsi="Times New Roman"/>
          <w:sz w:val="18"/>
          <w:szCs w:val="18"/>
          <w:color w:val="auto"/>
        </w:rPr>
        <w:t>All information in this prospectus supplement related to the number of shares of our common stock to be outstanding immediately after this offering is based on 29,748,154 shares of our common stock outstanding as of September 30, 2024. The number of shares of our common stock outstanding as of September 30, 2024 as used throughout this prospectus supplement, unless otherwise indicated, excludes:</w:t>
      </w:r>
    </w:p>
    <w:p>
      <w:pPr>
        <w:spacing w:after="0" w:line="81" w:lineRule="exact"/>
        <w:rPr>
          <w:sz w:val="20"/>
          <w:szCs w:val="20"/>
          <w:color w:val="auto"/>
        </w:rPr>
      </w:pPr>
    </w:p>
    <w:p>
      <w:pPr>
        <w:ind w:left="1240" w:right="2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2,972,432 shares of common stock issuable upon the exercise of stock options outstanding as of September 30, 2024, at a weighted average exercise price of $25.29 per share;</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73,935 shares of common stock issuable upon the exercise of stock options granted subsequent to September 30, 2024, at a weighted average exercise price of $47.65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429,522 shares of common stock issuable upon the vesting of restricted stock awards outstanding as of September 30, 2024;</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975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19754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49,286 shares of common stock issuable upon the vesting of restricted stock awards granted subsequent to September 30, 2024;</w:t>
      </w:r>
    </w:p>
    <w:p>
      <w:pPr>
        <w:spacing w:after="0" w:line="130"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204,081 shares of common stock issuable upon the exercise of pre-funded warrants outstanding as of September 30, 2024, at an exercise price of $0.0001 per share;</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1,634,822 shares of common stock available for future issuance under our Amended and Restated 2021 Stock Option and Incentive Plan as of September 30, 2024; and</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254,926 shares of common stock available for future issuance under our Amended and Restated 2021 Employee Stock Purchase Plan as of September 30, 2024.</w:t>
      </w:r>
    </w:p>
    <w:p>
      <w:pPr>
        <w:spacing w:after="0" w:line="162"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Unless otherwise stated, all information contained in this prospectus supplement (i) assumes no exercise of stock options after September 30, 2024 and (ii) reflects an assumed public offering price of $60.67, which was the last reported sale price of our common stock on The Nasdaq Global Market on November 14, 2024.</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60"/>
          </w:cols>
          <w:pgMar w:left="320" w:top="455" w:right="7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you decide to invest in our common stock, you should carefully consider the risks and uncertainties described below, in the accompanying base prospectus, and in our most recently filed Annual Report on Form 10-K, Quarterly Report on Form 10-Q and other filings we make with the SEC from time to time, which are incorporated by reference herein in their entirety, together with all other information contained in this prospectus supplement and in our filings with the SEC that we have incorporated by reference in this prospectus supplement. If any of the following risks actually occurs,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Risks Related To Our Common Stock And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may suffer immediate and substantial dilution of your investment.</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price per share of our common stock in this offering may exceed the net tangible book value per share of our common stock outstanding prior to this offering. Therefore, if you purchase shares of our common stock in this offering, you may pay a price per share that substantially exceeds our net tangible book value per share after this offering. To the extent shares are issued under outstanding options at exercise prices lower than the price of our common stock in this offering, you will incur further dilution. Assuming that an aggregate of 3,296,522 shares of our common stock are sold at a price of $60.67 per share, the last reported sale price of our common stock on The Nasdaq Global Market on November 14, 2024, for aggregate net proceeds to us of $195.3 million, after deducting commissions and estimated aggregate offering expenses payable by us, investors in this offering would experience immediate dilution of $40.60 per share, representing the difference between our as adjusted net tangible book value per share as of September 30, 2024, after giving effect to this offering and the assumed offering price.</w:t>
      </w:r>
    </w:p>
    <w:p>
      <w:pPr>
        <w:spacing w:after="0" w:line="192"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This dilution is due to the substantially lower price paid by some of our investors who purchased shares prior to this offering as compared to the price offered to the public in this offering and the exercise of stock options granted to our employees, directors and consultants. See the section entitled “Dilution” below for a more detailed illustration of the dilution you would incur if you participate in this offering.</w:t>
      </w:r>
    </w:p>
    <w:p>
      <w:pPr>
        <w:spacing w:after="0" w:line="28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use them in ways that you and other stockholders may not approve.</w:t>
      </w:r>
    </w:p>
    <w:p>
      <w:pPr>
        <w:spacing w:after="0" w:line="5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currently expect to use the net proceeds of this offering to fund research and clinical development of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issuances of our common stock in the public markets, or the perception of such sales, could depress the trading price of our common stock.</w:t>
      </w:r>
    </w:p>
    <w:p>
      <w:pPr>
        <w:spacing w:after="0" w:line="5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and gross proceeds resulting from those sales, at any one time or in total, is uncertain.</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Cantor at any time throughout the term of the sales agreement. The number of shares that are sold by Cantor after delivering a placement notice will fluctuate based on the market price of our common stock during the sales period and limits we set with Cantor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Pursuant to the sales agreement, we may issue and sell shares of our common stock having aggregate sales proceeds of up to $200,000,000 (before deducting sales agent commissions and expenses) from time to time under this prospectus supplement and the accompanying base prospectus. The amount of the net proceeds to us from this offering will depend upon the number of shares of our common stock sold and the price at which they are sold. There can be no assurance that we will be able to sell any shares under or fully utilize the sales agreement with Cantor.</w:t>
      </w:r>
    </w:p>
    <w:p>
      <w:pPr>
        <w:spacing w:after="0" w:line="180" w:lineRule="exact"/>
        <w:rPr>
          <w:sz w:val="20"/>
          <w:szCs w:val="20"/>
          <w:color w:val="auto"/>
        </w:rPr>
      </w:pPr>
    </w:p>
    <w:p>
      <w:pPr>
        <w:ind w:left="120" w:right="340"/>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and cash equivalents, to fund research and clinical development of, and pre-commercialization and, if approved, commercialization activities for, our current and future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We have not determined the amount of net proceeds to be used specifically for such purposes. As a result, management will retain broad discretion over the allocation of net proceeds.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actual net proceeds from this offering (which will depend on the market price of our common stock during the sales period, any limits we may set with Cantor in any applicable placement notice and the demand for our common stock), the progress of our development, the status of and results from clinical trials and collaborations that we may enter into with third parties for our product candidates and any unforeseen cash needs, including the factors described under “Risk Factors” in this prospectus supplement and the accompanying base prospectus and in the documents incorporated by reference herein. We may find it necessary or advisable to use the net proceeds from this offering for other purposes. As a result, our management will retain broad discretion over the allocation of the net proceeds from this offering.</w:t>
      </w:r>
    </w:p>
    <w:p>
      <w:pPr>
        <w:spacing w:after="0" w:line="188"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do not expect that the net proceeds from this offering, together with our existing cash and cash equivalents, will be sufficient to enable us to fund the completion of development of any of our product candidates.</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immediately to the extent of the difference between the public offering price per share and the as adjusted net tangible book value per share of our common stock after giving effect to this offering.</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of September 30, 2024, we had a net tangible book value of approximately $468.0 million, or $15.73 per share of our common stock, based upon 29,748,154 shares of our common stock outstanding as of that date.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as adjusted net tangible book value per share of our common stock immediately after this offering.</w:t>
      </w:r>
    </w:p>
    <w:p>
      <w:pPr>
        <w:spacing w:after="0" w:line="183"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After giving effect to the sale of our common stock pursuant to this prospectus supplement in the aggregate amount of $200,000,000 at an assumed offering price of $60.67 per share, the last reported sale price of our common stock on The Nasdaq Global Market on November 14, 2024, and after deducting sales agent commissions and estimated aggregate offering expenses payable by us, our as adjusted net tangible book value as of September 30, 2024 would have been $663.3 million, or $20.07 per share of common stock. This represents an immediate increase in the net tangible book value of $4.34 per share to our existing stockholders and an immediate dilution in net tangible book value of $40.60 per share of common stock to investors in this offering based on the assumed offering price. Dilution per share to investors is determined by subtracting as adjusted net tangible book value per share after this offering from the assumed public offering price per share paid by investors. The following table illustrates this per share dilution:</w:t>
      </w:r>
    </w:p>
    <w:p>
      <w:pPr>
        <w:spacing w:after="0" w:line="200" w:lineRule="exact"/>
        <w:rPr>
          <w:sz w:val="20"/>
          <w:szCs w:val="20"/>
          <w:color w:val="auto"/>
        </w:rPr>
      </w:pP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1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$60.67</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September 30, 2024</w:t>
            </w:r>
          </w:p>
        </w:tc>
        <w:tc>
          <w:tcPr>
            <w:tcW w:w="13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$15.73</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sale of shares of common</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in this offering</w:t>
            </w:r>
          </w:p>
        </w:tc>
        <w:tc>
          <w:tcPr>
            <w:tcW w:w="132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4.34</w:t>
            </w: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5"/>
        </w:trPr>
        <w:tc>
          <w:tcPr>
            <w:tcW w:w="6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 adjusted net tangible book value per share as of September 30, 2024, after this</w:t>
            </w:r>
          </w:p>
        </w:tc>
        <w:tc>
          <w:tcPr>
            <w:tcW w:w="3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1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20.07</w:t>
            </w:r>
          </w:p>
        </w:tc>
      </w:tr>
      <w:tr>
        <w:trPr>
          <w:trHeight w:val="198"/>
        </w:trPr>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Dilution in net tangible book value per share to investors purchasing shares in this</w:t>
            </w:r>
          </w:p>
        </w:tc>
        <w:tc>
          <w:tcPr>
            <w:tcW w:w="3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40.60</w:t>
            </w:r>
          </w:p>
        </w:tc>
      </w:tr>
      <w:tr>
        <w:trPr>
          <w:trHeight w:val="20"/>
        </w:trPr>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above assumes for illustrative purposes that an aggregate of 3,296,522 shares of our common stock are sold pursuant to this 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supplement at a price of $60.67 per share, the last reported sale price of our common stock on The Nasdaq Global Market on November 14, 2024,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gross proceeds of $200,000,000. The shares sold in this offering, if any, will be sold from time to time at various prices. An increase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 per share in the price at which the shares are sold from the assumed offering price to $61.67 per share, assuming all of our common stock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amount of $200,000,000 is sold at that price, would result in an as adjusted net tangible book value per share after the offering of $20.10 per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and would increase the dilution in net tangible book value per share to investors in this offering to $41.57 per share, after deducting sales agent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commissions and estimated aggregate offering expenses payable by us. A decrease of $1.00 per share in the price at which the shares are sold from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assumed offering price to $59.67 per share, assuming all of our common stock in the aggregate amount of $200,000,000 is sold at that price, would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result in an as adjusted net tangible book value per share after the offering of $20.04 per share and would decrease the dilution in net tangible book value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to investors in this offering to $39.63 per share, after deducting sales agent commissions and estimated aggregate offering expenses payable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This information is supplied for illustrative purposes only.</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above discussion and table are based on 29,748,154 shares of our common stock outstanding as of September 30, 2024 and excludes:</w:t>
      </w:r>
    </w:p>
    <w:p>
      <w:pPr>
        <w:spacing w:after="0" w:line="131" w:lineRule="exact"/>
        <w:rPr>
          <w:sz w:val="20"/>
          <w:szCs w:val="20"/>
          <w:color w:val="auto"/>
        </w:rPr>
      </w:pPr>
    </w:p>
    <w:p>
      <w:pPr>
        <w:ind w:left="1080" w:right="5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2,972,432 shares of common stock issuable upon the exercise of stock options outstanding as of September 30, 2024, at a weighted average exercise price of $25.29 per share;</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73,935 shares of common stock issuable upon the exercise of stock options granted subsequent to September 30, 2024, at a weighted average exercise price of $47.65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429,522 shares of common stock issuable upon the vesting of restricted stock awards outstanding as of September 30,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49,286 shares of common stock issuable upon the vesting of restricted stock awards granted subsequent to September 30, 2024;</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204,081 shares of common stock issuable upon the exercise of pre-funded warrants outstanding as of September 30, 2024, at an exercise price of $0.0001 per share;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1,634,822 shares of common stock available for future issuance under our Amended and Restated 2021 Stock Option and Incentive Plan as of September 30, 2024;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254,926 shares of common stock available for future issuance under our Amended and Restated 2021 Employee Stock Purchase Plan as of September 30, 2024.</w:t>
      </w:r>
    </w:p>
    <w:p>
      <w:pPr>
        <w:spacing w:after="0" w:line="16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To the extent that options outstanding as of September 30, 2024 have been or may be exercised or settle, as applicable, or other shares are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In addition, the terms of our loan and security agreement with Hercules Capital, Inc. restrict, and any future debt arrangements may restrict, our ability to pay dividends on our common stock.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entered into the sales agreement with Cantor. Pursuant to this prospectus supplement and the accompanying prospectus, we may offer and sell shares of our common stock having an aggregate gross sales price of up to $200,000,000 from time to time to or through Cantor, acting as sales agent or principal. A copy of the sales agreement was filed as Exhibit 1.1 to a Current Report on Form 8-K filed with the SEC under the Exchange Act on November 15, 2024, which is incorporated by reference in this prospectus supplement and the accompanying base prospectus.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Upon delivery of a placement notice and subject to the terms and conditions of the sales agreement, Cantor may sell shares of our common stock by any method permitted by law deemed to be an “at the market offering” as defined in Rule 415(a)(4) promulgated under the Securities Act. We may instruct Cantor not to sell common stock if the sales cannot be effected at or above the price or in excess of a specified number of shares designated by us from time to time. We or Cantor may suspend the offering of common stock upon notice and subject to other conditions set forth in the sales agreement. We and Cantor may also agree to sell shares to Cantor as principal at a price agreed upon by the parties at each relevant time shares are sold pursuant to the sales agreement.</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will pay Cantor commissions, in cash, for its service in acting as agent in the sale of our common stock. Cantor will be entitled to compensation at a commission rate of up to 3.0% of the sales price per share sold under the sales agreement. Because there is no minimum offering amount required as a condition to close this offering, the actual total public offering amount, commissions and proceeds to us, if any, are not determinable at this time. We have also agreed to reimburse Cantor for certain specified expenses, including the fees and disbursements of their legal counsel in an amount not to exceed $75,000 in connection with the execution of the sales agreement and certain ongoing expenses. We estimate that the total expenses for the offering, excluding compensation and reimbursements payable to Cantor under the terms of the sales agreement, will be approximately $190,000.</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Settlement for sales of shares of our common stock will occur on the trading day following the date on which any sales are made, in return for payment of the net proceeds to us. Sales of our common stock as contemplated in this prospectus supplement will be settled through the facilities of The Depository Trust Company or by such other means as we and Cantor may agree upon. There is no arrangement for funds to be received in an escrow, trust or similar arrangement.</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Cantor will use its commercially reasonable efforts, consistent with its sales and trading practices, to solicit offers to purchase the common stock under the terms and subject to the conditions set forth in the sales agreement. In connection with the sale of the common stock on our behalf, Cantor will be deemed to be an “underwriter” within the meaning of the Securities Act and the compensation of Cantor will be deemed to be underwriting commissions or discounts. We have agreed to provide indemnification and contribution to Cantor against certain civil liabilities, including liabilities under the Securities Act and the Exchange Act.</w:t>
      </w:r>
    </w:p>
    <w:p>
      <w:pPr>
        <w:spacing w:after="0" w:line="183"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The offering of shares of our common stock pursuant to this prospectus supplement and the accompanying prospectus will terminate upon the termination of the sales agreement as permitted therein. We and Cantor may each terminate the sales agreement at any time upon ten days’ prior notice.</w:t>
      </w:r>
    </w:p>
    <w:p>
      <w:pPr>
        <w:spacing w:after="0" w:line="14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Cantor and its affiliates may in the future provide various investment banking, commercial banking and other financial services for us and our affiliates, for which services they may in the future receive customary fees. To the extent required by Regulation M, Cantor will not engage in any market making activities involving our common stock while the offering is ongoing under this prospectus supplement.</w:t>
      </w:r>
    </w:p>
    <w:p>
      <w:pPr>
        <w:spacing w:after="0" w:line="176"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be made available in electronic format on a website maintained by Cantor, and Cantor may distribute this prospectus supplement and the accompanying prospectus electronically.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700"/>
        <w:spacing w:after="0" w:line="312" w:lineRule="auto"/>
        <w:rPr>
          <w:sz w:val="20"/>
          <w:szCs w:val="20"/>
          <w:color w:val="auto"/>
        </w:rPr>
      </w:pPr>
      <w:r>
        <w:rPr>
          <w:rFonts w:ascii="Times New Roman" w:cs="Times New Roman" w:eastAsia="Times New Roman" w:hAnsi="Times New Roman"/>
          <w:sz w:val="17"/>
          <w:szCs w:val="17"/>
          <w:color w:val="auto"/>
        </w:rPr>
        <w:t>The validity of the shares of common stock offered hereby will be passed upon for us by Goodwin Procter LLP, Boston, Massachusetts. Cantor Fitzgerald &amp; Co. is being represented in connection with this offering by Wilmer Cutler Pickering Hale and Dorr LLP, New York, New York.</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8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appearing in Disc Medicine, Inc.’s Annual Report (Form 10-K) for the years ended December 31, 2023 and 2022,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investor website at www.discmedicine.com. Our website is not a part of this prospectus supplement and is not incorporated by reference in this prospectus supplement or the accompanying base prospectus.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base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base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between the date of the initial registration statement of which this prospectus supplement forms a part and the effectiveness of the registration statement and following the effectiveness of the registration statement until we terminate or sell all of the securities offered hereby:</w:t>
      </w:r>
    </w:p>
    <w:p>
      <w:pPr>
        <w:spacing w:after="0" w:line="100"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Reports on Form 10-K for the fiscal year ended December 31, 2023 filed with the SEC on </w:t>
      </w:r>
      <w:hyperlink r:id="rId39">
        <w:r>
          <w:rPr>
            <w:rFonts w:ascii="Times New Roman" w:cs="Times New Roman" w:eastAsia="Times New Roman" w:hAnsi="Times New Roman"/>
            <w:sz w:val="18"/>
            <w:szCs w:val="18"/>
            <w:u w:val="single" w:color="auto"/>
            <w:color w:val="0000EE"/>
          </w:rPr>
          <w:t>March 21,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quarters ended March 31, 2024, June 30, 2024 and September 30, 2024, filed with the SEC on </w:t>
      </w:r>
      <w:hyperlink r:id="rId40">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 xml:space="preserve">August 8,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November 12,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jc w:val="both"/>
        <w:ind w:left="1080" w:right="540" w:hanging="424"/>
        <w:spacing w:after="0" w:line="266" w:lineRule="auto"/>
        <w:tabs>
          <w:tab w:leader="none" w:pos="1080" w:val="left"/>
        </w:tabs>
        <w:numPr>
          <w:ilvl w:val="0"/>
          <w:numId w:val="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filed with the SEC on </w:t>
      </w:r>
      <w:hyperlink r:id="rId43">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April 2, 2024</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October 25,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November 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 xml:space="preserve">November 8,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 xml:space="preserve">November 15, 2024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excluding information furnished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pursuant to Item 7.01); and</w:t>
      </w:r>
    </w:p>
    <w:p>
      <w:pPr>
        <w:spacing w:after="0" w:line="81" w:lineRule="exact"/>
        <w:rPr>
          <w:rFonts w:ascii="Times New Roman" w:cs="Times New Roman" w:eastAsia="Times New Roman" w:hAnsi="Times New Roman"/>
          <w:sz w:val="18"/>
          <w:szCs w:val="18"/>
          <w:color w:val="0000EE"/>
        </w:rPr>
      </w:pPr>
    </w:p>
    <w:p>
      <w:pPr>
        <w:ind w:left="1080" w:right="60" w:hanging="424"/>
        <w:spacing w:after="0" w:line="25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52">
        <w:r>
          <w:rPr>
            <w:rFonts w:ascii="Times New Roman" w:cs="Times New Roman" w:eastAsia="Times New Roman" w:hAnsi="Times New Roman"/>
            <w:sz w:val="18"/>
            <w:szCs w:val="18"/>
            <w:u w:val="single" w:color="auto"/>
            <w:color w:val="0000EE"/>
          </w:rPr>
          <w:t>August 10, 2020</w:t>
        </w:r>
      </w:hyperlink>
      <w:r>
        <w:rPr>
          <w:rFonts w:ascii="Times New Roman" w:cs="Times New Roman" w:eastAsia="Times New Roman" w:hAnsi="Times New Roman"/>
          <w:sz w:val="18"/>
          <w:szCs w:val="18"/>
          <w:color w:val="auto"/>
        </w:rPr>
        <w:t xml:space="preserve">, and as set forth by the description of the Registrant’s common stock set forth in </w:t>
      </w:r>
      <w:hyperlink r:id="rId53">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Form 10-K for the year ended December 31, 2021, filed with the SEC on </w:t>
      </w:r>
      <w:hyperlink r:id="rId54">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 xml:space="preserve">, and as further supplemented by the description of the Registrant’s common stock set forth in the Registrant’s Registration Statement on Form S-4/A, filed with the SEC on </w:t>
      </w:r>
      <w:hyperlink r:id="rId55">
        <w:r>
          <w:rPr>
            <w:rFonts w:ascii="Times New Roman" w:cs="Times New Roman" w:eastAsia="Times New Roman" w:hAnsi="Times New Roman"/>
            <w:sz w:val="18"/>
            <w:szCs w:val="18"/>
            <w:u w:val="single" w:color="auto"/>
            <w:color w:val="0000EE"/>
          </w:rPr>
          <w:t>December 1, 2022</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(617) 674-9274</w:t>
      </w:r>
    </w:p>
    <w:p>
      <w:pPr>
        <w:spacing w:after="0" w:line="205" w:lineRule="exact"/>
        <w:rPr>
          <w:rFonts w:ascii="Times New Roman" w:cs="Times New Roman" w:eastAsia="Times New Roman" w:hAnsi="Times New Roman"/>
          <w:sz w:val="18"/>
          <w:szCs w:val="18"/>
          <w:color w:val="auto"/>
        </w:rPr>
      </w:pPr>
    </w:p>
    <w:p>
      <w:pPr>
        <w:jc w:val="both"/>
        <w:ind w:left="120" w:right="320"/>
        <w:spacing w:after="0" w:line="290" w:lineRule="auto"/>
        <w:rPr>
          <w:sz w:val="20"/>
          <w:szCs w:val="20"/>
          <w:color w:val="auto"/>
        </w:rPr>
      </w:pPr>
      <w:r>
        <w:rPr>
          <w:rFonts w:ascii="Times New Roman" w:cs="Times New Roman" w:eastAsia="Times New Roman" w:hAnsi="Times New Roman"/>
          <w:sz w:val="17"/>
          <w:szCs w:val="17"/>
          <w:color w:val="auto"/>
        </w:rPr>
        <w:t xml:space="preserve">You may also access these documents, free of charge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or on our website at </w:t>
      </w:r>
      <w:r>
        <w:rPr>
          <w:rFonts w:ascii="Times New Roman" w:cs="Times New Roman" w:eastAsia="Times New Roman" w:hAnsi="Times New Roman"/>
          <w:sz w:val="17"/>
          <w:szCs w:val="17"/>
          <w:i w:val="1"/>
          <w:iCs w:val="1"/>
          <w:color w:val="auto"/>
        </w:rPr>
        <w:t>www.discmedicine.com</w:t>
      </w:r>
      <w:r>
        <w:rPr>
          <w:rFonts w:ascii="Times New Roman" w:cs="Times New Roman" w:eastAsia="Times New Roman" w:hAnsi="Times New Roman"/>
          <w:sz w:val="17"/>
          <w:szCs w:val="17"/>
          <w:color w:val="auto"/>
        </w:rPr>
        <w:t>. Information contained on our website is not incorporated by reference into this prospectus supplement or the accompanying base prospectus, and you should not consider any information on, or that can be accessed from, our website as part of this prospectus supplement or the accompanying base prospectus.</w:t>
      </w:r>
    </w:p>
    <w:p>
      <w:pPr>
        <w:spacing w:after="0" w:line="157" w:lineRule="exact"/>
        <w:rPr>
          <w:rFonts w:ascii="Times New Roman" w:cs="Times New Roman" w:eastAsia="Times New Roman" w:hAnsi="Times New Roman"/>
          <w:sz w:val="18"/>
          <w:szCs w:val="18"/>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base prospectus.</w:t>
      </w:r>
    </w:p>
    <w:p>
      <w:pPr>
        <w:spacing w:after="0" w:line="10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173990</wp:posOffset>
            </wp:positionV>
            <wp:extent cx="3737610" cy="5918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37376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From time to time, we may offer and sell, in one or more series or classes, our Common Stock, Preferred Stock, Debt Securities, Warrants or Units, in each case in one or more issuances and at prices and on terms that we will determine at the time of the offering.</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August 7, 2024, the closing price of our common stock, as reported on The Nasdaq Global Market, was $41.27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160" w:firstLine="440"/>
        <w:spacing w:after="0" w:line="238"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review carefully the risks and uncertainties described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10 of this prospectus and under any similar heading in the documents that are incorporated by reference into this prospectus, as well as “</w:t>
      </w:r>
      <w:r>
        <w:rPr>
          <w:rFonts w:ascii="Times New Roman" w:cs="Times New Roman" w:eastAsia="Times New Roman" w:hAnsi="Times New Roman"/>
          <w:sz w:val="22"/>
          <w:szCs w:val="22"/>
          <w:b w:val="1"/>
          <w:bCs w:val="1"/>
          <w:i w:val="1"/>
          <w:iCs w:val="1"/>
          <w:color w:val="auto"/>
        </w:rPr>
        <w:t>Special Note Regarding Forward-Looking Statements</w:t>
      </w:r>
      <w:r>
        <w:rPr>
          <w:rFonts w:ascii="Times New Roman" w:cs="Times New Roman" w:eastAsia="Times New Roman" w:hAnsi="Times New Roman"/>
          <w:sz w:val="22"/>
          <w:szCs w:val="22"/>
          <w:b w:val="1"/>
          <w:bCs w:val="1"/>
          <w:color w:val="auto"/>
        </w:rPr>
        <w:t>” on page 4 of this prospectus. You should read the entire prospectus and any applicable prospectus supplement carefully before you make your investment decision.</w:t>
      </w:r>
    </w:p>
    <w:p>
      <w:pPr>
        <w:spacing w:after="0" w:line="19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w:t>
      </w:r>
      <w:r>
        <w:rPr>
          <w:rFonts w:ascii="Times New Roman" w:cs="Times New Roman" w:eastAsia="Times New Roman" w:hAnsi="Times New Roman"/>
          <w:sz w:val="18"/>
          <w:szCs w:val="18"/>
          <w:color w:val="auto"/>
        </w:rPr>
        <w:t>” in this prospectus. We will also describe in an applicable prospectus supplement the way(s) in which we expect to use the net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receive from any sale.</w:t>
      </w:r>
    </w:p>
    <w:p>
      <w:pPr>
        <w:spacing w:after="0" w:line="179"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8, 2024.</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800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9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0"/>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6400" w:type="dxa"/>
            <w:vAlign w:val="bottom"/>
            <w:gridSpan w:val="1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420" w:type="dxa"/>
            <w:vAlign w:val="bottom"/>
            <w:gridSpan w:val="13"/>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62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2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596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8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have filed with the Securities and Exchange Commission, or the SEC, as a “well-known seasoned issuer” as defined in Rule 405 of the Securities Act of 1933, as amended, or the Securities Act.</w:t>
      </w:r>
    </w:p>
    <w:p>
      <w:pPr>
        <w:spacing w:after="0" w:line="162"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Under this process, we may sell the securities described in this prospectus in one or more offerings.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92"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cs="Times New Roman" w:eastAsia="Times New Roman" w:hAnsi="Times New Roman"/>
          <w:sz w:val="17"/>
          <w:szCs w:val="17"/>
          <w:i w:val="1"/>
          <w:iCs w:val="1"/>
          <w:color w:val="auto"/>
        </w:rPr>
        <w:t>Where You Can Find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More Information” </w:t>
      </w:r>
      <w:r>
        <w:rPr>
          <w:rFonts w:ascii="Times New Roman" w:cs="Times New Roman" w:eastAsia="Times New Roman" w:hAnsi="Times New Roman"/>
          <w:sz w:val="17"/>
          <w:szCs w:val="17"/>
          <w:color w:val="auto"/>
        </w:rPr>
        <w:t>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 in both this prospectus and the applicable prospectus supplement, and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spacing w:after="0" w:line="3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88"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color w:val="auto"/>
        </w:rPr>
        <w:t xml:space="preserve">We also make these documents available on our website at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94" w:lineRule="exact"/>
        <w:rPr>
          <w:sz w:val="20"/>
          <w:szCs w:val="20"/>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2023, filed with the SEC on </w:t>
      </w:r>
      <w:hyperlink r:id="rId65">
        <w:r>
          <w:rPr>
            <w:rFonts w:ascii="Times New Roman" w:cs="Times New Roman" w:eastAsia="Times New Roman" w:hAnsi="Times New Roman"/>
            <w:sz w:val="18"/>
            <w:szCs w:val="18"/>
            <w:u w:val="single" w:color="auto"/>
            <w:color w:val="0000EE"/>
          </w:rPr>
          <w:t>March 21,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0" w:right="320" w:hanging="316"/>
        <w:spacing w:after="0" w:line="282" w:lineRule="auto"/>
        <w:tabs>
          <w:tab w:leader="none" w:pos="540" w:val="left"/>
        </w:tabs>
        <w:numPr>
          <w:ilvl w:val="0"/>
          <w:numId w:val="8"/>
        </w:numPr>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auto"/>
          </w:rPr>
          <w:t xml:space="preserve">Quarterly Reports on Form 10-Q for the quarters ended March 31, 2024 and June 30, 2024, filed with the SEC on </w:t>
        </w:r>
        <w:r>
          <w:rPr>
            <w:rFonts w:ascii="Times New Roman" w:cs="Times New Roman" w:eastAsia="Times New Roman" w:hAnsi="Times New Roman"/>
            <w:sz w:val="18"/>
            <w:szCs w:val="18"/>
            <w:u w:val="single" w:color="auto"/>
            <w:color w:val="0000EE"/>
          </w:rPr>
          <w:t>May 9,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August 8,</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540" w:right="38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66">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April 2, 2024</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(in each case, excluding information furnished pursuant to Item 7.01) and </w:t>
      </w:r>
      <w:hyperlink r:id="rId70">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540" w:right="120" w:hanging="316"/>
        <w:spacing w:after="0" w:line="258"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52">
        <w:r>
          <w:rPr>
            <w:rFonts w:ascii="Times New Roman" w:cs="Times New Roman" w:eastAsia="Times New Roman" w:hAnsi="Times New Roman"/>
            <w:sz w:val="18"/>
            <w:szCs w:val="18"/>
            <w:u w:val="single" w:color="auto"/>
            <w:color w:val="0000EE"/>
          </w:rPr>
          <w:t>August 10, 2020</w:t>
        </w:r>
      </w:hyperlink>
      <w:r>
        <w:rPr>
          <w:rFonts w:ascii="Times New Roman" w:cs="Times New Roman" w:eastAsia="Times New Roman" w:hAnsi="Times New Roman"/>
          <w:sz w:val="18"/>
          <w:szCs w:val="18"/>
          <w:color w:val="auto"/>
        </w:rPr>
        <w:t xml:space="preserve">, and as set forth by the description of the Registrant’s common stock set forth in </w:t>
      </w:r>
      <w:hyperlink r:id="rId53">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Form 10-K for the year ended December 31, 2021, filed with the SEC on </w:t>
      </w:r>
      <w:hyperlink r:id="rId54">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 xml:space="preserve">, and as further supplemented by the description of the Registrant’s common stock set forth in the Registrant’s Registration Statement on Form S-4/A, filed with the SEC on </w:t>
      </w:r>
      <w:hyperlink r:id="rId55">
        <w:r>
          <w:rPr>
            <w:rFonts w:ascii="Times New Roman" w:cs="Times New Roman" w:eastAsia="Times New Roman" w:hAnsi="Times New Roman"/>
            <w:sz w:val="18"/>
            <w:szCs w:val="18"/>
            <w:u w:val="single" w:color="auto"/>
            <w:color w:val="0000EE"/>
          </w:rPr>
          <w:t>December 1, 2022</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89" w:lineRule="exact"/>
        <w:rPr>
          <w:rFonts w:ascii="Times New Roman" w:cs="Times New Roman" w:eastAsia="Times New Roman" w:hAnsi="Times New Roman"/>
          <w:sz w:val="18"/>
          <w:szCs w:val="18"/>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87" w:lineRule="exact"/>
        <w:rPr>
          <w:rFonts w:ascii="Times New Roman" w:cs="Times New Roman" w:eastAsia="Times New Roman" w:hAnsi="Times New Roman"/>
          <w:sz w:val="18"/>
          <w:szCs w:val="18"/>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excluding all exhibits unless specifically incorporated by reference as an exhibit to this prospectus and the applicable prospectus supplement.</w:t>
      </w:r>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Prospective investors may obtain documents incorporated by reference in this prospectus and the applicable prospectus supplement at no cost by requesting them in writing or by telephone from us at our executive offices at:</w:t>
      </w:r>
    </w:p>
    <w:p>
      <w:pPr>
        <w:spacing w:after="0" w:line="5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5500" w:hanging="438"/>
        <w:spacing w:after="0"/>
        <w:tabs>
          <w:tab w:leader="none" w:pos="5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674-9274</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0520"/>
          </w:cols>
          <w:pgMar w:left="320" w:top="455" w:right="10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include, among other things:</w:t>
      </w:r>
    </w:p>
    <w:p>
      <w:pPr>
        <w:spacing w:after="0" w:line="97" w:lineRule="exact"/>
        <w:rPr>
          <w:sz w:val="20"/>
          <w:szCs w:val="20"/>
          <w:color w:val="auto"/>
        </w:rPr>
      </w:pPr>
    </w:p>
    <w:p>
      <w:pPr>
        <w:ind w:left="1080" w:right="8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ongoing Phase 1b/2 clinical trials of DISC-0974 and our ongoing Phase 1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conflicts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 and</w:t>
      </w:r>
    </w:p>
    <w:p>
      <w:pPr>
        <w:spacing w:after="0" w:line="8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and any related prospectus supplement or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 and Estimates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Disc Medicine, Inc., the Disc logo and our other registered or common law trademarks, trade names or service marks appearing in this prospectus are owned by us. This prospectus, any applicable prospectus supplement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76" w:lineRule="auto"/>
        <w:rPr>
          <w:sz w:val="20"/>
          <w:szCs w:val="20"/>
          <w:color w:val="auto"/>
        </w:rPr>
      </w:pPr>
      <w:r>
        <w:rPr>
          <w:rFonts w:ascii="Times New Roman" w:cs="Times New Roman" w:eastAsia="Times New Roman" w:hAnsi="Times New Roman"/>
          <w:sz w:val="17"/>
          <w:szCs w:val="17"/>
          <w:color w:val="auto"/>
        </w:rPr>
        <w:t>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w:t>
      </w:r>
    </w:p>
    <w:p>
      <w:pPr>
        <w:spacing w:after="0" w:line="1" w:lineRule="exact"/>
        <w:rPr>
          <w:sz w:val="20"/>
          <w:szCs w:val="20"/>
          <w:color w:val="auto"/>
        </w:rPr>
      </w:pPr>
    </w:p>
    <w:p>
      <w:pPr>
        <w:ind w:left="120" w:hanging="4"/>
        <w:spacing w:after="0" w:line="227" w:lineRule="auto"/>
        <w:tabs>
          <w:tab w:leader="none" w:pos="267"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presented topline data from AURORA in April 2024. Additional analyses of the BEACON and AURORA trials were presented in June 2024. We expect to have regulatory interactions to define optimal registrational endpoints moving forward in EPP in the second half of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spacing w:after="0" w:line="19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presented additional interim data for anemia of MF in June 2024, including safety and changes in hepcidin, iron, and hemoglobin levels for additional patients, as well as longer follow-up. We anticipate presenting additional interim data for non-dialysis dependent CKD and anemia in second half of 2024. In addition, we are developing a preclinical anti-hemojuvelin, or HJV, monoclonal antibody, DISC-0998, which also targets hepcidin suppression and was</w:t>
      </w:r>
    </w:p>
    <w:p>
      <w:pPr>
        <w:spacing w:after="0" w:line="6" w:lineRule="exact"/>
        <w:rPr>
          <w:sz w:val="20"/>
          <w:szCs w:val="20"/>
          <w:color w:val="auto"/>
        </w:rPr>
      </w:pP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(SAD) portion of the Phase 1 clinical trial of DISC-3405 in healthy volunteers in June 2024. We anticipate presenting data from the multiple-ascending dose (MAD) portion of the Phase 1 healthy volunteer study of DISC-3405 in the fourth quarter of 2024. We expect to develop DISC-3405 for the treatment of PV and other hematologic disorders.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with Gemini</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18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or Disc Opco, in December 2022. On December 29, 2022, we completed our business combination with Gemini, in accordance with the terms of the Merger Agreement,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8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Company, please refer to other documents we have filed with the SEC and that are incorporated by reference into this prospectus, as listed under the heading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320" w:top="455"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ind w:left="1080" w:right="4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w:t>
      </w:r>
    </w:p>
    <w:p>
      <w:pPr>
        <w:spacing w:after="0" w:line="19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most recent Annual Report on Form 10-K, which is on file with the SEC and is incorporated herein by reference, as updated by our subsequent annual, quarterly and other reports we file with the SEC, as well as any amendments thereto, which are incorporated by reference into this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320" w:top="455" w:right="5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60"/>
          </w:cols>
          <w:pgMar w:left="320" w:top="455" w:right="8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8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dividends or other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listing arrangements;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directly to purchasers or through a combination of any of these methods of sale or as otherwise set forth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$0.0001 per share, and 10,000,000 shares of preferred stock, par value $0.0001 per share, all of which preferred stock is undesignated. As of June 30, 2024, we had 29,707,997 shares of our common stock outstanding and no shares of preferred stock outstanding. Unless our board of directors determines otherwise, we will issue all shares of our capital stock in uncertificated form.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be validly issued, fully paid and non-assessable.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August 7, 2024, the closing price for our common stock, as reported on The Nasdaq Global Market, was $41.27 per share. As of June 30, 2024, we had estimated approximately 19 stockholders of record.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LLC. The transfer agent and registrar’s address is 51 Mercedes Way, Edgewood, NY 11717.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our board of directors may fix are:</w:t>
      </w:r>
    </w:p>
    <w:p>
      <w:pPr>
        <w:spacing w:after="0" w:line="8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Series of Preferred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w:t>
      </w:r>
    </w:p>
    <w:p>
      <w:pPr>
        <w:spacing w:after="0" w:line="8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be subject to any preemptive or similar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holders of an estimated 5.0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Registration Rights Agreement</w:t>
      </w:r>
    </w:p>
    <w:p>
      <w:pPr>
        <w:spacing w:after="0" w:line="121" w:lineRule="exact"/>
        <w:rPr>
          <w:sz w:val="20"/>
          <w:szCs w:val="20"/>
          <w:color w:val="auto"/>
        </w:rPr>
      </w:pPr>
    </w:p>
    <w:p>
      <w:pPr>
        <w:jc w:val="both"/>
        <w:ind w:left="120" w:right="600"/>
        <w:spacing w:after="0" w:line="266" w:lineRule="auto"/>
        <w:rPr>
          <w:sz w:val="20"/>
          <w:szCs w:val="20"/>
          <w:color w:val="auto"/>
        </w:rPr>
      </w:pPr>
      <w:r>
        <w:rPr>
          <w:rFonts w:ascii="Times New Roman" w:cs="Times New Roman" w:eastAsia="Times New Roman" w:hAnsi="Times New Roman"/>
          <w:sz w:val="18"/>
          <w:szCs w:val="18"/>
          <w:color w:val="auto"/>
        </w:rPr>
        <w:t>We are party to a registration rights agreement, or the 2022 Registration Rights Agreement, with certain holders of our capital stock, or the 2022 Investors, pursuant to which we (i) agreed to register for resale shares of our common stock issued to the 2022 Investors pursuant to the Merger Agreement, or the Registrable Securities, and (ii) granted certain other registration rights to the 2022 Investors.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2022 Registration Rights Agreement provides for the following registration rights:</w:t>
      </w:r>
    </w:p>
    <w:p>
      <w:pPr>
        <w:spacing w:after="0" w:line="129" w:lineRule="exact"/>
        <w:rPr>
          <w:sz w:val="20"/>
          <w:szCs w:val="20"/>
          <w:color w:val="auto"/>
        </w:rPr>
      </w:pPr>
    </w:p>
    <w:p>
      <w:pPr>
        <w:ind w:left="1080" w:right="60" w:hanging="424"/>
        <w:spacing w:after="0" w:line="267"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Following the completion of the merger as contemplated by the Merger Agreement, we were required to file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a shelf registration statement registering the resale of the Registrable Securities, and use our commercially reasonable efforts to have such registration statement declared effective by the SEC as promptly as possible.</w:t>
      </w:r>
    </w:p>
    <w:p>
      <w:pPr>
        <w:spacing w:after="0" w:line="7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The fees, costs and expenses of registrations pursuant to the registration rights granted to the 2022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2021 Registration Rights Agreement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are a party to a registration rights agreement, or the 2021 Registration Rights Agreement, pursuant to which, among other things, certain holders of capital stock, including certain investors of FS Development Corporation, a Delaware corporation, or the FSDC Investors, certain entities affiliated with Atlas Ventures, entities affiliated with Lightstone Ventures, OrbiMed Private Investments VI, LP, and Wu Capital Investment LLC, or collectively, the Major Investors and together with the FSDC Investors, the Investors, were granted certain registration rights with respect to Registrable Securities, as defined in the 2021 Registration Rights Agreement, held by them, subject to certain conditions and limitations.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2021 Registration Rights Agreement provides for the following registration rights:</w:t>
      </w:r>
    </w:p>
    <w:p>
      <w:pPr>
        <w:spacing w:after="0" w:line="129" w:lineRule="exact"/>
        <w:rPr>
          <w:sz w:val="20"/>
          <w:szCs w:val="20"/>
          <w:color w:val="auto"/>
        </w:rPr>
      </w:pPr>
    </w:p>
    <w:p>
      <w:pPr>
        <w:ind w:left="1080" w:hanging="424"/>
        <w:spacing w:after="0" w:line="25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We are required, upon the written request of either (i) FSDC Investors holding a majority of the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A shelf registration statement pursuant to Rule 415 of Securities Act, was filed on February 17, 2021 and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w:t>
      </w:r>
    </w:p>
    <w:p>
      <w:pPr>
        <w:spacing w:after="0" w:line="85" w:lineRule="exact"/>
        <w:rPr>
          <w:rFonts w:ascii="Times New Roman" w:cs="Times New Roman" w:eastAsia="Times New Roman" w:hAnsi="Times New Roman"/>
          <w:sz w:val="18"/>
          <w:szCs w:val="18"/>
          <w:color w:val="auto"/>
        </w:rPr>
      </w:pPr>
    </w:p>
    <w:p>
      <w:pPr>
        <w:ind w:left="1080" w:right="240" w:hanging="424"/>
        <w:spacing w:after="0" w:line="257"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demand registration rights and shelf registration rights. </w:t>
      </w:r>
      <w:r>
        <w:rPr>
          <w:rFonts w:ascii="Times New Roman" w:cs="Times New Roman" w:eastAsia="Times New Roman" w:hAnsi="Times New Roman"/>
          <w:sz w:val="18"/>
          <w:szCs w:val="18"/>
          <w:color w:val="auto"/>
        </w:rPr>
        <w:t>We shall not be obligated to effect: (a) more than one (1)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w:t>
      </w:r>
    </w:p>
    <w:p>
      <w:pPr>
        <w:spacing w:after="0" w:line="8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At any time after the first anniversary of the closing date, if we propose to file a registration statement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w:t>
      </w:r>
    </w:p>
    <w:p>
      <w:pPr>
        <w:spacing w:after="0" w:line="85"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All fees, costs and expenses of underwritten registrations will be borne by us and underwriting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selling commissions will be borne by the holders of the shares 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88"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Securities of ours shall cease to be registrable securities upon the earlier of (i) tenth anniversary of February 5,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6" w:lineRule="auto"/>
        <w:rPr>
          <w:sz w:val="20"/>
          <w:szCs w:val="20"/>
          <w:color w:val="auto"/>
        </w:rPr>
      </w:pPr>
      <w:r>
        <w:rPr>
          <w:rFonts w:ascii="Times New Roman" w:cs="Times New Roman" w:eastAsia="Times New Roman" w:hAnsi="Times New Roman"/>
          <w:sz w:val="18"/>
          <w:szCs w:val="18"/>
          <w:color w:val="auto"/>
        </w:rPr>
        <w:t>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Delaware Law</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3"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not governed by Section 203 of the Delaware General Corporation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 special meeting of stockholders may be called at any time by our board of directors, but such special meetings may not be called by the stockholders or any other person or persons.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contain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allow stockholders to act by written consent without a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22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w:t>
      </w:r>
    </w:p>
    <w:p>
      <w:pPr>
        <w:spacing w:after="0" w:line="18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96"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 or bylaws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may be amended or repealed by our board of directors or by the affirmative vote of the holders of not less than two-thirds of the voting power of all of the shares of the capital stock of our Company entitled to vote on such amendment or repeal, voting as one class; provided, however, that if our board of directors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our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or free writing prospectus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and, if so, the terms and who the depository will 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in respect of our capital stock or the capital stock of our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our subsidiaries’ ability to pay dividends, make distributions or transfer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stockholders or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our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or special United States federal income tax considerations applicable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will describe in each applicable prospectus supplement or free writing prospectus any additional events of default relating to the relevant series of debt securities.</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3"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indentures or to appoint a receiver or trustee, or to seek other remedies if:</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w:t>
      </w:r>
      <w:r>
        <w:rPr>
          <w:rFonts w:ascii="Times New Roman" w:cs="Times New Roman" w:eastAsia="Times New Roman" w:hAnsi="Times New Roman"/>
          <w:sz w:val="18"/>
          <w:szCs w:val="18"/>
          <w:i w:val="1"/>
          <w:iCs w:val="1"/>
          <w:color w:val="auto"/>
        </w:rPr>
        <w:t>Description of Debt Securities-Consolidation, Merger or Sale</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w:t>
      </w:r>
    </w:p>
    <w:p>
      <w:pPr>
        <w:spacing w:after="0" w:line="27" w:lineRule="exact"/>
        <w:rPr>
          <w:rFonts w:ascii="Times New Roman" w:cs="Times New Roman" w:eastAsia="Times New Roman" w:hAnsi="Times New Roman"/>
          <w:sz w:val="18"/>
          <w:szCs w:val="18"/>
          <w:color w:val="auto"/>
        </w:rPr>
      </w:pPr>
    </w:p>
    <w:p>
      <w:pPr>
        <w:ind w:left="108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Debt Securities-General</w:t>
      </w:r>
      <w:r>
        <w:rPr>
          <w:rFonts w:ascii="Times New Roman" w:cs="Times New Roman" w:eastAsia="Times New Roman" w:hAnsi="Times New Roman"/>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and to make all appropriate changes for such purpose;</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89"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of the series of debt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or repurchase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or free writing prospectus, in denominations of $1,000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85" w:lineRule="exact"/>
        <w:rPr>
          <w:sz w:val="20"/>
          <w:szCs w:val="20"/>
          <w:color w:val="auto"/>
        </w:rPr>
      </w:pPr>
    </w:p>
    <w:p>
      <w:pPr>
        <w:jc w:val="both"/>
        <w:ind w:left="1080" w:right="2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of Debt Securities</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7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2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xml:space="preserve">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Description of Warrants</w:t>
      </w:r>
      <w:r>
        <w:rPr>
          <w:rFonts w:ascii="Times New Roman" w:cs="Times New Roman" w:eastAsia="Times New Roman" w:hAnsi="Times New Roman"/>
          <w:sz w:val="17"/>
          <w:szCs w:val="17"/>
          <w:color w:val="auto"/>
        </w:rPr>
        <w:t>” will apply to the securities included in each unit, to the extent relevant and as may be updated in any prospectus supplements.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312" w:lineRule="auto"/>
        <w:tabs>
          <w:tab w:leader="none" w:pos="10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40"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1080" w:right="2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market maker or into an existing trading market on an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following information to the extent applicable:</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88"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 order to facilitate the offering of securities, the underwriters may engage in transactions that stabilize, maintain or otherwise affect the price of the securities. Specifically, the underwriters may overallot in connection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0"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at-the-market offerings, we will do so pursuant to the terms of a sales agency financing agreement or other at-the-market offering arrangement between us, on the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Goodwin Procter LLP, Boston, Massachusetts. Additional legal matters may be passed on for us, or any underwriters, dealers or agents by counsel we will name in the applicable prospectus supplement.</w:t>
      </w:r>
    </w:p>
    <w:p>
      <w:pPr>
        <w:spacing w:after="0" w:line="3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appearing in Disc Medicine,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320" w:top="455" w:right="6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652780</wp:posOffset>
            </wp:positionV>
            <wp:extent cx="3703320" cy="5746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3703320" cy="57467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Up to $200,000,000</w:t>
      </w:r>
    </w:p>
    <w:p>
      <w:pPr>
        <w:spacing w:after="0" w:line="22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2330450</wp:posOffset>
            </wp:positionV>
            <wp:extent cx="1474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3201035</wp:posOffset>
            </wp:positionV>
            <wp:extent cx="1474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2515235</wp:posOffset>
            </wp:positionV>
            <wp:extent cx="1543050" cy="300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154305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November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457200</wp:posOffset>
            </wp:positionV>
            <wp:extent cx="6995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525780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424(b)(5)</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434" w:type="dxa"/>
        <w:tblCellMar>
          <w:top w:w="0" w:type="dxa"/>
          <w:left w:w="0" w:type="dxa"/>
          <w:bottom w:w="0" w:type="dxa"/>
          <w:right w:w="0" w:type="dxa"/>
        </w:tblCellMar>
      </w:tblPr>
      <w:tr>
        <w:trPr>
          <w:trHeight w:val="144"/>
        </w:trPr>
        <w:tc>
          <w:tcPr>
            <w:tcW w:w="1340" w:type="dxa"/>
            <w:vAlign w:val="bottom"/>
            <w:tcBorders>
              <w:top w:val="single" w:sz="8" w:color="auto"/>
              <w:left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202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jc w:val="center"/>
              <w:ind w:left="9"/>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1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r>
      <w:tr>
        <w:trPr>
          <w:trHeight w:val="135"/>
        </w:trPr>
        <w:tc>
          <w:tcPr>
            <w:tcW w:w="134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Fee Calculation</w:t>
            </w:r>
          </w:p>
        </w:tc>
        <w:tc>
          <w:tcPr>
            <w:tcW w:w="11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ind w:left="9"/>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1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135"/>
        </w:trPr>
        <w:tc>
          <w:tcPr>
            <w:tcW w:w="134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2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1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ind w:left="9"/>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1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9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134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2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1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w:t>
            </w:r>
          </w:p>
        </w:tc>
        <w:tc>
          <w:tcPr>
            <w:tcW w:w="11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9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65"/>
        </w:trPr>
        <w:tc>
          <w:tcPr>
            <w:tcW w:w="1340" w:type="dxa"/>
            <w:vAlign w:val="bottom"/>
            <w:tcBorders>
              <w:left w:val="single" w:sz="8" w:color="auto"/>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3"/>
                <w:szCs w:val="13"/>
                <w:color w:val="auto"/>
                <w:w w:val="97"/>
              </w:rPr>
              <w:t>Registered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Per Unit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9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Fee Rate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11"/>
        </w:trPr>
        <w:tc>
          <w:tcPr>
            <w:tcW w:w="1340" w:type="dxa"/>
            <w:vAlign w:val="bottom"/>
            <w:tcBorders>
              <w:left w:val="single" w:sz="8" w:color="auto"/>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r>
      <w:tr>
        <w:trPr>
          <w:trHeight w:val="205"/>
        </w:trPr>
        <w:tc>
          <w:tcPr>
            <w:tcW w:w="1340" w:type="dxa"/>
            <w:vAlign w:val="bottom"/>
            <w:tcBorders>
              <w:left w:val="single" w:sz="8" w:color="auto"/>
              <w:right w:val="single" w:sz="8" w:color="auto"/>
            </w:tcBorders>
          </w:tcPr>
          <w:p>
            <w:pPr>
              <w:jc w:val="center"/>
              <w:ind w:left="30"/>
              <w:spacing w:after="0" w:line="205" w:lineRule="exact"/>
              <w:rPr>
                <w:sz w:val="20"/>
                <w:szCs w:val="20"/>
                <w:color w:val="auto"/>
              </w:rPr>
            </w:pPr>
            <w:r>
              <w:rPr>
                <w:rFonts w:ascii="Times New Roman" w:cs="Times New Roman" w:eastAsia="Times New Roman" w:hAnsi="Times New Roman"/>
                <w:sz w:val="18"/>
                <w:szCs w:val="18"/>
                <w:color w:val="auto"/>
              </w:rPr>
              <w:t>Fees to Be Paid</w:t>
            </w:r>
          </w:p>
        </w:tc>
        <w:tc>
          <w:tcPr>
            <w:tcW w:w="6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Common Stock,</w:t>
            </w:r>
          </w:p>
        </w:tc>
        <w:tc>
          <w:tcPr>
            <w:tcW w:w="20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260"/>
              <w:spacing w:after="0"/>
              <w:rPr>
                <w:sz w:val="20"/>
                <w:szCs w:val="20"/>
                <w:color w:val="auto"/>
              </w:rPr>
            </w:pPr>
            <w:r>
              <w:rPr>
                <w:rFonts w:ascii="Times New Roman" w:cs="Times New Roman" w:eastAsia="Times New Roman" w:hAnsi="Times New Roman"/>
                <w:sz w:val="18"/>
                <w:szCs w:val="18"/>
                <w:color w:val="auto"/>
              </w:rPr>
              <w:t>$0.0001</w:t>
            </w:r>
          </w:p>
        </w:tc>
        <w:tc>
          <w:tcPr>
            <w:tcW w:w="20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20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55"/>
        </w:trPr>
        <w:tc>
          <w:tcPr>
            <w:tcW w:w="1340" w:type="dxa"/>
            <w:vAlign w:val="bottom"/>
            <w:tcBorders>
              <w:left w:val="single" w:sz="8" w:color="auto"/>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457(o) and 457(r)(1)</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8"/>
              </w:rPr>
              <w:t>$200,000,000</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0.00015310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$30,620</w:t>
            </w:r>
          </w:p>
        </w:tc>
      </w:tr>
      <w:tr>
        <w:trPr>
          <w:trHeight w:val="211"/>
        </w:trPr>
        <w:tc>
          <w:tcPr>
            <w:tcW w:w="134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Previously</w:t>
            </w:r>
          </w:p>
        </w:tc>
        <w:tc>
          <w:tcPr>
            <w:tcW w:w="6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55"/>
        </w:trPr>
        <w:tc>
          <w:tcPr>
            <w:tcW w:w="134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8"/>
              </w:rPr>
              <w:t>$200,000,000</w:t>
            </w: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$30,620</w:t>
            </w:r>
          </w:p>
        </w:tc>
      </w:tr>
      <w:tr>
        <w:trPr>
          <w:trHeight w:val="237"/>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1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$25,144.84(2)</w:t>
            </w:r>
          </w:p>
        </w:tc>
      </w:tr>
      <w:tr>
        <w:trPr>
          <w:trHeight w:val="236"/>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Net Fee Due</w:t>
            </w:r>
          </w:p>
        </w:tc>
        <w:tc>
          <w:tcPr>
            <w:tcW w:w="11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$5,475.16</w:t>
            </w:r>
          </w:p>
        </w:tc>
      </w:tr>
    </w:tbl>
    <w:p>
      <w:pPr>
        <w:spacing w:after="0" w:line="225" w:lineRule="exact"/>
        <w:rPr>
          <w:sz w:val="20"/>
          <w:szCs w:val="20"/>
          <w:color w:val="auto"/>
        </w:rPr>
      </w:pPr>
    </w:p>
    <w:p>
      <w:pPr>
        <w:ind w:left="424" w:right="20" w:hanging="424"/>
        <w:spacing w:after="0" w:line="255"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is calculated in accordance with Rule 457(o) under the Securities Act of 1933, as amended (the “Securities Act”), based on the proposed maximum aggregate offering price, and Rule 457(r) under the Securities Act. In accordance with Rules 456(b) and 457(r) under the Securities Act, the Registrant initially deferred payment of all of the registration fee for Registration Statement on Form S-3ASR (Registration No. 333-281359), which was filed with the Securities and Exchange Commission (the “SEC”) on August 8, 2024.</w:t>
      </w:r>
    </w:p>
    <w:p>
      <w:pPr>
        <w:spacing w:after="0" w:line="2" w:lineRule="exact"/>
        <w:rPr>
          <w:rFonts w:ascii="Times New Roman" w:cs="Times New Roman" w:eastAsia="Times New Roman" w:hAnsi="Times New Roman"/>
          <w:sz w:val="18"/>
          <w:szCs w:val="18"/>
          <w:color w:val="auto"/>
        </w:rPr>
      </w:pPr>
    </w:p>
    <w:p>
      <w:pPr>
        <w:ind w:left="424" w:right="340" w:hanging="424"/>
        <w:spacing w:after="0" w:line="255"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457(p) under the Securities Act, the registrant hereby applies $25,144.84 of the registration fee previously paid in connection with the Prior Registration Statement (as defined below) to offset the registration fees that are payable in connection with the registration of securities on this registration statement.</w:t>
      </w:r>
    </w:p>
    <w:p>
      <w:pPr>
        <w:sectPr>
          <w:pgSz w:w="11900" w:h="16838" w:orient="portrait"/>
          <w:cols w:equalWidth="0" w:num="1">
            <w:col w:w="11024"/>
          </w:cols>
          <w:pgMar w:left="436" w:top="121" w:right="439" w:bottom="1440" w:gutter="0" w:footer="0" w:header="0"/>
        </w:sectPr>
      </w:pPr>
    </w:p>
    <w:bookmarkStart w:id="61" w:name="page62"/>
    <w:bookmarkEnd w:id="6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2: Fee Offset Claims and Sources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1060" w:type="dxa"/>
            <w:vAlign w:val="bottom"/>
            <w:tcBorders>
              <w:top w:val="single" w:sz="8" w:color="auto"/>
              <w:left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44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Unsold</w:t>
            </w:r>
          </w:p>
        </w:tc>
        <w:tc>
          <w:tcPr>
            <w:tcW w:w="960" w:type="dxa"/>
            <w:vAlign w:val="bottom"/>
            <w:tcBorders>
              <w:top w:val="single" w:sz="8" w:color="auto"/>
              <w:right w:val="single" w:sz="8" w:color="auto"/>
            </w:tcBorders>
          </w:tcPr>
          <w:p>
            <w:pPr>
              <w:spacing w:after="0"/>
              <w:rPr>
                <w:sz w:val="12"/>
                <w:szCs w:val="12"/>
                <w:color w:val="auto"/>
              </w:rPr>
            </w:pP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60" w:type="dxa"/>
            <w:vAlign w:val="bottom"/>
            <w:tcBorders>
              <w:right w:val="single" w:sz="8" w:color="auto"/>
            </w:tcBorders>
          </w:tcPr>
          <w:p>
            <w:pPr>
              <w:spacing w:after="0"/>
              <w:rPr>
                <w:sz w:val="11"/>
                <w:szCs w:val="11"/>
                <w:color w:val="auto"/>
              </w:rPr>
            </w:pPr>
          </w:p>
        </w:tc>
      </w:tr>
      <w:tr>
        <w:trPr>
          <w:trHeight w:val="140"/>
        </w:trPr>
        <w:tc>
          <w:tcPr>
            <w:tcW w:w="1060" w:type="dxa"/>
            <w:vAlign w:val="bottom"/>
            <w:tcBorders>
              <w:left w:val="single" w:sz="8" w:color="auto"/>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7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6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Unsold</w:t>
            </w:r>
          </w:p>
        </w:tc>
        <w:tc>
          <w:tcPr>
            <w:tcW w:w="13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8"/>
              </w:rPr>
              <w:t>Offering</w:t>
            </w:r>
          </w:p>
        </w:tc>
        <w:tc>
          <w:tcPr>
            <w:tcW w:w="9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Fee</w:t>
            </w: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Type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89"/>
              </w:rPr>
              <w:t>Title</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Paid</w:t>
            </w: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9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Associated</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Associated</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Associated</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Associated</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Registrant</w:t>
            </w:r>
          </w:p>
        </w:tc>
        <w:tc>
          <w:tcPr>
            <w:tcW w:w="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of</w:t>
            </w:r>
          </w:p>
        </w:tc>
        <w:tc>
          <w:tcPr>
            <w:tcW w:w="9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11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40" w:type="dxa"/>
            <w:vAlign w:val="bottom"/>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with Fee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with Fee</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with Fee</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or Filer</w:t>
            </w:r>
          </w:p>
        </w:tc>
        <w:tc>
          <w:tcPr>
            <w:tcW w:w="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11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Filing</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40" w:type="dxa"/>
            <w:vAlign w:val="bottom"/>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Offset</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Offset</w:t>
            </w:r>
          </w:p>
        </w:tc>
      </w:tr>
      <w:tr>
        <w:trPr>
          <w:trHeight w:val="174"/>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Name</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Claimed</w:t>
            </w: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Claimed</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Source</w:t>
            </w:r>
          </w:p>
        </w:tc>
      </w:tr>
      <w:tr>
        <w:trPr>
          <w:trHeight w:val="233"/>
        </w:trPr>
        <w:tc>
          <w:tcPr>
            <w:tcW w:w="1060" w:type="dxa"/>
            <w:vAlign w:val="bottom"/>
            <w:tcBorders>
              <w:left w:val="single" w:sz="8" w:color="auto"/>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r>
      <w:tr>
        <w:trPr>
          <w:trHeight w:val="209"/>
        </w:trPr>
        <w:tc>
          <w:tcPr>
            <w:tcW w:w="10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 Offset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Disc</w:t>
            </w:r>
          </w:p>
        </w:tc>
        <w:tc>
          <w:tcPr>
            <w:tcW w:w="4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Claims</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Medicine,</w:t>
            </w:r>
          </w:p>
        </w:tc>
        <w:tc>
          <w:tcPr>
            <w:tcW w:w="4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November 20,</w:t>
            </w:r>
          </w:p>
        </w:tc>
        <w:tc>
          <w:tcPr>
            <w:tcW w:w="1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41"/>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Inc.</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333-275652</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1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$25,144.84</w:t>
            </w: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$170,357,981.13</w:t>
            </w:r>
          </w:p>
        </w:tc>
        <w:tc>
          <w:tcPr>
            <w:tcW w:w="960" w:type="dxa"/>
            <w:vAlign w:val="bottom"/>
            <w:tcBorders>
              <w:bottom w:val="single" w:sz="8" w:color="auto"/>
              <w:right w:val="single" w:sz="8" w:color="auto"/>
            </w:tcBorders>
          </w:tcPr>
          <w:p>
            <w:pPr>
              <w:spacing w:after="0"/>
              <w:rPr>
                <w:sz w:val="20"/>
                <w:szCs w:val="20"/>
                <w:color w:val="auto"/>
              </w:rPr>
            </w:pPr>
          </w:p>
        </w:tc>
      </w:tr>
      <w:tr>
        <w:trPr>
          <w:trHeight w:val="211"/>
        </w:trPr>
        <w:tc>
          <w:tcPr>
            <w:tcW w:w="10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 Offset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Disc</w:t>
            </w:r>
          </w:p>
        </w:tc>
        <w:tc>
          <w:tcPr>
            <w:tcW w:w="4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Sources</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Medicine,</w:t>
            </w:r>
          </w:p>
        </w:tc>
        <w:tc>
          <w:tcPr>
            <w:tcW w:w="4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20,</w:t>
            </w:r>
          </w:p>
        </w:tc>
        <w:tc>
          <w:tcPr>
            <w:tcW w:w="9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41"/>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Inc.</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333-275652</w:t>
            </w:r>
          </w:p>
        </w:tc>
        <w:tc>
          <w:tcPr>
            <w:tcW w:w="11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2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$25,144.84</w:t>
            </w:r>
          </w:p>
        </w:tc>
      </w:tr>
    </w:tbl>
    <w:p>
      <w:pPr>
        <w:spacing w:after="0" w:line="225" w:lineRule="exact"/>
        <w:rPr>
          <w:sz w:val="20"/>
          <w:szCs w:val="20"/>
          <w:color w:val="auto"/>
        </w:rPr>
      </w:pPr>
    </w:p>
    <w:p>
      <w:pPr>
        <w:ind w:left="424" w:hanging="424"/>
        <w:spacing w:after="0" w:line="256"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20, 2023, the registrant filed a registration statement on Form S-3 (File No. 333-275652) (the “Prior Registration Statement”) and on December 5, 2023, the registrant filed a prospectus supplement in connection with its 2023 “at-the-market” offering program (the “2023 ATM Prospectus”). The registrant paid a filing fee in the amount of $59,040.00 to register shares of its common stock with a maximum aggregate offering price of $400,000,000, which fee was calculated pursuant to Rule 457(o) under the Securities Act. As of the termination of the offering made pursuant to the 2023 ATM Prospectus $170,357,981.13 of shares of the registrant’s common stock remained unsold. Pursuant to Rule 457(p) under the Securities Act, filing fees in the amount of $25,144.84 relating to the unsold securities are being carried forward.</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617"/>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jpe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71" Type="http://schemas.openxmlformats.org/officeDocument/2006/relationships/image" Target="media/image41.png"/><Relationship Id="rId72" Type="http://schemas.openxmlformats.org/officeDocument/2006/relationships/image" Target="media/image42.png"/><Relationship Id="rId73" Type="http://schemas.openxmlformats.org/officeDocument/2006/relationships/image" Target="media/image43.png"/><Relationship Id="rId74" Type="http://schemas.openxmlformats.org/officeDocument/2006/relationships/image" Target="media/image44.png"/><Relationship Id="rId75" Type="http://schemas.openxmlformats.org/officeDocument/2006/relationships/image" Target="media/image45.png"/><Relationship Id="rId76"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82" Type="http://schemas.openxmlformats.org/officeDocument/2006/relationships/image" Target="media/image52.png"/><Relationship Id="rId83"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jpe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jpe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39" Type="http://schemas.openxmlformats.org/officeDocument/2006/relationships/hyperlink" Target="http://www.sec.gov/ix?doc=/Archives/edgar/data/1816736/000095017024034432/iron-20231231.htm" TargetMode="External"/><Relationship Id="rId40" Type="http://schemas.openxmlformats.org/officeDocument/2006/relationships/hyperlink" Target="http://www.sec.gov/ix?doc=/Archives/edgar/data/1816736/000095017024056304/iron-20240331.htm" TargetMode="External"/><Relationship Id="rId41" Type="http://schemas.openxmlformats.org/officeDocument/2006/relationships/hyperlink" Target="http://www.sec.gov/ix?doc=/Archives/edgar/data/1816736/000095017024093357/iron-20240630.htm" TargetMode="External"/><Relationship Id="rId42" Type="http://schemas.openxmlformats.org/officeDocument/2006/relationships/hyperlink" Target="http://www.sec.gov/ix?doc=/Archives/edgar/data/1816736/000095017024124650/iron-20240930.htm" TargetMode="External"/><Relationship Id="rId43" Type="http://schemas.openxmlformats.org/officeDocument/2006/relationships/hyperlink" Target="http://www.sec.gov/ix?doc=/Archives/edgar/data/1816736/000119312524025951/d758257d8k.htm" TargetMode="External"/><Relationship Id="rId44" Type="http://schemas.openxmlformats.org/officeDocument/2006/relationships/hyperlink" Target="http://www.sec.gov/ix?doc=/Archives/edgar/data/1816736/000119312524084937/d815786d8k.htm" TargetMode="External"/><Relationship Id="rId45" Type="http://schemas.openxmlformats.org/officeDocument/2006/relationships/hyperlink" Target="http://www.sec.gov/ix?doc=/Archives/edgar/data/1816736/000119312524161170/d826950d8k.htm" TargetMode="External"/><Relationship Id="rId46" Type="http://schemas.openxmlformats.org/officeDocument/2006/relationships/hyperlink" Target="http://www.sec.gov/ix?doc=/Archives/edgar/data/1816736/000119312524161587/d828009d8k.htm" TargetMode="External"/><Relationship Id="rId47" Type="http://schemas.openxmlformats.org/officeDocument/2006/relationships/hyperlink" Target="http://www.sec.gov/ix?doc=/Archives/edgar/data/1816736/000119312524161603/d829753d8k.htm" TargetMode="External"/><Relationship Id="rId48" Type="http://schemas.openxmlformats.org/officeDocument/2006/relationships/hyperlink" Target="http://www.sec.gov/ix?doc=/Archives/edgar/data/1816736/000095017024117318/iron-20241025.htm" TargetMode="External"/><Relationship Id="rId49" Type="http://schemas.openxmlformats.org/officeDocument/2006/relationships/hyperlink" Target="http://www.sec.gov/ix?doc=/Archives/edgar/data/1816736/000095017024120292/iron-20241104.htm" TargetMode="External"/><Relationship Id="rId50" Type="http://schemas.openxmlformats.org/officeDocument/2006/relationships/hyperlink" Target="http://www.sec.gov/ix?doc=/Archives/edgar/data/1816736/000095017024123718/iron-20241106.htm" TargetMode="External"/><Relationship Id="rId51" Type="http://schemas.openxmlformats.org/officeDocument/2006/relationships/hyperlink" Target="http://www.sec.gov/ix?doc=/Archives/edgar/data/0001816736/000119312524259855/d913169d8k.htm" TargetMode="External"/><Relationship Id="rId52" Type="http://schemas.openxmlformats.org/officeDocument/2006/relationships/hyperlink" Target="http://www.sec.gov/Archives/edgar/data/1816736/000121390020021145/ea125295-8a12b_fsdevelop.htm" TargetMode="External"/><Relationship Id="rId53" Type="http://schemas.openxmlformats.org/officeDocument/2006/relationships/hyperlink" Target="http://www.sec.gov/Archives/edgar/data/1816736/000095017022003288/gmtx-ex4_4.htm" TargetMode="External"/><Relationship Id="rId54" Type="http://schemas.openxmlformats.org/officeDocument/2006/relationships/hyperlink" Target="http://www.sec.gov/ix?doc=/Archives/edgar/data/1816736/000095017022003288/gmtx-20211231.htm" TargetMode="External"/><Relationship Id="rId55" Type="http://schemas.openxmlformats.org/officeDocument/2006/relationships/hyperlink" Target="http://www.sec.gov/Archives/edgar/data/1816736/000114036122043943/ny20005172x8_s4a.htm" TargetMode="External"/><Relationship Id="rId65" Type="http://schemas.openxmlformats.org/officeDocument/2006/relationships/hyperlink" Target="http://www.sec.gov/ix?doc=/Archives/edgar/data/0001816736/000095017024034432/iron-20231231.htm" TargetMode="External"/><Relationship Id="rId66" Type="http://schemas.openxmlformats.org/officeDocument/2006/relationships/hyperlink" Target="http://www.sec.gov/ix?doc=/Archives/edgar/data/0001816736/000119312524025951/d758257d8k.htm" TargetMode="External"/><Relationship Id="rId67" Type="http://schemas.openxmlformats.org/officeDocument/2006/relationships/hyperlink" Target="http://www.sec.gov/ix?doc=/Archives/edgar/data/0001816736/000119312524084937/d815786d8k.htm" TargetMode="External"/><Relationship Id="rId68" Type="http://schemas.openxmlformats.org/officeDocument/2006/relationships/hyperlink" Target="http://www.sec.gov/ix?doc=/Archives/edgar/data/0001816736/000119312524161170/d826950d8k.htm" TargetMode="External"/><Relationship Id="rId69" Type="http://schemas.openxmlformats.org/officeDocument/2006/relationships/hyperlink" Target="http://www.sec.gov/ix?doc=/Archives/edgar/data/0001816736/000119312524161587/d828009d8k.htm" TargetMode="External"/><Relationship Id="rId70" Type="http://schemas.openxmlformats.org/officeDocument/2006/relationships/hyperlink" Target="http://www.sec.gov/ix?doc=/Archives/edgar/data/0001816736/000119312524161603/d829753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2024-11-15T15:55:30Z</dcterms:created>
  <dcterms:modified xsi:type="dcterms:W3CDTF">2024-11-15T15:55:30Z</dcterms:modified>
</cp:coreProperties>
</file>