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20"/>
          <w:szCs w:val="20"/>
          <w:color w:val="auto"/>
        </w:rPr>
        <w:t>Gemini Therapeutics, Inc.</w:t>
      </w:r>
    </w:p>
    <w:p>
      <w:pPr>
        <w:spacing w:after="0" w:line="16" w:lineRule="exact"/>
        <w:rPr>
          <w:sz w:val="24"/>
          <w:szCs w:val="24"/>
          <w:color w:val="auto"/>
        </w:rPr>
      </w:pPr>
    </w:p>
    <w:p>
      <w:pPr>
        <w:jc w:val="center"/>
        <w:ind w:right="-419"/>
        <w:spacing w:after="0"/>
        <w:rPr>
          <w:sz w:val="20"/>
          <w:szCs w:val="20"/>
          <w:color w:val="auto"/>
        </w:rPr>
      </w:pPr>
      <w:r>
        <w:rPr>
          <w:rFonts w:ascii="Arial" w:cs="Arial" w:eastAsia="Arial" w:hAnsi="Arial"/>
          <w:sz w:val="20"/>
          <w:szCs w:val="20"/>
          <w:color w:val="auto"/>
        </w:rPr>
        <w:t>(formerly known as FS Development Corp.)</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-143510</wp:posOffset>
            </wp:positionV>
            <wp:extent cx="62407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20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8840" w:hanging="80"/>
        <w:spacing w:after="0" w:line="283"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555"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CUSIP No. 36870G105</w:t>
            </w:r>
          </w:p>
        </w:tc>
        <w:tc>
          <w:tcPr>
            <w:tcW w:w="6280" w:type="dxa"/>
            <w:vAlign w:val="bottom"/>
          </w:tcPr>
          <w:p>
            <w:pPr>
              <w:ind w:left="354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2 of 11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8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280" w:type="dxa"/>
            <w:vAlign w:val="bottom"/>
            <w:vMerge w:val="restart"/>
          </w:tcPr>
          <w:p>
            <w:pPr>
              <w:ind w:left="400"/>
              <w:spacing w:after="0"/>
              <w:rPr>
                <w:sz w:val="20"/>
                <w:szCs w:val="20"/>
                <w:color w:val="auto"/>
              </w:rPr>
            </w:pPr>
            <w:r>
              <w:rPr>
                <w:rFonts w:ascii="Arial" w:cs="Arial" w:eastAsia="Arial" w:hAnsi="Arial"/>
                <w:sz w:val="20"/>
                <w:szCs w:val="20"/>
                <w:color w:val="auto"/>
              </w:rPr>
              <w:t>Adage Capital Partners, L.P.</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2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28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8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28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682,612</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1.58%</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PN</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CUSIP No. 36870G105</w:t>
            </w:r>
          </w:p>
        </w:tc>
        <w:tc>
          <w:tcPr>
            <w:tcW w:w="6280" w:type="dxa"/>
            <w:vAlign w:val="bottom"/>
          </w:tcPr>
          <w:p>
            <w:pPr>
              <w:ind w:left="354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3 of 11 Pages</w:t>
            </w:r>
          </w:p>
        </w:tc>
        <w:tc>
          <w:tcPr>
            <w:tcW w:w="0" w:type="dxa"/>
            <w:vAlign w:val="bottom"/>
          </w:tcPr>
          <w:p>
            <w:pPr>
              <w:spacing w:after="0"/>
              <w:rPr>
                <w:sz w:val="1"/>
                <w:szCs w:val="1"/>
                <w:color w:val="auto"/>
              </w:rPr>
            </w:pPr>
          </w:p>
        </w:tc>
      </w:tr>
      <w:tr>
        <w:trPr>
          <w:trHeight w:val="432"/>
        </w:trPr>
        <w:tc>
          <w:tcPr>
            <w:tcW w:w="184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8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280" w:type="dxa"/>
            <w:vAlign w:val="bottom"/>
            <w:vMerge w:val="restart"/>
          </w:tcPr>
          <w:p>
            <w:pPr>
              <w:ind w:left="400"/>
              <w:spacing w:after="0"/>
              <w:rPr>
                <w:sz w:val="20"/>
                <w:szCs w:val="20"/>
                <w:color w:val="auto"/>
              </w:rPr>
            </w:pPr>
            <w:r>
              <w:rPr>
                <w:rFonts w:ascii="Arial" w:cs="Arial" w:eastAsia="Arial" w:hAnsi="Arial"/>
                <w:sz w:val="20"/>
                <w:szCs w:val="20"/>
                <w:color w:val="auto"/>
              </w:rPr>
              <w:t>Adage Capital Partners GP,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2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28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8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28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682,612</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1.58%</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OO</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CUSIP No. 36870G105</w:t>
            </w:r>
          </w:p>
        </w:tc>
        <w:tc>
          <w:tcPr>
            <w:tcW w:w="6280" w:type="dxa"/>
            <w:vAlign w:val="bottom"/>
          </w:tcPr>
          <w:p>
            <w:pPr>
              <w:ind w:left="354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4 of 11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8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280" w:type="dxa"/>
            <w:vAlign w:val="bottom"/>
            <w:vMerge w:val="restart"/>
          </w:tcPr>
          <w:p>
            <w:pPr>
              <w:ind w:left="400"/>
              <w:spacing w:after="0"/>
              <w:rPr>
                <w:sz w:val="20"/>
                <w:szCs w:val="20"/>
                <w:color w:val="auto"/>
              </w:rPr>
            </w:pPr>
            <w:r>
              <w:rPr>
                <w:rFonts w:ascii="Arial" w:cs="Arial" w:eastAsia="Arial" w:hAnsi="Arial"/>
                <w:sz w:val="20"/>
                <w:szCs w:val="20"/>
                <w:color w:val="auto"/>
              </w:rPr>
              <w:t>Adage Capital Advisors,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2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28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8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28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4"/>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682,612</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1.58%</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OO</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CUSIP No. 36870G105</w:t>
            </w:r>
          </w:p>
        </w:tc>
        <w:tc>
          <w:tcPr>
            <w:tcW w:w="6280" w:type="dxa"/>
            <w:vAlign w:val="bottom"/>
          </w:tcPr>
          <w:p>
            <w:pPr>
              <w:ind w:left="354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5 of 11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8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280" w:type="dxa"/>
            <w:vAlign w:val="bottom"/>
            <w:vMerge w:val="restart"/>
          </w:tcPr>
          <w:p>
            <w:pPr>
              <w:ind w:left="400"/>
              <w:spacing w:after="0"/>
              <w:rPr>
                <w:sz w:val="20"/>
                <w:szCs w:val="20"/>
                <w:color w:val="auto"/>
              </w:rPr>
            </w:pPr>
            <w:r>
              <w:rPr>
                <w:rFonts w:ascii="Arial" w:cs="Arial" w:eastAsia="Arial" w:hAnsi="Arial"/>
                <w:sz w:val="20"/>
                <w:szCs w:val="20"/>
                <w:color w:val="auto"/>
              </w:rPr>
              <w:t>Robert Atchinson</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2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28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8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28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5"/>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United States</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682,612</w:t>
            </w: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1.58%</w:t>
            </w: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rPr>
              <w:t>IN</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CUSIP No. 36870G105</w:t>
            </w:r>
          </w:p>
        </w:tc>
        <w:tc>
          <w:tcPr>
            <w:tcW w:w="6280" w:type="dxa"/>
            <w:vAlign w:val="bottom"/>
          </w:tcPr>
          <w:p>
            <w:pPr>
              <w:ind w:left="354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6 of 11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8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280" w:type="dxa"/>
            <w:vAlign w:val="bottom"/>
            <w:vMerge w:val="restart"/>
          </w:tcPr>
          <w:p>
            <w:pPr>
              <w:ind w:left="400"/>
              <w:spacing w:after="0"/>
              <w:rPr>
                <w:sz w:val="20"/>
                <w:szCs w:val="20"/>
                <w:color w:val="auto"/>
              </w:rPr>
            </w:pPr>
            <w:r>
              <w:rPr>
                <w:rFonts w:ascii="Arial" w:cs="Arial" w:eastAsia="Arial" w:hAnsi="Arial"/>
                <w:sz w:val="20"/>
                <w:szCs w:val="20"/>
                <w:color w:val="auto"/>
              </w:rPr>
              <w:t>Phillip Gross</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2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28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8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28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6"/>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United States</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682,612</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682,612</w:t>
            </w: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1.58%</w:t>
            </w: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rPr>
              <w:t>IN</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36870G105</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11 Pages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name of the issuer is Gemini Therapeutics, Inc. (formerly known as FS Development Corp.)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60" w:lineRule="exact"/>
        <w:rPr>
          <w:sz w:val="20"/>
          <w:szCs w:val="20"/>
          <w:color w:val="auto"/>
        </w:rPr>
      </w:pPr>
    </w:p>
    <w:p>
      <w:pPr>
        <w:ind w:left="1700" w:right="4100" w:hanging="1686"/>
        <w:spacing w:after="0" w:line="293" w:lineRule="auto"/>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The Company does not currently maintain a headquarter.</w:t>
      </w:r>
    </w:p>
    <w:p>
      <w:pPr>
        <w:spacing w:after="0" w:line="385"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This statement is filed by:</w:t>
      </w:r>
    </w:p>
    <w:p>
      <w:pPr>
        <w:spacing w:after="0" w:line="213" w:lineRule="exact"/>
        <w:rPr>
          <w:sz w:val="20"/>
          <w:szCs w:val="20"/>
          <w:color w:val="auto"/>
        </w:rPr>
      </w:pPr>
    </w:p>
    <w:p>
      <w:pPr>
        <w:ind w:left="2580" w:right="280" w:hanging="787"/>
        <w:spacing w:after="0" w:line="260" w:lineRule="auto"/>
        <w:tabs>
          <w:tab w:leader="none" w:pos="2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L.P., a Delaware limited partnership ("</w:t>
      </w:r>
      <w:r>
        <w:rPr>
          <w:rFonts w:ascii="Arial" w:cs="Arial" w:eastAsia="Arial" w:hAnsi="Arial"/>
          <w:sz w:val="20"/>
          <w:szCs w:val="20"/>
          <w:u w:val="single" w:color="auto"/>
          <w:color w:val="auto"/>
        </w:rPr>
        <w:t>ACP</w:t>
      </w:r>
      <w:r>
        <w:rPr>
          <w:rFonts w:ascii="Arial" w:cs="Arial" w:eastAsia="Arial" w:hAnsi="Arial"/>
          <w:sz w:val="20"/>
          <w:szCs w:val="20"/>
          <w:color w:val="auto"/>
        </w:rPr>
        <w:t>") with respect to the shares of Common Stock directly owned by it;</w:t>
      </w:r>
    </w:p>
    <w:p>
      <w:pPr>
        <w:spacing w:after="0" w:line="190" w:lineRule="exact"/>
        <w:rPr>
          <w:rFonts w:ascii="Arial" w:cs="Arial" w:eastAsia="Arial" w:hAnsi="Arial"/>
          <w:sz w:val="20"/>
          <w:szCs w:val="20"/>
          <w:color w:val="auto"/>
        </w:rPr>
      </w:pPr>
    </w:p>
    <w:p>
      <w:pPr>
        <w:ind w:left="2580" w:right="160" w:hanging="787"/>
        <w:spacing w:after="0" w:line="250" w:lineRule="auto"/>
        <w:tabs>
          <w:tab w:leader="none" w:pos="2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GP, L.L.C., a limited liability company organized under the laws of the State of Delaware ("</w:t>
      </w:r>
      <w:r>
        <w:rPr>
          <w:rFonts w:ascii="Arial" w:cs="Arial" w:eastAsia="Arial" w:hAnsi="Arial"/>
          <w:sz w:val="20"/>
          <w:szCs w:val="20"/>
          <w:u w:val="single" w:color="auto"/>
          <w:color w:val="auto"/>
        </w:rPr>
        <w:t>ACPGP</w:t>
      </w:r>
      <w:r>
        <w:rPr>
          <w:rFonts w:ascii="Arial" w:cs="Arial" w:eastAsia="Arial" w:hAnsi="Arial"/>
          <w:sz w:val="20"/>
          <w:szCs w:val="20"/>
          <w:color w:val="auto"/>
        </w:rPr>
        <w:t>"), as general partner of ACP with respect to the shares of Common Stock directly owned by ACP;</w:t>
      </w:r>
    </w:p>
    <w:p>
      <w:pPr>
        <w:spacing w:after="0" w:line="199" w:lineRule="exact"/>
        <w:rPr>
          <w:rFonts w:ascii="Arial" w:cs="Arial" w:eastAsia="Arial" w:hAnsi="Arial"/>
          <w:sz w:val="20"/>
          <w:szCs w:val="20"/>
          <w:color w:val="auto"/>
        </w:rPr>
      </w:pPr>
    </w:p>
    <w:p>
      <w:pPr>
        <w:ind w:left="2580" w:right="400" w:hanging="787"/>
        <w:spacing w:after="0" w:line="250" w:lineRule="auto"/>
        <w:tabs>
          <w:tab w:leader="none" w:pos="2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Advisors, L.L.C., a limited liability company organized under the laws of the State of Delaware ("</w:t>
      </w:r>
      <w:r>
        <w:rPr>
          <w:rFonts w:ascii="Arial" w:cs="Arial" w:eastAsia="Arial" w:hAnsi="Arial"/>
          <w:sz w:val="20"/>
          <w:szCs w:val="20"/>
          <w:u w:val="single" w:color="auto"/>
          <w:color w:val="auto"/>
        </w:rPr>
        <w:t>ACA</w:t>
      </w:r>
      <w:r>
        <w:rPr>
          <w:rFonts w:ascii="Arial" w:cs="Arial" w:eastAsia="Arial" w:hAnsi="Arial"/>
          <w:sz w:val="20"/>
          <w:szCs w:val="20"/>
          <w:color w:val="auto"/>
        </w:rPr>
        <w:t>"), as managing member of ACPGP, general partner of ACP, with respect to the shares of Common Stock directly owned by ACP;</w:t>
      </w:r>
    </w:p>
    <w:p>
      <w:pPr>
        <w:spacing w:after="0" w:line="199" w:lineRule="exact"/>
        <w:rPr>
          <w:rFonts w:ascii="Arial" w:cs="Arial" w:eastAsia="Arial" w:hAnsi="Arial"/>
          <w:sz w:val="20"/>
          <w:szCs w:val="20"/>
          <w:color w:val="auto"/>
        </w:rPr>
      </w:pPr>
    </w:p>
    <w:p>
      <w:pPr>
        <w:ind w:left="2580" w:right="320" w:hanging="787"/>
        <w:spacing w:after="0" w:line="287" w:lineRule="auto"/>
        <w:tabs>
          <w:tab w:leader="none" w:pos="2580" w:val="left"/>
        </w:tabs>
        <w:numPr>
          <w:ilvl w:val="0"/>
          <w:numId w:val="7"/>
        </w:numPr>
        <w:rPr>
          <w:rFonts w:ascii="Arial" w:cs="Arial" w:eastAsia="Arial" w:hAnsi="Arial"/>
          <w:sz w:val="19"/>
          <w:szCs w:val="19"/>
          <w:color w:val="auto"/>
        </w:rPr>
      </w:pPr>
      <w:r>
        <w:rPr>
          <w:rFonts w:ascii="Arial" w:cs="Arial" w:eastAsia="Arial" w:hAnsi="Arial"/>
          <w:sz w:val="19"/>
          <w:szCs w:val="19"/>
          <w:color w:val="auto"/>
        </w:rPr>
        <w:t>Robert Atchinson ("</w:t>
      </w:r>
      <w:r>
        <w:rPr>
          <w:rFonts w:ascii="Arial" w:cs="Arial" w:eastAsia="Arial" w:hAnsi="Arial"/>
          <w:sz w:val="19"/>
          <w:szCs w:val="19"/>
          <w:u w:val="single" w:color="auto"/>
          <w:color w:val="auto"/>
        </w:rPr>
        <w:t>Mr. Atchinson</w:t>
      </w:r>
      <w:r>
        <w:rPr>
          <w:rFonts w:ascii="Arial" w:cs="Arial" w:eastAsia="Arial" w:hAnsi="Arial"/>
          <w:sz w:val="19"/>
          <w:szCs w:val="19"/>
          <w:color w:val="auto"/>
        </w:rPr>
        <w:t>"), as managing member of ACA, managing member of ACPGP, general partner of ACP with respect to the shares of Common Stock directly owned by ACP; and</w:t>
      </w:r>
    </w:p>
    <w:p>
      <w:pPr>
        <w:spacing w:after="0" w:line="165" w:lineRule="exact"/>
        <w:rPr>
          <w:rFonts w:ascii="Arial" w:cs="Arial" w:eastAsia="Arial" w:hAnsi="Arial"/>
          <w:sz w:val="19"/>
          <w:szCs w:val="19"/>
          <w:color w:val="auto"/>
        </w:rPr>
      </w:pPr>
    </w:p>
    <w:p>
      <w:pPr>
        <w:ind w:left="2580" w:right="220" w:hanging="787"/>
        <w:spacing w:after="0" w:line="260" w:lineRule="auto"/>
        <w:tabs>
          <w:tab w:leader="none" w:pos="2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Phillip Gross ("</w:t>
      </w:r>
      <w:r>
        <w:rPr>
          <w:rFonts w:ascii="Arial" w:cs="Arial" w:eastAsia="Arial" w:hAnsi="Arial"/>
          <w:sz w:val="20"/>
          <w:szCs w:val="20"/>
          <w:u w:val="single" w:color="auto"/>
          <w:color w:val="auto"/>
        </w:rPr>
        <w:t>Mr. Gross</w:t>
      </w:r>
      <w:r>
        <w:rPr>
          <w:rFonts w:ascii="Arial" w:cs="Arial" w:eastAsia="Arial" w:hAnsi="Arial"/>
          <w:sz w:val="20"/>
          <w:szCs w:val="20"/>
          <w:color w:val="auto"/>
        </w:rPr>
        <w:t>"), as managing member of ACA, managing member of ACPGP, general partner of ACP with respect to the shares of Common Stock directly owned by ACP.</w:t>
      </w:r>
    </w:p>
    <w:p>
      <w:pPr>
        <w:spacing w:after="0" w:line="190" w:lineRule="exact"/>
        <w:rPr>
          <w:sz w:val="20"/>
          <w:szCs w:val="20"/>
          <w:color w:val="auto"/>
        </w:rPr>
      </w:pPr>
    </w:p>
    <w:p>
      <w:pPr>
        <w:ind w:left="1700" w:right="240"/>
        <w:spacing w:after="0" w:line="250" w:lineRule="auto"/>
        <w:rPr>
          <w:sz w:val="20"/>
          <w:szCs w:val="20"/>
          <w:color w:val="auto"/>
        </w:rPr>
      </w:pPr>
      <w:r>
        <w:rPr>
          <w:rFonts w:ascii="Arial" w:cs="Arial" w:eastAsia="Arial" w:hAnsi="Arial"/>
          <w:sz w:val="20"/>
          <w:szCs w:val="20"/>
          <w:color w:val="auto"/>
        </w:rPr>
        <w:t>The foregoing persons are hereinafter sometimes collectively referred to as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 Any disclosures herein with respect to persons other than the Reporting Persons are made on information and belief after making inquiry to the appropriate party.</w:t>
      </w:r>
    </w:p>
    <w:p>
      <w:pPr>
        <w:spacing w:after="0" w:line="199" w:lineRule="exact"/>
        <w:rPr>
          <w:sz w:val="20"/>
          <w:szCs w:val="20"/>
          <w:color w:val="auto"/>
        </w:rPr>
      </w:pPr>
    </w:p>
    <w:p>
      <w:pPr>
        <w:ind w:left="1700" w:right="540"/>
        <w:spacing w:after="0" w:line="260" w:lineRule="auto"/>
        <w:rPr>
          <w:sz w:val="20"/>
          <w:szCs w:val="20"/>
          <w:color w:val="auto"/>
        </w:rPr>
      </w:pPr>
      <w:r>
        <w:rPr>
          <w:rFonts w:ascii="Arial" w:cs="Arial" w:eastAsia="Arial" w:hAnsi="Arial"/>
          <w:sz w:val="20"/>
          <w:szCs w:val="20"/>
          <w:color w:val="auto"/>
        </w:rPr>
        <w:t>The filing of this statement should not be construed in and of itself as an admission by any Reporting Person as to beneficial ownership of the securities reported herein.</w:t>
      </w:r>
    </w:p>
    <w:p>
      <w:pPr>
        <w:spacing w:after="0" w:line="200" w:lineRule="exact"/>
        <w:rPr>
          <w:sz w:val="20"/>
          <w:szCs w:val="20"/>
          <w:color w:val="auto"/>
        </w:rPr>
      </w:pPr>
    </w:p>
    <w:p>
      <w:pPr>
        <w:spacing w:after="0" w:line="214"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2" w:lineRule="exact"/>
        <w:rPr>
          <w:sz w:val="20"/>
          <w:szCs w:val="20"/>
          <w:color w:val="auto"/>
        </w:rPr>
      </w:pPr>
    </w:p>
    <w:p>
      <w:pPr>
        <w:ind w:left="1700" w:right="640"/>
        <w:spacing w:after="0" w:line="244" w:lineRule="auto"/>
        <w:rPr>
          <w:sz w:val="20"/>
          <w:szCs w:val="20"/>
          <w:color w:val="auto"/>
        </w:rPr>
      </w:pPr>
      <w:r>
        <w:rPr>
          <w:rFonts w:ascii="Arial" w:cs="Arial" w:eastAsia="Arial" w:hAnsi="Arial"/>
          <w:sz w:val="20"/>
          <w:szCs w:val="20"/>
          <w:color w:val="auto"/>
        </w:rPr>
        <w:t>The address of the business office of each of the Reporting Persons is 200 Clarendon Street, 52nd Floor, Boston, Massachusetts 02116.</w:t>
      </w:r>
    </w:p>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36870G105</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CITIZENSHIP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ACP is a limited partnership organized under the laws of the State of Delaware. ACPGP and ACA are limited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companies organized under the laws of the State of Delaware. Messrs. Gross and Atchinson are citizens of the United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States.</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3"/>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980" w:type="dxa"/>
            <w:vAlign w:val="bottom"/>
            <w:gridSpan w:val="3"/>
          </w:tcPr>
          <w:p>
            <w:pPr>
              <w:ind w:left="440"/>
              <w:spacing w:after="0" w:line="206" w:lineRule="exact"/>
              <w:rPr>
                <w:sz w:val="20"/>
                <w:szCs w:val="20"/>
                <w:color w:val="auto"/>
              </w:rPr>
            </w:pPr>
            <w:r>
              <w:rPr>
                <w:rFonts w:ascii="Arial" w:cs="Arial" w:eastAsia="Arial" w:hAnsi="Arial"/>
                <w:sz w:val="20"/>
                <w:szCs w:val="20"/>
                <w:color w:val="auto"/>
              </w:rPr>
              <w:t>Common Stock, par value $0.0001 per share (the " Common Stock").</w:t>
            </w:r>
          </w:p>
        </w:tc>
      </w:tr>
      <w:tr>
        <w:trPr>
          <w:trHeight w:val="69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420" w:type="dxa"/>
            <w:vAlign w:val="bottom"/>
          </w:tcPr>
          <w:p>
            <w:pPr>
              <w:ind w:left="44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9980" w:type="dxa"/>
            <w:vAlign w:val="bottom"/>
            <w:gridSpan w:val="3"/>
          </w:tcPr>
          <w:p>
            <w:pPr>
              <w:ind w:left="440"/>
              <w:spacing w:after="0"/>
              <w:rPr>
                <w:sz w:val="20"/>
                <w:szCs w:val="20"/>
                <w:color w:val="auto"/>
              </w:rPr>
            </w:pPr>
            <w:r>
              <w:rPr>
                <w:rFonts w:ascii="Arial" w:cs="Arial" w:eastAsia="Arial" w:hAnsi="Arial"/>
                <w:sz w:val="20"/>
                <w:szCs w:val="20"/>
                <w:color w:val="auto"/>
              </w:rPr>
              <w:t>36870G105</w:t>
            </w:r>
          </w:p>
        </w:tc>
      </w:tr>
      <w:tr>
        <w:trPr>
          <w:trHeight w:val="66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3"/>
          </w:tcPr>
          <w:p>
            <w:pPr>
              <w:ind w:left="440"/>
              <w:spacing w:after="0"/>
              <w:rPr>
                <w:sz w:val="20"/>
                <w:szCs w:val="20"/>
                <w:color w:val="auto"/>
              </w:rPr>
            </w:pPr>
            <w:r>
              <w:rPr>
                <w:rFonts w:ascii="Arial" w:cs="Arial" w:eastAsia="Arial" w:hAnsi="Arial"/>
                <w:sz w:val="20"/>
                <w:szCs w:val="20"/>
                <w:b w:val="1"/>
                <w:bCs w:val="1"/>
                <w:color w:val="auto"/>
                <w:w w:val="99"/>
              </w:rPr>
              <w:t>IF THIS STATEMENT IS FILED PURSUANT TO Rules 13d-1(b), OR 13d-2(b) OR (c), CHECK WHETHER</w:t>
            </w:r>
          </w:p>
        </w:tc>
      </w:tr>
      <w:tr>
        <w:trPr>
          <w:trHeight w:val="251"/>
        </w:trPr>
        <w:tc>
          <w:tcPr>
            <w:tcW w:w="1260" w:type="dxa"/>
            <w:vAlign w:val="bottom"/>
          </w:tcPr>
          <w:p>
            <w:pPr>
              <w:spacing w:after="0"/>
              <w:rPr>
                <w:sz w:val="21"/>
                <w:szCs w:val="21"/>
                <w:color w:val="auto"/>
              </w:rPr>
            </w:pPr>
          </w:p>
        </w:tc>
        <w:tc>
          <w:tcPr>
            <w:tcW w:w="9980" w:type="dxa"/>
            <w:vAlign w:val="bottom"/>
            <w:gridSpan w:val="3"/>
          </w:tcPr>
          <w:p>
            <w:pPr>
              <w:ind w:left="440"/>
              <w:spacing w:after="0"/>
              <w:rPr>
                <w:sz w:val="20"/>
                <w:szCs w:val="20"/>
                <w:color w:val="auto"/>
              </w:rPr>
            </w:pPr>
            <w:r>
              <w:rPr>
                <w:rFonts w:ascii="Arial" w:cs="Arial" w:eastAsia="Arial" w:hAnsi="Arial"/>
                <w:sz w:val="20"/>
                <w:szCs w:val="20"/>
                <w:b w:val="1"/>
                <w:bCs w:val="1"/>
                <w:color w:val="auto"/>
              </w:rPr>
              <w:t>THE PERSON FILING IS A:</w:t>
            </w:r>
          </w:p>
        </w:tc>
      </w:tr>
    </w:tbl>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189" w:lineRule="exact"/>
        <w:rPr>
          <w:rFonts w:ascii="Arial" w:cs="Arial" w:eastAsia="Arial" w:hAnsi="Arial"/>
          <w:sz w:val="20"/>
          <w:szCs w:val="20"/>
          <w:color w:val="auto"/>
        </w:rPr>
      </w:pPr>
    </w:p>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p>
      <w:pPr>
        <w:spacing w:after="0" w:line="229" w:lineRule="exact"/>
        <w:rPr>
          <w:rFonts w:ascii="Arial" w:cs="Arial" w:eastAsia="Arial" w:hAnsi="Arial"/>
          <w:sz w:val="20"/>
          <w:szCs w:val="20"/>
          <w:color w:val="auto"/>
        </w:rPr>
      </w:pPr>
    </w:p>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p>
      <w:pPr>
        <w:spacing w:after="0" w:line="229" w:lineRule="exact"/>
        <w:rPr>
          <w:rFonts w:ascii="Arial" w:cs="Arial" w:eastAsia="Arial" w:hAnsi="Arial"/>
          <w:sz w:val="20"/>
          <w:szCs w:val="20"/>
          <w:color w:val="auto"/>
        </w:rPr>
      </w:pPr>
    </w:p>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140" w:right="160" w:hanging="1347"/>
        <w:spacing w:after="0" w:line="252" w:lineRule="exact"/>
        <w:tabs>
          <w:tab w:leader="none" w:pos="2678"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680" w:hanging="887"/>
        <w:spacing w:after="0" w:line="230" w:lineRule="exact"/>
        <w:tabs>
          <w:tab w:leader="none" w:pos="26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53" w:lineRule="exact"/>
        <w:rPr>
          <w:sz w:val="20"/>
          <w:szCs w:val="20"/>
          <w:color w:val="auto"/>
        </w:rPr>
      </w:pPr>
    </w:p>
    <w:p>
      <w:pPr>
        <w:ind w:left="1820" w:right="286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36870G105</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11 Pages</w:t>
      </w: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1" w:lineRule="exact"/>
        <w:rPr>
          <w:sz w:val="20"/>
          <w:szCs w:val="20"/>
          <w:color w:val="auto"/>
        </w:rPr>
      </w:pPr>
    </w:p>
    <w:p>
      <w:pPr>
        <w:ind w:left="1720" w:hanging="691"/>
        <w:spacing w:after="0"/>
        <w:tabs>
          <w:tab w:leader="none" w:pos="1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500" w:hanging="674"/>
        <w:spacing w:after="0"/>
        <w:tabs>
          <w:tab w:leader="none" w:pos="2500" w:val="left"/>
        </w:tabs>
        <w:numPr>
          <w:ilvl w:val="1"/>
          <w:numId w:val="9"/>
        </w:numPr>
        <w:rPr>
          <w:rFonts w:ascii="Arial" w:cs="Arial" w:eastAsia="Arial" w:hAnsi="Arial"/>
          <w:sz w:val="20"/>
          <w:szCs w:val="20"/>
          <w:color w:val="auto"/>
        </w:rPr>
      </w:pPr>
      <w:r>
        <w:rPr>
          <w:rFonts w:ascii="Arial" w:cs="Arial" w:eastAsia="Arial" w:hAnsi="Arial"/>
          <w:sz w:val="20"/>
          <w:szCs w:val="20"/>
          <w:color w:val="auto"/>
        </w:rPr>
        <w:t>Amount beneficially owned: 682,612</w:t>
      </w:r>
    </w:p>
    <w:p>
      <w:pPr>
        <w:ind w:left="2500" w:right="100" w:hanging="674"/>
        <w:spacing w:after="0" w:line="239" w:lineRule="auto"/>
        <w:tabs>
          <w:tab w:leader="none" w:pos="2500" w:val="left"/>
        </w:tabs>
        <w:numPr>
          <w:ilvl w:val="1"/>
          <w:numId w:val="9"/>
        </w:numPr>
        <w:rPr>
          <w:rFonts w:ascii="Arial" w:cs="Arial" w:eastAsia="Arial" w:hAnsi="Arial"/>
          <w:sz w:val="20"/>
          <w:szCs w:val="20"/>
          <w:color w:val="auto"/>
        </w:rPr>
      </w:pPr>
      <w:r>
        <w:rPr>
          <w:rFonts w:ascii="Arial" w:cs="Arial" w:eastAsia="Arial" w:hAnsi="Arial"/>
          <w:sz w:val="20"/>
          <w:szCs w:val="20"/>
          <w:color w:val="auto"/>
        </w:rPr>
        <w:t>Percent of class: 1.58%. The percentage set forth in this Schedule 13G/A is calculated based upon 43,112,742 shares of Class A Common Stock outstanding as of November 9, 2021, as reported in the Company’s Quarterly Report on Form Q-10 for the quarterly period ended September 30, 2021, filed with the Securities and Exchange Commission on November 15, 2021.</w:t>
      </w:r>
    </w:p>
    <w:p>
      <w:pPr>
        <w:spacing w:after="0" w:line="1" w:lineRule="exact"/>
        <w:rPr>
          <w:rFonts w:ascii="Arial" w:cs="Arial" w:eastAsia="Arial" w:hAnsi="Arial"/>
          <w:sz w:val="20"/>
          <w:szCs w:val="20"/>
          <w:color w:val="auto"/>
        </w:rPr>
      </w:pPr>
    </w:p>
    <w:p>
      <w:pPr>
        <w:ind w:left="2500" w:hanging="674"/>
        <w:spacing w:after="0"/>
        <w:tabs>
          <w:tab w:leader="none" w:pos="2500" w:val="left"/>
        </w:tabs>
        <w:numPr>
          <w:ilvl w:val="1"/>
          <w:numId w:val="9"/>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060" w:hanging="559"/>
        <w:spacing w:after="0"/>
        <w:tabs>
          <w:tab w:leader="none" w:pos="306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vote or direct the vote: 682,612</w:t>
      </w:r>
    </w:p>
    <w:p>
      <w:pPr>
        <w:ind w:left="3060" w:hanging="559"/>
        <w:spacing w:after="0"/>
        <w:tabs>
          <w:tab w:leader="none" w:pos="3060" w:val="left"/>
        </w:tabs>
        <w:numPr>
          <w:ilvl w:val="2"/>
          <w:numId w:val="9"/>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060" w:hanging="559"/>
        <w:spacing w:after="0"/>
        <w:tabs>
          <w:tab w:leader="none" w:pos="306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682,612</w:t>
      </w:r>
    </w:p>
    <w:p>
      <w:pPr>
        <w:spacing w:after="0" w:line="213" w:lineRule="exact"/>
        <w:rPr>
          <w:sz w:val="20"/>
          <w:szCs w:val="20"/>
          <w:color w:val="auto"/>
        </w:rPr>
      </w:pPr>
    </w:p>
    <w:p>
      <w:pPr>
        <w:ind w:right="300"/>
        <w:spacing w:after="0" w:line="263" w:lineRule="auto"/>
        <w:rPr>
          <w:sz w:val="20"/>
          <w:szCs w:val="20"/>
          <w:color w:val="auto"/>
        </w:rPr>
      </w:pPr>
      <w:r>
        <w:rPr>
          <w:rFonts w:ascii="Arial" w:cs="Arial" w:eastAsia="Arial" w:hAnsi="Arial"/>
          <w:sz w:val="19"/>
          <w:szCs w:val="19"/>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Arial" w:cs="Arial" w:eastAsia="Arial" w:hAnsi="Arial"/>
          <w:sz w:val="19"/>
          <w:szCs w:val="19"/>
          <w:u w:val="single" w:color="auto"/>
          <w:color w:val="auto"/>
        </w:rPr>
        <w:t>Act</w:t>
      </w:r>
      <w:r>
        <w:rPr>
          <w:rFonts w:ascii="Arial" w:cs="Arial" w:eastAsia="Arial" w:hAnsi="Arial"/>
          <w:sz w:val="19"/>
          <w:szCs w:val="19"/>
          <w:color w:val="auto"/>
        </w:rPr>
        <w:t>"), ACPGP and ACA may be deemed to beneficially own the shares owned by ACP.</w:t>
      </w:r>
    </w:p>
    <w:p>
      <w:pPr>
        <w:spacing w:after="0" w:line="190" w:lineRule="exact"/>
        <w:rPr>
          <w:sz w:val="20"/>
          <w:szCs w:val="20"/>
          <w:color w:val="auto"/>
        </w:rPr>
      </w:pPr>
    </w:p>
    <w:p>
      <w:pPr>
        <w:ind w:left="1720" w:hanging="691"/>
        <w:spacing w:after="0"/>
        <w:tabs>
          <w:tab w:leader="none" w:pos="1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400" w:hanging="574"/>
        <w:spacing w:after="0"/>
        <w:tabs>
          <w:tab w:leader="none" w:pos="2400" w:val="left"/>
        </w:tabs>
        <w:numPr>
          <w:ilvl w:val="1"/>
          <w:numId w:val="10"/>
        </w:numPr>
        <w:rPr>
          <w:rFonts w:ascii="Arial" w:cs="Arial" w:eastAsia="Arial" w:hAnsi="Arial"/>
          <w:sz w:val="20"/>
          <w:szCs w:val="20"/>
          <w:color w:val="auto"/>
        </w:rPr>
      </w:pPr>
      <w:r>
        <w:rPr>
          <w:rFonts w:ascii="Arial" w:cs="Arial" w:eastAsia="Arial" w:hAnsi="Arial"/>
          <w:sz w:val="20"/>
          <w:szCs w:val="20"/>
          <w:color w:val="auto"/>
        </w:rPr>
        <w:t>Amount beneficially owned: 682,612</w:t>
      </w:r>
    </w:p>
    <w:p>
      <w:pPr>
        <w:ind w:left="2400" w:hanging="574"/>
        <w:spacing w:after="0"/>
        <w:tabs>
          <w:tab w:leader="none" w:pos="2400" w:val="left"/>
        </w:tabs>
        <w:numPr>
          <w:ilvl w:val="1"/>
          <w:numId w:val="10"/>
        </w:numPr>
        <w:rPr>
          <w:rFonts w:ascii="Arial" w:cs="Arial" w:eastAsia="Arial" w:hAnsi="Arial"/>
          <w:sz w:val="20"/>
          <w:szCs w:val="20"/>
          <w:color w:val="auto"/>
        </w:rPr>
      </w:pPr>
      <w:r>
        <w:rPr>
          <w:rFonts w:ascii="Arial" w:cs="Arial" w:eastAsia="Arial" w:hAnsi="Arial"/>
          <w:sz w:val="20"/>
          <w:szCs w:val="20"/>
          <w:color w:val="auto"/>
        </w:rPr>
        <w:t>Percent of class: 1.58%</w:t>
      </w:r>
    </w:p>
    <w:p>
      <w:pPr>
        <w:ind w:left="2400" w:hanging="574"/>
        <w:spacing w:after="0"/>
        <w:tabs>
          <w:tab w:leader="none" w:pos="2400" w:val="left"/>
        </w:tabs>
        <w:numPr>
          <w:ilvl w:val="1"/>
          <w:numId w:val="10"/>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160" w:hanging="773"/>
        <w:spacing w:after="0"/>
        <w:tabs>
          <w:tab w:leader="none" w:pos="3160" w:val="left"/>
        </w:tabs>
        <w:numPr>
          <w:ilvl w:val="2"/>
          <w:numId w:val="10"/>
        </w:numPr>
        <w:rPr>
          <w:rFonts w:ascii="Arial" w:cs="Arial" w:eastAsia="Arial" w:hAnsi="Arial"/>
          <w:sz w:val="20"/>
          <w:szCs w:val="20"/>
          <w:color w:val="auto"/>
        </w:rPr>
      </w:pPr>
      <w:r>
        <w:rPr>
          <w:rFonts w:ascii="Arial" w:cs="Arial" w:eastAsia="Arial" w:hAnsi="Arial"/>
          <w:sz w:val="20"/>
          <w:szCs w:val="20"/>
          <w:color w:val="auto"/>
        </w:rPr>
        <w:t>Shared power to vote or direct the vote: 682,612</w:t>
      </w:r>
    </w:p>
    <w:p>
      <w:pPr>
        <w:ind w:left="3160" w:hanging="773"/>
        <w:spacing w:after="0"/>
        <w:tabs>
          <w:tab w:leader="none" w:pos="3160" w:val="left"/>
        </w:tabs>
        <w:numPr>
          <w:ilvl w:val="2"/>
          <w:numId w:val="10"/>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160" w:hanging="773"/>
        <w:spacing w:after="0"/>
        <w:tabs>
          <w:tab w:leader="none" w:pos="3160" w:val="left"/>
        </w:tabs>
        <w:numPr>
          <w:ilvl w:val="2"/>
          <w:numId w:val="10"/>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682,612</w:t>
      </w:r>
    </w:p>
    <w:p>
      <w:pPr>
        <w:spacing w:after="0" w:line="213"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Messrs. Atchinson and Gross, as managing members of ACA, have shared power to vote the shares of Class A Common Stock beneficially owned by ACP. Neither Mr. Atchinson nor Mr. Gross directly own any shares of Class A Common Stock. By reason of the provisions of Rule 13d-3 of the Act, each may be deemed to beneficially own the shares beneficially owned by ACP.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00" w:right="300"/>
        <w:spacing w:after="0" w:line="269"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Persons have ceased to be the beneficial owner of more than five percent of the class of securities, check the following: ý</w:t>
      </w:r>
    </w:p>
    <w:p>
      <w:pPr>
        <w:spacing w:after="0" w:line="200" w:lineRule="exact"/>
        <w:rPr>
          <w:sz w:val="20"/>
          <w:szCs w:val="20"/>
          <w:color w:val="auto"/>
        </w:rPr>
      </w:pPr>
    </w:p>
    <w:p>
      <w:pPr>
        <w:spacing w:after="0" w:line="206"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sectPr>
      </w:pPr>
    </w:p>
    <w:bookmarkStart w:id="9" w:name="page10"/>
    <w:bookmarkEnd w:id="9"/>
    <w:p>
      <w:pPr>
        <w:spacing w:after="0"/>
        <w:tabs>
          <w:tab w:leader="none" w:pos="5360" w:val="left"/>
          <w:tab w:leader="none" w:pos="9740" w:val="left"/>
        </w:tabs>
        <w:rPr>
          <w:sz w:val="20"/>
          <w:szCs w:val="20"/>
          <w:color w:val="auto"/>
        </w:rPr>
      </w:pPr>
      <w:r>
        <w:rPr>
          <w:rFonts w:ascii="Arial" w:cs="Arial" w:eastAsia="Arial" w:hAnsi="Arial"/>
          <w:sz w:val="18"/>
          <w:szCs w:val="18"/>
          <w:b w:val="1"/>
          <w:bCs w:val="1"/>
          <w:color w:val="auto"/>
        </w:rPr>
        <w:t>CUSIP No. 36870G105</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700" w:right="1460"/>
        <w:spacing w:after="0" w:line="244" w:lineRule="auto"/>
        <w:rPr>
          <w:sz w:val="20"/>
          <w:szCs w:val="20"/>
          <w:color w:val="auto"/>
        </w:rPr>
      </w:pPr>
      <w:r>
        <w:rPr>
          <w:rFonts w:ascii="Arial" w:cs="Arial" w:eastAsia="Arial" w:hAnsi="Arial"/>
          <w:sz w:val="20"/>
          <w:szCs w:val="20"/>
          <w:b w:val="1"/>
          <w:bCs w:val="1"/>
          <w:color w:val="auto"/>
        </w:rPr>
        <w:t xml:space="preserve">BEING REPORTED ON BY THE PARENT HOLDING COMPANY OR CONTROL PERSON </w:t>
      </w:r>
      <w:r>
        <w:rPr>
          <w:rFonts w:ascii="Arial" w:cs="Arial" w:eastAsia="Arial" w:hAnsi="Arial"/>
          <w:sz w:val="20"/>
          <w:szCs w:val="20"/>
          <w:color w:val="auto"/>
        </w:rPr>
        <w:t>Not applicable.</w:t>
      </w:r>
    </w:p>
    <w:p>
      <w:pPr>
        <w:spacing w:after="0" w:line="200" w:lineRule="exact"/>
        <w:rPr>
          <w:sz w:val="20"/>
          <w:szCs w:val="20"/>
          <w:color w:val="auto"/>
        </w:rPr>
      </w:pPr>
    </w:p>
    <w:p>
      <w:pPr>
        <w:spacing w:after="0" w:line="228" w:lineRule="exact"/>
        <w:rPr>
          <w:sz w:val="20"/>
          <w:szCs w:val="20"/>
          <w:color w:val="auto"/>
        </w:rPr>
      </w:pPr>
    </w:p>
    <w:p>
      <w:pPr>
        <w:ind w:left="1700" w:right="2700" w:hanging="1589"/>
        <w:spacing w:after="0" w:line="267" w:lineRule="auto"/>
        <w:tabs>
          <w:tab w:leader="none" w:pos="16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 xml:space="preserve">IDENTIFICATION AND CLASSIFICATION OF MEMBERS OF THE GROUP </w:t>
      </w:r>
      <w:r>
        <w:rPr>
          <w:rFonts w:ascii="Arial" w:cs="Arial" w:eastAsia="Arial" w:hAnsi="Arial"/>
          <w:sz w:val="20"/>
          <w:szCs w:val="20"/>
          <w:color w:val="auto"/>
        </w:rPr>
        <w:t>Not applicable.</w:t>
      </w:r>
    </w:p>
    <w:p>
      <w:pPr>
        <w:spacing w:after="0" w:line="200" w:lineRule="exact"/>
        <w:rPr>
          <w:sz w:val="20"/>
          <w:szCs w:val="20"/>
          <w:color w:val="auto"/>
        </w:rPr>
      </w:pPr>
    </w:p>
    <w:p>
      <w:pPr>
        <w:spacing w:after="0" w:line="206"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700" w:right="10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tabs>
          <w:tab w:leader="none" w:pos="5360" w:val="left"/>
          <w:tab w:leader="none" w:pos="9740" w:val="left"/>
        </w:tabs>
        <w:rPr>
          <w:sz w:val="20"/>
          <w:szCs w:val="20"/>
          <w:color w:val="auto"/>
        </w:rPr>
      </w:pPr>
      <w:r>
        <w:rPr>
          <w:rFonts w:ascii="Arial" w:cs="Arial" w:eastAsia="Arial" w:hAnsi="Arial"/>
          <w:sz w:val="18"/>
          <w:szCs w:val="18"/>
          <w:b w:val="1"/>
          <w:bCs w:val="1"/>
          <w:color w:val="auto"/>
        </w:rPr>
        <w:t>CUSIP No. 36870G105</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11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10,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
    <w:nsid w:val="4DB127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2022-02-10T08:10:24Z</dcterms:created>
  <dcterms:modified xsi:type="dcterms:W3CDTF">2022-02-10T08:10:24Z</dcterms:modified>
</cp:coreProperties>
</file>