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506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50634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620" w:type="dxa"/>
            <w:vAlign w:val="bottom"/>
            <w:gridSpan w:val="2"/>
            <w:vMerge w:val="restart"/>
          </w:tcPr>
          <w:p>
            <w:pPr>
              <w:spacing w:after="0" w:line="256" w:lineRule="exact"/>
              <w:rPr>
                <w:rFonts w:ascii="Arial" w:cs="Arial" w:eastAsia="Arial" w:hAnsi="Arial"/>
                <w:sz w:val="24"/>
                <w:szCs w:val="24"/>
                <w:color w:val="0000EE"/>
                <w:w w:val="91"/>
              </w:rPr>
            </w:pPr>
            <w:hyperlink r:id="rId10">
              <w:r>
                <w:rPr>
                  <w:rFonts w:ascii="Arial" w:cs="Arial" w:eastAsia="Arial" w:hAnsi="Arial"/>
                  <w:sz w:val="24"/>
                  <w:szCs w:val="24"/>
                  <w:color w:val="0000EE"/>
                  <w:w w:val="91"/>
                </w:rPr>
                <w:t>FS Development Holdings,</w:t>
              </w:r>
            </w:hyperlink>
          </w:p>
        </w:tc>
        <w:tc>
          <w:tcPr>
            <w:tcW w:w="16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620" w:type="dxa"/>
            <w:vAlign w:val="bottom"/>
            <w:tcBorders>
              <w:bottom w:val="single" w:sz="8" w:color="0000EE"/>
            </w:tcBorders>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gridSpan w:val="3"/>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LLC</w:t>
              </w:r>
            </w:hyperlink>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08/11/2020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FS Development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FSDC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545" w:lineRule="exact"/>
        <w:rPr>
          <w:sz w:val="20"/>
          <w:szCs w:val="20"/>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C/O FS DEVELOPMENT CORP</w:t>
      </w:r>
    </w:p>
    <w:p>
      <w:pPr>
        <w:spacing w:after="0" w:line="93" w:lineRule="exact"/>
        <w:rPr>
          <w:sz w:val="20"/>
          <w:szCs w:val="20"/>
          <w:color w:val="auto"/>
        </w:rPr>
      </w:pPr>
    </w:p>
    <w:p>
      <w:pPr>
        <w:ind w:left="140" w:right="1597"/>
        <w:spacing w:after="0" w:line="269" w:lineRule="auto"/>
        <w:rPr>
          <w:sz w:val="20"/>
          <w:szCs w:val="20"/>
          <w:color w:val="auto"/>
        </w:rPr>
      </w:pPr>
      <w:r>
        <w:rPr>
          <w:rFonts w:ascii="Arial" w:cs="Arial" w:eastAsia="Arial" w:hAnsi="Arial"/>
          <w:sz w:val="20"/>
          <w:szCs w:val="20"/>
          <w:color w:val="0000FF"/>
        </w:rPr>
        <w:t>600 MONTGOMERY STREET, SUITE 4500</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0"/>
          <w:szCs w:val="20"/>
          <w:color w:val="auto"/>
        </w:rPr>
      </w:pPr>
    </w:p>
    <w:p>
      <w:pPr>
        <w:ind w:left="140" w:right="157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94111 FRANCISCO</w:t>
      </w:r>
    </w:p>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6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35" w:lineRule="exact"/>
        <w:rPr>
          <w:sz w:val="20"/>
          <w:szCs w:val="20"/>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4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8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14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4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14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4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20" w:type="dxa"/>
            <w:vAlign w:val="bottom"/>
          </w:tcPr>
          <w:p>
            <w:pPr>
              <w:ind w:left="200"/>
              <w:spacing w:after="0"/>
              <w:rPr>
                <w:sz w:val="20"/>
                <w:szCs w:val="20"/>
                <w:color w:val="auto"/>
              </w:rPr>
            </w:pPr>
            <w:r>
              <w:rPr>
                <w:rFonts w:ascii="Arial" w:cs="Arial" w:eastAsia="Arial" w:hAnsi="Arial"/>
                <w:sz w:val="20"/>
                <w:szCs w:val="20"/>
                <w:color w:val="0000FF"/>
                <w:w w:val="96"/>
              </w:rPr>
              <w:t>Class A Common</w:t>
            </w:r>
          </w:p>
        </w:tc>
        <w:tc>
          <w:tcPr>
            <w:tcW w:w="1140" w:type="dxa"/>
            <w:vAlign w:val="bottom"/>
            <w:vMerge w:val="restart"/>
          </w:tcPr>
          <w:p>
            <w:pPr>
              <w:ind w:left="140"/>
              <w:spacing w:after="0"/>
              <w:rPr>
                <w:sz w:val="20"/>
                <w:szCs w:val="20"/>
                <w:color w:val="auto"/>
              </w:rPr>
            </w:pPr>
            <w:r>
              <w:rPr>
                <w:rFonts w:ascii="Arial" w:cs="Arial" w:eastAsia="Arial" w:hAnsi="Arial"/>
                <w:sz w:val="20"/>
                <w:szCs w:val="20"/>
                <w:color w:val="0000FF"/>
                <w:w w:val="89"/>
              </w:rPr>
              <w:t>3,018,750</w:t>
            </w:r>
            <w:r>
              <w:rPr>
                <w:rFonts w:ascii="Arial" w:cs="Arial" w:eastAsia="Arial" w:hAnsi="Arial"/>
                <w:sz w:val="25"/>
                <w:szCs w:val="25"/>
                <w:color w:val="008000"/>
                <w:w w:val="89"/>
                <w:vertAlign w:val="superscript"/>
              </w:rPr>
              <w:t>(2)</w:t>
            </w:r>
          </w:p>
        </w:tc>
        <w:tc>
          <w:tcPr>
            <w:tcW w:w="980" w:type="dxa"/>
            <w:vAlign w:val="bottom"/>
            <w:vMerge w:val="restart"/>
          </w:tcPr>
          <w:p>
            <w:pPr>
              <w:ind w:left="440"/>
              <w:spacing w:after="0"/>
              <w:rPr>
                <w:sz w:val="20"/>
                <w:szCs w:val="20"/>
                <w:color w:val="auto"/>
              </w:rPr>
            </w:pPr>
            <w:r>
              <w:rPr>
                <w:rFonts w:ascii="Arial" w:cs="Arial" w:eastAsia="Arial" w:hAnsi="Arial"/>
                <w:sz w:val="20"/>
                <w:szCs w:val="20"/>
                <w:color w:val="0000FF"/>
              </w:rPr>
              <w:t>0</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20" w:type="dxa"/>
            <w:vAlign w:val="bottom"/>
            <w:vMerge w:val="restart"/>
          </w:tcPr>
          <w:p>
            <w:pPr>
              <w:ind w:left="660"/>
              <w:spacing w:after="0"/>
              <w:rPr>
                <w:sz w:val="20"/>
                <w:szCs w:val="20"/>
                <w:color w:val="auto"/>
              </w:rPr>
            </w:pPr>
            <w:r>
              <w:rPr>
                <w:rFonts w:ascii="Arial" w:cs="Arial" w:eastAsia="Arial" w:hAnsi="Arial"/>
                <w:sz w:val="20"/>
                <w:szCs w:val="20"/>
                <w:color w:val="0000FF"/>
              </w:rPr>
              <w:t>Stock</w:t>
            </w:r>
          </w:p>
        </w:tc>
        <w:tc>
          <w:tcPr>
            <w:tcW w:w="1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on a one-for-one basis, subject to adjustment for stock splits, stock capitalizations, reorganizations, recapitalizations and the like, and certain anti-dilution rights and have no expiration date.</w:t>
      </w:r>
    </w:p>
    <w:p>
      <w:pPr>
        <w:spacing w:after="0" w:line="35"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owned by the Reporting Person includes up to 393,750 shares that are subject to forfeiture in the event the underwriters of the initial public offering of the issuer's securities do not exercise in full their over-allotment option as described in the issuer's registration statement.</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6"/>
              </w:rPr>
              <w:t>/s/ Dennis Ryan</w:t>
            </w:r>
          </w:p>
        </w:tc>
        <w:tc>
          <w:tcPr>
            <w:tcW w:w="94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5"/>
              </w:rPr>
              <w:t>08/11/2020</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0810"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2020-08-11T20:40:05Z</dcterms:created>
  <dcterms:modified xsi:type="dcterms:W3CDTF">2020-08-11T20:40:05Z</dcterms:modified>
</cp:coreProperties>
</file>