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Ratcliffe Liam</w:t>
              </w:r>
            </w:hyperlink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gridSpan w:val="7"/>
          </w:tcPr>
          <w:p>
            <w:pPr>
              <w:spacing w:after="0" w:line="104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Disc Medicine,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IRON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12/29/2022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DISC MEDICINE, INC.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321 ARSENAL STREET, SUITE 101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0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5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6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13.5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12/29/2022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12/28/2032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7,000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640" w:firstLine="3"/>
        <w:spacing w:after="0" w:line="252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underlying this option vest upon the first to occur of (i) the date of the Company's 2023 annual meeting of its stockholders, or (ii) the one-year anniversary of the grant date, subject to the Reporting Person's continued service on each such vesting date.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By: /s/ Rahul Khara,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01/03/2023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7100" TargetMode="External"/><Relationship Id="rId13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2023-01-03T16:07:29Z</dcterms:created>
  <dcterms:modified xsi:type="dcterms:W3CDTF">2023-01-03T16:07:29Z</dcterms:modified>
</cp:coreProperties>
</file>