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95299d424b5.htm"/>
        <w:bookmarkStart w:id="1" w:name="ksd495299d424b5"/>
        <w:bookmarkEnd w:id="0"/>
        <w:bookmarkEnd w:id="1"/>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 xml:space="preserve">Registration No. 333-269272 </w:t>
      </w:r>
    </w:p>
    <w:p>
      <w:pPr>
        <w:pStyle w:val="TextBody"/>
        <w:bidi w:val="0"/>
        <w:spacing w:before="0" w:after="0"/>
        <w:jc w:val="left"/>
        <w:rPr/>
      </w:pPr>
      <w:r>
        <w:rPr/>
        <w:t> </w:t>
      </w:r>
    </w:p>
    <w:p>
      <w:pPr>
        <w:pStyle w:val="TextBody"/>
        <w:bidi w:val="0"/>
        <w:spacing w:before="120" w:after="0"/>
        <w:jc w:val="left"/>
        <w:rPr>
          <w:rFonts w:ascii="Times New Roman" w:hAnsi="Times New Roman"/>
          <w:i/>
          <w:sz w:val="22"/>
        </w:rPr>
      </w:pPr>
      <w:r>
        <w:rPr>
          <w:rFonts w:ascii="Times New Roman" w:hAnsi="Times New Roman"/>
          <w:i/>
          <w:sz w:val="22"/>
        </w:rPr>
        <w:t xml:space="preserve">PROSPECTUS SUPPLEMENT </w:t>
      </w:r>
    </w:p>
    <w:p>
      <w:pPr>
        <w:pStyle w:val="TextBody"/>
        <w:bidi w:val="0"/>
        <w:spacing w:before="0" w:after="0"/>
        <w:jc w:val="left"/>
        <w:rPr>
          <w:rFonts w:ascii="Times New Roman" w:hAnsi="Times New Roman"/>
          <w:i/>
          <w:sz w:val="22"/>
        </w:rPr>
      </w:pPr>
      <w:r>
        <w:rPr>
          <w:rFonts w:ascii="Times New Roman" w:hAnsi="Times New Roman"/>
          <w:i/>
          <w:sz w:val="22"/>
        </w:rPr>
        <w:t xml:space="preserve">(To prospectus dated January 24, 2023)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15290" cy="660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5290" cy="6604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i/>
          <w:sz w:val="22"/>
        </w:rPr>
      </w:pPr>
      <w:r>
        <w:rPr>
          <w:rFonts w:ascii="Times New Roman" w:hAnsi="Times New Roman"/>
          <w:i/>
          <w:sz w:val="22"/>
        </w:rPr>
        <w:t xml:space="preserve">2,595,919 Shares of Common Stock </w:t>
      </w:r>
    </w:p>
    <w:p>
      <w:pPr>
        <w:pStyle w:val="TextBody"/>
        <w:bidi w:val="0"/>
        <w:spacing w:before="0" w:after="0"/>
        <w:jc w:val="center"/>
        <w:rPr>
          <w:rFonts w:ascii="Times New Roman" w:hAnsi="Times New Roman"/>
          <w:i/>
          <w:sz w:val="22"/>
        </w:rPr>
      </w:pPr>
      <w:r>
        <w:rPr>
          <w:rFonts w:ascii="Times New Roman" w:hAnsi="Times New Roman"/>
          <w:i/>
          <w:sz w:val="22"/>
        </w:rPr>
        <w:t xml:space="preserve">204,081 Pre-Funded Warrants to Purchase Shares of 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both"/>
        <w:rPr>
          <w:rFonts w:ascii="Bodoni MT" w:hAnsi="Bodoni MT"/>
          <w:b/>
          <w:i/>
          <w:sz w:val="18"/>
        </w:rPr>
      </w:pPr>
      <w:r>
        <w:rPr>
          <w:rFonts w:ascii="Bodoni MT" w:hAnsi="Bodoni MT"/>
          <w:b/>
          <w:i/>
          <w:sz w:val="18"/>
        </w:rPr>
        <w:t xml:space="preserve">We are offering 2,595,919 shares of our common stock and, in lieu of common stock to certain investors that so choose, pre-funded warrants to purchase 204,081 shares of common stock in this offering. Our common stock is listed on the Nasdaq Global Market under the symbol IRON. On June 9, 2023, the closing sale price of our common stock on the Nasdaq Global Market, was $45.69 per share. </w:t>
      </w:r>
    </w:p>
    <w:p>
      <w:pPr>
        <w:pStyle w:val="TextBody"/>
        <w:bidi w:val="0"/>
        <w:spacing w:before="120" w:after="0"/>
        <w:jc w:val="both"/>
        <w:rPr>
          <w:rFonts w:ascii="Bodoni MT" w:hAnsi="Bodoni MT"/>
          <w:b/>
          <w:i/>
          <w:sz w:val="18"/>
        </w:rPr>
      </w:pPr>
      <w:r>
        <w:rPr>
          <w:rFonts w:ascii="Bodoni MT" w:hAnsi="Bodoni MT"/>
          <w:b/>
          <w:i/>
          <w:sz w:val="18"/>
        </w:rPr>
        <w:t xml:space="preserve">The purchase price of each pre-funded warrant will equal the price per share at which shares of our common stock are being sold to the public in this offering, minus $0.0001, which is the exercise price of each pre-funded warrant. The pre-funded warrants do not expire, and each pre-funded warrant will be exercisable at any time after the date of issuance, subject to an ownership limitation and in some cases clearance under the Hart-Scott-Rodino Antitrust Improvements Act of 1976, as amended, or the HSR Act. This prospectus supplement also relates to the offering of the shares of common stock issuable upon exercise of such pre-funded warrants. </w:t>
      </w:r>
    </w:p>
    <w:p>
      <w:pPr>
        <w:pStyle w:val="TextBody"/>
        <w:bidi w:val="0"/>
        <w:spacing w:before="120" w:after="0"/>
        <w:jc w:val="both"/>
        <w:rPr>
          <w:rFonts w:ascii="Bodoni MT" w:hAnsi="Bodoni MT"/>
          <w:b/>
          <w:i/>
          <w:sz w:val="18"/>
        </w:rPr>
      </w:pPr>
      <w:r>
        <w:rPr>
          <w:rFonts w:ascii="Bodoni MT" w:hAnsi="Bodoni MT"/>
          <w:b/>
          <w:i/>
          <w:sz w:val="18"/>
        </w:rPr>
        <w:t xml:space="preserve">There is no established public trading market for the pre-funded warrants, and we do not expect a market to develop. We do not intend to list the pre-funded warrants on the Nasdaq Global Market or any other national securities exchange or nationally recognized trading system. </w:t>
      </w:r>
    </w:p>
    <w:p>
      <w:pPr>
        <w:pStyle w:val="TextBody"/>
        <w:bidi w:val="0"/>
        <w:spacing w:before="120" w:after="0"/>
        <w:jc w:val="both"/>
        <w:rPr>
          <w:rFonts w:ascii="Bodoni MT" w:hAnsi="Bodoni MT"/>
          <w:b/>
          <w:i/>
          <w:sz w:val="18"/>
        </w:rPr>
      </w:pPr>
      <w:r>
        <w:rPr>
          <w:rFonts w:ascii="Bodoni MT" w:hAnsi="Bodoni MT"/>
          <w:b/>
          <w:i/>
          <w:sz w:val="18"/>
        </w:rPr>
        <w:t xml:space="preserve">We are an emerging growth company as that term is used in the Jumpstart Our Business Startups Act of 2012, or the JOBS Act, and a smaller reporting company as defined under Rule 405 of the Securities Act of 1933, as amended, or the Securities Act, and, as such, are subject to certain reduced public company reporting requirements. See Prospectus Supplement SummaryImplications of Being an Emerging Growth Company and a Smaller Reporting Company on page S-4 of this 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both"/>
        <w:rPr/>
      </w:pPr>
      <w:r>
        <w:rPr>
          <w:rFonts w:ascii="Times New Roman" w:hAnsi="Times New Roman"/>
          <w:b/>
          <w:i/>
          <w:sz w:val="20"/>
        </w:rPr>
        <w:t>Investing in our common stock involves a high degree of risk. Please read </w:t>
      </w:r>
      <w:hyperlink w:anchor="srom495299_4">
        <w:r>
          <w:rPr>
            <w:rStyle w:val="InternetLink"/>
            <w:rFonts w:ascii="Times New Roman" w:hAnsi="Times New Roman"/>
            <w:b/>
            <w:i/>
            <w:sz w:val="20"/>
          </w:rPr>
          <w:t>Risk Factors</w:t>
        </w:r>
      </w:hyperlink>
      <w:r>
        <w:rPr>
          <w:rFonts w:ascii="Times New Roman" w:hAnsi="Times New Roman"/>
          <w:b/>
          <w:i/>
          <w:sz w:val="20"/>
        </w:rPr>
        <w:t xml:space="preserve"> beginning on page S-7 of this prospectus supplement, page 10 in the accompanying prospectus, and under similar headings in the documents that are incorporated by reference into this prospectus supplement concerning factors you should carefully consider before investing in our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05"/>
        <w:gridCol w:w="652"/>
        <w:gridCol w:w="140"/>
        <w:gridCol w:w="642"/>
        <w:gridCol w:w="60"/>
        <w:gridCol w:w="652"/>
        <w:gridCol w:w="140"/>
        <w:gridCol w:w="991"/>
        <w:gridCol w:w="60"/>
        <w:gridCol w:w="652"/>
        <w:gridCol w:w="140"/>
        <w:gridCol w:w="1306"/>
        <w:gridCol w:w="65"/>
      </w:tblGrid>
      <w:tr>
        <w:trPr/>
        <w:tc>
          <w:tcPr>
            <w:tcW w:w="4705" w:type="dxa"/>
            <w:tcBorders/>
            <w:vAlign w:val="center"/>
          </w:tcPr>
          <w:p>
            <w:pPr>
              <w:pStyle w:val="TableContents"/>
              <w:bidi w:val="0"/>
              <w:spacing w:before="0" w:after="283"/>
              <w:jc w:val="left"/>
              <w:rPr>
                <w:sz w:val="4"/>
                <w:szCs w:val="4"/>
              </w:rPr>
            </w:pPr>
            <w:r>
              <w:rPr>
                <w:sz w:val="4"/>
                <w:szCs w:val="4"/>
              </w:rPr>
            </w:r>
          </w:p>
        </w:tc>
        <w:tc>
          <w:tcPr>
            <w:tcW w:w="6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705"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782" w:type="dxa"/>
            <w:gridSpan w:val="2"/>
            <w:tcBorders/>
            <w:vAlign w:val="bottom"/>
          </w:tcPr>
          <w:p>
            <w:pPr>
              <w:pStyle w:val="TableContents"/>
              <w:pBdr>
                <w:bottom w:val="single" w:sz="2" w:space="1" w:color="000000"/>
              </w:pBdr>
              <w:bidi w:val="0"/>
              <w:spacing w:before="0" w:after="0"/>
              <w:jc w:val="center"/>
              <w:rPr>
                <w:rFonts w:ascii="Bodoni MT" w:hAnsi="Bodoni MT"/>
                <w:b/>
                <w:i/>
                <w:sz w:val="16"/>
              </w:rPr>
            </w:pPr>
            <w:r>
              <w:rPr>
                <w:rFonts w:ascii="Bodoni MT" w:hAnsi="Bodoni MT"/>
                <w:b/>
                <w:i/>
                <w:sz w:val="16"/>
              </w:rPr>
              <w:t>Per</w:t>
              <w:br/>
              <w:t>Share</w:t>
            </w:r>
          </w:p>
        </w:tc>
        <w:tc>
          <w:tcPr>
            <w:tcW w:w="60"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1131" w:type="dxa"/>
            <w:gridSpan w:val="2"/>
            <w:tcBorders/>
            <w:vAlign w:val="bottom"/>
          </w:tcPr>
          <w:p>
            <w:pPr>
              <w:pStyle w:val="TableContents"/>
              <w:pBdr>
                <w:bottom w:val="single" w:sz="2" w:space="1" w:color="000000"/>
              </w:pBdr>
              <w:bidi w:val="0"/>
              <w:spacing w:before="0" w:after="0"/>
              <w:jc w:val="center"/>
              <w:rPr>
                <w:rFonts w:ascii="Bodoni MT" w:hAnsi="Bodoni MT"/>
                <w:b/>
                <w:i/>
                <w:sz w:val="16"/>
              </w:rPr>
            </w:pPr>
            <w:r>
              <w:rPr>
                <w:rFonts w:ascii="Bodoni MT" w:hAnsi="Bodoni MT"/>
                <w:b/>
                <w:i/>
                <w:sz w:val="16"/>
              </w:rPr>
              <w:t>Per</w:t>
              <w:br/>
              <w:t>Pre-Funded</w:t>
              <w:br/>
              <w:t>Warrant</w:t>
            </w:r>
          </w:p>
        </w:tc>
        <w:tc>
          <w:tcPr>
            <w:tcW w:w="60"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1446" w:type="dxa"/>
            <w:gridSpan w:val="2"/>
            <w:tcBorders/>
            <w:vAlign w:val="bottom"/>
          </w:tcPr>
          <w:p>
            <w:pPr>
              <w:pStyle w:val="TableContents"/>
              <w:pBdr>
                <w:bottom w:val="single" w:sz="2" w:space="1" w:color="000000"/>
              </w:pBdr>
              <w:bidi w:val="0"/>
              <w:spacing w:before="0" w:after="0"/>
              <w:jc w:val="center"/>
              <w:rPr>
                <w:rFonts w:ascii="Bodoni MT" w:hAnsi="Bodoni MT"/>
                <w:b/>
                <w:i/>
                <w:sz w:val="16"/>
              </w:rPr>
            </w:pPr>
            <w:r>
              <w:rPr>
                <w:rFonts w:ascii="Bodoni MT" w:hAnsi="Bodoni MT"/>
                <w:b/>
                <w:i/>
                <w:sz w:val="16"/>
              </w:rPr>
              <w:t>Total</w:t>
            </w:r>
          </w:p>
        </w:tc>
        <w:tc>
          <w:tcPr>
            <w:tcW w:w="65" w:type="dxa"/>
            <w:tcBorders/>
            <w:vAlign w:val="bottom"/>
          </w:tcPr>
          <w:p>
            <w:pPr>
              <w:pStyle w:val="TableContents"/>
              <w:bidi w:val="0"/>
              <w:spacing w:before="0" w:after="283"/>
              <w:jc w:val="left"/>
              <w:rPr/>
            </w:pPr>
            <w:r>
              <w:rPr/>
              <w:t> </w:t>
            </w:r>
          </w:p>
        </w:tc>
      </w:tr>
      <w:tr>
        <w:trPr/>
        <w:tc>
          <w:tcPr>
            <w:tcW w:w="4705" w:type="dxa"/>
            <w:tcBorders/>
          </w:tcPr>
          <w:p>
            <w:pPr>
              <w:pStyle w:val="TableContents"/>
              <w:bidi w:val="0"/>
              <w:spacing w:before="0" w:after="0"/>
              <w:jc w:val="left"/>
              <w:rPr>
                <w:rFonts w:ascii="Times New Roman" w:hAnsi="Times New Roman"/>
                <w:i/>
                <w:sz w:val="18"/>
              </w:rPr>
            </w:pPr>
            <w:r>
              <w:rPr>
                <w:rFonts w:ascii="Times New Roman" w:hAnsi="Times New Roman"/>
                <w:i/>
                <w:sz w:val="18"/>
              </w:rPr>
              <w:t>Public offering price</w:t>
            </w:r>
          </w:p>
        </w:tc>
        <w:tc>
          <w:tcPr>
            <w:tcW w:w="6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i/>
              </w:rPr>
            </w:pPr>
            <w:r>
              <w:rPr>
                <w:i/>
              </w:rPr>
              <w:t>$</w:t>
            </w:r>
          </w:p>
        </w:tc>
        <w:tc>
          <w:tcPr>
            <w:tcW w:w="642" w:type="dxa"/>
            <w:tcBorders/>
            <w:vAlign w:val="bottom"/>
          </w:tcPr>
          <w:p>
            <w:pPr>
              <w:pStyle w:val="TableContents"/>
              <w:bidi w:val="0"/>
              <w:spacing w:before="0" w:after="283"/>
              <w:jc w:val="right"/>
              <w:rPr/>
            </w:pPr>
            <w:r>
              <w:rPr/>
              <w:t> </w:t>
            </w:r>
            <w:r>
              <w:rPr>
                <w:i/>
              </w:rPr>
              <w:t>49.00</w:t>
            </w:r>
          </w:p>
        </w:tc>
        <w:tc>
          <w:tcPr>
            <w:tcW w:w="60"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i/>
              </w:rPr>
            </w:pPr>
            <w:r>
              <w:rPr>
                <w:i/>
              </w:rPr>
              <w:t>$</w:t>
            </w:r>
          </w:p>
        </w:tc>
        <w:tc>
          <w:tcPr>
            <w:tcW w:w="991" w:type="dxa"/>
            <w:tcBorders/>
            <w:vAlign w:val="bottom"/>
          </w:tcPr>
          <w:p>
            <w:pPr>
              <w:pStyle w:val="TableContents"/>
              <w:bidi w:val="0"/>
              <w:spacing w:before="0" w:after="283"/>
              <w:jc w:val="right"/>
              <w:rPr/>
            </w:pPr>
            <w:r>
              <w:rPr/>
              <w:t> </w:t>
            </w:r>
            <w:r>
              <w:rPr>
                <w:i/>
              </w:rPr>
              <w:t>48.9999</w:t>
            </w:r>
          </w:p>
        </w:tc>
        <w:tc>
          <w:tcPr>
            <w:tcW w:w="60"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i/>
              </w:rPr>
            </w:pPr>
            <w:r>
              <w:rPr>
                <w:i/>
              </w:rPr>
              <w:t>$</w:t>
            </w:r>
          </w:p>
        </w:tc>
        <w:tc>
          <w:tcPr>
            <w:tcW w:w="1306" w:type="dxa"/>
            <w:tcBorders/>
            <w:vAlign w:val="bottom"/>
          </w:tcPr>
          <w:p>
            <w:pPr>
              <w:pStyle w:val="TableContents"/>
              <w:bidi w:val="0"/>
              <w:spacing w:before="0" w:after="283"/>
              <w:jc w:val="right"/>
              <w:rPr/>
            </w:pPr>
            <w:r>
              <w:rPr/>
              <w:t> </w:t>
            </w:r>
            <w:r>
              <w:rPr>
                <w:i/>
              </w:rPr>
              <w:t>137,199,980</w:t>
            </w:r>
          </w:p>
        </w:tc>
        <w:tc>
          <w:tcPr>
            <w:tcW w:w="65" w:type="dxa"/>
            <w:tcBorders/>
            <w:vAlign w:val="bottom"/>
          </w:tcPr>
          <w:p>
            <w:pPr>
              <w:pStyle w:val="TableContents"/>
              <w:bidi w:val="0"/>
              <w:spacing w:before="0" w:after="283"/>
              <w:jc w:val="left"/>
              <w:rPr/>
            </w:pPr>
            <w:r>
              <w:rPr/>
              <w:t> </w:t>
            </w:r>
          </w:p>
        </w:tc>
      </w:tr>
      <w:tr>
        <w:trPr/>
        <w:tc>
          <w:tcPr>
            <w:tcW w:w="4705" w:type="dxa"/>
            <w:tcBorders/>
          </w:tcPr>
          <w:p>
            <w:pPr>
              <w:pStyle w:val="TableContents"/>
              <w:bidi w:val="0"/>
              <w:spacing w:before="0" w:after="0"/>
              <w:jc w:val="left"/>
              <w:rPr>
                <w:rFonts w:ascii="Times New Roman" w:hAnsi="Times New Roman"/>
                <w:i/>
                <w:sz w:val="18"/>
              </w:rPr>
            </w:pPr>
            <w:r>
              <w:rPr>
                <w:rFonts w:ascii="Times New Roman" w:hAnsi="Times New Roman"/>
                <w:i/>
                <w:sz w:val="18"/>
              </w:rPr>
              <w:t>Underwriting discounts and commissions (1)</w:t>
            </w:r>
          </w:p>
        </w:tc>
        <w:tc>
          <w:tcPr>
            <w:tcW w:w="6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i/>
              </w:rPr>
            </w:pPr>
            <w:r>
              <w:rPr>
                <w:i/>
              </w:rPr>
              <w:t>$</w:t>
            </w:r>
          </w:p>
        </w:tc>
        <w:tc>
          <w:tcPr>
            <w:tcW w:w="642" w:type="dxa"/>
            <w:tcBorders/>
            <w:vAlign w:val="bottom"/>
          </w:tcPr>
          <w:p>
            <w:pPr>
              <w:pStyle w:val="TableContents"/>
              <w:bidi w:val="0"/>
              <w:spacing w:before="0" w:after="283"/>
              <w:jc w:val="right"/>
              <w:rPr>
                <w:i/>
              </w:rPr>
            </w:pPr>
            <w:r>
              <w:rPr>
                <w:i/>
              </w:rPr>
              <w:t>2.94</w:t>
            </w:r>
          </w:p>
        </w:tc>
        <w:tc>
          <w:tcPr>
            <w:tcW w:w="60"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i/>
              </w:rPr>
            </w:pPr>
            <w:r>
              <w:rPr>
                <w:i/>
              </w:rPr>
              <w:t>$</w:t>
            </w:r>
          </w:p>
        </w:tc>
        <w:tc>
          <w:tcPr>
            <w:tcW w:w="991" w:type="dxa"/>
            <w:tcBorders/>
            <w:vAlign w:val="bottom"/>
          </w:tcPr>
          <w:p>
            <w:pPr>
              <w:pStyle w:val="TableContents"/>
              <w:bidi w:val="0"/>
              <w:spacing w:before="0" w:after="283"/>
              <w:jc w:val="right"/>
              <w:rPr>
                <w:i/>
              </w:rPr>
            </w:pPr>
            <w:r>
              <w:rPr>
                <w:i/>
              </w:rPr>
              <w:t>2.9400</w:t>
            </w:r>
          </w:p>
        </w:tc>
        <w:tc>
          <w:tcPr>
            <w:tcW w:w="60"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i/>
              </w:rPr>
            </w:pPr>
            <w:r>
              <w:rPr>
                <w:i/>
              </w:rPr>
              <w:t>$</w:t>
            </w:r>
          </w:p>
        </w:tc>
        <w:tc>
          <w:tcPr>
            <w:tcW w:w="1306" w:type="dxa"/>
            <w:tcBorders/>
            <w:vAlign w:val="bottom"/>
          </w:tcPr>
          <w:p>
            <w:pPr>
              <w:pStyle w:val="TableContents"/>
              <w:bidi w:val="0"/>
              <w:spacing w:before="0" w:after="283"/>
              <w:jc w:val="right"/>
              <w:rPr>
                <w:i/>
              </w:rPr>
            </w:pPr>
            <w:r>
              <w:rPr>
                <w:i/>
              </w:rPr>
              <w:t>8,232,000</w:t>
            </w:r>
          </w:p>
        </w:tc>
        <w:tc>
          <w:tcPr>
            <w:tcW w:w="65" w:type="dxa"/>
            <w:tcBorders/>
            <w:vAlign w:val="bottom"/>
          </w:tcPr>
          <w:p>
            <w:pPr>
              <w:pStyle w:val="TableContents"/>
              <w:bidi w:val="0"/>
              <w:spacing w:before="0" w:after="283"/>
              <w:jc w:val="left"/>
              <w:rPr/>
            </w:pPr>
            <w:r>
              <w:rPr/>
              <w:t> </w:t>
            </w:r>
          </w:p>
        </w:tc>
      </w:tr>
      <w:tr>
        <w:trPr/>
        <w:tc>
          <w:tcPr>
            <w:tcW w:w="4705" w:type="dxa"/>
            <w:tcBorders/>
          </w:tcPr>
          <w:p>
            <w:pPr>
              <w:pStyle w:val="TableContents"/>
              <w:bidi w:val="0"/>
              <w:spacing w:before="0" w:after="0"/>
              <w:jc w:val="left"/>
              <w:rPr>
                <w:rFonts w:ascii="Times New Roman" w:hAnsi="Times New Roman"/>
                <w:i/>
                <w:sz w:val="18"/>
              </w:rPr>
            </w:pPr>
            <w:r>
              <w:rPr>
                <w:rFonts w:ascii="Times New Roman" w:hAnsi="Times New Roman"/>
                <w:i/>
                <w:sz w:val="18"/>
              </w:rPr>
              <w:t>Proceeds, before expenses, to us</w:t>
            </w:r>
          </w:p>
        </w:tc>
        <w:tc>
          <w:tcPr>
            <w:tcW w:w="6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i/>
              </w:rPr>
            </w:pPr>
            <w:r>
              <w:rPr>
                <w:i/>
              </w:rPr>
              <w:t>$</w:t>
            </w:r>
          </w:p>
        </w:tc>
        <w:tc>
          <w:tcPr>
            <w:tcW w:w="642" w:type="dxa"/>
            <w:tcBorders/>
            <w:vAlign w:val="bottom"/>
          </w:tcPr>
          <w:p>
            <w:pPr>
              <w:pStyle w:val="TableContents"/>
              <w:bidi w:val="0"/>
              <w:spacing w:before="0" w:after="283"/>
              <w:jc w:val="right"/>
              <w:rPr>
                <w:i/>
              </w:rPr>
            </w:pPr>
            <w:r>
              <w:rPr>
                <w:i/>
              </w:rPr>
              <w:t>46.06</w:t>
            </w:r>
          </w:p>
        </w:tc>
        <w:tc>
          <w:tcPr>
            <w:tcW w:w="60"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i/>
              </w:rPr>
            </w:pPr>
            <w:r>
              <w:rPr>
                <w:i/>
              </w:rPr>
              <w:t>$ 46.0599</w:t>
            </w:r>
          </w:p>
        </w:tc>
        <w:tc>
          <w:tcPr>
            <w:tcW w:w="60"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i/>
              </w:rPr>
            </w:pPr>
            <w:r>
              <w:rPr>
                <w:i/>
              </w:rPr>
              <w:t>$</w:t>
            </w:r>
          </w:p>
        </w:tc>
        <w:tc>
          <w:tcPr>
            <w:tcW w:w="1306" w:type="dxa"/>
            <w:tcBorders/>
            <w:vAlign w:val="bottom"/>
          </w:tcPr>
          <w:p>
            <w:pPr>
              <w:pStyle w:val="TableContents"/>
              <w:bidi w:val="0"/>
              <w:spacing w:before="0" w:after="283"/>
              <w:jc w:val="right"/>
              <w:rPr>
                <w:i/>
              </w:rPr>
            </w:pPr>
            <w:r>
              <w:rPr>
                <w:i/>
              </w:rPr>
              <w:t>128,967,980</w:t>
            </w:r>
          </w:p>
        </w:tc>
        <w:tc>
          <w:tcPr>
            <w:tcW w:w="65"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(1)</w:t>
            </w:r>
          </w:p>
        </w:tc>
        <w:tc>
          <w:tcPr>
            <w:tcW w:w="9799" w:type="dxa"/>
            <w:tcBorders/>
          </w:tcPr>
          <w:p>
            <w:pPr>
              <w:pStyle w:val="TableContents"/>
              <w:bidi w:val="0"/>
              <w:spacing w:before="0" w:after="0"/>
              <w:jc w:val="both"/>
              <w:rPr>
                <w:rFonts w:ascii="Times New Roman" w:hAnsi="Times New Roman"/>
                <w:i/>
                <w:sz w:val="18"/>
              </w:rPr>
            </w:pPr>
            <w:r>
              <w:rPr>
                <w:rFonts w:ascii="Times New Roman" w:hAnsi="Times New Roman"/>
                <w:i/>
                <w:sz w:val="18"/>
              </w:rPr>
              <w:t xml:space="preserve">See the section titled Underwriters beginning on page S-25 for a description of the compensation payable to the underwriters. </w:t>
            </w:r>
          </w:p>
        </w:tc>
      </w:tr>
    </w:tbl>
    <w:p>
      <w:pPr>
        <w:pStyle w:val="TextBody"/>
        <w:bidi w:val="0"/>
        <w:spacing w:before="120" w:after="0"/>
        <w:jc w:val="both"/>
        <w:rPr>
          <w:rFonts w:ascii="Times New Roman" w:hAnsi="Times New Roman"/>
          <w:i/>
          <w:sz w:val="18"/>
        </w:rPr>
      </w:pPr>
      <w:r>
        <w:rPr>
          <w:rFonts w:ascii="Times New Roman" w:hAnsi="Times New Roman"/>
          <w:i/>
          <w:sz w:val="18"/>
        </w:rPr>
        <w:t xml:space="preserve">We have granted the underwriters an option for a period of 30 days to purchase up to an additional 420,000 shares of our common stock at the public offering price, less the underwriting discounts and commissions. </w:t>
      </w:r>
    </w:p>
    <w:p>
      <w:pPr>
        <w:pStyle w:val="TextBody"/>
        <w:bidi w:val="0"/>
        <w:spacing w:before="120" w:after="0"/>
        <w:jc w:val="both"/>
        <w:rPr>
          <w:rFonts w:ascii="Times New Roman" w:hAnsi="Times New Roman"/>
          <w:i/>
          <w:sz w:val="18"/>
        </w:rPr>
      </w:pPr>
      <w:r>
        <w:rPr>
          <w:rFonts w:ascii="Times New Roman" w:hAnsi="Times New Roman"/>
          <w:i/>
          <w:sz w:val="18"/>
        </w:rPr>
        <w:t xml:space="preserve">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spacing w:before="120" w:after="0"/>
        <w:jc w:val="both"/>
        <w:rPr>
          <w:rFonts w:ascii="Times New Roman" w:hAnsi="Times New Roman"/>
          <w:i/>
          <w:sz w:val="18"/>
        </w:rPr>
      </w:pPr>
      <w:r>
        <w:rPr>
          <w:rFonts w:ascii="Times New Roman" w:hAnsi="Times New Roman"/>
          <w:i/>
          <w:sz w:val="18"/>
        </w:rPr>
        <w:t xml:space="preserve">The underwriters expect to deliver the shares of common stock and the pre-funded warrants against payment therefor on or about June 16, 2023.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i/>
          <w:sz w:val="18"/>
        </w:rPr>
      </w:pPr>
      <w:r>
        <w:rPr>
          <w:rFonts w:ascii="Times New Roman" w:hAnsi="Times New Roman"/>
          <w:i/>
          <w:sz w:val="18"/>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7"/>
        <w:gridCol w:w="102"/>
        <w:gridCol w:w="2857"/>
        <w:gridCol w:w="102"/>
        <w:gridCol w:w="1531"/>
        <w:gridCol w:w="101"/>
        <w:gridCol w:w="3165"/>
      </w:tblGrid>
      <w:tr>
        <w:trPr/>
        <w:tc>
          <w:tcPr>
            <w:tcW w:w="234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i/>
              </w:rPr>
            </w:pPr>
            <w:r>
              <w:rPr>
                <w:i/>
              </w:rPr>
              <w:t>Morgan Stanley</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center"/>
              <w:rPr>
                <w:i/>
              </w:rPr>
            </w:pPr>
            <w:r>
              <w:rPr>
                <w:i/>
              </w:rPr>
              <w:t>SVB Securities</w:t>
            </w:r>
          </w:p>
        </w:tc>
        <w:tc>
          <w:tcPr>
            <w:tcW w:w="102"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i/>
              </w:rPr>
            </w:pPr>
            <w:r>
              <w:rPr>
                <w:i/>
              </w:rPr>
              <w:t>Stifel</w:t>
            </w:r>
          </w:p>
        </w:tc>
        <w:tc>
          <w:tcPr>
            <w:tcW w:w="101" w:type="dxa"/>
            <w:tcBorders/>
            <w:vAlign w:val="bottom"/>
          </w:tcPr>
          <w:p>
            <w:pPr>
              <w:pStyle w:val="TableContents"/>
              <w:bidi w:val="0"/>
              <w:spacing w:before="0" w:after="283"/>
              <w:jc w:val="left"/>
              <w:rPr/>
            </w:pPr>
            <w:r>
              <w:rPr/>
              <w:t> </w:t>
            </w:r>
          </w:p>
        </w:tc>
        <w:tc>
          <w:tcPr>
            <w:tcW w:w="3165" w:type="dxa"/>
            <w:tcBorders/>
            <w:vAlign w:val="bottom"/>
          </w:tcPr>
          <w:p>
            <w:pPr>
              <w:pStyle w:val="TableContents"/>
              <w:bidi w:val="0"/>
              <w:spacing w:before="0" w:after="283"/>
              <w:jc w:val="right"/>
              <w:rPr>
                <w:i/>
              </w:rPr>
            </w:pPr>
            <w:r>
              <w:rPr>
                <w:i/>
              </w:rPr>
              <w:t>BMO Capital Markets</w:t>
            </w:r>
          </w:p>
        </w:tc>
      </w:tr>
    </w:tbl>
    <w:p>
      <w:pPr>
        <w:pStyle w:val="TextBody"/>
        <w:bidi w:val="0"/>
        <w:spacing w:before="120" w:after="0"/>
        <w:jc w:val="center"/>
        <w:rPr>
          <w:rFonts w:ascii="Times New Roman" w:hAnsi="Times New Roman"/>
          <w:i/>
          <w:sz w:val="18"/>
        </w:rPr>
      </w:pPr>
      <w:r>
        <w:rPr>
          <w:rFonts w:ascii="Times New Roman" w:hAnsi="Times New Roman"/>
          <w:i/>
          <w:sz w:val="18"/>
        </w:rPr>
        <w:t xml:space="preserve">Lead Manager </w:t>
      </w:r>
    </w:p>
    <w:p>
      <w:pPr>
        <w:pStyle w:val="TextBody"/>
        <w:bidi w:val="0"/>
        <w:spacing w:before="120" w:after="0"/>
        <w:jc w:val="center"/>
        <w:rPr>
          <w:rFonts w:ascii="Times New Roman" w:hAnsi="Times New Roman"/>
          <w:i/>
          <w:sz w:val="22"/>
        </w:rPr>
      </w:pPr>
      <w:r>
        <w:rPr>
          <w:rFonts w:ascii="Times New Roman" w:hAnsi="Times New Roman"/>
          <w:i/>
          <w:sz w:val="22"/>
        </w:rPr>
        <w:t xml:space="preserve">Wedbush PacGrow </w:t>
      </w:r>
    </w:p>
    <w:p>
      <w:pPr>
        <w:pStyle w:val="TextBody"/>
        <w:bidi w:val="0"/>
        <w:spacing w:before="120" w:after="0"/>
        <w:jc w:val="both"/>
        <w:rPr>
          <w:rFonts w:ascii="Times New Roman" w:hAnsi="Times New Roman"/>
          <w:i/>
          <w:sz w:val="18"/>
        </w:rPr>
      </w:pPr>
      <w:r>
        <w:rPr>
          <w:rFonts w:ascii="Times New Roman" w:hAnsi="Times New Roman"/>
          <w:i/>
          <w:sz w:val="18"/>
        </w:rPr>
        <w:t xml:space="preserve">June 13,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6062980"/>
                <wp:effectExtent l="0" t="0" r="0" b="0"/>
                <wp:wrapSquare wrapText="right"/>
                <wp:docPr id="2" name="Frame1"/>
                <a:graphic xmlns:a="http://schemas.openxmlformats.org/drawingml/2006/main">
                  <a:graphicData uri="http://schemas.microsoft.com/office/word/2010/wordprocessingShape">
                    <wps:wsp>
                      <wps:cNvSpPr txBox="1"/>
                      <wps:spPr>
                        <a:xfrm>
                          <a:off x="0" y="0"/>
                          <a:ext cx="3110230" cy="606298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315"/>
                              <w:gridCol w:w="295"/>
                              <w:gridCol w:w="29"/>
                              <w:gridCol w:w="229"/>
                              <w:gridCol w:w="30"/>
                            </w:tblGrid>
                            <w:tr>
                              <w:trPr/>
                              <w:tc>
                                <w:tcPr>
                                  <w:tcW w:w="431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31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1">
                                    <w:r>
                                      <w:rPr>
                                        <w:rStyle w:val="InternetLink"/>
                                        <w:rFonts w:ascii="Times New Roman" w:hAnsi="Times New Roman"/>
                                        <w:sz w:val="20"/>
                                      </w:rPr>
                                      <w:t>About this Prospectus Supplement</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S-ii</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2">
                                    <w:r>
                                      <w:rPr>
                                        <w:rStyle w:val="InternetLink"/>
                                        <w:rFonts w:ascii="Times New Roman" w:hAnsi="Times New Roman"/>
                                        <w:sz w:val="20"/>
                                      </w:rPr>
                                      <w:t>Cautionary Statement Regarding Forward-Looking Statements</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S-iv</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3">
                                    <w:r>
                                      <w:rPr>
                                        <w:rStyle w:val="InternetLink"/>
                                        <w:rFonts w:ascii="Times New Roman" w:hAnsi="Times New Roman"/>
                                        <w:sz w:val="20"/>
                                      </w:rPr>
                                      <w:t>Prospectus Supplement Summary</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S-1</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4">
                                    <w:r>
                                      <w:rPr>
                                        <w:rStyle w:val="InternetLink"/>
                                        <w:rFonts w:ascii="Times New Roman" w:hAnsi="Times New Roman"/>
                                        <w:sz w:val="20"/>
                                      </w:rPr>
                                      <w:t>Risk Factors</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S-7</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5">
                                    <w:r>
                                      <w:rPr>
                                        <w:rStyle w:val="InternetLink"/>
                                        <w:rFonts w:ascii="Times New Roman" w:hAnsi="Times New Roman"/>
                                        <w:sz w:val="20"/>
                                      </w:rPr>
                                      <w:t>Dividend Policy</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S-12</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6">
                                    <w:r>
                                      <w:rPr>
                                        <w:rStyle w:val="InternetLink"/>
                                        <w:rFonts w:ascii="Times New Roman" w:hAnsi="Times New Roman"/>
                                        <w:sz w:val="20"/>
                                      </w:rPr>
                                      <w:t>Use of Proceeds</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S-13</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7">
                                    <w:r>
                                      <w:rPr>
                                        <w:rStyle w:val="InternetLink"/>
                                        <w:rFonts w:ascii="Times New Roman" w:hAnsi="Times New Roman"/>
                                        <w:sz w:val="20"/>
                                      </w:rPr>
                                      <w:t>Dilution</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S-14</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8">
                                    <w:r>
                                      <w:rPr>
                                        <w:rStyle w:val="InternetLink"/>
                                        <w:rFonts w:ascii="Times New Roman" w:hAnsi="Times New Roman"/>
                                        <w:sz w:val="20"/>
                                      </w:rPr>
                                      <w:t xml:space="preserve">Description of Pre-funded Warrants </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S-16</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77.4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315"/>
                        <w:gridCol w:w="295"/>
                        <w:gridCol w:w="29"/>
                        <w:gridCol w:w="229"/>
                        <w:gridCol w:w="30"/>
                      </w:tblGrid>
                      <w:tr>
                        <w:trPr/>
                        <w:tc>
                          <w:tcPr>
                            <w:tcW w:w="431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31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1">
                              <w:r>
                                <w:rPr>
                                  <w:rStyle w:val="InternetLink"/>
                                  <w:rFonts w:ascii="Times New Roman" w:hAnsi="Times New Roman"/>
                                  <w:sz w:val="20"/>
                                </w:rPr>
                                <w:t>About this Prospectus Supplement</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S-ii</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2">
                              <w:r>
                                <w:rPr>
                                  <w:rStyle w:val="InternetLink"/>
                                  <w:rFonts w:ascii="Times New Roman" w:hAnsi="Times New Roman"/>
                                  <w:sz w:val="20"/>
                                </w:rPr>
                                <w:t>Cautionary Statement Regarding Forward-Looking Statements</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S-iv</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3">
                              <w:r>
                                <w:rPr>
                                  <w:rStyle w:val="InternetLink"/>
                                  <w:rFonts w:ascii="Times New Roman" w:hAnsi="Times New Roman"/>
                                  <w:sz w:val="20"/>
                                </w:rPr>
                                <w:t>Prospectus Supplement Summary</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S-1</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4">
                              <w:r>
                                <w:rPr>
                                  <w:rStyle w:val="InternetLink"/>
                                  <w:rFonts w:ascii="Times New Roman" w:hAnsi="Times New Roman"/>
                                  <w:sz w:val="20"/>
                                </w:rPr>
                                <w:t>Risk Factors</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S-7</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5">
                              <w:r>
                                <w:rPr>
                                  <w:rStyle w:val="InternetLink"/>
                                  <w:rFonts w:ascii="Times New Roman" w:hAnsi="Times New Roman"/>
                                  <w:sz w:val="20"/>
                                </w:rPr>
                                <w:t>Dividend Policy</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S-12</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6">
                              <w:r>
                                <w:rPr>
                                  <w:rStyle w:val="InternetLink"/>
                                  <w:rFonts w:ascii="Times New Roman" w:hAnsi="Times New Roman"/>
                                  <w:sz w:val="20"/>
                                </w:rPr>
                                <w:t>Use of Proceeds</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S-13</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7">
                              <w:r>
                                <w:rPr>
                                  <w:rStyle w:val="InternetLink"/>
                                  <w:rFonts w:ascii="Times New Roman" w:hAnsi="Times New Roman"/>
                                  <w:sz w:val="20"/>
                                </w:rPr>
                                <w:t>Dilution</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S-14</w:t>
                            </w:r>
                          </w:p>
                        </w:tc>
                        <w:tc>
                          <w:tcPr>
                            <w:tcW w:w="30"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0"/>
                              <w:jc w:val="left"/>
                              <w:rPr/>
                            </w:pPr>
                            <w:hyperlink w:anchor="srom495299_8">
                              <w:r>
                                <w:rPr>
                                  <w:rStyle w:val="InternetLink"/>
                                  <w:rFonts w:ascii="Times New Roman" w:hAnsi="Times New Roman"/>
                                  <w:sz w:val="20"/>
                                </w:rPr>
                                <w:t xml:space="preserve">Description of Pre-funded Warrants </w:t>
                              </w:r>
                            </w:hyperlink>
                          </w:p>
                        </w:tc>
                        <w:tc>
                          <w:tcPr>
                            <w:tcW w:w="29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S-16</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5353050"/>
                <wp:effectExtent l="0" t="0" r="0" b="0"/>
                <wp:wrapSquare wrapText="right"/>
                <wp:docPr id="3" name="Frame2"/>
                <a:graphic xmlns:a="http://schemas.openxmlformats.org/drawingml/2006/main">
                  <a:graphicData uri="http://schemas.microsoft.com/office/word/2010/wordprocessingShape">
                    <wps:wsp>
                      <wps:cNvSpPr txBox="1"/>
                      <wps:spPr>
                        <a:xfrm>
                          <a:off x="0" y="0"/>
                          <a:ext cx="3175000" cy="535305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405"/>
                              <w:gridCol w:w="302"/>
                              <w:gridCol w:w="30"/>
                              <w:gridCol w:w="232"/>
                              <w:gridCol w:w="31"/>
                            </w:tblGrid>
                            <w:tr>
                              <w:trPr/>
                              <w:tc>
                                <w:tcPr>
                                  <w:tcW w:w="4405"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r>
                            <w:tr>
                              <w:trPr/>
                              <w:tc>
                                <w:tcPr>
                                  <w:tcW w:w="440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9">
                                    <w:r>
                                      <w:rPr>
                                        <w:rStyle w:val="InternetLink"/>
                                        <w:rFonts w:ascii="Times New Roman" w:hAnsi="Times New Roman"/>
                                        <w:sz w:val="20"/>
                                      </w:rPr>
                                      <w:t>Material U.S. Federal Income Tax Consequences for Investors in Common Stock and Pre-funded Warrants</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S-19</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10">
                                    <w:r>
                                      <w:rPr>
                                        <w:rStyle w:val="InternetLink"/>
                                        <w:rFonts w:ascii="Times New Roman" w:hAnsi="Times New Roman"/>
                                        <w:sz w:val="20"/>
                                      </w:rPr>
                                      <w:t>Underwriters</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S-25</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11">
                                    <w:r>
                                      <w:rPr>
                                        <w:rStyle w:val="InternetLink"/>
                                        <w:rFonts w:ascii="Times New Roman" w:hAnsi="Times New Roman"/>
                                        <w:sz w:val="20"/>
                                      </w:rPr>
                                      <w:t>Legal Matters</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S-36</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12">
                                    <w:r>
                                      <w:rPr>
                                        <w:rStyle w:val="InternetLink"/>
                                        <w:rFonts w:ascii="Times New Roman" w:hAnsi="Times New Roman"/>
                                        <w:sz w:val="20"/>
                                      </w:rPr>
                                      <w:t>Experts</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S-37</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13">
                                    <w:r>
                                      <w:rPr>
                                        <w:rStyle w:val="InternetLink"/>
                                        <w:rFonts w:ascii="Times New Roman" w:hAnsi="Times New Roman"/>
                                        <w:sz w:val="20"/>
                                      </w:rPr>
                                      <w:t>Where You can Find More Information</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S-38</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14">
                                    <w:r>
                                      <w:rPr>
                                        <w:rStyle w:val="InternetLink"/>
                                        <w:rFonts w:ascii="Times New Roman" w:hAnsi="Times New Roman"/>
                                        <w:sz w:val="20"/>
                                      </w:rPr>
                                      <w:t>Incorporation of Certain Information by Reference</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S-39</w:t>
                                  </w:r>
                                </w:p>
                              </w:tc>
                              <w:tc>
                                <w:tcPr>
                                  <w:tcW w:w="31"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21.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405"/>
                        <w:gridCol w:w="302"/>
                        <w:gridCol w:w="30"/>
                        <w:gridCol w:w="232"/>
                        <w:gridCol w:w="31"/>
                      </w:tblGrid>
                      <w:tr>
                        <w:trPr/>
                        <w:tc>
                          <w:tcPr>
                            <w:tcW w:w="4405"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r>
                      <w:tr>
                        <w:trPr/>
                        <w:tc>
                          <w:tcPr>
                            <w:tcW w:w="440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9">
                              <w:r>
                                <w:rPr>
                                  <w:rStyle w:val="InternetLink"/>
                                  <w:rFonts w:ascii="Times New Roman" w:hAnsi="Times New Roman"/>
                                  <w:sz w:val="20"/>
                                </w:rPr>
                                <w:t>Material U.S. Federal Income Tax Consequences for Investors in Common Stock and Pre-funded Warrants</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S-19</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10">
                              <w:r>
                                <w:rPr>
                                  <w:rStyle w:val="InternetLink"/>
                                  <w:rFonts w:ascii="Times New Roman" w:hAnsi="Times New Roman"/>
                                  <w:sz w:val="20"/>
                                </w:rPr>
                                <w:t>Underwriters</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S-25</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11">
                              <w:r>
                                <w:rPr>
                                  <w:rStyle w:val="InternetLink"/>
                                  <w:rFonts w:ascii="Times New Roman" w:hAnsi="Times New Roman"/>
                                  <w:sz w:val="20"/>
                                </w:rPr>
                                <w:t>Legal Matters</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S-36</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12">
                              <w:r>
                                <w:rPr>
                                  <w:rStyle w:val="InternetLink"/>
                                  <w:rFonts w:ascii="Times New Roman" w:hAnsi="Times New Roman"/>
                                  <w:sz w:val="20"/>
                                </w:rPr>
                                <w:t>Experts</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S-37</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13">
                              <w:r>
                                <w:rPr>
                                  <w:rStyle w:val="InternetLink"/>
                                  <w:rFonts w:ascii="Times New Roman" w:hAnsi="Times New Roman"/>
                                  <w:sz w:val="20"/>
                                </w:rPr>
                                <w:t>Where You can Find More Information</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S-38</w:t>
                            </w:r>
                          </w:p>
                        </w:tc>
                        <w:tc>
                          <w:tcPr>
                            <w:tcW w:w="31"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0"/>
                              <w:jc w:val="left"/>
                              <w:rPr/>
                            </w:pPr>
                            <w:hyperlink w:anchor="srom495299_14">
                              <w:r>
                                <w:rPr>
                                  <w:rStyle w:val="InternetLink"/>
                                  <w:rFonts w:ascii="Times New Roman" w:hAnsi="Times New Roman"/>
                                  <w:sz w:val="20"/>
                                </w:rPr>
                                <w:t>Incorporation of Certain Information by Reference</w:t>
                              </w:r>
                            </w:hyperlink>
                          </w:p>
                        </w:tc>
                        <w:tc>
                          <w:tcPr>
                            <w:tcW w:w="30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S-39</w:t>
                            </w:r>
                          </w:p>
                        </w:tc>
                        <w:tc>
                          <w:tcPr>
                            <w:tcW w:w="31"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10230" cy="4485640"/>
                <wp:effectExtent l="0" t="0" r="0" b="0"/>
                <wp:wrapSquare wrapText="right"/>
                <wp:docPr id="4" name="Frame3"/>
                <a:graphic xmlns:a="http://schemas.openxmlformats.org/drawingml/2006/main">
                  <a:graphicData uri="http://schemas.microsoft.com/office/word/2010/wordprocessingShape">
                    <wps:wsp>
                      <wps:cNvSpPr txBox="1"/>
                      <wps:spPr>
                        <a:xfrm>
                          <a:off x="0" y="0"/>
                          <a:ext cx="3110230" cy="448564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323"/>
                              <w:gridCol w:w="295"/>
                              <w:gridCol w:w="46"/>
                              <w:gridCol w:w="204"/>
                              <w:gridCol w:w="30"/>
                            </w:tblGrid>
                            <w:tr>
                              <w:trPr/>
                              <w:tc>
                                <w:tcPr>
                                  <w:tcW w:w="4323"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323"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1">
                                    <w:r>
                                      <w:rPr>
                                        <w:rStyle w:val="InternetLink"/>
                                        <w:rFonts w:ascii="Times New Roman" w:hAnsi="Times New Roman"/>
                                        <w:sz w:val="20"/>
                                      </w:rPr>
                                      <w:t>About this Prospectus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2">
                                    <w:r>
                                      <w:rPr>
                                        <w:rStyle w:val="InternetLink"/>
                                        <w:rFonts w:ascii="Times New Roman" w:hAnsi="Times New Roman"/>
                                        <w:sz w:val="20"/>
                                      </w:rPr>
                                      <w:t>Where You can Find More Information</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3">
                                    <w:r>
                                      <w:rPr>
                                        <w:rStyle w:val="InternetLink"/>
                                        <w:rFonts w:ascii="Times New Roman" w:hAnsi="Times New Roman"/>
                                        <w:sz w:val="20"/>
                                      </w:rPr>
                                      <w:t>Incorporation of Certain Information by Reference</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4">
                                    <w:r>
                                      <w:rPr>
                                        <w:rStyle w:val="InternetLink"/>
                                        <w:rFonts w:ascii="Times New Roman" w:hAnsi="Times New Roman"/>
                                        <w:sz w:val="20"/>
                                      </w:rPr>
                                      <w:t>Special Note Regarding Forward-Looking Statements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4</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5">
                                    <w:r>
                                      <w:rPr>
                                        <w:rStyle w:val="InternetLink"/>
                                        <w:rFonts w:ascii="Times New Roman" w:hAnsi="Times New Roman"/>
                                        <w:sz w:val="20"/>
                                      </w:rPr>
                                      <w:t>About the Company</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7</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6">
                                    <w:r>
                                      <w:rPr>
                                        <w:rStyle w:val="InternetLink"/>
                                        <w:rFonts w:ascii="Times New Roman" w:hAnsi="Times New Roman"/>
                                        <w:sz w:val="20"/>
                                      </w:rPr>
                                      <w:t>Risk Factors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10</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7">
                                    <w:r>
                                      <w:rPr>
                                        <w:rStyle w:val="InternetLink"/>
                                        <w:rFonts w:ascii="Times New Roman" w:hAnsi="Times New Roman"/>
                                        <w:sz w:val="20"/>
                                      </w:rPr>
                                      <w:t>Selected Financial Data</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11</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8">
                                    <w:r>
                                      <w:rPr>
                                        <w:rStyle w:val="InternetLink"/>
                                        <w:rFonts w:ascii="Times New Roman" w:hAnsi="Times New Roman"/>
                                        <w:sz w:val="20"/>
                                      </w:rPr>
                                      <w:t>Use of Proceeds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14</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53.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323"/>
                        <w:gridCol w:w="295"/>
                        <w:gridCol w:w="46"/>
                        <w:gridCol w:w="204"/>
                        <w:gridCol w:w="30"/>
                      </w:tblGrid>
                      <w:tr>
                        <w:trPr/>
                        <w:tc>
                          <w:tcPr>
                            <w:tcW w:w="4323"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323"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1">
                              <w:r>
                                <w:rPr>
                                  <w:rStyle w:val="InternetLink"/>
                                  <w:rFonts w:ascii="Times New Roman" w:hAnsi="Times New Roman"/>
                                  <w:sz w:val="20"/>
                                </w:rPr>
                                <w:t>About this Prospectus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2">
                              <w:r>
                                <w:rPr>
                                  <w:rStyle w:val="InternetLink"/>
                                  <w:rFonts w:ascii="Times New Roman" w:hAnsi="Times New Roman"/>
                                  <w:sz w:val="20"/>
                                </w:rPr>
                                <w:t>Where You can Find More Information</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3">
                              <w:r>
                                <w:rPr>
                                  <w:rStyle w:val="InternetLink"/>
                                  <w:rFonts w:ascii="Times New Roman" w:hAnsi="Times New Roman"/>
                                  <w:sz w:val="20"/>
                                </w:rPr>
                                <w:t>Incorporation of Certain Information by Reference</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4">
                              <w:r>
                                <w:rPr>
                                  <w:rStyle w:val="InternetLink"/>
                                  <w:rFonts w:ascii="Times New Roman" w:hAnsi="Times New Roman"/>
                                  <w:sz w:val="20"/>
                                </w:rPr>
                                <w:t>Special Note Regarding Forward-Looking Statements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4</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5">
                              <w:r>
                                <w:rPr>
                                  <w:rStyle w:val="InternetLink"/>
                                  <w:rFonts w:ascii="Times New Roman" w:hAnsi="Times New Roman"/>
                                  <w:sz w:val="20"/>
                                </w:rPr>
                                <w:t>About the Company</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7</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6">
                              <w:r>
                                <w:rPr>
                                  <w:rStyle w:val="InternetLink"/>
                                  <w:rFonts w:ascii="Times New Roman" w:hAnsi="Times New Roman"/>
                                  <w:sz w:val="20"/>
                                </w:rPr>
                                <w:t>Risk Factors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10</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7">
                              <w:r>
                                <w:rPr>
                                  <w:rStyle w:val="InternetLink"/>
                                  <w:rFonts w:ascii="Times New Roman" w:hAnsi="Times New Roman"/>
                                  <w:sz w:val="20"/>
                                </w:rPr>
                                <w:t>Selected Financial Data</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11</w:t>
                            </w:r>
                          </w:p>
                        </w:tc>
                        <w:tc>
                          <w:tcPr>
                            <w:tcW w:w="30"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0"/>
                              <w:jc w:val="left"/>
                              <w:rPr/>
                            </w:pPr>
                            <w:hyperlink w:anchor="toc495299_8">
                              <w:r>
                                <w:rPr>
                                  <w:rStyle w:val="InternetLink"/>
                                  <w:rFonts w:ascii="Times New Roman" w:hAnsi="Times New Roman"/>
                                  <w:sz w:val="20"/>
                                </w:rPr>
                                <w:t>Use of Proceeds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right"/>
                              <w:rPr/>
                            </w:pPr>
                            <w:r>
                              <w:rPr/>
                              <w:t>14</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175000" cy="5892165"/>
                <wp:effectExtent l="0" t="0" r="0" b="0"/>
                <wp:wrapSquare wrapText="right"/>
                <wp:docPr id="5" name="Frame4"/>
                <a:graphic xmlns:a="http://schemas.openxmlformats.org/drawingml/2006/main">
                  <a:graphicData uri="http://schemas.microsoft.com/office/word/2010/wordprocessingShape">
                    <wps:wsp>
                      <wps:cNvSpPr txBox="1"/>
                      <wps:spPr>
                        <a:xfrm>
                          <a:off x="0" y="0"/>
                          <a:ext cx="3175000" cy="589216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410"/>
                              <w:gridCol w:w="305"/>
                              <w:gridCol w:w="47"/>
                              <w:gridCol w:w="207"/>
                              <w:gridCol w:w="31"/>
                            </w:tblGrid>
                            <w:tr>
                              <w:trPr/>
                              <w:tc>
                                <w:tcPr>
                                  <w:tcW w:w="441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r>
                            <w:tr>
                              <w:trPr/>
                              <w:tc>
                                <w:tcPr>
                                  <w:tcW w:w="441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9">
                                    <w:r>
                                      <w:rPr>
                                        <w:rStyle w:val="InternetLink"/>
                                        <w:rFonts w:ascii="Times New Roman" w:hAnsi="Times New Roman"/>
                                        <w:sz w:val="20"/>
                                      </w:rPr>
                                      <w:t>Dividend Policy</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15</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0">
                                    <w:r>
                                      <w:rPr>
                                        <w:rStyle w:val="InternetLink"/>
                                        <w:rFonts w:ascii="Times New Roman" w:hAnsi="Times New Roman"/>
                                        <w:sz w:val="20"/>
                                      </w:rPr>
                                      <w:t>General Description of Securities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16</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1">
                                    <w:r>
                                      <w:rPr>
                                        <w:rStyle w:val="InternetLink"/>
                                        <w:rFonts w:ascii="Times New Roman" w:hAnsi="Times New Roman"/>
                                        <w:sz w:val="20"/>
                                      </w:rPr>
                                      <w:t>Description of Capital Stock</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17</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2">
                                    <w:r>
                                      <w:rPr>
                                        <w:rStyle w:val="InternetLink"/>
                                        <w:rFonts w:ascii="Times New Roman" w:hAnsi="Times New Roman"/>
                                        <w:sz w:val="20"/>
                                      </w:rPr>
                                      <w:t>Description of Debt Securities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24</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3">
                                    <w:r>
                                      <w:rPr>
                                        <w:rStyle w:val="InternetLink"/>
                                        <w:rFonts w:ascii="Times New Roman" w:hAnsi="Times New Roman"/>
                                        <w:sz w:val="20"/>
                                      </w:rPr>
                                      <w:t>Description of Warrants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31</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4">
                                    <w:r>
                                      <w:rPr>
                                        <w:rStyle w:val="InternetLink"/>
                                        <w:rFonts w:ascii="Times New Roman" w:hAnsi="Times New Roman"/>
                                        <w:sz w:val="20"/>
                                      </w:rPr>
                                      <w:t>Description of Units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32</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5">
                                    <w:r>
                                      <w:rPr>
                                        <w:rStyle w:val="InternetLink"/>
                                        <w:rFonts w:ascii="Times New Roman" w:hAnsi="Times New Roman"/>
                                        <w:sz w:val="20"/>
                                      </w:rPr>
                                      <w:t>Plan of Distribution</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35</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6">
                                    <w:r>
                                      <w:rPr>
                                        <w:rStyle w:val="InternetLink"/>
                                        <w:rFonts w:ascii="Times New Roman" w:hAnsi="Times New Roman"/>
                                        <w:sz w:val="20"/>
                                      </w:rPr>
                                      <w:t>Legal Matters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38</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7">
                                    <w:r>
                                      <w:rPr>
                                        <w:rStyle w:val="InternetLink"/>
                                        <w:rFonts w:ascii="Times New Roman" w:hAnsi="Times New Roman"/>
                                        <w:sz w:val="20"/>
                                      </w:rPr>
                                      <w:t>Experts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38</w:t>
                                  </w:r>
                                </w:p>
                              </w:tc>
                              <w:tc>
                                <w:tcPr>
                                  <w:tcW w:w="31"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63.9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410"/>
                        <w:gridCol w:w="305"/>
                        <w:gridCol w:w="47"/>
                        <w:gridCol w:w="207"/>
                        <w:gridCol w:w="31"/>
                      </w:tblGrid>
                      <w:tr>
                        <w:trPr/>
                        <w:tc>
                          <w:tcPr>
                            <w:tcW w:w="441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r>
                      <w:tr>
                        <w:trPr/>
                        <w:tc>
                          <w:tcPr>
                            <w:tcW w:w="441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9">
                              <w:r>
                                <w:rPr>
                                  <w:rStyle w:val="InternetLink"/>
                                  <w:rFonts w:ascii="Times New Roman" w:hAnsi="Times New Roman"/>
                                  <w:sz w:val="20"/>
                                </w:rPr>
                                <w:t>Dividend Policy</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15</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0">
                              <w:r>
                                <w:rPr>
                                  <w:rStyle w:val="InternetLink"/>
                                  <w:rFonts w:ascii="Times New Roman" w:hAnsi="Times New Roman"/>
                                  <w:sz w:val="20"/>
                                </w:rPr>
                                <w:t>General Description of Securities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16</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1">
                              <w:r>
                                <w:rPr>
                                  <w:rStyle w:val="InternetLink"/>
                                  <w:rFonts w:ascii="Times New Roman" w:hAnsi="Times New Roman"/>
                                  <w:sz w:val="20"/>
                                </w:rPr>
                                <w:t>Description of Capital Stock</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17</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2">
                              <w:r>
                                <w:rPr>
                                  <w:rStyle w:val="InternetLink"/>
                                  <w:rFonts w:ascii="Times New Roman" w:hAnsi="Times New Roman"/>
                                  <w:sz w:val="20"/>
                                </w:rPr>
                                <w:t>Description of Debt Securities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24</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3">
                              <w:r>
                                <w:rPr>
                                  <w:rStyle w:val="InternetLink"/>
                                  <w:rFonts w:ascii="Times New Roman" w:hAnsi="Times New Roman"/>
                                  <w:sz w:val="20"/>
                                </w:rPr>
                                <w:t>Description of Warrants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31</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4">
                              <w:r>
                                <w:rPr>
                                  <w:rStyle w:val="InternetLink"/>
                                  <w:rFonts w:ascii="Times New Roman" w:hAnsi="Times New Roman"/>
                                  <w:sz w:val="20"/>
                                </w:rPr>
                                <w:t>Description of Units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32</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5">
                              <w:r>
                                <w:rPr>
                                  <w:rStyle w:val="InternetLink"/>
                                  <w:rFonts w:ascii="Times New Roman" w:hAnsi="Times New Roman"/>
                                  <w:sz w:val="20"/>
                                </w:rPr>
                                <w:t>Plan of Distribution</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35</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6">
                              <w:r>
                                <w:rPr>
                                  <w:rStyle w:val="InternetLink"/>
                                  <w:rFonts w:ascii="Times New Roman" w:hAnsi="Times New Roman"/>
                                  <w:sz w:val="20"/>
                                </w:rPr>
                                <w:t>Legal Matters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38</w:t>
                            </w:r>
                          </w:p>
                        </w:tc>
                        <w:tc>
                          <w:tcPr>
                            <w:tcW w:w="31" w:type="dxa"/>
                            <w:tcBorders/>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hyperlink w:anchor="toc495299_17">
                              <w:r>
                                <w:rPr>
                                  <w:rStyle w:val="InternetLink"/>
                                  <w:rFonts w:ascii="Times New Roman" w:hAnsi="Times New Roman"/>
                                  <w:sz w:val="20"/>
                                </w:rPr>
                                <w:t>Experts</w:t>
                              </w:r>
                            </w:hyperlink>
                          </w:p>
                        </w:tc>
                        <w:tc>
                          <w:tcPr>
                            <w:tcW w:w="305"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38</w:t>
                            </w:r>
                          </w:p>
                        </w:tc>
                        <w:tc>
                          <w:tcPr>
                            <w:tcW w:w="31"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srom495299_1"/>
      <w:bookmarkEnd w:id="3"/>
      <w:r>
        <w:rPr>
          <w:rFonts w:ascii="Times New Roman" w:hAnsi="Times New Roman"/>
          <w:b/>
          <w:sz w:val="20"/>
        </w:rPr>
        <w:t xml:space="preserve">ABOUT THIS PROSPECTUS SUPPLEMENT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supplement is part of a registration statement on Form S-3 (File No. 333-269272) that we filed with the Securities and Exchange Commission, or SEC, using a shelf registration process on January 18, 2023, which was declared effective on January 24, 2023. This document is in two parts. The first part is this prospectus supplement, which describes the specific terms of this offering of common stock and pre-funded warrants.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However, if any statement in one of these documents is inconsistent with a statement in another document with a later date that is incorporated by reference herein, the statement in the document having the later date modifies and supersedes the earlier statement. </w:t>
      </w:r>
    </w:p>
    <w:p>
      <w:pPr>
        <w:pStyle w:val="TextBody"/>
        <w:bidi w:val="0"/>
        <w:spacing w:before="240" w:after="0"/>
        <w:jc w:val="both"/>
        <w:rPr>
          <w:rFonts w:ascii="Times New Roman" w:hAnsi="Times New Roman"/>
          <w:sz w:val="20"/>
        </w:rPr>
      </w:pPr>
      <w:r>
        <w:rPr>
          <w:rFonts w:ascii="Times New Roman" w:hAnsi="Times New Roman"/>
          <w:sz w:val="20"/>
        </w:rPr>
        <w:t xml:space="preserve">Before buying any of the shares of common stock or pre-funded warrants offered hereby, we urge you to read carefully this prospectus supplement and the accompanying prospectus, together with the information incorporated herein by reference as described below under the heading Incorporation of Certain Information by Reference, as well as the additional information described in this prospectus supplement under Where You Can Find More Information. </w:t>
      </w:r>
    </w:p>
    <w:p>
      <w:pPr>
        <w:pStyle w:val="TextBody"/>
        <w:bidi w:val="0"/>
        <w:spacing w:before="240" w:after="0"/>
        <w:jc w:val="both"/>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both"/>
        <w:rPr>
          <w:rFonts w:ascii="Times New Roman" w:hAnsi="Times New Roman"/>
          <w:sz w:val="20"/>
        </w:rPr>
      </w:pPr>
      <w:r>
        <w:rPr>
          <w:rFonts w:ascii="Times New Roman" w:hAnsi="Times New Roman"/>
          <w:sz w:val="20"/>
        </w:rPr>
        <w:t xml:space="preserve">Neither we nor the underwriters have authorized anyone to provide you with information other than the information that we have provided or incorporated by reference in this prospectus supplement and the accompanying prospectus and your reliance on any unauthorized information or representation is at your own risk.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common stock and pre-funded warrants. Our business, financial condition and results of operations may have changed since those dates. </w:t>
      </w:r>
    </w:p>
    <w:p>
      <w:pPr>
        <w:pStyle w:val="TextBody"/>
        <w:bidi w:val="0"/>
        <w:spacing w:before="240" w:after="0"/>
        <w:jc w:val="both"/>
        <w:rPr>
          <w:rFonts w:ascii="Times New Roman" w:hAnsi="Times New Roman"/>
          <w:sz w:val="20"/>
        </w:rPr>
      </w:pPr>
      <w:r>
        <w:rPr>
          <w:rFonts w:ascii="Times New Roman" w:hAnsi="Times New Roman"/>
          <w:sz w:val="20"/>
        </w:rPr>
        <w:t xml:space="preserve">We are offering to sell, and seeking offers to buy, shares of common stock and pre-funded warrants only in jurisdictions where offers and sales are permitted. The distribution of this prospectus supplement and the accompanying prospectus and the offering of the common stock and pre-funded warrants in certain jurisdictions may be restricted by law. No action is being taken in any jurisdiction outside the United States to permit a public offering of the securities or possession or distribution of this prospectus supplement or the accompanying prospectus in that jurisdiction. Persons outside the United States who come into possession of this prospectus supplement and the accompanying prospectus must inform themselves about, and observe any restrictions relating to, the offering of the common stock and pre-funded warrants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On December 29, 2022, we acquired Disc Medicine Opco, Inc. (formerly Disc Medicine, Inc.), or Private Disc, pursuant to an agreement and plan of merger, or the Merger, and we changed our name to Disc Medicine, Inc. on December 29, 2022. As used in this prospectus supplement,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 </w:t>
      </w:r>
    </w:p>
    <w:p>
      <w:pPr>
        <w:pStyle w:val="TextBody"/>
        <w:bidi w:val="0"/>
        <w:spacing w:before="240" w:after="0"/>
        <w:jc w:val="both"/>
        <w:rPr>
          <w:rFonts w:ascii="Times New Roman" w:hAnsi="Times New Roman"/>
          <w:sz w:val="20"/>
        </w:rPr>
      </w:pPr>
      <w:r>
        <w:rPr>
          <w:rFonts w:ascii="Times New Roman" w:hAnsi="Times New Roman"/>
          <w:sz w:val="20"/>
        </w:rPr>
        <w:t xml:space="preserve">All references in this prospectus supplement and the accompanying prospectus to our consolidated financial statements include the related notes thereto. </w:t>
      </w:r>
    </w:p>
    <w:p>
      <w:pPr>
        <w:pStyle w:val="TextBody"/>
        <w:bidi w:val="0"/>
        <w:spacing w:before="240" w:after="0"/>
        <w:jc w:val="both"/>
        <w:rPr>
          <w:rFonts w:ascii="Times New Roman" w:hAnsi="Times New Roman"/>
          <w:sz w:val="20"/>
        </w:rPr>
      </w:pPr>
      <w:r>
        <w:rPr>
          <w:rFonts w:ascii="Times New Roman" w:hAnsi="Times New Roman"/>
          <w:sz w:val="20"/>
        </w:rPr>
        <w:t xml:space="preserve">Disc Medicine, Inc., the Disc logo and our other registered or common law trademarks, trade names or service marks appearing in this prospectus supplement are owned by us. All other trademarks or trade names referred to in this prospectus supplement are the property of their respective owners. Solely for convenience, the trademarks and trade names in this prospectus supplement are referred to without the symbols® and,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srom495299_2"/>
      <w:bookmarkEnd w:id="4"/>
      <w:r>
        <w:rPr>
          <w:rFonts w:ascii="Times New Roman" w:hAnsi="Times New Roman"/>
          <w:b/>
          <w:sz w:val="20"/>
        </w:rPr>
        <w:t xml:space="preserve">CAUTIONARY STATEMENT REGARDING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supplement, the accompanying prospectus and the documents that we incorporate by reference, contain forward-looking statements within the meaning of Section 27A of the Securities Act and Section 21E of the Exchange Act. All statements, other than statements of historical facts, included in this prospectus supplement and the accompanying prospectus, including the documents that we incorporate by reference, regarding our strategy, future operations, future financial position, future revenue, projected costs, prospects, plans, objectives of management and expected market growth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efficiently discover and develop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and the potential to successfully manufacture our drug substances and product candidates for preclinical use, for clinical trials and on a larger scale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obtain funding for our operations necessary to complete further development and commercialization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obtain and maintain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commercialize our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implementation of our business model, and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estimates of our future expenses, revenues,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benefits of strategic collaboration agreements, our ability to enter into strategic collaborations or arrangements,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future agreements with third parties in connection with the commercialization of product candidates and any other approved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rate and degree of market acceptance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regulatory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produce our products or product candidates with advantages in turnaround times or manufacturing cost;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impact of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 risks and uncertainties, including those listed under the caption Risk Factors;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use of the proceeds from this offering and any other financing transaction we may undertake.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forward-looking statements in this prospectus supplement represent our views as of the date of this prospectus supplement.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supplement. </w:t>
      </w:r>
    </w:p>
    <w:p>
      <w:pPr>
        <w:pStyle w:val="TextBody"/>
        <w:bidi w:val="0"/>
        <w:spacing w:before="240" w:after="0"/>
        <w:jc w:val="both"/>
        <w:rPr>
          <w:rFonts w:ascii="Times New Roman" w:hAnsi="Times New Roman"/>
          <w:sz w:val="20"/>
        </w:rPr>
      </w:pPr>
      <w:r>
        <w:rPr>
          <w:rFonts w:ascii="Times New Roman" w:hAnsi="Times New Roman"/>
          <w:sz w:val="20"/>
        </w:rPr>
        <w:t xml:space="preserve">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supplement or the accompanying prospectus, their estimates, in particular, as they relate to projections, involve numerous assumptions, are subject to risks and uncertainties and are subject to change based on various factors. You should read this prospectus supplement, the accompanying prospectus and the documents that we reference herein and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in our Quarterly Report on Form 10-Q for the quarter ended March 31, 2023 filed with the SEC on May 15, 2023, which is incorporated by reference into this prospectus supplement and the accompanying prospectus, and the section this prospectus supplement and the accompanying prospectus entitled Risk Factors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into which we may enter.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rom495299_3"/>
      <w:bookmarkEnd w:id="5"/>
      <w:r>
        <w:rPr>
          <w:rFonts w:ascii="Times New Roman" w:hAnsi="Times New Roman"/>
          <w:b/>
          <w:sz w:val="20"/>
          <w:bdr w:val="single" w:sz="8" w:space="1" w:color="000000"/>
        </w:rPr>
        <w:t xml:space="preserve">PROSPECTUS SUPPLEMENT SUMMARY </w:t>
      </w:r>
    </w:p>
    <w:p>
      <w:pPr>
        <w:pStyle w:val="TextBody"/>
        <w:bidi w:val="0"/>
        <w:spacing w:before="240" w:after="0"/>
        <w:jc w:val="both"/>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about us and this offering and does not contain all of the information that you should consider before investing in our common stock and pre-funded warrants. You should read this prospectus supplement, the accompanying prospectus and the documents incorporated by reference herein and therein carefully, especially those associated with the risks of investing in our common stock and pre-funded warrants discussed under Risk Factors beginning on page S-7 of this prospectus supplement and in the section entitled Risk Factors of our quarterly report on Form 10-Q for the quarter ended March 31, 2023, filed with the SEC on May 15, 2023, and any subsequent reports we file with the SEC after the date of this prospectus supplement, which are incorporated by reference in this prospectus supplement, along with our consolidated financial statements and notes to those consolidated financial statements and the other information incorporated by reference in this prospectus supplement, before making an investment decision.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MWTX-003 for the treatment of polycythemia vera, or PV, and other hematologic disorders. In addition, our preclinical programs also include DISC-0998, for the treatment of anemia associated with inflammatory diseases. Our approach to product candidate development is to leverage well-understood molecular mechanisms that have been validated in humans. We believe that each of our product candidates, if approved, has the potential to improve the lives of patients suffering from hematologic diseases.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planning to initially develop bitopertin for the treatment of EPs, including EPP and XLP. In July 2022, we initiated BEACON, a Phase 2 open-label, parallel-dose clinical trial of bitopertin designed to evaluate safety, tolerability, efficacy, and protoporphyrin IX, or PPIX, concentrations in patients with EPP and XLP, which is being conducted at sites in Australia. Separately, in July 2022, we received clearance of our Investigational New Drug application, or IND, from the U.S. Food and Drug Administration, or FDA, for, and in October 2022 we initiated, AURORA, a Phase 2, randomized, double-blind, placebo-controlled clinical trial of bitopertin designed to evaluate the safety, tolerability, efficacy and PPIX concentrations in patients with EPP, which is being conducted at sites in the United States. On June 9, 2023, we announced interim data from BEACON which is discussed in additional detail below under Recent Developments. We expect to present data for all patients from BEACON by end of year 2023 and to receive topline data from AURORA by end of 2023, which we expect to present in early 2024. We entered into a collaborative research and development agreement with the National Institutes of Health, or NIH, to conduct an NIH-sponsored clinical trial of bitopertin in DBA. The FDA authorized the clinical trial to proceed and we expect the trial to begin by mid-year 2023. We are planning additional trials of bitopertin in other indications.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DISC-0974 is the lead product candidate in our iron homeostasis portfolio. DISC-0974 is designed to suppress hepcidin production and increase serum iron levels. We submitted an IND to the FDA for DISC-0974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designed to evaluate the safety, tolerability, pharmacokinetics, and pharmacodynamics of DISC-0974 in patients with anemia of MF, and initiated a separate Phase 1b/2 clinical trial in February 2023 designed to evaluate the safety, tolerability, pharmacokinetics, and pharmacodynamics of DISC-0974 in patients with non-dialysis dependent CKD and anemia. We expect to report interim data from both of these trials by end of 2023. In addition, we are developing a preclinical anti-hemojuvelin monoclonal antibody, DISC-0998, which also targets hepcidin suppression and was in-licensed from AbbVie Deutschland GmbH &amp; Co. KG. DISC-0998 is designed to increase serum iron levels and has an extended serum half-life as compared to DISC-0974. We believe this pharmacokinetics profile may be desirable in certain subsets of patients with anemia associated with inflammatory diseases.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Lastly, we are developing MWTX-003, a monoclonal antibody against Transmembrane Serine Protease 6 that we licensed from Mabwell Therapeutics, Inc. MWTX-003 is part of our iron homeostasis portfolio and is designed to induce hepcidin production and reduce serum iron levels. An IND for MWTX-003 has been cleared by the FDA, and we plan to initiate a Phase 1 clinical trial in healthy adult volunteers in the second half of 2023. We expect to develop MWTX-003 for the treatment of PV and other hematologic disorders.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On June 9, 2023, we announced initial data from our ongoing Phase 2 open-label BEACON trial evaluating bitopertin, an orally administered investigational GlyT1 inhibitor, in patients with EPP and XLP.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BEACON Initial Data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BEACON trial is a randomized, open-label, parallel-arm trial enrolling up to 22 patients with EPP or XLP at trial sites in Australia. This trial was designed to assess changes in levels of PPIX, as well as measures of photosensitivity, quality of life, and safety and tolerability. Subjects are randomized to receive either 20 mg or 60 mg of bitopertin once-daily for 24 weeks, after which patients have the option of continuing in an open-label extension of the trial for up to an additional 24 weeks. The trial is ongoing and these data reflect initial data from 15 subjects enrolled as of the data cutoff of May 8, 2023, with a range of treatment durations from 18 days to 6 months. The data cutoff for PPIX data was April 7, 2023.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Highlights of the initial data presented: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PPIX levels: Significant, consistent, dose-dependent, and sustained reductions of whole-blood, metal-free PPIX; mean reduction of &gt;40% when compared to baseline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Measures of light tolerance (individual) from two participants with the longest follow-up demonstrated substantial increases in sunlight tolerance as measured by time in sunlight without experiencing a prodrome (initial symptoms that signal a pain attack), or sunlight challenge: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participant on 20 mg bitopertin reported a &gt;80-fold increase in sunlight tolerance on day 88 of treatment, increasing from 4.5 minutes at baseline to over 6 hours; the participant did not report a prodrome during any sunlight challenge after Day 20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participant on 60 mg bitopertin reported a &gt;200-fold increase in sunlight tolerance on day 74 of treatment, increasing from 1.25 minutes at baseline to over 4 hours, and did not report a prodrome during any sunlight challenge after Day 120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Measures of light tolerance (aggregated across participants from whom data was available in the trial):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Average weekly total time spent in sunlight: increased from 344 minutes (approximately 49 minutes per day) to 1,200 minutes at Week 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6"/>
        <w:gridCol w:w="100"/>
        <w:gridCol w:w="8882"/>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Time to prodrome during sunlight challenge (averaged over a two-week period): increased &gt;7-fold, from 25 minutes at baseline to 182 minutes at Week 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Increased proportion of days without symptoms: 75% vs. 25% (baseline)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Increased proportion of sunlight challenges without prodromes: 50% vs. 0% (baseline)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Phototoxic reactions: 96% reduction in patient-reported phototoxic reactions while on treatment compared to baseline (n=15)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figure below illustrates our aggregated light tolerance data: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55625" cy="28130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555625" cy="281305"/>
                    </a:xfrm>
                    <a:prstGeom prst="rect">
                      <a:avLst/>
                    </a:prstGeom>
                  </pic:spPr>
                </pic:pic>
              </a:graphicData>
            </a:graphic>
          </wp:inline>
        </w:drawing>
      </w:r>
      <w:r>
        <w:rPr>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Measures of patient quality of life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Patient Global Impression of Change (PGIC): All 10 patients that had completed a day 43 visit reported their disease was much better (n=8) or a little better (n=2) in the last 7 days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Patient Global Impression of Severity (PGIS): Nine out of 10 patients that had completed a day 43 visit reported their EPP was mild (n=3) or not at all severe (n=6)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EPP Impact Questionnaire (EPIQ): For patients whose most recent data was Day 43, 4/8 patients reported an improvement in the impact of EPP on quality of life and 4/8 reported no change in the impact of EPP on quality of life. For patients whose most recent data was after Day 43, 2/2 reported marked improvement in the impact of EPP on quality of life, reporting no impact of EPP on quality of life.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Bitopertin was well-tolerated at both dose levels with no reported serious adverse events, no reported discontinuations or dose reductions, no reported adverse events greater than Grade 1, and no meaningful changes observed in mean hemoglobin levels.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CORPORATE HISTORY AND INFORMATION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Disc Medicine, Inc. was originally incorporated under the laws of the state of Delaware in October 2017, and changed its name to Disc Medicine Opco, Inc., or Disc Opco, in December 2022. On December 29, 2022, we completed our business combination with Gemini Therapeutics, Inc., or Gemini, in accordance with the terms of the Agreement and Plan of Merger and Reorganization, dated as of August 9, 2022, or the Merger Agreement, by and among Gemini, us and Gemstone Merger Sub, Inc., a Delaware corporation and a wholly owned subsidiary of Gemini, Merger Sub,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321 Arsenal Street, Suite 101, Watertown, MA 02472, and our telephone number is (617) 674-9274. We maintain an Internet website at the following address: www.discmedicine.com. Information contained on our website is not incorporated by reference into this prospectus supplement or the accompanying prospectus, and you should not consider any information on, or that can be accessed from, our website as part of this prospectus supplement or the accompanying prospectus.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the JOBS Act and may remain an emerging growth company until December 31, 2025, or until such earlier time as we have more than $1.235 billion in annual revenue, we become a large accelerated filer under SEC rules, or we issue more than $1 billion of non-convertible debt over a three-year period. The JOBS Act contains provisions that, among other things, reduce certain reporting requirements for an emerging growth company. For so long as we remain an emerging growth company, we are permitted and plan to rely on exemptions from certain disclosure requirements that are applicable to other public companies that are not emerging growth companies. These exemptions include being permitted to only disclose two years of audited financial statements in addition to any required unaudited interim financial statements with correspondingly reduced Managements Discussion and Analysis of Financial Condition and Results of Operations disclosure. We have taken advantage of certain reduced reporting requirements in this prospectus supplement. Accordingly, the information contained herein may be different than the information you receive from other public companies in which you hold stock.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was less than $700 million. If we are a smaller reporting company at the time we cease to be an emerging growth company, we may continue to rely on exemptions from certain disclosure requirements that are available to smaller reporting companies. For so long as we remain a smaller reporting company, we are permitted and intend to rely on exemptions from certain disclosure and other requirements that are applicable to other public companies that are not applicable to a smaller reporting company.</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162"/>
        <w:gridCol w:w="121"/>
        <w:gridCol w:w="4922"/>
      </w:tblGrid>
      <w:tr>
        <w:trPr/>
        <w:tc>
          <w:tcPr>
            <w:tcW w:w="51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22" w:type="dxa"/>
            <w:tcBorders/>
            <w:vAlign w:val="center"/>
          </w:tcPr>
          <w:p>
            <w:pPr>
              <w:pStyle w:val="TableContents"/>
              <w:bidi w:val="0"/>
              <w:spacing w:before="0" w:after="283"/>
              <w:jc w:val="left"/>
              <w:rPr>
                <w:sz w:val="4"/>
                <w:szCs w:val="4"/>
              </w:rPr>
            </w:pPr>
            <w:r>
              <w:rPr>
                <w:sz w:val="4"/>
                <w:szCs w:val="4"/>
              </w:rPr>
            </w:r>
          </w:p>
        </w:tc>
      </w:tr>
      <w:tr>
        <w:trPr/>
        <w:tc>
          <w:tcPr>
            <w:tcW w:w="5162"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offered by us</w:t>
            </w:r>
          </w:p>
        </w:tc>
        <w:tc>
          <w:tcPr>
            <w:tcW w:w="121"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0"/>
              <w:jc w:val="left"/>
              <w:rPr>
                <w:rFonts w:ascii="Times New Roman" w:hAnsi="Times New Roman"/>
                <w:sz w:val="20"/>
              </w:rPr>
            </w:pPr>
            <w:r>
              <w:rPr>
                <w:rFonts w:ascii="Times New Roman" w:hAnsi="Times New Roman"/>
                <w:sz w:val="20"/>
              </w:rPr>
              <w:t>2,595,919 shares.</w:t>
            </w:r>
          </w:p>
        </w:tc>
      </w:tr>
      <w:tr>
        <w:trPr>
          <w:trHeight w:val="75" w:hRule="atLeast"/>
        </w:trPr>
        <w:tc>
          <w:tcPr>
            <w:tcW w:w="5162" w:type="dxa"/>
            <w:tcBorders/>
            <w:vAlign w:val="center"/>
          </w:tcPr>
          <w:p>
            <w:pPr>
              <w:pStyle w:val="TableContents"/>
              <w:bidi w:val="0"/>
              <w:spacing w:before="0" w:after="283"/>
              <w:jc w:val="left"/>
              <w:rPr>
                <w:sz w:val="4"/>
                <w:szCs w:val="4"/>
              </w:rPr>
            </w:pPr>
            <w:r>
              <w:rPr>
                <w:sz w:val="4"/>
                <w:szCs w:val="4"/>
              </w:rPr>
            </w:r>
          </w:p>
        </w:tc>
        <w:tc>
          <w:tcPr>
            <w:tcW w:w="5043" w:type="dxa"/>
            <w:gridSpan w:val="2"/>
            <w:tcBorders/>
            <w:vAlign w:val="center"/>
          </w:tcPr>
          <w:p>
            <w:pPr>
              <w:pStyle w:val="TableContents"/>
              <w:bidi w:val="0"/>
              <w:spacing w:before="0" w:after="283"/>
              <w:jc w:val="left"/>
              <w:rPr>
                <w:sz w:val="4"/>
                <w:szCs w:val="4"/>
              </w:rPr>
            </w:pPr>
            <w:r>
              <w:rPr>
                <w:sz w:val="4"/>
                <w:szCs w:val="4"/>
              </w:rPr>
            </w:r>
          </w:p>
        </w:tc>
      </w:tr>
      <w:tr>
        <w:trPr/>
        <w:tc>
          <w:tcPr>
            <w:tcW w:w="5162" w:type="dxa"/>
            <w:tcBorders/>
          </w:tcPr>
          <w:p>
            <w:pPr>
              <w:pStyle w:val="TableContents"/>
              <w:bidi w:val="0"/>
              <w:spacing w:before="0" w:after="0"/>
              <w:jc w:val="left"/>
              <w:rPr>
                <w:rFonts w:ascii="Times New Roman" w:hAnsi="Times New Roman"/>
                <w:sz w:val="20"/>
              </w:rPr>
            </w:pPr>
            <w:r>
              <w:rPr>
                <w:rFonts w:ascii="Times New Roman" w:hAnsi="Times New Roman"/>
                <w:sz w:val="20"/>
              </w:rPr>
              <w:t>Pre-funded warrants offered by us</w:t>
            </w:r>
          </w:p>
        </w:tc>
        <w:tc>
          <w:tcPr>
            <w:tcW w:w="121"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0"/>
              <w:jc w:val="left"/>
              <w:rPr>
                <w:rFonts w:ascii="Times New Roman" w:hAnsi="Times New Roman"/>
                <w:sz w:val="20"/>
              </w:rPr>
            </w:pPr>
            <w:r>
              <w:rPr>
                <w:rFonts w:ascii="Times New Roman" w:hAnsi="Times New Roman"/>
                <w:sz w:val="20"/>
              </w:rPr>
              <w:t>We are also offering, in lieu of common stock to certain investors that so choose, pre-funded warrants to purchase 204,081 shares of our common stock. Each pre-funded warrant is exercisable for one share of our common stock. The purchase price of each pre-funded warrant will equal the price per share at which shares of common stock are being sold to the public in this offering, less $0.0001, which is the exercise price of each pre-funded warrant. The pre-funded warrants do not expire, and each pre-funded warrant will be exercisable at any time after the date of issuance, subject to an ownership limitation and in some cases clearance under the HSR Act. See Description of Pre-Funded Warrants. This prospectus supplement also relates to the offering of the shares of our common stock issuable upon exercise of the pre-funded warrants.</w:t>
            </w:r>
          </w:p>
        </w:tc>
      </w:tr>
      <w:tr>
        <w:trPr>
          <w:trHeight w:val="75" w:hRule="atLeast"/>
        </w:trPr>
        <w:tc>
          <w:tcPr>
            <w:tcW w:w="5162" w:type="dxa"/>
            <w:tcBorders/>
            <w:vAlign w:val="center"/>
          </w:tcPr>
          <w:p>
            <w:pPr>
              <w:pStyle w:val="TableContents"/>
              <w:bidi w:val="0"/>
              <w:spacing w:before="0" w:after="283"/>
              <w:jc w:val="left"/>
              <w:rPr>
                <w:sz w:val="4"/>
                <w:szCs w:val="4"/>
              </w:rPr>
            </w:pPr>
            <w:r>
              <w:rPr>
                <w:sz w:val="4"/>
                <w:szCs w:val="4"/>
              </w:rPr>
            </w:r>
          </w:p>
        </w:tc>
        <w:tc>
          <w:tcPr>
            <w:tcW w:w="5043" w:type="dxa"/>
            <w:gridSpan w:val="2"/>
            <w:tcBorders/>
            <w:vAlign w:val="center"/>
          </w:tcPr>
          <w:p>
            <w:pPr>
              <w:pStyle w:val="TableContents"/>
              <w:bidi w:val="0"/>
              <w:spacing w:before="0" w:after="283"/>
              <w:jc w:val="left"/>
              <w:rPr>
                <w:sz w:val="4"/>
                <w:szCs w:val="4"/>
              </w:rPr>
            </w:pPr>
            <w:r>
              <w:rPr>
                <w:sz w:val="4"/>
                <w:szCs w:val="4"/>
              </w:rPr>
            </w:r>
          </w:p>
        </w:tc>
      </w:tr>
      <w:tr>
        <w:trPr/>
        <w:tc>
          <w:tcPr>
            <w:tcW w:w="5162" w:type="dxa"/>
            <w:tcBorders/>
          </w:tcPr>
          <w:p>
            <w:pPr>
              <w:pStyle w:val="TableContents"/>
              <w:bidi w:val="0"/>
              <w:spacing w:before="0" w:after="0"/>
              <w:jc w:val="left"/>
              <w:rPr>
                <w:rFonts w:ascii="Times New Roman" w:hAnsi="Times New Roman"/>
                <w:sz w:val="20"/>
              </w:rPr>
            </w:pPr>
            <w:r>
              <w:rPr>
                <w:rFonts w:ascii="Times New Roman" w:hAnsi="Times New Roman"/>
                <w:sz w:val="20"/>
              </w:rPr>
              <w:t>Underwriters option to purchase additional shares</w:t>
            </w:r>
          </w:p>
        </w:tc>
        <w:tc>
          <w:tcPr>
            <w:tcW w:w="121"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0"/>
              <w:jc w:val="left"/>
              <w:rPr>
                <w:rFonts w:ascii="Times New Roman" w:hAnsi="Times New Roman"/>
                <w:sz w:val="20"/>
              </w:rPr>
            </w:pPr>
            <w:r>
              <w:rPr>
                <w:rFonts w:ascii="Times New Roman" w:hAnsi="Times New Roman"/>
                <w:sz w:val="20"/>
              </w:rPr>
              <w:t>We have granted the underwriters an option to purchase up to an additional 420,000 shares of our common stock from us, at the public offering price, less the underwriting discounts and commissions, for a period of 30 days after the date of this prospectus supplement.</w:t>
            </w:r>
          </w:p>
        </w:tc>
      </w:tr>
      <w:tr>
        <w:trPr>
          <w:trHeight w:val="75" w:hRule="atLeast"/>
        </w:trPr>
        <w:tc>
          <w:tcPr>
            <w:tcW w:w="5162" w:type="dxa"/>
            <w:tcBorders/>
            <w:vAlign w:val="center"/>
          </w:tcPr>
          <w:p>
            <w:pPr>
              <w:pStyle w:val="TableContents"/>
              <w:bidi w:val="0"/>
              <w:spacing w:before="0" w:after="283"/>
              <w:jc w:val="left"/>
              <w:rPr>
                <w:sz w:val="4"/>
                <w:szCs w:val="4"/>
              </w:rPr>
            </w:pPr>
            <w:r>
              <w:rPr>
                <w:sz w:val="4"/>
                <w:szCs w:val="4"/>
              </w:rPr>
            </w:r>
          </w:p>
        </w:tc>
        <w:tc>
          <w:tcPr>
            <w:tcW w:w="5043" w:type="dxa"/>
            <w:gridSpan w:val="2"/>
            <w:tcBorders/>
            <w:vAlign w:val="center"/>
          </w:tcPr>
          <w:p>
            <w:pPr>
              <w:pStyle w:val="TableContents"/>
              <w:bidi w:val="0"/>
              <w:spacing w:before="0" w:after="283"/>
              <w:jc w:val="left"/>
              <w:rPr>
                <w:sz w:val="4"/>
                <w:szCs w:val="4"/>
              </w:rPr>
            </w:pPr>
            <w:r>
              <w:rPr>
                <w:sz w:val="4"/>
                <w:szCs w:val="4"/>
              </w:rPr>
            </w:r>
          </w:p>
        </w:tc>
      </w:tr>
      <w:tr>
        <w:trPr/>
        <w:tc>
          <w:tcPr>
            <w:tcW w:w="5162"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to be outstanding immediately after this offering</w:t>
            </w:r>
          </w:p>
        </w:tc>
        <w:tc>
          <w:tcPr>
            <w:tcW w:w="121"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0"/>
              <w:jc w:val="left"/>
              <w:rPr/>
            </w:pPr>
            <w:r>
              <w:rPr/>
            </w:r>
          </w:p>
          <w:p>
            <w:pPr>
              <w:pStyle w:val="TableContents"/>
              <w:bidi w:val="0"/>
              <w:spacing w:before="0" w:after="0"/>
              <w:jc w:val="left"/>
              <w:rPr>
                <w:rFonts w:ascii="Times New Roman" w:hAnsi="Times New Roman"/>
                <w:sz w:val="20"/>
              </w:rPr>
            </w:pPr>
            <w:r>
              <w:rPr>
                <w:rFonts w:ascii="Times New Roman" w:hAnsi="Times New Roman"/>
                <w:sz w:val="20"/>
              </w:rPr>
              <w:t>22,171,161 shares (or 22,591,161 shares, if the underwriters exercise their option in full to purchase additional shares), in each case assuming no exercise of any pre-funded warrants offered and sold by us.</w:t>
            </w:r>
          </w:p>
        </w:tc>
      </w:tr>
      <w:tr>
        <w:trPr>
          <w:trHeight w:val="75" w:hRule="atLeast"/>
        </w:trPr>
        <w:tc>
          <w:tcPr>
            <w:tcW w:w="5162" w:type="dxa"/>
            <w:tcBorders/>
            <w:vAlign w:val="center"/>
          </w:tcPr>
          <w:p>
            <w:pPr>
              <w:pStyle w:val="TableContents"/>
              <w:bidi w:val="0"/>
              <w:spacing w:before="0" w:after="283"/>
              <w:jc w:val="left"/>
              <w:rPr>
                <w:sz w:val="4"/>
                <w:szCs w:val="4"/>
              </w:rPr>
            </w:pPr>
            <w:r>
              <w:rPr>
                <w:sz w:val="4"/>
                <w:szCs w:val="4"/>
              </w:rPr>
            </w:r>
          </w:p>
        </w:tc>
        <w:tc>
          <w:tcPr>
            <w:tcW w:w="5043" w:type="dxa"/>
            <w:gridSpan w:val="2"/>
            <w:tcBorders/>
            <w:vAlign w:val="center"/>
          </w:tcPr>
          <w:p>
            <w:pPr>
              <w:pStyle w:val="TableContents"/>
              <w:bidi w:val="0"/>
              <w:spacing w:before="0" w:after="283"/>
              <w:jc w:val="left"/>
              <w:rPr>
                <w:sz w:val="4"/>
                <w:szCs w:val="4"/>
              </w:rPr>
            </w:pPr>
            <w:r>
              <w:rPr>
                <w:sz w:val="4"/>
                <w:szCs w:val="4"/>
              </w:rPr>
            </w:r>
          </w:p>
        </w:tc>
      </w:tr>
      <w:tr>
        <w:trPr/>
        <w:tc>
          <w:tcPr>
            <w:tcW w:w="5162" w:type="dxa"/>
            <w:tcBorders/>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121"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0"/>
              <w:jc w:val="left"/>
              <w:rPr>
                <w:rFonts w:ascii="Times New Roman" w:hAnsi="Times New Roman"/>
                <w:sz w:val="20"/>
              </w:rPr>
            </w:pPr>
            <w:r>
              <w:rPr>
                <w:rFonts w:ascii="Times New Roman" w:hAnsi="Times New Roman"/>
                <w:sz w:val="20"/>
              </w:rPr>
              <w:t>We currently intend to use the net proceeds from this offering together with our existing cash and cash equivalents, to fund research and clinical development of our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See Use of Proceeds on page S-13 of this prospectus supplement.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128"/>
        <w:gridCol w:w="121"/>
        <w:gridCol w:w="4956"/>
      </w:tblGrid>
      <w:tr>
        <w:trPr/>
        <w:tc>
          <w:tcPr>
            <w:tcW w:w="512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56" w:type="dxa"/>
            <w:tcBorders/>
            <w:vAlign w:val="center"/>
          </w:tcPr>
          <w:p>
            <w:pPr>
              <w:pStyle w:val="TableContents"/>
              <w:bidi w:val="0"/>
              <w:spacing w:before="0" w:after="283"/>
              <w:jc w:val="left"/>
              <w:rPr>
                <w:sz w:val="4"/>
                <w:szCs w:val="4"/>
              </w:rPr>
            </w:pPr>
            <w:r>
              <w:rPr>
                <w:sz w:val="4"/>
                <w:szCs w:val="4"/>
              </w:rPr>
            </w:r>
          </w:p>
        </w:tc>
      </w:tr>
      <w:tr>
        <w:trPr/>
        <w:tc>
          <w:tcPr>
            <w:tcW w:w="5128" w:type="dxa"/>
            <w:tcBorders/>
          </w:tcPr>
          <w:p>
            <w:pPr>
              <w:pStyle w:val="TableContents"/>
              <w:bidi w:val="0"/>
              <w:spacing w:before="0" w:after="0"/>
              <w:jc w:val="left"/>
              <w:rPr>
                <w:rFonts w:ascii="Times New Roman" w:hAnsi="Times New Roman"/>
                <w:sz w:val="20"/>
              </w:rPr>
            </w:pPr>
            <w:r>
              <w:rPr>
                <w:rFonts w:ascii="Times New Roman" w:hAnsi="Times New Roman"/>
                <w:sz w:val="20"/>
              </w:rPr>
              <w:t>Risk factors</w:t>
            </w:r>
          </w:p>
        </w:tc>
        <w:tc>
          <w:tcPr>
            <w:tcW w:w="121" w:type="dxa"/>
            <w:tcBorders/>
            <w:vAlign w:val="bottom"/>
          </w:tcPr>
          <w:p>
            <w:pPr>
              <w:pStyle w:val="TableContents"/>
              <w:bidi w:val="0"/>
              <w:spacing w:before="0" w:after="283"/>
              <w:jc w:val="left"/>
              <w:rPr/>
            </w:pPr>
            <w:r>
              <w:rPr/>
              <w:t>  </w:t>
            </w:r>
          </w:p>
        </w:tc>
        <w:tc>
          <w:tcPr>
            <w:tcW w:w="4956" w:type="dxa"/>
            <w:tcBorders/>
          </w:tcPr>
          <w:p>
            <w:pPr>
              <w:pStyle w:val="TableContents"/>
              <w:bidi w:val="0"/>
              <w:spacing w:before="0" w:after="0"/>
              <w:jc w:val="left"/>
              <w:rPr>
                <w:rFonts w:ascii="Times New Roman" w:hAnsi="Times New Roman"/>
                <w:sz w:val="20"/>
              </w:rPr>
            </w:pPr>
            <w:r>
              <w:rPr>
                <w:rFonts w:ascii="Times New Roman" w:hAnsi="Times New Roman"/>
                <w:sz w:val="20"/>
              </w:rPr>
              <w:t>Your investment involves a high degree of risk. You should read the Risk Factors section of this prospectus supplement beginning on page S-7 and in our Quarterly Report on Form 10-Q for the quarter ended March 31, 2023, as well as the other documents incorporated by reference in this prospectus supplement and the accompanying prospectus for a discussion of factors to consider carefully before deciding to invest in our securities.</w:t>
            </w:r>
          </w:p>
        </w:tc>
      </w:tr>
      <w:tr>
        <w:trPr>
          <w:trHeight w:val="75" w:hRule="atLeast"/>
        </w:trPr>
        <w:tc>
          <w:tcPr>
            <w:tcW w:w="5128" w:type="dxa"/>
            <w:tcBorders/>
            <w:vAlign w:val="center"/>
          </w:tcPr>
          <w:p>
            <w:pPr>
              <w:pStyle w:val="TableContents"/>
              <w:bidi w:val="0"/>
              <w:spacing w:before="0" w:after="283"/>
              <w:jc w:val="left"/>
              <w:rPr>
                <w:sz w:val="4"/>
                <w:szCs w:val="4"/>
              </w:rPr>
            </w:pPr>
            <w:r>
              <w:rPr>
                <w:sz w:val="4"/>
                <w:szCs w:val="4"/>
              </w:rPr>
            </w:r>
          </w:p>
        </w:tc>
        <w:tc>
          <w:tcPr>
            <w:tcW w:w="5077" w:type="dxa"/>
            <w:gridSpan w:val="2"/>
            <w:tcBorders/>
            <w:vAlign w:val="center"/>
          </w:tcPr>
          <w:p>
            <w:pPr>
              <w:pStyle w:val="TableContents"/>
              <w:bidi w:val="0"/>
              <w:spacing w:before="0" w:after="283"/>
              <w:jc w:val="left"/>
              <w:rPr>
                <w:sz w:val="4"/>
                <w:szCs w:val="4"/>
              </w:rPr>
            </w:pPr>
            <w:r>
              <w:rPr>
                <w:sz w:val="4"/>
                <w:szCs w:val="4"/>
              </w:rPr>
            </w:r>
          </w:p>
        </w:tc>
      </w:tr>
      <w:tr>
        <w:trPr/>
        <w:tc>
          <w:tcPr>
            <w:tcW w:w="5128" w:type="dxa"/>
            <w:tcBorders/>
          </w:tcPr>
          <w:p>
            <w:pPr>
              <w:pStyle w:val="TableContents"/>
              <w:bidi w:val="0"/>
              <w:spacing w:before="0" w:after="0"/>
              <w:jc w:val="left"/>
              <w:rPr>
                <w:rFonts w:ascii="Times New Roman" w:hAnsi="Times New Roman"/>
                <w:sz w:val="20"/>
              </w:rPr>
            </w:pPr>
            <w:r>
              <w:rPr>
                <w:rFonts w:ascii="Times New Roman" w:hAnsi="Times New Roman"/>
                <w:sz w:val="20"/>
              </w:rPr>
              <w:t>Nasdaq Global Market symbol</w:t>
            </w:r>
          </w:p>
        </w:tc>
        <w:tc>
          <w:tcPr>
            <w:tcW w:w="121" w:type="dxa"/>
            <w:tcBorders/>
            <w:vAlign w:val="bottom"/>
          </w:tcPr>
          <w:p>
            <w:pPr>
              <w:pStyle w:val="TableContents"/>
              <w:bidi w:val="0"/>
              <w:spacing w:before="0" w:after="283"/>
              <w:jc w:val="left"/>
              <w:rPr/>
            </w:pPr>
            <w:r>
              <w:rPr/>
              <w:t>  </w:t>
            </w:r>
          </w:p>
        </w:tc>
        <w:tc>
          <w:tcPr>
            <w:tcW w:w="4956" w:type="dxa"/>
            <w:tcBorders/>
          </w:tcPr>
          <w:p>
            <w:pPr>
              <w:pStyle w:val="TableContents"/>
              <w:bidi w:val="0"/>
              <w:spacing w:before="0" w:after="0"/>
              <w:jc w:val="left"/>
              <w:rPr>
                <w:rFonts w:ascii="Times New Roman" w:hAnsi="Times New Roman"/>
                <w:sz w:val="20"/>
              </w:rPr>
            </w:pPr>
            <w:r>
              <w:rPr>
                <w:rFonts w:ascii="Times New Roman" w:hAnsi="Times New Roman"/>
                <w:sz w:val="20"/>
              </w:rPr>
              <w:t>IRON. We do not intend to list the pre-funded warrants on the Nasdaq Global Market or any other national securities exchange or nationally recognized trading system.</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that will be outstanding immediately after this offering as shown above is based on 19,575,242 shares outstanding as of March 31, 2023. The number of shares outstanding as of March 31, 2023 as used throughout this prospectus supplement, unless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2,527,513 shares of common stock issuable upon the exercise of stock options outstanding as of March 31, 2023, at a weighted average exercise price of $14.17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84,297 shares of common stock issuable upon the exercise of stock options granted subsequent to March 31, 2023, at a weighted average exercise price of $37.92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958 shares of common stock issuable upon the vesting of restricted stock awards outstanding at March 31,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1,741,904 shares of common stock available for issuance under our Amended and Restated 2021 Stock Option and Incentive Plan as of March 31,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222,953 shares of common stock available for future issuance under our Amended and Restated 2021 Employee Stock Purchase Plan as of March 31, 2023;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1,229,224 shares of common stock issuable upon the exercise of pre-funded warrants outstanding as of March 31, 2023.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all information in this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assumes no exercise of the outstanding stock options or pre-funded warrants described above;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assumes no exercise by the underwriters of their option to purchase additional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assumes no exercise of the pre-funded warrants that we are offering in this offering in lieu of common stock to certain investors;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does not reflect the potential issuance of up to approximately $80.0 million of common stock that remain available for sale as of the date of this prospectus supplement under our Sales Agreement with SVB Securities LLC, dated January 25, 2023.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In connection with this offering, we notified SVB Securities LLC that we have suspended the offering of shares of our common stock, pursuant to the prospectus supplement, filed with the SEC on January 25, 2023 under our shelf Registration Statement on Form S-3 (File No. 333-269272), which became effective on January 24, 2023, relating to our Sales Agreement with SVB Securities LLC. We will not make any sales of our common stock pursuant to the Sales Agreement with SVB Securities LLC unless and until a new prospectus supplement or registration statement is filed with the SEC; however, the Sales Agreement with SVB Securities LLC remains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srom495299_4"/>
      <w:bookmarkEnd w:id="6"/>
      <w:r>
        <w:rPr>
          <w:rFonts w:ascii="Times New Roman" w:hAnsi="Times New Roman"/>
          <w:b/>
          <w:sz w:val="20"/>
        </w:rPr>
        <w:t xml:space="preserve">RISK FACTORS </w:t>
      </w:r>
    </w:p>
    <w:p>
      <w:pPr>
        <w:pStyle w:val="TextBody"/>
        <w:bidi w:val="0"/>
        <w:spacing w:before="240" w:after="0"/>
        <w:jc w:val="both"/>
        <w:rPr>
          <w:rFonts w:ascii="Times New Roman" w:hAnsi="Times New Roman"/>
          <w:i/>
          <w:sz w:val="20"/>
        </w:rPr>
      </w:pPr>
      <w:r>
        <w:rPr>
          <w:rFonts w:ascii="Times New Roman" w:hAnsi="Times New Roman"/>
          <w:i/>
          <w:sz w:val="20"/>
        </w:rPr>
        <w:t xml:space="preserve">Your investment in our common stock or pre-funded warrants involves a high degree of risk. Before deciding whether to invest in our common stock or pre-funded warrants, you should carefully consider the risks discussed under the section captioned Risk factors contained in our Quarterly Report on Form 10-Q for the quarter ended March 31, 2023 which is incorporated by reference in this prospectus supplement and the accompanying prospectus in its entirety, together with other information in this prospectus supplement, the accompanying prospectus and in our other filings with the SEC that we have incorporated by reference herein and therein. If any of these risks actually occurs, our business, financial condition, results of operations or cash flow could be seriously harmed. This could cause the trading price of our common stock to decline, resulting in a loss of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both"/>
        <w:rPr>
          <w:rFonts w:ascii="Times New Roman" w:hAnsi="Times New Roman"/>
          <w:b/>
          <w:i/>
          <w:sz w:val="20"/>
        </w:rPr>
      </w:pPr>
      <w:r>
        <w:rPr>
          <w:rFonts w:ascii="Times New Roman" w:hAnsi="Times New Roman"/>
          <w:b/>
          <w:i/>
          <w:sz w:val="20"/>
        </w:rPr>
        <w:t xml:space="preserve">If you purchase shares of our common stock or pre-funded warrants sold in this offering, you will experience immediate and substantial dilution. In addition, we may issue additional equity or convertible securities in the future, which may result in additional dilution to you. </w:t>
      </w:r>
    </w:p>
    <w:p>
      <w:pPr>
        <w:pStyle w:val="TextBody"/>
        <w:bidi w:val="0"/>
        <w:spacing w:before="120" w:after="0"/>
        <w:jc w:val="both"/>
        <w:rPr>
          <w:rFonts w:ascii="Times New Roman" w:hAnsi="Times New Roman"/>
          <w:sz w:val="20"/>
        </w:rPr>
      </w:pPr>
      <w:r>
        <w:rPr>
          <w:rFonts w:ascii="Times New Roman" w:hAnsi="Times New Roman"/>
          <w:sz w:val="20"/>
        </w:rPr>
        <w:t xml:space="preserve">Since the price per share of our common stock being offered is higher than the net tangible book value per share of our common stock, you will suffer dilution with respect to the net tangible book value of the shares of common stock or pre-funded warrants you purchase in this offering. Based on the public offering price of $49.00 per share of our common stock and $48.9999 per pre-funded warrant and our net tangible book value as of March 31, 2023, if you purchase shares of common stock or pre-funded warrants in this offering, you will suffer immediate dilution of $32.92 per share with respect to the net tangible book value of the common stock. For a more detailed discussion of the foregoing, see the section entitled Dilution below. To the extent outstanding stock options or pre-funded warrants are exercised, or restricted stock units vest and settle, there will be further dilution to investors. In addition, to the extent we need to raise additional capital in the future, under our Sales Agreement with SVB Securities LLC or otherwise, and we issue additional shares of common stock or securities convertible or exchangeable for our common stock, our then existing stockholders may experience dilution and the new securities may have rights senior to those of our common stock offered in this offering.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have broad discretion in the use of the net proceeds from this offering and may use them in ways that you and other stockholders may not approve. </w:t>
      </w:r>
    </w:p>
    <w:p>
      <w:pPr>
        <w:pStyle w:val="TextBody"/>
        <w:bidi w:val="0"/>
        <w:spacing w:before="120" w:after="0"/>
        <w:jc w:val="both"/>
        <w:rPr>
          <w:rFonts w:ascii="Times New Roman" w:hAnsi="Times New Roman"/>
          <w:sz w:val="20"/>
        </w:rPr>
      </w:pPr>
      <w:r>
        <w:rPr>
          <w:rFonts w:ascii="Times New Roman" w:hAnsi="Times New Roman"/>
          <w:sz w:val="20"/>
        </w:rPr>
        <w:t xml:space="preserve">We currently expect to use the net proceeds of this offering to fund research and clinical development of our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See Use of Proceeds. </w:t>
      </w:r>
    </w:p>
    <w:p>
      <w:pPr>
        <w:pStyle w:val="TextBody"/>
        <w:bidi w:val="0"/>
        <w:spacing w:before="360" w:after="0"/>
        <w:jc w:val="both"/>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both"/>
        <w:rPr>
          <w:rFonts w:ascii="Times New Roman" w:hAnsi="Times New Roman"/>
          <w:sz w:val="20"/>
        </w:rPr>
      </w:pPr>
      <w:r>
        <w:rPr>
          <w:rFonts w:ascii="Times New Roman" w:hAnsi="Times New Roman"/>
          <w:sz w:val="20"/>
        </w:rPr>
        <w:t xml:space="preserve">To raise additional capital, we may in the future offer additional shares of our common stock or other securities convertible into or exchangeable for our common stock at prices that may not be the same as the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Further, the exercise of pre-funded warrants sold in this offering will result in further dilution to the holders of our common stock. </w:t>
      </w:r>
    </w:p>
    <w:p>
      <w:pPr>
        <w:pStyle w:val="TextBody"/>
        <w:bidi w:val="0"/>
        <w:spacing w:before="360" w:after="0"/>
        <w:jc w:val="both"/>
        <w:rPr>
          <w:rFonts w:ascii="Times New Roman" w:hAnsi="Times New Roman"/>
          <w:b/>
          <w:i/>
          <w:sz w:val="20"/>
        </w:rPr>
      </w:pPr>
      <w:r>
        <w:rPr>
          <w:rFonts w:ascii="Times New Roman" w:hAnsi="Times New Roman"/>
          <w:b/>
          <w:i/>
          <w:sz w:val="20"/>
        </w:rPr>
        <w:t xml:space="preserve">Sales of a substantial number of shares of our common stock in the public market after this offering could cause our stock price to fall. </w:t>
      </w:r>
    </w:p>
    <w:p>
      <w:pPr>
        <w:pStyle w:val="TextBody"/>
        <w:bidi w:val="0"/>
        <w:spacing w:before="120" w:after="0"/>
        <w:jc w:val="both"/>
        <w:rPr>
          <w:rFonts w:ascii="Times New Roman" w:hAnsi="Times New Roman"/>
          <w:sz w:val="20"/>
        </w:rPr>
      </w:pPr>
      <w:r>
        <w:rPr>
          <w:rFonts w:ascii="Times New Roman" w:hAnsi="Times New Roman"/>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We had 19,575,242 shares of common stock outstanding as of March 31, 2023. We filed a registration statement on Form S-3 (Registration No. 333-269272) that was declared effective by the SEC on January 24, 2023, and which registers the offer and sale from time to time of up to $300,000,000 of a variety of securities, including common stock, preferred stock, debt securities, warrants or units pursuant to one or more offerings at prices and terms to be determined at the time of sale. To the extent shares are sold into the market pursuant to this registration statement on Form S-3, under Rule 144 of the Securities Act or otherwise, particularly in substantial quantities, the market price of our common stock could decline. </w:t>
      </w:r>
    </w:p>
    <w:p>
      <w:pPr>
        <w:pStyle w:val="TextBody"/>
        <w:bidi w:val="0"/>
        <w:spacing w:before="240" w:after="0"/>
        <w:jc w:val="both"/>
        <w:rPr>
          <w:rFonts w:ascii="Times New Roman" w:hAnsi="Times New Roman"/>
          <w:sz w:val="20"/>
        </w:rPr>
      </w:pPr>
      <w:r>
        <w:rPr>
          <w:rFonts w:ascii="Times New Roman" w:hAnsi="Times New Roman"/>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pre-funded warrants, or the perception that such sales may occur, could adversely affect the market price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We may raise money through additional public or private offerings of our equity securities or equity-linked securities. For example, in January 2023, we entered into the Sales Agreement pursuant to which we may offer and sell, from time to time to or through SVB Securities LLC, acting as our sales agent, shares of common stock having an aggregate offering price of up to $100.0 million. As of the date of this prospectus supplement, we may issue and sell shares of our common stock having an aggregate offering price of up to approximately $80.0 million under our at-the-market offering program. Any sales of our equity or equity-linked securities could have a material adverse effect on the market price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this offering, we and our directors, executive officers and certain of our stockholders have entered into lock-up agreements covering some or all of their equity ownership for a period of 90 days following this offering. The lock-up agreements are subject to various exceptions, and we and our directors and executive officers may be released from the lock-up agreements prior to the expiration of the lock-up period at the sole discretion of Morgan Stanley &amp; Co. LLC, SVB Securities LLC, Stifel, Nicolaus &amp; Company, Incorporated and BMO Capital Markets Corp. See the section entitled Underwriters. Upon expiration or earlier release of the lock-up agreements, we and our directors and executive officers may sell previously locked-up shares into the market, which could adversely affect the market price of shares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have a significant number of stock options outstanding and our board of directors intends to grant additional stock options, and may also choose to issue additional common stock, or securities convertible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into or exchangeable for common stock, in the future in connection with a financing, an acquisition, employee arrangements or otherwise. In the event that the outstanding options are exercised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 of the shares of our common stock could be highly volatile, and purchasers of our common stock could incur substantial losses. </w:t>
      </w:r>
    </w:p>
    <w:p>
      <w:pPr>
        <w:pStyle w:val="TextBody"/>
        <w:bidi w:val="0"/>
        <w:spacing w:before="120" w:after="0"/>
        <w:jc w:val="both"/>
        <w:rPr>
          <w:rFonts w:ascii="Times New Roman" w:hAnsi="Times New Roman"/>
          <w:sz w:val="20"/>
        </w:rPr>
      </w:pPr>
      <w:r>
        <w:rPr>
          <w:rFonts w:ascii="Times New Roman" w:hAnsi="Times New Roman"/>
          <w:sz w:val="20"/>
        </w:rPr>
        <w:t xml:space="preserve">The volatility of our common stock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those described in the sections captioned Risk factors in this prospectus supplement, the accompanying prospectus and the documents incorporated by reference herein and therein. </w:t>
      </w:r>
    </w:p>
    <w:p>
      <w:pPr>
        <w:pStyle w:val="TextBody"/>
        <w:bidi w:val="0"/>
        <w:spacing w:before="240" w:after="0"/>
        <w:jc w:val="both"/>
        <w:rPr>
          <w:rFonts w:ascii="Times New Roman" w:hAnsi="Times New Roman"/>
          <w:sz w:val="20"/>
        </w:rPr>
      </w:pPr>
      <w:r>
        <w:rPr>
          <w:rFonts w:ascii="Times New Roman" w:hAnsi="Times New Roman"/>
          <w:sz w:val="20"/>
        </w:rPr>
        <w:t xml:space="preserve">As a result, you may not be able to sell your shares of common stock at or above the price at which you purchase them. In addition, the stock market in general, and the Nasdaq Global Market and the stock of biotechnology and emerging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w:t>
      </w:r>
    </w:p>
    <w:p>
      <w:pPr>
        <w:pStyle w:val="TextBody"/>
        <w:bidi w:val="0"/>
        <w:spacing w:before="240" w:after="0"/>
        <w:jc w:val="both"/>
        <w:rPr>
          <w:rFonts w:ascii="Times New Roman" w:hAnsi="Times New Roman"/>
          <w:sz w:val="20"/>
        </w:rPr>
      </w:pPr>
      <w:r>
        <w:rPr>
          <w:rFonts w:ascii="Times New Roman" w:hAnsi="Times New Roman"/>
          <w:sz w:val="20"/>
        </w:rPr>
        <w:t xml:space="preserve">The stock market in general and the market for pharmaceutical and biotechnology companies in particular have experienced extreme volatility that has often been unrelated to the operating performance of particular companies. The market price for our common stock may be influenced by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issuance of new equity securities pursuant to a future offering, including issuances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develop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competitive developments, including announcements by competitors of new products or services or significant contracts, acquisitions, strategic partnerships,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variations in quarterly operating results or those of companies that are perceived to be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depth and liquidity of the market for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investor perceptions of our company and the pharmaceutical and biotechnology industries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degree of success of competitive products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results of clinical trials and preclinical studies, of our product candidates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regulatory or legal developments in the U.S.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receipt of, or failure to obtain,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developments or disputes concerning patent applications, issued patents, or other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success of our corporate strategy and goals;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level of expenses related to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results of our efforts to discover, develop, acquire, or in-license additional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actual or anticipated changes in estimates as to financial results, development timelines, or recommendations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rumors or announcements regarding transactions involving our company 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market conditions in the pharmaceutical and biotechnology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general economic, industry, and market conditions and other national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other factors described in this Risk factors section.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public market for the pre-funded warrants being offered in this offering. </w:t>
      </w:r>
    </w:p>
    <w:p>
      <w:pPr>
        <w:pStyle w:val="TextBody"/>
        <w:bidi w:val="0"/>
        <w:spacing w:before="120" w:after="0"/>
        <w:jc w:val="both"/>
        <w:rPr>
          <w:rFonts w:ascii="Times New Roman" w:hAnsi="Times New Roman"/>
          <w:sz w:val="20"/>
        </w:rPr>
      </w:pPr>
      <w:r>
        <w:rPr>
          <w:rFonts w:ascii="Times New Roman" w:hAnsi="Times New Roman"/>
          <w:sz w:val="20"/>
        </w:rPr>
        <w:t xml:space="preserve">There is no public trading market for the pre-funded warrants being offered in this offering, and we do not expect a market to develop. In addition, we do not intend to list the pre-funded warrants on the Nasdaq Global Market or any other national securities exchange or nationally recognized trading system. Without an active trading market, the liquidity of the pre-funded warrants will be limited.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will not receive a significant amount or any additional funds upon the exercise of the pre-funded warrants. </w:t>
      </w:r>
    </w:p>
    <w:p>
      <w:pPr>
        <w:pStyle w:val="TextBody"/>
        <w:bidi w:val="0"/>
        <w:spacing w:before="120" w:after="0"/>
        <w:jc w:val="both"/>
        <w:rPr>
          <w:rFonts w:ascii="Times New Roman" w:hAnsi="Times New Roman"/>
          <w:sz w:val="20"/>
        </w:rPr>
      </w:pPr>
      <w:r>
        <w:rPr>
          <w:rFonts w:ascii="Times New Roman" w:hAnsi="Times New Roman"/>
          <w:sz w:val="20"/>
        </w:rPr>
        <w:t xml:space="preserve">Each pre-funded warrant is exercisable for $0.0001 per share of common stock underlying such pre-funded warrant, which may be paid by way of a cashless exercise, in which the holder would receive upon such exercise the net number of shares of common stock determined according to the formula set forth in the pre-funded warrant. Accordingly, we will not receive a significant amount of additional funds (if any) upon the exercise of the pre-funded warrants. </w:t>
      </w:r>
    </w:p>
    <w:p>
      <w:pPr>
        <w:pStyle w:val="TextBody"/>
        <w:bidi w:val="0"/>
        <w:spacing w:before="360" w:after="0"/>
        <w:jc w:val="both"/>
        <w:rPr>
          <w:rFonts w:ascii="Times New Roman" w:hAnsi="Times New Roman"/>
          <w:b/>
          <w:i/>
          <w:sz w:val="20"/>
        </w:rPr>
      </w:pPr>
      <w:r>
        <w:rPr>
          <w:rFonts w:ascii="Times New Roman" w:hAnsi="Times New Roman"/>
          <w:b/>
          <w:i/>
          <w:sz w:val="20"/>
        </w:rPr>
        <w:t xml:space="preserve">Except for the right to participate in certain dividends and distributions, holders of the pre-funded warrants will have no rights as stockholders until such holders exercise their pre-funded warrants and acquire shares of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Until holders of the pre-funded warrants exercise their pre-funded warrants and acquire shares of our common stock, such holders will have no rights with respect to the shares of common stock underlying such pre-funded warrants, except that the holder of a pre-funded warrant shall be entitled to participate in certain distributions, including cash dividends, if any, to all holders of our common stock for no consideration, subject to certain ownership limitations and in some cases clearance under the HSR Act. Upon exercise of the pre-funded warrants, the holders will be entitled to exercise the rights of a holder of common stock only as to matters for which the record date occurs after the exercise date. See Description of Pre-Funded WarrantsNo Rights as a Stockholder. </w:t>
      </w:r>
    </w:p>
    <w:p>
      <w:pPr>
        <w:pStyle w:val="TextBody"/>
        <w:bidi w:val="0"/>
        <w:spacing w:before="360" w:after="0"/>
        <w:jc w:val="both"/>
        <w:rPr>
          <w:rFonts w:ascii="Times New Roman" w:hAnsi="Times New Roman"/>
          <w:b/>
          <w:i/>
          <w:sz w:val="20"/>
        </w:rPr>
      </w:pPr>
      <w:r>
        <w:rPr>
          <w:rFonts w:ascii="Times New Roman" w:hAnsi="Times New Roman"/>
          <w:b/>
          <w:i/>
          <w:sz w:val="20"/>
        </w:rPr>
        <w:t xml:space="preserve">Significant holders or beneficial holders of our common stock may not be permitted to exercise pre-funded warrants that they hold. </w:t>
      </w:r>
    </w:p>
    <w:p>
      <w:pPr>
        <w:pStyle w:val="TextBody"/>
        <w:bidi w:val="0"/>
        <w:spacing w:before="120" w:after="0"/>
        <w:jc w:val="both"/>
        <w:rPr>
          <w:rFonts w:ascii="Times New Roman" w:hAnsi="Times New Roman"/>
          <w:sz w:val="20"/>
        </w:rPr>
      </w:pPr>
      <w:r>
        <w:rPr>
          <w:rFonts w:ascii="Times New Roman" w:hAnsi="Times New Roman"/>
          <w:sz w:val="20"/>
        </w:rPr>
        <w:t xml:space="preserve">A holder of a pre-funded warrant will not be entitled to exercise any portion of any pre-funded warrant which, upon giving effect to such exercise, would cause the aggregate number of shares of our common stock beneficially owned by the holder (together with its affiliates and other attribution parties, as defined under Description of Pre-Funded WarrantsExercise Limitations) to exceed 24.99%, or if the purchaser elected prior to the issuance of pre-funded warrants to have the initial exercise limitation set at any of 4.99%, 9.99% or 19.99% of our outstanding common stock, such lower threshold, of the number of shares of our common stock that would be outstanding immediately after giving effect to the exercise. However, subject to certain limitations, any holder may increase or decrease such percentage to any other percentage not in excess of 24.99% upon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least 61 days prior notice from the holder to us. In addition, where a holder notifies us that a filing under the HSR Act is required, we may not effect the exercise of any portion of any pre-funded warrant, and a holder will not be entitled to exercise any portion of any pre-funded warrant, which, upon giving effect to such exercise, would cause the aggregate number of shares of our common stock beneficially owned by the holder (together with its attribution parties) to equal or exceed the HSR Threshold (as defined below), until the applicable waiting period under the HSR Act has expired.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srom495299_5"/>
      <w:bookmarkEnd w:id="7"/>
      <w:r>
        <w:rPr>
          <w:rFonts w:ascii="Times New Roman" w:hAnsi="Times New Roman"/>
          <w:b/>
          <w:sz w:val="20"/>
        </w:rPr>
        <w:t xml:space="preserve">DIVIDEND POLICY </w:t>
      </w:r>
    </w:p>
    <w:p>
      <w:pPr>
        <w:pStyle w:val="TextBody"/>
        <w:bidi w:val="0"/>
        <w:spacing w:before="240" w:after="0"/>
        <w:jc w:val="both"/>
        <w:rPr>
          <w:rFonts w:ascii="Times New Roman" w:hAnsi="Times New Roman"/>
          <w:sz w:val="20"/>
        </w:rPr>
      </w:pPr>
      <w:r>
        <w:rPr>
          <w:rFonts w:ascii="Times New Roman" w:hAnsi="Times New Roman"/>
          <w:sz w:val="20"/>
        </w:rPr>
        <w:t xml:space="preserve">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Our ability to pay dividends on our common stock may be restricted by the terms of any of our future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srom495299_6"/>
      <w:bookmarkEnd w:id="8"/>
      <w:r>
        <w:rPr>
          <w:rFonts w:ascii="Times New Roman" w:hAnsi="Times New Roman"/>
          <w:b/>
          <w:sz w:val="20"/>
        </w:rPr>
        <w:t xml:space="preserve">USE OF PROCEEDS </w:t>
      </w:r>
    </w:p>
    <w:p>
      <w:pPr>
        <w:pStyle w:val="TextBody"/>
        <w:bidi w:val="0"/>
        <w:spacing w:before="240" w:after="0"/>
        <w:jc w:val="both"/>
        <w:rPr>
          <w:rFonts w:ascii="Times New Roman" w:hAnsi="Times New Roman"/>
          <w:sz w:val="20"/>
        </w:rPr>
      </w:pPr>
      <w:r>
        <w:rPr>
          <w:rFonts w:ascii="Times New Roman" w:hAnsi="Times New Roman"/>
          <w:sz w:val="20"/>
        </w:rPr>
        <w:t xml:space="preserve">We estimate that the net proceeds to us from the sale of the shares of common stock and pre-funded warrants to purchase shares of common stock that we are offering will be approximately $128.2 million, or approximately $147.6 million if the option to purchase additional shares is exercised in full by the underwriters, after deducting underwriting discounts and commissions and estimated offering expenses payable by us. We will receive nominal proceeds, if any, from the exercise of the pre-funded warrants. </w:t>
      </w:r>
    </w:p>
    <w:p>
      <w:pPr>
        <w:pStyle w:val="TextBody"/>
        <w:bidi w:val="0"/>
        <w:spacing w:before="240" w:after="0"/>
        <w:jc w:val="both"/>
        <w:rPr>
          <w:rFonts w:ascii="Times New Roman" w:hAnsi="Times New Roman"/>
          <w:sz w:val="20"/>
        </w:rPr>
      </w:pPr>
      <w:r>
        <w:rPr>
          <w:rFonts w:ascii="Times New Roman" w:hAnsi="Times New Roman"/>
          <w:sz w:val="20"/>
        </w:rPr>
        <w:t xml:space="preserve">As of March 31, 2023, we had cash and cash equivalents of $236.4 million. We currently intend to use the net proceeds from this offering, together with our existing cash and cash equivalents, to fund research and clinical development of our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w:t>
      </w:r>
    </w:p>
    <w:p>
      <w:pPr>
        <w:pStyle w:val="TextBody"/>
        <w:bidi w:val="0"/>
        <w:spacing w:before="240" w:after="0"/>
        <w:jc w:val="both"/>
        <w:rPr>
          <w:rFonts w:ascii="Times New Roman" w:hAnsi="Times New Roman"/>
          <w:sz w:val="20"/>
        </w:rPr>
      </w:pPr>
      <w:r>
        <w:rPr>
          <w:rFonts w:ascii="Times New Roman" w:hAnsi="Times New Roman"/>
          <w:sz w:val="20"/>
        </w:rPr>
        <w:t xml:space="preserve">The expected use of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feedback from regulatory authorities, the status of and results from clinical trials, as well as any collaborations that we may enter into with third parties for our product candidates, and any unforeseen cash needs. As a result, our management will retain broad discretion over the allocation of the net proceeds from this offering. We may find it necessary or advisable to use the net proceeds from this offering for other purposes, and we will have broad discretion in the application of net proceeds. Pending use of the proceeds as described above, we intend to invest the proceeds in a variety of capital preservation instruments, including high quality, investment grade instruments, certificates of deposit or direct or guaranteed obligations of the U.S. government, or may hold such proceeds as cash, until they are used for their stated purpose. </w:t>
      </w:r>
    </w:p>
    <w:p>
      <w:pPr>
        <w:pStyle w:val="TextBody"/>
        <w:bidi w:val="0"/>
        <w:spacing w:before="240" w:after="0"/>
        <w:jc w:val="both"/>
        <w:rPr>
          <w:rFonts w:ascii="Times New Roman" w:hAnsi="Times New Roman"/>
          <w:sz w:val="20"/>
        </w:rPr>
      </w:pPr>
      <w:r>
        <w:rPr>
          <w:rFonts w:ascii="Times New Roman" w:hAnsi="Times New Roman"/>
          <w:sz w:val="20"/>
        </w:rPr>
        <w:t xml:space="preserve">After the completion of this offering, assuming net proceeds to us, after deducting estimated offering expenses payable by us, of approximately $128.2 million, we expect that our cash and cash equivalents, will be sufficient to fund our current operating and capital expenditure plans into 2026. Without the proceeds of this offering, we anticipate that our existing cash and cash equivalents will be sufficient to fund our operating and capital expenditure plans into 2025. Our future capital requirements will depend on many factors, including those discussed in Liquidity and Capital Resources of our Quarterly Report on Form 10-Q for the quarter ended March 31, 2023. </w:t>
      </w:r>
    </w:p>
    <w:p>
      <w:pPr>
        <w:pStyle w:val="TextBody"/>
        <w:bidi w:val="0"/>
        <w:spacing w:before="240" w:after="0"/>
        <w:jc w:val="both"/>
        <w:rPr>
          <w:rFonts w:ascii="Times New Roman" w:hAnsi="Times New Roman"/>
          <w:sz w:val="20"/>
        </w:rPr>
      </w:pPr>
      <w:r>
        <w:rPr>
          <w:rFonts w:ascii="Times New Roman" w:hAnsi="Times New Roman"/>
          <w:sz w:val="20"/>
        </w:rPr>
        <w:t xml:space="preserve">We do not expect that our existing cash and cash equivalents and anticipated net proceeds from this offering alone will be sufficient to enable us to fund the completion of the development of any of our product candidates. We have based our estimates on assumptions that may prove to be wrong. In addition, we could use our available capital resources sooner than we currently expect, in which case we would need to obtain additional funding, which may not be available to us on acceptable terms, or at all. See the Risk Factors section of this prospectus supplement and the documents incorporated by reference for a discussion of the risks affecting our business that could have an adverse effect on our available capital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srom495299_7"/>
      <w:bookmarkEnd w:id="9"/>
      <w:r>
        <w:rPr>
          <w:rFonts w:ascii="Times New Roman" w:hAnsi="Times New Roman"/>
          <w:b/>
          <w:sz w:val="20"/>
        </w:rPr>
        <w:t xml:space="preserve">DILUTION </w:t>
      </w:r>
    </w:p>
    <w:p>
      <w:pPr>
        <w:pStyle w:val="TextBody"/>
        <w:bidi w:val="0"/>
        <w:spacing w:before="240" w:after="0"/>
        <w:jc w:val="both"/>
        <w:rPr>
          <w:rFonts w:ascii="Times New Roman" w:hAnsi="Times New Roman"/>
          <w:sz w:val="20"/>
        </w:rPr>
      </w:pPr>
      <w:r>
        <w:rPr>
          <w:rFonts w:ascii="Times New Roman" w:hAnsi="Times New Roman"/>
          <w:sz w:val="20"/>
        </w:rPr>
        <w:t xml:space="preserve">If you purchase shares of our common stock or pre-funded warrants in this offering, your ownership interest will be diluted to the extent of the difference between the price per share of our common stock or pre-funded warrant you pay in this offering and the net tangible book value per share of our common stock immediately after this offering. </w:t>
      </w:r>
    </w:p>
    <w:p>
      <w:pPr>
        <w:pStyle w:val="TextBody"/>
        <w:bidi w:val="0"/>
        <w:spacing w:before="240" w:after="0"/>
        <w:jc w:val="both"/>
        <w:rPr>
          <w:rFonts w:ascii="Times New Roman" w:hAnsi="Times New Roman"/>
          <w:sz w:val="20"/>
        </w:rPr>
      </w:pPr>
      <w:r>
        <w:rPr>
          <w:rFonts w:ascii="Times New Roman" w:hAnsi="Times New Roman"/>
          <w:sz w:val="20"/>
        </w:rPr>
        <w:t xml:space="preserve">Our net tangible book value as of March 31, 2023 was approximately $228.3 million, or $11.66 per share of common stock, based upon 19,575,242 shares outstanding as of that date. Net tangible book value per share is equal to our total tangible assets, less our total liabilities, divided by the total number of shares outstanding. </w:t>
      </w:r>
    </w:p>
    <w:p>
      <w:pPr>
        <w:pStyle w:val="TextBody"/>
        <w:bidi w:val="0"/>
        <w:spacing w:before="240" w:after="0"/>
        <w:jc w:val="both"/>
        <w:rPr>
          <w:rFonts w:ascii="Times New Roman" w:hAnsi="Times New Roman"/>
          <w:sz w:val="20"/>
        </w:rPr>
      </w:pPr>
      <w:r>
        <w:rPr>
          <w:rFonts w:ascii="Times New Roman" w:hAnsi="Times New Roman"/>
          <w:sz w:val="20"/>
        </w:rPr>
        <w:t xml:space="preserve">After giving effect to our issuance and sale of shares of our common stock and pre-funded warrants at the public offering price of $49.00 per share and $48.9999 per pre-funded warrant (which equals the $49.00 per share price at which shares of our common stock are being sold to the public in this offering, less the $0.0001 per share exercise price of each such pre-funded warrant) (excluding shares of common stock issuable upon exercise of the pre-funded warrants, any proceeds which may be received upon exercise of the pre-funded warrants or any resulting accounting associated with the exercise of the pre-funded warrants), after deducting underwriting discounts and commissions and estimated offering expenses payable by us, our adjusted net tangible book value as of March 31, 2023 would have been $356.5 million, or $16.08 per share. This represents an immediate increase in net tangible book value of $4.42 per share to our existing stockholders, and an immediate dilution of $32.92 per share to investors purchasing shares of common stock and pre-funded warrants in the offering. Dilution per share to investors purchasing securities in this offering is determined by subtracting as adjusted net tangible book value per share after this offering from the public offering price per share of common stock (or pre-funded warrant) paid by investors.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illustrates this calculation on a per share basis, assuming the underwriters do not exercise their option to purchase additional shares of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76"/>
        <w:gridCol w:w="243"/>
        <w:gridCol w:w="140"/>
        <w:gridCol w:w="570"/>
        <w:gridCol w:w="60"/>
        <w:gridCol w:w="243"/>
        <w:gridCol w:w="140"/>
        <w:gridCol w:w="570"/>
        <w:gridCol w:w="63"/>
      </w:tblGrid>
      <w:tr>
        <w:trPr/>
        <w:tc>
          <w:tcPr>
            <w:tcW w:w="8176"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49.00</w:t>
            </w:r>
          </w:p>
        </w:tc>
        <w:tc>
          <w:tcPr>
            <w:tcW w:w="63" w:type="dxa"/>
            <w:tcBorders/>
            <w:shd w:fill="CCEEFF" w:val="clear"/>
            <w:vAlign w:val="bottom"/>
          </w:tcPr>
          <w:p>
            <w:pPr>
              <w:pStyle w:val="TableContents"/>
              <w:bidi w:val="0"/>
              <w:spacing w:before="0" w:after="283"/>
              <w:jc w:val="left"/>
              <w:rPr/>
            </w:pPr>
            <w:r>
              <w:rPr/>
              <w:t> </w:t>
            </w:r>
          </w:p>
        </w:tc>
      </w:tr>
      <w:tr>
        <w:trPr/>
        <w:tc>
          <w:tcPr>
            <w:tcW w:w="8176"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March 31, 2023</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11.66</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as adjusted net tangible book value per share attributable to investors purchasing shares or pre-funded warrants in this offering</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4.42</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176"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176"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March 31, 2023 after giving effect to this offering</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16.08</w:t>
            </w:r>
          </w:p>
        </w:tc>
        <w:tc>
          <w:tcPr>
            <w:tcW w:w="63" w:type="dxa"/>
            <w:tcBorders/>
            <w:vAlign w:val="bottom"/>
          </w:tcPr>
          <w:p>
            <w:pPr>
              <w:pStyle w:val="TableContents"/>
              <w:bidi w:val="0"/>
              <w:spacing w:before="0" w:after="283"/>
              <w:jc w:val="left"/>
              <w:rPr/>
            </w:pPr>
            <w:r>
              <w:rPr/>
              <w:t> </w:t>
            </w:r>
          </w:p>
        </w:tc>
      </w:tr>
      <w:tr>
        <w:trPr/>
        <w:tc>
          <w:tcPr>
            <w:tcW w:w="8176"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in as adjusted net tangible book value per share to investors in this offering</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32.92</w:t>
            </w:r>
          </w:p>
        </w:tc>
        <w:tc>
          <w:tcPr>
            <w:tcW w:w="63" w:type="dxa"/>
            <w:tcBorders/>
            <w:shd w:fill="CCEEFF" w:val="clear"/>
            <w:vAlign w:val="bottom"/>
          </w:tcPr>
          <w:p>
            <w:pPr>
              <w:pStyle w:val="TableContents"/>
              <w:bidi w:val="0"/>
              <w:spacing w:before="0" w:after="283"/>
              <w:jc w:val="left"/>
              <w:rPr/>
            </w:pPr>
            <w:r>
              <w:rPr/>
              <w:t> </w:t>
            </w:r>
          </w:p>
        </w:tc>
      </w:tr>
      <w:tr>
        <w:trPr/>
        <w:tc>
          <w:tcPr>
            <w:tcW w:w="8176"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holders of pre-funded warrants exercise the pre-funded warrants offered hereby, the as adjusted net tangible book value per share of our common stock after giving effect to this offering would be $15.93 per share, and the dilution in net tangible book value per share to investors purchasing common stock in this offering would be $33.07 per share. </w:t>
      </w:r>
    </w:p>
    <w:p>
      <w:pPr>
        <w:pStyle w:val="TextBody"/>
        <w:bidi w:val="0"/>
        <w:spacing w:before="240" w:after="0"/>
        <w:jc w:val="both"/>
        <w:rPr>
          <w:rFonts w:ascii="Times New Roman" w:hAnsi="Times New Roman"/>
          <w:sz w:val="20"/>
        </w:rPr>
      </w:pPr>
      <w:r>
        <w:rPr>
          <w:rFonts w:ascii="Times New Roman" w:hAnsi="Times New Roman"/>
          <w:sz w:val="20"/>
        </w:rPr>
        <w:t xml:space="preserve">If the underwriters exercise their option to purchase shares of common stock in full (excluding shares of common stock issuable upon exercise of the pre-funded warrants, any proceeds which may be received upon exercise of the pre-funded warrants or any resulting accounting associated with the exercise of the pre-funded warrants), the as adjusted net tangible book value after this offering would be $16.64 per share, representing an increase in net tangible book value of $4.98 per share to existing stockholders and immediate dilution in net tangible book value of $32.36 per share to investors purchasing our common stock in this offering at the public offering price. </w:t>
      </w:r>
    </w:p>
    <w:p>
      <w:pPr>
        <w:pStyle w:val="TextBody"/>
        <w:bidi w:val="0"/>
        <w:spacing w:before="240" w:after="0"/>
        <w:jc w:val="both"/>
        <w:rPr>
          <w:rFonts w:ascii="Times New Roman" w:hAnsi="Times New Roman"/>
          <w:sz w:val="20"/>
        </w:rPr>
      </w:pPr>
      <w:r>
        <w:rPr>
          <w:rFonts w:ascii="Times New Roman" w:hAnsi="Times New Roman"/>
          <w:sz w:val="20"/>
        </w:rPr>
        <w:t xml:space="preserve">The foregoing tables and calculations are based on 19,575,242 shares of common stock outstanding as of March 31, 2023,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2,527,513 shares of common stock issuable upon the exercise of stock options outstanding as of March 31, 2023, at a weighted average exercise price of $14.17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84,297 shares of common stock issuable upon the exercise of stock options granted subsequent to March 31, 2023, at a weighted average exercise price of $37.92;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958 shares of common stock issuable upon the vesting of restricted stock awards outstanding at March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1,741,904 shares of common stock available for issuance under our Amended and Restated 2021 Stock Option and Incentive Plan as of March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222,953 shares of common stock available for future issuance under our Amended and Restated 2021 Employee Stock Purchase Plan as of March 31,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1,229,224 shares of common stock issuable upon the exercise of pre-funded warrants outstanding as of March 31, 2023. </w:t>
            </w:r>
          </w:p>
        </w:tc>
      </w:tr>
    </w:tbl>
    <w:p>
      <w:pPr>
        <w:pStyle w:val="TextBody"/>
        <w:bidi w:val="0"/>
        <w:spacing w:before="240" w:after="0"/>
        <w:jc w:val="both"/>
        <w:rPr>
          <w:rFonts w:ascii="Times New Roman" w:hAnsi="Times New Roman"/>
          <w:sz w:val="20"/>
        </w:rPr>
      </w:pPr>
      <w:r>
        <w:rPr>
          <w:rFonts w:ascii="Times New Roman" w:hAnsi="Times New Roman"/>
          <w:sz w:val="20"/>
        </w:rPr>
        <w:t xml:space="preserve">To the extent that outstanding options or pre-funded warrants are exercised, new options or other securities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srom495299_8"/>
      <w:bookmarkEnd w:id="10"/>
      <w:r>
        <w:rPr>
          <w:rFonts w:ascii="Times New Roman" w:hAnsi="Times New Roman"/>
          <w:b/>
          <w:sz w:val="20"/>
        </w:rPr>
        <w:t xml:space="preserve">DESCRIPTION OF PRE-FUNDED WARRANTS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is a brief summary of certain terms and conditions of the pre-funded warrants being offered by this prospectus supplement. The following description is subject in all respects to the provisions contained in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Form </w:t>
      </w:r>
    </w:p>
    <w:p>
      <w:pPr>
        <w:pStyle w:val="TextBody"/>
        <w:bidi w:val="0"/>
        <w:spacing w:before="120" w:after="0"/>
        <w:jc w:val="both"/>
        <w:rPr>
          <w:rFonts w:ascii="Times New Roman" w:hAnsi="Times New Roman"/>
          <w:sz w:val="20"/>
        </w:rPr>
      </w:pPr>
      <w:r>
        <w:rPr>
          <w:rFonts w:ascii="Times New Roman" w:hAnsi="Times New Roman"/>
          <w:sz w:val="20"/>
        </w:rPr>
        <w:t xml:space="preserve">The pre-funded warrants will be issued as individual warrant agreements to the investors. The form of pre-funded warrant will be filed as an exhibit to our Current Report on Form 8-K that we expect to file with the SEC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Term </w:t>
      </w:r>
    </w:p>
    <w:p>
      <w:pPr>
        <w:pStyle w:val="TextBody"/>
        <w:bidi w:val="0"/>
        <w:spacing w:before="120" w:after="0"/>
        <w:jc w:val="both"/>
        <w:rPr>
          <w:rFonts w:ascii="Times New Roman" w:hAnsi="Times New Roman"/>
          <w:sz w:val="20"/>
        </w:rPr>
      </w:pPr>
      <w:r>
        <w:rPr>
          <w:rFonts w:ascii="Times New Roman" w:hAnsi="Times New Roman"/>
          <w:sz w:val="20"/>
        </w:rPr>
        <w:t xml:space="preserve">The pre-funded warrants do not expire. </w:t>
      </w:r>
    </w:p>
    <w:p>
      <w:pPr>
        <w:pStyle w:val="TextBody"/>
        <w:bidi w:val="0"/>
        <w:spacing w:before="360" w:after="0"/>
        <w:jc w:val="left"/>
        <w:rPr>
          <w:rFonts w:ascii="Times New Roman" w:hAnsi="Times New Roman"/>
          <w:b/>
          <w:sz w:val="20"/>
        </w:rPr>
      </w:pPr>
      <w:r>
        <w:rPr>
          <w:rFonts w:ascii="Times New Roman" w:hAnsi="Times New Roman"/>
          <w:b/>
          <w:sz w:val="20"/>
        </w:rPr>
        <w:t xml:space="preserve">Exercisability </w:t>
      </w:r>
    </w:p>
    <w:p>
      <w:pPr>
        <w:pStyle w:val="TextBody"/>
        <w:bidi w:val="0"/>
        <w:spacing w:before="120" w:after="0"/>
        <w:jc w:val="both"/>
        <w:rPr>
          <w:rFonts w:ascii="Times New Roman" w:hAnsi="Times New Roman"/>
          <w:sz w:val="20"/>
        </w:rPr>
      </w:pPr>
      <w:r>
        <w:rPr>
          <w:rFonts w:ascii="Times New Roman" w:hAnsi="Times New Roman"/>
          <w:sz w:val="20"/>
        </w:rPr>
        <w:t xml:space="preserve">Subject to certain limitations described below in Exercise Limitations, 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common stock purchased upon such exercise. As an alternative to payment in immediately available funds, the holder may elect to exercise the pre-funded warrant through a cashless exercise, in which the holder would receive upon such exercise the net number of shares of common stock determined according to the formula set forth in the pre-funded warrant. No fractional shares of common stock will be issued in connection with the exercise of a pre-funded warrant. In lieu of any fractional shares that would otherwise be issuable, we will pay in cash to an exercising holder the fair market value, determined according to the terms of the pre-funded warrant, for any such fractional shares.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Limitations </w:t>
      </w:r>
    </w:p>
    <w:p>
      <w:pPr>
        <w:pStyle w:val="TextBody"/>
        <w:bidi w:val="0"/>
        <w:spacing w:before="120" w:after="0"/>
        <w:jc w:val="both"/>
        <w:rPr>
          <w:rFonts w:ascii="Times New Roman" w:hAnsi="Times New Roman"/>
          <w:sz w:val="20"/>
        </w:rPr>
      </w:pPr>
      <w:r>
        <w:rPr>
          <w:rFonts w:ascii="Times New Roman" w:hAnsi="Times New Roman"/>
          <w:sz w:val="20"/>
        </w:rPr>
        <w:t xml:space="preserve">Under the pre-funded warrants, we may not effect the exercise of any portion of any pre-funded warrant, and a holder will not be entitled to exercise any portion of any pre-funded warrant, which, upon giving effect to such exercise, would cause the aggregate number of shares of our common stock beneficially owned by the holder (together with its attribution parties (as defined below)) to exceed 24.99% of the number of shares of our common stock that would be outstanding immediately after giving effect to the exercise. Purchasers in this offering may also elect prior to the issuance of pre-funded warrants to have the initial exercise limitation set at any of 4.99%, 9.99% or 19.99% of our outstanding common stock. However, any holder may increase or decrease such percentage to any other percentage not in excess of 24.99%, which increase or decrease shall not become effective until 61 days after notice from the holder to us. Notwithstanding the prior sentence, purchasers in this offering that select an exercise limitation of 19.99% or less will only be allowed to increase the exercise limitation above 19.99% if such increase would not result in a change of control under Nasdaq rules. For purposes of the foregoing, attribution parties means, collectively, the following persons and entities with respect to any holder: (i) its direct or indirect affiliates, (ii) any person acting or who could be deemed to be acting as a Section 13(d) group together with the holder or any attribution parties and (iii) any other persons whose beneficial ownership of our common stock would or could be aggregated with the holder and/or any other attribution parties for purposes of Section 13(d) or Section 16 of the Exchange Act. </w:t>
      </w:r>
    </w:p>
    <w:p>
      <w:pPr>
        <w:pStyle w:val="TextBody"/>
        <w:bidi w:val="0"/>
        <w:spacing w:before="240" w:after="0"/>
        <w:jc w:val="both"/>
        <w:rPr>
          <w:rFonts w:ascii="Times New Roman" w:hAnsi="Times New Roman"/>
          <w:sz w:val="20"/>
        </w:rPr>
      </w:pPr>
      <w:r>
        <w:rPr>
          <w:rFonts w:ascii="Times New Roman" w:hAnsi="Times New Roman"/>
          <w:sz w:val="20"/>
        </w:rPr>
        <w:t xml:space="preserve">In addition, if the exercise of a pre-funded warrant would result in a holder of pre-funded warrants (together with its attribution parties) acquiring beneficial ownership of our common stock (together with all other equity owned by such holder at such time) equal to or in excess of the notification threshold applicable to the holder under the HSR Act as of the date of delivery of the applicable exercise notice, which we refer to as the HSR Threshold, and no exemption to filing a notice and report form under the HSR Act is applicable, then only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portion of the pre-funded warrants held by such holder, which when exercised does not exceed the HSR Threshold, shall be exercisable and the applicable exercise notice shall be deemed to relate only to such portion of the pre-funded warrants, and the remaining portion of the pre-funded warrants in excess of the HSR Threshold shall not be exercisable until the expiration or early termination of the applicable waiting period under the HSR Act or receipt of applicable approval. For certain holders of pre-funded warrants, upon expiration or early termination of the applicable waiting period under the HSR Act or receipt of applicable approval, such holder shall no longer be subject to any of the limitations on exercise described in this section.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Price </w:t>
      </w:r>
    </w:p>
    <w:p>
      <w:pPr>
        <w:pStyle w:val="TextBody"/>
        <w:bidi w:val="0"/>
        <w:spacing w:before="120" w:after="0"/>
        <w:jc w:val="both"/>
        <w:rPr>
          <w:rFonts w:ascii="Times New Roman" w:hAnsi="Times New Roman"/>
          <w:sz w:val="20"/>
        </w:rPr>
      </w:pPr>
      <w:r>
        <w:rPr>
          <w:rFonts w:ascii="Times New Roman" w:hAnsi="Times New Roman"/>
          <w:sz w:val="20"/>
        </w:rPr>
        <w:t xml:space="preserve">The exercise price per whole share of our common stock purchasable upon the exercise of the pre-funded warrants is $0.0001 per share of common stock. The exercise price of the pre-funded warrants and the number of shares of our common stock issuable upon exercise of the pre-funded warrants is subject to appropriate adjustment in the event of certain stock dividends and distributions, stock splits, stock combinations, reclassifications or similar events affecting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Charges, Taxes and Expenses </w:t>
      </w:r>
    </w:p>
    <w:p>
      <w:pPr>
        <w:pStyle w:val="TextBody"/>
        <w:bidi w:val="0"/>
        <w:spacing w:before="120" w:after="0"/>
        <w:jc w:val="both"/>
        <w:rPr>
          <w:rFonts w:ascii="Times New Roman" w:hAnsi="Times New Roman"/>
          <w:sz w:val="20"/>
        </w:rPr>
      </w:pPr>
      <w:r>
        <w:rPr>
          <w:rFonts w:ascii="Times New Roman" w:hAnsi="Times New Roman"/>
          <w:sz w:val="20"/>
        </w:rPr>
        <w:t xml:space="preserve">Issuance and delivery of shares of common stock upon exercise of a pre-funded warrant will be made without charge to the holder thereof for any issue or transfer tax, transfer agent fee or other incidental tax or expense (excluding any applicable stamp duties) in respect of the issuance thereof, all of which taxes and expenses shall be paid by us. However, we are not required to pay any tax that may be payable in respect of any transfer involved in the registration of any warrant shares or pre-funded warrants in a name other than that of the holder or an affiliate thereof. The holder shall be responsible for all other tax liability that may arise as a result of holding or transferring its pre-funded warrants or receiving shares upon exercise thereof. </w:t>
      </w:r>
    </w:p>
    <w:p>
      <w:pPr>
        <w:pStyle w:val="TextBody"/>
        <w:bidi w:val="0"/>
        <w:spacing w:before="360" w:after="0"/>
        <w:jc w:val="left"/>
        <w:rPr>
          <w:rFonts w:ascii="Times New Roman" w:hAnsi="Times New Roman"/>
          <w:b/>
          <w:sz w:val="20"/>
        </w:rPr>
      </w:pPr>
      <w:r>
        <w:rPr>
          <w:rFonts w:ascii="Times New Roman" w:hAnsi="Times New Roman"/>
          <w:b/>
          <w:sz w:val="20"/>
        </w:rPr>
        <w:t xml:space="preserve">Transferability </w:t>
      </w:r>
    </w:p>
    <w:p>
      <w:pPr>
        <w:pStyle w:val="TextBody"/>
        <w:bidi w:val="0"/>
        <w:spacing w:before="120" w:after="0"/>
        <w:jc w:val="both"/>
        <w:rPr>
          <w:rFonts w:ascii="Times New Roman" w:hAnsi="Times New Roman"/>
          <w:sz w:val="20"/>
        </w:rPr>
      </w:pPr>
      <w:r>
        <w:rPr>
          <w:rFonts w:ascii="Times New Roman" w:hAnsi="Times New Roman"/>
          <w:sz w:val="20"/>
        </w:rPr>
        <w:t xml:space="preserve">Subject to applicable laws, the pre-funded warrants may be assigned by the holder without our consent. The ownership of the pre-funded warrants and any transfers of the pre-funded warrants will be registered in a warrant register maintained by the warrant agent. We will initially act as warrant agent.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both"/>
        <w:rPr>
          <w:rFonts w:ascii="Times New Roman" w:hAnsi="Times New Roman"/>
          <w:sz w:val="20"/>
        </w:rPr>
      </w:pPr>
      <w:r>
        <w:rPr>
          <w:rFonts w:ascii="Times New Roman" w:hAnsi="Times New Roman"/>
          <w:sz w:val="20"/>
        </w:rPr>
        <w:t xml:space="preserve">We do not plan on applying to list the pre-funded warrants on the Nasdaq Global Market, any other national securities exchange or any other nationally recognized trading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Fundamental Transactions </w:t>
      </w:r>
    </w:p>
    <w:p>
      <w:pPr>
        <w:pStyle w:val="TextBody"/>
        <w:bidi w:val="0"/>
        <w:spacing w:before="120" w:after="0"/>
        <w:jc w:val="both"/>
        <w:rPr>
          <w:rFonts w:ascii="Times New Roman" w:hAnsi="Times New Roman"/>
          <w:sz w:val="20"/>
        </w:rPr>
      </w:pPr>
      <w:r>
        <w:rPr>
          <w:rFonts w:ascii="Times New Roman" w:hAnsi="Times New Roman"/>
          <w:sz w:val="20"/>
        </w:rPr>
        <w:t xml:space="preserve">In the event of a fundamental transaction (as described in the pre-funded warrants and generally including but not limited to certain reclassifications of our common stock, the sale, transfer or other disposition of all or substantially all of our properties or assets, our consolidation or merger with or into another person, the tender and acceptance for payment of shares representing more than 50% of the voting power of our capital stock pursuant to any tender or exchange offer (whether by us or another person), the acquisition by another person of more than 50% of the voting power of our capital stock pursuant to a stock purchase agreement or other business combination, including a reorganization, recapitalization or spin-off (except for any such transaction in which our stockholders immediately prior to such transaction maintain, in substantially the same proportions, voting power of us immediately after the transaction), upon consummation of such a fundamental transaction, the holders of the pre-funded warrants will be entitled to receive upon exercise of the pre-funded warrants the kind and amount of securities, cash or other property that the holders would have received had they exercised the pre-funded warrants in full immediately prior to such fundamental transaction without regard to any limitations on exercise contained in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 Rights as a Stockholder </w:t>
      </w:r>
    </w:p>
    <w:p>
      <w:pPr>
        <w:pStyle w:val="TextBody"/>
        <w:bidi w:val="0"/>
        <w:spacing w:before="120" w:after="0"/>
        <w:jc w:val="both"/>
        <w:rPr>
          <w:rFonts w:ascii="Times New Roman" w:hAnsi="Times New Roman"/>
          <w:sz w:val="20"/>
        </w:rPr>
      </w:pPr>
      <w:r>
        <w:rPr>
          <w:rFonts w:ascii="Times New Roman" w:hAnsi="Times New Roman"/>
          <w:sz w:val="20"/>
        </w:rPr>
        <w:t xml:space="preserve">Except by virtue of such holders ownership of shares of our common stock, the holder of a pre-funded warrant does not have the rights or privileges of a holder of our common stock, including any voting rights, until the holder exercises the pre-funded warrant. In the event of certain distributions, including cash dividends, if any, to all holders of our common stock for no consideration, the holder of a pre-funded warrant shall be entitled to participate in such distributions to the same extent as if such holder held the number of shares of our common stock acquirable upon complete exercise of its pre-funded warrant (without regard to any limitations on exercise). If such distribution would result in such holder and the other attribution parties exceeding the exercise limitations described above, a portion of such distribution shall be held in abeyance for the benefit of such holder until such time as the ownership limitations would not be exceeded.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srom495299_9"/>
      <w:bookmarkEnd w:id="11"/>
      <w:r>
        <w:rPr>
          <w:rFonts w:ascii="Times New Roman" w:hAnsi="Times New Roman"/>
          <w:b/>
          <w:sz w:val="20"/>
        </w:rPr>
        <w:t xml:space="preserve">MATERIAL U.S. FEDERAL INCOME TAX CONSEQUENCES FOR INVESTORS IN COMMON STOCK AND PRE-FUNDED WARRANTS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summary describes the material U.S. federal income tax consequences of the acquisition, ownership and disposition of our common stock and pre-funded warrants acquired in this offering. This discussion does not address all aspects of U.S. federal income taxes, does not discuss the potential application of the alternative minimum tax or Medicare Contribution tax and does not deal with state or local taxes, U.S. federal gift and estate tax laws or any non-U.S. tax consequences that may be relevant to investors in light of their particular circumstances. </w:t>
      </w:r>
    </w:p>
    <w:p>
      <w:pPr>
        <w:pStyle w:val="TextBody"/>
        <w:bidi w:val="0"/>
        <w:spacing w:before="240" w:after="0"/>
        <w:jc w:val="both"/>
        <w:rPr>
          <w:rFonts w:ascii="Times New Roman" w:hAnsi="Times New Roman"/>
          <w:sz w:val="20"/>
        </w:rPr>
      </w:pPr>
      <w:r>
        <w:rPr>
          <w:rFonts w:ascii="Times New Roman" w:hAnsi="Times New Roman"/>
          <w:sz w:val="20"/>
        </w:rPr>
        <w:t xml:space="preserve">Special rules different from those described below may apply to certain investors that are subject to special treatment under the Internal Revenue Code of 1986, as amended, or the Code,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insurance companies, banks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tax-exempt organizations (including private foundations) and 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foreign governments and international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broker-dealers and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Non-U.S. Holders (as defined below) that own, or are deemed to own, more than 5% of our common stock (directly, indirectly or by attribution) or more than 5% of our pre-funded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required for U.S. federal income tax purposes to conform the timing of income accruals to their financial statements under Section 451(b)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that hold our common stock or pre-funded warrants as part of a straddle, hedge, conversion transaction, synthetic security or integrated investment or other risk reduction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U.S. Holders (as defined below) whose functional currency for U.S. tax purposes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who do not hold our common stock or pre-funded warrants as capital assets within the meaning of Section 1221 of the Code (generally, for investment purposes);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partnerships and other pass-through entities, and investors in such pass-through entities (regardless of their places of organization or formation).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Such investors are urged to consult their own tax advisors to determine the U.S. federal, state, local and other tax consequences that may be relevant to them. </w:t>
      </w:r>
    </w:p>
    <w:p>
      <w:pPr>
        <w:pStyle w:val="TextBody"/>
        <w:bidi w:val="0"/>
        <w:spacing w:before="240" w:after="0"/>
        <w:jc w:val="both"/>
        <w:rPr>
          <w:rFonts w:ascii="Times New Roman" w:hAnsi="Times New Roman"/>
          <w:sz w:val="20"/>
        </w:rPr>
      </w:pPr>
      <w:r>
        <w:rPr>
          <w:rFonts w:ascii="Times New Roman" w:hAnsi="Times New Roman"/>
          <w:sz w:val="20"/>
        </w:rPr>
        <w:t xml:space="preserve">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the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discussion, a U.S. Holder means a beneficial owner of our common stock or pre-funded warrants, other than a partnership or other pass-through entity, that is, for U.S. federal income tax purposes, (a) an individual citizen or resident of the United States, (b) a corporation (or other entity taxable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U.S. Treasury regulations to be treated as a United States person. </w:t>
      </w:r>
    </w:p>
    <w:p>
      <w:pPr>
        <w:pStyle w:val="TextBody"/>
        <w:bidi w:val="0"/>
        <w:spacing w:before="240" w:after="0"/>
        <w:jc w:val="both"/>
        <w:rPr>
          <w:rFonts w:ascii="Times New Roman" w:hAnsi="Times New Roman"/>
          <w:sz w:val="20"/>
        </w:rPr>
      </w:pPr>
      <w:r>
        <w:rPr>
          <w:rFonts w:ascii="Times New Roman" w:hAnsi="Times New Roman"/>
          <w:sz w:val="20"/>
        </w:rPr>
        <w:t xml:space="preserve">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w:t>
      </w:r>
    </w:p>
    <w:p>
      <w:pPr>
        <w:pStyle w:val="TextBody"/>
        <w:bidi w:val="0"/>
        <w:spacing w:before="240" w:after="0"/>
        <w:jc w:val="both"/>
        <w:rPr>
          <w:rFonts w:ascii="Times New Roman" w:hAnsi="Times New Roman"/>
          <w:sz w:val="20"/>
        </w:rPr>
      </w:pPr>
      <w:r>
        <w:rPr>
          <w:rFonts w:ascii="Times New Roman" w:hAnsi="Times New Roman"/>
          <w:sz w:val="20"/>
        </w:rPr>
        <w:t xml:space="preserve">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 or pre-funded warrants. </w:t>
      </w:r>
    </w:p>
    <w:p>
      <w:pPr>
        <w:pStyle w:val="TextBody"/>
        <w:bidi w:val="0"/>
        <w:spacing w:before="240" w:after="0"/>
        <w:jc w:val="both"/>
        <w:rPr>
          <w:rFonts w:ascii="Times New Roman" w:hAnsi="Times New Roman"/>
          <w:sz w:val="20"/>
        </w:rPr>
      </w:pPr>
      <w:r>
        <w:rPr>
          <w:rFonts w:ascii="Times New Roman" w:hAnsi="Times New Roman"/>
          <w:sz w:val="20"/>
        </w:rPr>
        <w:t xml:space="preserve">PERSONS CONSIDERING THE PURCHASE OF OUR COMMON STOCK OR PRE-FUNDED WARRANTS PURSUANT TO THIS OFFERING SHOULD CONSULT THEIR OWN TAX ADVISORS CONCERNING THE U.S. FEDERAL INCOME TAX CONSEQUENCES OF ACQUIRING, OWNING AND DISPOSING OF OUR COMMON STOCK AND PRE-FUNDED WARRANTS IN LIGHT OF THEIR PARTICULAR SITUATIONS AS WELL AS ANY CONSEQUENCES ARISING UNDER THE LAWS OF ANY OTHER TAXING JURISDICTION, INCLUDING ANY STATE, LOCAL OR NON-U.S. TAX CONSEQUENCES OR ANY U.S. FEDERAL NON-INCOME TAX CONSEQUENCES, AND THE POSSIBLE APPLICATION OF TAX TREATIES. </w:t>
      </w:r>
    </w:p>
    <w:p>
      <w:pPr>
        <w:pStyle w:val="TextBody"/>
        <w:bidi w:val="0"/>
        <w:spacing w:before="360" w:after="0"/>
        <w:jc w:val="left"/>
        <w:rPr>
          <w:rFonts w:ascii="Times New Roman" w:hAnsi="Times New Roman"/>
          <w:b/>
          <w:sz w:val="20"/>
        </w:rPr>
      </w:pPr>
      <w:r>
        <w:rPr>
          <w:rFonts w:ascii="Times New Roman" w:hAnsi="Times New Roman"/>
          <w:b/>
          <w:sz w:val="20"/>
        </w:rPr>
        <w:t xml:space="preserve">Characterization of the Pre-Funded Warrants for Tax Purposes </w:t>
      </w:r>
    </w:p>
    <w:p>
      <w:pPr>
        <w:pStyle w:val="TextBody"/>
        <w:bidi w:val="0"/>
        <w:spacing w:before="120" w:after="0"/>
        <w:jc w:val="both"/>
        <w:rPr>
          <w:rFonts w:ascii="Times New Roman" w:hAnsi="Times New Roman"/>
          <w:sz w:val="20"/>
        </w:rPr>
      </w:pPr>
      <w:r>
        <w:rPr>
          <w:rFonts w:ascii="Times New Roman" w:hAnsi="Times New Roman"/>
          <w:sz w:val="20"/>
        </w:rPr>
        <w:t xml:space="preserve">Although the characterization of the pre-funded warrants for U.S. federal income tax purposes is not entirely clear, because the exercise price of the pre-funded warrants is a nominal amount, we expect to treat the pre-funded warrants as our common stock for U.S. federal income tax purposes and a holder of pre-funded warrants should generally be taxed in the same manner as a holder of common stock as described below. Accordingly, for U.S. federal income tax purposes, no gain or loss should be recognized upon the exercise of a pre-funded warrant, and upon exercise, the holding period of the share of common stock received should include the holding period of the pre-funded warrant. Similarly, the tax basis of a share of common stock received upon exercise of a pre-funded warrant should include the tax basis of the pre-funded warrant increased by the exercise price of $0.0001 per share. The balance of this discussion generally assumes that the characterization described above is respected for U.S. federal income tax purposes. </w:t>
      </w:r>
    </w:p>
    <w:p>
      <w:pPr>
        <w:pStyle w:val="TextBody"/>
        <w:bidi w:val="0"/>
        <w:spacing w:before="240" w:after="0"/>
        <w:jc w:val="both"/>
        <w:rPr>
          <w:rFonts w:ascii="Times New Roman" w:hAnsi="Times New Roman"/>
          <w:sz w:val="20"/>
        </w:rPr>
      </w:pPr>
      <w:r>
        <w:rPr>
          <w:rFonts w:ascii="Times New Roman" w:hAnsi="Times New Roman"/>
          <w:sz w:val="20"/>
        </w:rPr>
        <w:t xml:space="preserve">Our position with respect to the characterization of pre-funded warrants is not binding on the IRS and the IRS may treat the pre-funded warrants as warrants to acquire our common stock and, if so, the amount and character of your gain with respect to an investment in our pre-funded warrants could change. You should consult your tax advisor regarding the characterization of pre-funded warrants for U.S. federal income tax purposes, and the consequences to you of an investment in the pre-funded warrants based on your own particular facts and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on Common Stock and Pre-funded Warrants </w:t>
      </w:r>
    </w:p>
    <w:p>
      <w:pPr>
        <w:pStyle w:val="TextBody"/>
        <w:bidi w:val="0"/>
        <w:spacing w:before="120" w:after="0"/>
        <w:jc w:val="both"/>
        <w:rPr>
          <w:rFonts w:ascii="Times New Roman" w:hAnsi="Times New Roman"/>
          <w:sz w:val="20"/>
        </w:rPr>
      </w:pPr>
      <w:r>
        <w:rPr>
          <w:rFonts w:ascii="Times New Roman" w:hAnsi="Times New Roman"/>
          <w:sz w:val="20"/>
        </w:rPr>
        <w:t>As stated under </w:t>
      </w:r>
      <w:r>
        <w:rPr>
          <w:rFonts w:ascii="Times New Roman" w:hAnsi="Times New Roman"/>
          <w:i/>
          <w:sz w:val="20"/>
        </w:rPr>
        <w:t>Dividend Policy</w:t>
      </w:r>
      <w:r>
        <w:rPr>
          <w:rFonts w:ascii="Times New Roman" w:hAnsi="Times New Roman"/>
          <w:sz w:val="20"/>
        </w:rPr>
        <w:t xml:space="preserve">, we do not expect to make distributions on our common stock (or pre-funded warrants) in the foreseeable future. In the event that we do make distributions of cash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property, distributions paid on common stock (or pre-funded warrants) will be treated as a dividend to the extent paid out of our current or accumulated earnings and profits (as determined under U.S. federal income tax principles), and will be includible in your income as ordinary income when received. However, with respect to dividends received by individuals, such dividends are generally taxed at the lower applicable long-term capital gains rates, provided certain holding period requirements are satisfied. Distributions in excess of our current and accumulated earnings and profits will be treated as a return of capital to the extent of a U.S. Holders tax basis in the common stock (or pre-funded warrant) and thereafter as capital gain from the sale or exchange of such common stock (or pre-funded warrant). The tax treatment of such gain is further described in </w:t>
      </w:r>
      <w:r>
        <w:rPr>
          <w:rFonts w:ascii="Times New Roman" w:hAnsi="Times New Roman"/>
          <w:i/>
          <w:sz w:val="20"/>
        </w:rPr>
        <w:t>Sale or Other Disposition of Common Stock or Pre-Funded Warrants</w:t>
      </w:r>
      <w:r>
        <w:rPr>
          <w:rFonts w:ascii="Times New Roman" w:hAnsi="Times New Roman"/>
          <w:sz w:val="20"/>
        </w:rPr>
        <w:t> below. Dividends received by a corporation may be eligible for a dividends received deduction, subject to applicable limitations. Any such distributions will also be subject to the discussions below under the section titled </w:t>
      </w:r>
      <w:r>
        <w:rPr>
          <w:rFonts w:ascii="Times New Roman" w:hAnsi="Times New Roman"/>
          <w:i/>
          <w:sz w:val="20"/>
        </w:rPr>
        <w:t>Information Reporting and Backup Withholding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U.S. Holder of a pre-funded warrant is expected to receive any distributions paid with respect to common stock prior to the exercise of the pre-funded warrant and, in such case, would be taxed in the same manner as a U.S. Holder of common stock that receives such a distribution. However, under certain circumstances, it is possible for cash to be held in abeyance for the U.S. Holder until a pre-funded warrant is exercised or the ownership limitations (described under </w:t>
      </w:r>
      <w:r>
        <w:rPr>
          <w:rFonts w:ascii="Times New Roman" w:hAnsi="Times New Roman"/>
          <w:i/>
          <w:sz w:val="20"/>
        </w:rPr>
        <w:t>Description of Pre-Funded Warrants</w:t>
      </w:r>
      <w:r>
        <w:rPr>
          <w:rFonts w:ascii="Times New Roman" w:hAnsi="Times New Roman"/>
          <w:sz w:val="20"/>
        </w:rPr>
        <w:t xml:space="preserve">) would not be exceeded, at which time such U.S. Holder shall be entitled to receive distributions. It is possible that such entitlement to distributions could cause the declaration of a distribution on our common stock to be currently taxable to U.S. Holders of pre-funded warrants, including under the principles governing Section 305 of the Code, even though the holders will not receive such distributions until a future date. Additionally, it is possible that other adjustments to the terms of the pre-funded warrant can be considered a constructive distribution under Section 305 of the Code. A holder of a pre-funded warrant should consult its tax advisor regarding the tax treatment of any distribution with respect to such pre-funded warrant that is held in abeyance in connection with any applicable limitation on the holders beneficial ownership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Disposition of Common Stock or Pre-Funded Warrants </w:t>
      </w:r>
    </w:p>
    <w:p>
      <w:pPr>
        <w:pStyle w:val="TextBody"/>
        <w:bidi w:val="0"/>
        <w:spacing w:before="120" w:after="0"/>
        <w:jc w:val="both"/>
        <w:rPr>
          <w:rFonts w:ascii="Times New Roman" w:hAnsi="Times New Roman"/>
          <w:sz w:val="20"/>
        </w:rPr>
      </w:pPr>
      <w:r>
        <w:rPr>
          <w:rFonts w:ascii="Times New Roman" w:hAnsi="Times New Roman"/>
          <w:sz w:val="20"/>
        </w:rPr>
        <w:t xml:space="preserve">For U.S. federal income tax purposes, gain or loss realized on the sale or other disposition of common stock or pre-funded warrants will be capital gain or loss, and will be long-term capital gain or loss if you have held the common stock or pre-funded warrants for more than one year. The amount of the gain or loss will equal the difference between your tax basis in the common stock or pre-funded warrants disposed of and the amount realized on the disposition. Long-term capital gains recognized by non-corporate U.S. Holders will be subject to reduced tax rates. The deductibility of capital losses is subject to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both"/>
        <w:rPr>
          <w:rFonts w:ascii="Times New Roman" w:hAnsi="Times New Roman"/>
          <w:sz w:val="20"/>
        </w:rPr>
      </w:pPr>
      <w:r>
        <w:rPr>
          <w:rFonts w:ascii="Times New Roman" w:hAnsi="Times New Roman"/>
          <w:sz w:val="20"/>
        </w:rPr>
        <w:t xml:space="preserve">Information reporting requirements generally will apply to any payments of dividends on our common stock and pre-funded warrants, constructive dividends on our pre-funded warrants, and gross proceeds on the sale or other disposition of our common stock and pre-funded warrants, unless the U.S. Holder is an exempt recipient (such as a corporation).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 Any amounts withheld under the backup withholding rules will be allowed as a refund or a credit against a U.S. Holders U.S. federal income tax liability provided the required information is furnished timely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Non-U.S. Holders </w:t>
      </w:r>
    </w:p>
    <w:p>
      <w:pPr>
        <w:pStyle w:val="TextBody"/>
        <w:bidi w:val="0"/>
        <w:spacing w:before="120" w:after="0"/>
        <w:jc w:val="both"/>
        <w:rPr>
          <w:rFonts w:ascii="Times New Roman" w:hAnsi="Times New Roman"/>
          <w:sz w:val="20"/>
        </w:rPr>
      </w:pPr>
      <w:r>
        <w:rPr>
          <w:rFonts w:ascii="Times New Roman" w:hAnsi="Times New Roman"/>
          <w:sz w:val="20"/>
        </w:rPr>
        <w:t xml:space="preserve">For purposes of this discussion, a Non-U.S. Holder is a beneficial owner of our common stock or pre-funded warrants that, for U.S. federal income tax purposes, is (i) a foreign corporation, (ii) a nonresident alien individual, or (iii) a foreign estate or trust that in each case is not subject to U.S. federal income tax on a net-income basis on income or gain from common stock or pre-funded warrants. If you are not a Non-U.S. Holder, this section does not apply to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Distributions on Common Stock and Pre-funded Warrants </w:t>
      </w:r>
    </w:p>
    <w:p>
      <w:pPr>
        <w:pStyle w:val="TextBody"/>
        <w:bidi w:val="0"/>
        <w:spacing w:before="120" w:after="0"/>
        <w:jc w:val="both"/>
        <w:rPr>
          <w:rFonts w:ascii="Times New Roman" w:hAnsi="Times New Roman"/>
          <w:sz w:val="20"/>
        </w:rPr>
      </w:pPr>
      <w:r>
        <w:rPr>
          <w:rFonts w:ascii="Times New Roman" w:hAnsi="Times New Roman"/>
          <w:sz w:val="20"/>
        </w:rPr>
        <w:t>As stated under </w:t>
      </w:r>
      <w:r>
        <w:rPr>
          <w:rFonts w:ascii="Times New Roman" w:hAnsi="Times New Roman"/>
          <w:i/>
          <w:sz w:val="20"/>
        </w:rPr>
        <w:t>Dividend Policy</w:t>
      </w:r>
      <w:r>
        <w:rPr>
          <w:rFonts w:ascii="Times New Roman" w:hAnsi="Times New Roman"/>
          <w:sz w:val="20"/>
        </w:rPr>
        <w:t>, we do not expect to make any distributions on our common stock (or pre-funded warrants) in the foreseeable future. If we do make distributions on our common stock (or pre-funded warrants), however,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(or pre-funded warrants). Any remaining excess will be treated as gain realized as described below under the section titled </w:t>
      </w:r>
      <w:r>
        <w:rPr>
          <w:rFonts w:ascii="Times New Roman" w:hAnsi="Times New Roman"/>
          <w:i/>
          <w:sz w:val="20"/>
        </w:rPr>
        <w:t>Sale or Other Disposition of Common Stock and Pre-Funded Warrants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Any distribution on our common stock (or pre-funded warrants)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or credit of any excess amounts withheld by timely filing an appropriate claim with the IRS. </w:t>
      </w:r>
    </w:p>
    <w:p>
      <w:pPr>
        <w:pStyle w:val="TextBody"/>
        <w:bidi w:val="0"/>
        <w:spacing w:before="240" w:after="0"/>
        <w:jc w:val="both"/>
        <w:rPr>
          <w:rFonts w:ascii="Times New Roman" w:hAnsi="Times New Roman"/>
          <w:sz w:val="20"/>
        </w:rPr>
      </w:pPr>
      <w:r>
        <w:rPr>
          <w:rFonts w:ascii="Times New Roman" w:hAnsi="Times New Roman"/>
          <w:sz w:val="20"/>
        </w:rPr>
        <w:t xml:space="preserve">We generally are not required to withhold tax on dividends paid (or constructive dividends deemed paid) to a Non-U.S. Holder that are effectively connected with the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us (or, if shares of our common stock are held through a financial institution or other agent, to the applicable withholding agent). In general, such effectively connected dividends will be subject to U.S. federal income tax on a net income basis at the regular graduated rates applicable to U.S. persons,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w:t>
      </w:r>
    </w:p>
    <w:p>
      <w:pPr>
        <w:pStyle w:val="TextBody"/>
        <w:bidi w:val="0"/>
        <w:spacing w:before="240" w:after="0"/>
        <w:jc w:val="both"/>
        <w:rPr>
          <w:rFonts w:ascii="Times New Roman" w:hAnsi="Times New Roman"/>
          <w:sz w:val="20"/>
        </w:rPr>
      </w:pPr>
      <w:r>
        <w:rPr>
          <w:rFonts w:ascii="Times New Roman" w:hAnsi="Times New Roman"/>
          <w:sz w:val="20"/>
        </w:rPr>
        <w:t>A Non-U.S. Holder of a pre-funded warrant is expected to receive any distributions paid with respect to common stock prior to the exercise of the pre-funded warrant and, in such case, would be taxed in the same manner as Non-U.S. Holder of common stock that receives such a distribution. However, under certain circumstances, it is possible for cash to be held in abeyance for a Non-U.S. Holder until a pre-funded warrant is exercised or the ownership limitations (described under </w:t>
      </w:r>
      <w:r>
        <w:rPr>
          <w:rFonts w:ascii="Times New Roman" w:hAnsi="Times New Roman"/>
          <w:i/>
          <w:sz w:val="20"/>
        </w:rPr>
        <w:t>Description of Pre-Funded Warrants</w:t>
      </w:r>
      <w:r>
        <w:rPr>
          <w:rFonts w:ascii="Times New Roman" w:hAnsi="Times New Roman"/>
          <w:sz w:val="20"/>
        </w:rPr>
        <w:t xml:space="preserve">) would not be exceeded, at which time the Non-U.S. Holder shall be entitled to receive distributions. It is possible that such entitlement to distributions could cause the declaration of a distribution on our common stock to be currently taxable to Non-U.S. Holders of pre-funded warrants, including under the principles governing Section 305 of the Code, even though such holders will not receive the distributions until a future date. Additionally, it is possible that other adjustments to the terms of the pre-funded warrant can be considered a constructive distribution under Section 305 of the Code. A holder of a pre-funded warrant should consult its tax advisor regarding the tax treatment of any distribution with respect to such pre-funded warrant that is held in abeyance in connection with any applicable limitation on the holders beneficial ownership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See also the section below titled </w:t>
      </w:r>
      <w:r>
        <w:rPr>
          <w:rFonts w:ascii="Times New Roman" w:hAnsi="Times New Roman"/>
          <w:i/>
          <w:sz w:val="20"/>
        </w:rPr>
        <w:t>Foreign Accounts</w:t>
      </w:r>
      <w:r>
        <w:rPr>
          <w:rFonts w:ascii="Times New Roman" w:hAnsi="Times New Roman"/>
          <w:sz w:val="20"/>
        </w:rPr>
        <w:t xml:space="preserve"> for additional withholding rules that may apply to dividends paid to certain foreign financial institutions or non-financial foreign entities.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Disposition of Common Stock and Pre-Funded Warrants </w:t>
      </w:r>
    </w:p>
    <w:p>
      <w:pPr>
        <w:pStyle w:val="TextBody"/>
        <w:bidi w:val="0"/>
        <w:spacing w:before="120" w:after="0"/>
        <w:jc w:val="both"/>
        <w:rPr>
          <w:rFonts w:ascii="Times New Roman" w:hAnsi="Times New Roman"/>
          <w:sz w:val="20"/>
        </w:rPr>
      </w:pPr>
      <w:r>
        <w:rPr>
          <w:rFonts w:ascii="Times New Roman" w:hAnsi="Times New Roman"/>
          <w:sz w:val="20"/>
        </w:rPr>
        <w:t>Subject to the discussion below under the sections titled </w:t>
      </w:r>
      <w:r>
        <w:rPr>
          <w:rFonts w:ascii="Times New Roman" w:hAnsi="Times New Roman"/>
          <w:i/>
          <w:sz w:val="20"/>
        </w:rPr>
        <w:t>Information Reporting and Backup Withholding</w:t>
      </w:r>
      <w:r>
        <w:rPr>
          <w:rFonts w:ascii="Times New Roman" w:hAnsi="Times New Roman"/>
          <w:sz w:val="20"/>
        </w:rPr>
        <w:t> and </w:t>
      </w:r>
      <w:r>
        <w:rPr>
          <w:rFonts w:ascii="Times New Roman" w:hAnsi="Times New Roman"/>
          <w:i/>
          <w:sz w:val="20"/>
        </w:rPr>
        <w:t>Foreign Accounts</w:t>
      </w:r>
      <w:r>
        <w:rPr>
          <w:rFonts w:ascii="Times New Roman" w:hAnsi="Times New Roman"/>
          <w:sz w:val="20"/>
        </w:rPr>
        <w:t xml:space="preserve">, a Non-U.S. Holder generally will not be subject to U.S. federal income or withholding tax with respect to gain realized on a sale or other disposition of our common stock or pre-funded warrants unless (a) the gain is effectively connected with a trade or business of the holder in the United States (and, if required by an applicable income tax treaty, is attributable to a permanent establishment that the holder maintains in the United States), (b) the Non-U.S. Holder is a nonresident alien individual and is present in the United States for a period or periods aggregating 183 or more days in the taxable year of the disposition and certain other conditions are met, or (c) we are or have been a United States real property holding corporation within the meaning of Code Section 897(c)(2), unless any class of our stock is regularly traded on an established securities market and the Non-U.S. Holder disposes of such class of stock and holds no more than 5% of such class of stock, directly or indirectly, actually or constructively, during the shorter of the 5-year period ending on the date of the disposition or the period that the Non-U.S. Holder held such class of stock. </w:t>
      </w:r>
    </w:p>
    <w:p>
      <w:pPr>
        <w:pStyle w:val="TextBody"/>
        <w:bidi w:val="0"/>
        <w:spacing w:before="240" w:after="0"/>
        <w:jc w:val="both"/>
        <w:rPr>
          <w:rFonts w:ascii="Times New Roman" w:hAnsi="Times New Roman"/>
          <w:sz w:val="20"/>
        </w:rPr>
      </w:pPr>
      <w:r>
        <w:rPr>
          <w:rFonts w:ascii="Times New Roman" w:hAnsi="Times New Roman"/>
          <w:sz w:val="20"/>
        </w:rPr>
        <w:t xml:space="preserve">If you are a Non-U.S. Holder described in (a) above, you will be required to pay tax on the net gain derived from the sale at the regular graduated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(c) above, in general, we would be a U.S. real property holding corporation if interests in U.S. real estate comprised (by fair market value) at least half of our worldwide real property interests plus our other assets used or held for use in a trade or business. We believe that we are not, and do not anticipate becoming, a U.S. real property holding corporation. However, there can be no assurance that we will not become a U.S. real property holding corporation in the future. Our pre-funded warrants are expected to constitute a class of stock for purposes of the rules described above. However, we do not expect our pre-funded warrants to be regularly traded on an established securities market for purposes of such rule.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both"/>
        <w:rPr>
          <w:rFonts w:ascii="Times New Roman" w:hAnsi="Times New Roman"/>
          <w:sz w:val="20"/>
        </w:rPr>
      </w:pPr>
      <w:r>
        <w:rPr>
          <w:rFonts w:ascii="Times New Roman" w:hAnsi="Times New Roman"/>
          <w:sz w:val="20"/>
        </w:rPr>
        <w:t xml:space="preserve">Generally, we or certain financial middlemen must report information to the IRS with respect to any dividends we pay on our common stock or pre-funded warrants and any constructive dividends deemed paid on pre-funded warrants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 </w:t>
      </w:r>
    </w:p>
    <w:p>
      <w:pPr>
        <w:pStyle w:val="TextBody"/>
        <w:bidi w:val="0"/>
        <w:spacing w:before="240" w:after="0"/>
        <w:jc w:val="both"/>
        <w:rPr>
          <w:rFonts w:ascii="Times New Roman" w:hAnsi="Times New Roman"/>
          <w:sz w:val="20"/>
        </w:rPr>
      </w:pPr>
      <w:r>
        <w:rPr>
          <w:rFonts w:ascii="Times New Roman" w:hAnsi="Times New Roman"/>
          <w:sz w:val="20"/>
        </w:rPr>
        <w:t xml:space="preserve">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 </w:t>
      </w:r>
    </w:p>
    <w:p>
      <w:pPr>
        <w:pStyle w:val="TextBody"/>
        <w:bidi w:val="0"/>
        <w:spacing w:before="240" w:after="0"/>
        <w:jc w:val="both"/>
        <w:rPr>
          <w:rFonts w:ascii="Times New Roman" w:hAnsi="Times New Roman"/>
          <w:sz w:val="20"/>
        </w:rPr>
      </w:pPr>
      <w:r>
        <w:rPr>
          <w:rFonts w:ascii="Times New Roman" w:hAnsi="Times New Roman"/>
          <w:sz w:val="20"/>
        </w:rPr>
        <w:t xml:space="preserve">Under current U.S. federal income tax law, U.S. information reporting and backup withholding requirements generally will apply to the proceeds of a disposition of our common stock or pre-funded warrants effected by or through a U.S. office of any broker, U.S. or non-U.S., unless the Non-U.S. Holder provides a properly executed IRS Form W-8BEN or IRS Form W-8BEN-E, as applicable, or otherwise meets documentary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 </w:t>
      </w:r>
    </w:p>
    <w:p>
      <w:pPr>
        <w:pStyle w:val="TextBody"/>
        <w:bidi w:val="0"/>
        <w:spacing w:before="240" w:after="0"/>
        <w:jc w:val="both"/>
        <w:rPr>
          <w:rFonts w:ascii="Times New Roman" w:hAnsi="Times New Roman"/>
          <w:sz w:val="20"/>
        </w:rPr>
      </w:pPr>
      <w:r>
        <w:rPr>
          <w:rFonts w:ascii="Times New Roman" w:hAnsi="Times New Roman"/>
          <w:sz w:val="20"/>
        </w:rPr>
        <w:t xml:space="preserve">Backup withholding is not an additional tax. If backup withholding is applied to you, you should consult with your own tax advisor to determine whether you have overpaid your U.S. federal income tax, and whether you are able to obtain a tax refund or credit of the overpaid amount.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Accounts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and separately from the withholding rules described above, U.S. federal withholding taxes may apply under the Foreign Account Tax Compliance Act, or FATCA, on certain types of payments, including dividends to non-U.S. financial institutions and certain other non-U.S. entities. Specifically, a 30% withholding tax may be imposed on dividends paid in respect of our common stock or pre-funded warrants, constructive distributions deemed paid with respect to pre-funded warrants and the gross proceeds of the disposition on our common stock or pre-funded warrants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both"/>
        <w:rPr>
          <w:rFonts w:ascii="Times New Roman" w:hAnsi="Times New Roman"/>
          <w:sz w:val="20"/>
        </w:rPr>
      </w:pPr>
      <w:r>
        <w:rPr>
          <w:rFonts w:ascii="Times New Roman" w:hAnsi="Times New Roman"/>
          <w:sz w:val="20"/>
        </w:rPr>
        <w:t xml:space="preserve">The Treasury Secretary has issued proposed regulations providing that the withholding provisions under FATCA do not apply with respect to payment of gross proceeds from a sale or other disposition of our notes or common stock, which may be relied upon by taxpayers until final regulations are issued. Prospective investors should consult their tax advisors regarding the potential application of withholding under FATCA to their investment in our common stock or pre-funded warrants. </w:t>
      </w:r>
    </w:p>
    <w:p>
      <w:pPr>
        <w:pStyle w:val="TextBody"/>
        <w:bidi w:val="0"/>
        <w:spacing w:before="240" w:after="0"/>
        <w:jc w:val="both"/>
        <w:rPr>
          <w:rFonts w:ascii="Times New Roman" w:hAnsi="Times New Roman"/>
          <w:sz w:val="20"/>
        </w:rPr>
      </w:pPr>
      <w:r>
        <w:rPr>
          <w:rFonts w:ascii="Times New Roman" w:hAnsi="Times New Roman"/>
          <w:sz w:val="20"/>
        </w:rPr>
        <w:t xml:space="preserve">EACH PROSPECTIVE INVESTOR SHOULD CONSULT ITS OWN TAX ADVISOR REGARDING THE TAX CONSEQUENCES OF PURCHASING, HOLDING AND DISPOSING OF OUR COMMON STOCK AND PRE-FUNDED WARRANTS, INCLUDING THE CONSEQUENCES OF ANY PROPOSED CHANGE IN APPLICABLE LAW, AS WELL AS TAX CONSEQUENCES ARISING UNDER ANY STATE, LOCAL, NON-U.S. OR U.S. FEDERAL NON-INCOME TAX LAWS SUCH AS ESTATE AND GIFT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srom495299_10"/>
      <w:bookmarkEnd w:id="12"/>
      <w:r>
        <w:rPr>
          <w:rFonts w:ascii="Times New Roman" w:hAnsi="Times New Roman"/>
          <w:b/>
          <w:sz w:val="20"/>
        </w:rPr>
        <w:t xml:space="preserve">UNDERWRITERS </w:t>
      </w:r>
    </w:p>
    <w:p>
      <w:pPr>
        <w:pStyle w:val="TextBody"/>
        <w:bidi w:val="0"/>
        <w:spacing w:before="240" w:after="0"/>
        <w:jc w:val="both"/>
        <w:rPr>
          <w:rFonts w:ascii="Times New Roman" w:hAnsi="Times New Roman"/>
          <w:sz w:val="20"/>
        </w:rPr>
      </w:pPr>
      <w:r>
        <w:rPr>
          <w:rFonts w:ascii="Times New Roman" w:hAnsi="Times New Roman"/>
          <w:sz w:val="20"/>
        </w:rPr>
        <w:t xml:space="preserve">Under the terms and subject to the conditions in an underwriting agreement dated the date of this prospectus supplement, the underwriters named below, for whom Morgan Stanley &amp; Co. LLC, SVB Securities LLC, Stifel, Nicolaus &amp; Company, Incorporated and BMO Capital Markets Corp. are acting as representatives, have severally agreed to purchase, and we have agreed to sell to them, severally, the number of shares of common stock and pre-funded warrants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96"/>
        <w:gridCol w:w="300"/>
        <w:gridCol w:w="92"/>
        <w:gridCol w:w="1534"/>
        <w:gridCol w:w="60"/>
        <w:gridCol w:w="300"/>
        <w:gridCol w:w="87"/>
        <w:gridCol w:w="1173"/>
        <w:gridCol w:w="63"/>
      </w:tblGrid>
      <w:tr>
        <w:trPr/>
        <w:tc>
          <w:tcPr>
            <w:tcW w:w="6596"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59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00" w:type="dxa"/>
            <w:tcBorders/>
            <w:vAlign w:val="bottom"/>
          </w:tcPr>
          <w:p>
            <w:pPr>
              <w:pStyle w:val="TableContents"/>
              <w:bidi w:val="0"/>
              <w:spacing w:before="0" w:after="283"/>
              <w:jc w:val="left"/>
              <w:rPr/>
            </w:pPr>
            <w:r>
              <w:rPr/>
              <w:t>  </w:t>
            </w:r>
          </w:p>
        </w:tc>
        <w:tc>
          <w:tcPr>
            <w:tcW w:w="1626" w:type="dxa"/>
            <w:gridSpan w:val="2"/>
            <w:tcBorders>
              <w:bottom w:val="single" w:sz="8" w:space="0" w:color="000000"/>
            </w:tcBorders>
            <w:tcMar>
              <w:bottom w:w="28" w:type="dxa"/>
            </w:tcMar>
            <w:vAlign w:val="bottom"/>
          </w:tcPr>
          <w:p>
            <w:pPr>
              <w:pStyle w:val="TableContents"/>
              <w:bidi w:val="0"/>
              <w:spacing w:before="0" w:after="283"/>
              <w:jc w:val="center"/>
              <w:rPr/>
            </w:pPr>
            <w:r>
              <w:rPr>
                <w:b/>
              </w:rPr>
              <w:t>Number</w:t>
            </w:r>
            <w:r>
              <w:rPr/>
              <w:br/>
            </w:r>
            <w:r>
              <w:rPr>
                <w:b/>
              </w:rPr>
              <w:t>of Shares of</w:t>
            </w:r>
            <w:r>
              <w:rPr/>
              <w:br/>
            </w:r>
            <w:r>
              <w:rPr>
                <w:b/>
              </w:rPr>
              <w:t>Common Stock</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Pre-Funded</w:t>
              <w:br/>
              <w:t>Warrants</w:t>
            </w:r>
          </w:p>
        </w:tc>
        <w:tc>
          <w:tcPr>
            <w:tcW w:w="63" w:type="dxa"/>
            <w:tcBorders/>
            <w:vAlign w:val="bottom"/>
          </w:tcPr>
          <w:p>
            <w:pPr>
              <w:pStyle w:val="TableContents"/>
              <w:bidi w:val="0"/>
              <w:spacing w:before="0" w:after="283"/>
              <w:jc w:val="left"/>
              <w:rPr/>
            </w:pPr>
            <w:r>
              <w:rPr/>
              <w:t> </w:t>
            </w:r>
          </w:p>
        </w:tc>
      </w:tr>
      <w:tr>
        <w:trPr/>
        <w:tc>
          <w:tcPr>
            <w:tcW w:w="6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30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4" w:type="dxa"/>
            <w:tcBorders/>
            <w:shd w:fill="CCEEFF" w:val="clear"/>
            <w:vAlign w:val="bottom"/>
          </w:tcPr>
          <w:p>
            <w:pPr>
              <w:pStyle w:val="TableContents"/>
              <w:bidi w:val="0"/>
              <w:spacing w:before="0" w:after="283"/>
              <w:jc w:val="right"/>
              <w:rPr/>
            </w:pPr>
            <w:r>
              <w:rPr/>
              <w:t>986,449</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77,551</w:t>
            </w:r>
          </w:p>
        </w:tc>
        <w:tc>
          <w:tcPr>
            <w:tcW w:w="63" w:type="dxa"/>
            <w:tcBorders/>
            <w:shd w:fill="CCEEFF" w:val="clear"/>
            <w:vAlign w:val="bottom"/>
          </w:tcPr>
          <w:p>
            <w:pPr>
              <w:pStyle w:val="TableContents"/>
              <w:bidi w:val="0"/>
              <w:spacing w:before="0" w:after="283"/>
              <w:jc w:val="left"/>
              <w:rPr/>
            </w:pPr>
            <w:r>
              <w:rPr/>
              <w:t> </w:t>
            </w:r>
          </w:p>
        </w:tc>
      </w:tr>
      <w:tr>
        <w:trPr/>
        <w:tc>
          <w:tcPr>
            <w:tcW w:w="6596" w:type="dxa"/>
            <w:tcBorders/>
          </w:tcPr>
          <w:p>
            <w:pPr>
              <w:pStyle w:val="TableContents"/>
              <w:bidi w:val="0"/>
              <w:spacing w:before="0" w:after="0"/>
              <w:jc w:val="left"/>
              <w:rPr>
                <w:rFonts w:ascii="Times New Roman" w:hAnsi="Times New Roman"/>
                <w:sz w:val="20"/>
              </w:rPr>
            </w:pPr>
            <w:r>
              <w:rPr>
                <w:rFonts w:ascii="Times New Roman" w:hAnsi="Times New Roman"/>
                <w:sz w:val="20"/>
              </w:rPr>
              <w:t>SVB Securities LLC</w:t>
            </w:r>
          </w:p>
        </w:tc>
        <w:tc>
          <w:tcPr>
            <w:tcW w:w="30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34" w:type="dxa"/>
            <w:tcBorders/>
            <w:vAlign w:val="bottom"/>
          </w:tcPr>
          <w:p>
            <w:pPr>
              <w:pStyle w:val="TableContents"/>
              <w:bidi w:val="0"/>
              <w:spacing w:before="0" w:after="283"/>
              <w:jc w:val="right"/>
              <w:rPr/>
            </w:pPr>
            <w:r>
              <w:rPr/>
              <w:t>726,857</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57,143</w:t>
            </w:r>
          </w:p>
        </w:tc>
        <w:tc>
          <w:tcPr>
            <w:tcW w:w="63" w:type="dxa"/>
            <w:tcBorders/>
            <w:vAlign w:val="bottom"/>
          </w:tcPr>
          <w:p>
            <w:pPr>
              <w:pStyle w:val="TableContents"/>
              <w:bidi w:val="0"/>
              <w:spacing w:before="0" w:after="283"/>
              <w:jc w:val="left"/>
              <w:rPr/>
            </w:pPr>
            <w:r>
              <w:rPr/>
              <w:t> </w:t>
            </w:r>
          </w:p>
        </w:tc>
      </w:tr>
      <w:tr>
        <w:trPr/>
        <w:tc>
          <w:tcPr>
            <w:tcW w:w="6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Stifel, Nicolaus &amp; Company, Incorporated</w:t>
            </w:r>
          </w:p>
        </w:tc>
        <w:tc>
          <w:tcPr>
            <w:tcW w:w="30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4" w:type="dxa"/>
            <w:tcBorders/>
            <w:shd w:fill="CCEEFF" w:val="clear"/>
            <w:vAlign w:val="bottom"/>
          </w:tcPr>
          <w:p>
            <w:pPr>
              <w:pStyle w:val="TableContents"/>
              <w:bidi w:val="0"/>
              <w:spacing w:before="0" w:after="283"/>
              <w:jc w:val="right"/>
              <w:rPr/>
            </w:pPr>
            <w:r>
              <w:rPr/>
              <w:t>415,347</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32,653</w:t>
            </w:r>
          </w:p>
        </w:tc>
        <w:tc>
          <w:tcPr>
            <w:tcW w:w="63" w:type="dxa"/>
            <w:tcBorders/>
            <w:shd w:fill="CCEEFF" w:val="clear"/>
            <w:vAlign w:val="bottom"/>
          </w:tcPr>
          <w:p>
            <w:pPr>
              <w:pStyle w:val="TableContents"/>
              <w:bidi w:val="0"/>
              <w:spacing w:before="0" w:after="283"/>
              <w:jc w:val="left"/>
              <w:rPr/>
            </w:pPr>
            <w:r>
              <w:rPr/>
              <w:t> </w:t>
            </w:r>
          </w:p>
        </w:tc>
      </w:tr>
      <w:tr>
        <w:trPr/>
        <w:tc>
          <w:tcPr>
            <w:tcW w:w="6596" w:type="dxa"/>
            <w:tcBorders/>
          </w:tcPr>
          <w:p>
            <w:pPr>
              <w:pStyle w:val="TableContents"/>
              <w:bidi w:val="0"/>
              <w:spacing w:before="0" w:after="0"/>
              <w:jc w:val="left"/>
              <w:rPr>
                <w:rFonts w:ascii="Times New Roman" w:hAnsi="Times New Roman"/>
                <w:sz w:val="20"/>
              </w:rPr>
            </w:pPr>
            <w:r>
              <w:rPr>
                <w:rFonts w:ascii="Times New Roman" w:hAnsi="Times New Roman"/>
                <w:sz w:val="20"/>
              </w:rPr>
              <w:t>BMO Capital Markets Corp.</w:t>
            </w:r>
          </w:p>
        </w:tc>
        <w:tc>
          <w:tcPr>
            <w:tcW w:w="30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34" w:type="dxa"/>
            <w:tcBorders/>
            <w:vAlign w:val="bottom"/>
          </w:tcPr>
          <w:p>
            <w:pPr>
              <w:pStyle w:val="TableContents"/>
              <w:bidi w:val="0"/>
              <w:spacing w:before="0" w:after="283"/>
              <w:jc w:val="right"/>
              <w:rPr/>
            </w:pPr>
            <w:r>
              <w:rPr/>
              <w:t>259,592</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20,408</w:t>
            </w:r>
          </w:p>
        </w:tc>
        <w:tc>
          <w:tcPr>
            <w:tcW w:w="63" w:type="dxa"/>
            <w:tcBorders/>
            <w:vAlign w:val="bottom"/>
          </w:tcPr>
          <w:p>
            <w:pPr>
              <w:pStyle w:val="TableContents"/>
              <w:bidi w:val="0"/>
              <w:spacing w:before="0" w:after="283"/>
              <w:jc w:val="left"/>
              <w:rPr/>
            </w:pPr>
            <w:r>
              <w:rPr/>
              <w:t> </w:t>
            </w:r>
          </w:p>
        </w:tc>
      </w:tr>
      <w:tr>
        <w:trPr/>
        <w:tc>
          <w:tcPr>
            <w:tcW w:w="6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Wedbush Securities Inc.</w:t>
            </w:r>
          </w:p>
        </w:tc>
        <w:tc>
          <w:tcPr>
            <w:tcW w:w="30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4" w:type="dxa"/>
            <w:tcBorders/>
            <w:shd w:fill="CCEEFF" w:val="clear"/>
            <w:vAlign w:val="bottom"/>
          </w:tcPr>
          <w:p>
            <w:pPr>
              <w:pStyle w:val="TableContents"/>
              <w:bidi w:val="0"/>
              <w:spacing w:before="0" w:after="283"/>
              <w:jc w:val="right"/>
              <w:rPr/>
            </w:pPr>
            <w:r>
              <w:rPr/>
              <w:t>207,674</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16,326</w:t>
            </w:r>
          </w:p>
        </w:tc>
        <w:tc>
          <w:tcPr>
            <w:tcW w:w="63" w:type="dxa"/>
            <w:tcBorders/>
            <w:shd w:fill="CCEEFF" w:val="clear"/>
            <w:vAlign w:val="bottom"/>
          </w:tcPr>
          <w:p>
            <w:pPr>
              <w:pStyle w:val="TableContents"/>
              <w:bidi w:val="0"/>
              <w:spacing w:before="0" w:after="283"/>
              <w:jc w:val="left"/>
              <w:rPr/>
            </w:pPr>
            <w:r>
              <w:rPr/>
              <w:t> </w:t>
            </w:r>
          </w:p>
        </w:tc>
      </w:tr>
      <w:tr>
        <w:trPr/>
        <w:tc>
          <w:tcPr>
            <w:tcW w:w="6596"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5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59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0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34" w:type="dxa"/>
            <w:tcBorders/>
            <w:vAlign w:val="bottom"/>
          </w:tcPr>
          <w:p>
            <w:pPr>
              <w:pStyle w:val="TableContents"/>
              <w:bidi w:val="0"/>
              <w:spacing w:before="0" w:after="283"/>
              <w:jc w:val="right"/>
              <w:rPr/>
            </w:pPr>
            <w:r>
              <w:rPr/>
              <w:t>2,595,919</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204,081</w:t>
            </w:r>
          </w:p>
        </w:tc>
        <w:tc>
          <w:tcPr>
            <w:tcW w:w="63" w:type="dxa"/>
            <w:tcBorders/>
            <w:vAlign w:val="bottom"/>
          </w:tcPr>
          <w:p>
            <w:pPr>
              <w:pStyle w:val="TableContents"/>
              <w:bidi w:val="0"/>
              <w:spacing w:before="0" w:after="283"/>
              <w:jc w:val="left"/>
              <w:rPr/>
            </w:pPr>
            <w:r>
              <w:rPr/>
              <w:t> </w:t>
            </w:r>
          </w:p>
        </w:tc>
      </w:tr>
      <w:tr>
        <w:trPr/>
        <w:tc>
          <w:tcPr>
            <w:tcW w:w="6596"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double" w:sz="6" w:space="1" w:color="000000"/>
              </w:pBdr>
              <w:bidi w:val="0"/>
              <w:spacing w:before="0" w:after="0"/>
              <w:jc w:val="left"/>
              <w:rPr/>
            </w:pPr>
            <w:r>
              <w:rPr/>
              <w:t> </w:t>
            </w:r>
          </w:p>
        </w:tc>
        <w:tc>
          <w:tcPr>
            <w:tcW w:w="15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17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underwriters and the representatives are collectively referred to as the underwriters and the representatives, respectively. The underwriters are offering the shares of common stock and pre-funded warrants subject to their acceptance of the shares from us and subject to prior sale. The underwriting agreement provides that the obligations of the several underwriters to pay for and accept delivery of the shares of common stock and pre-funded warrants offered by this prospectus supplement are subject to the approval of certain legal matters by their counsel and to certain other conditions precedent. The underwriters are obligated to take and pay for all of the shares of common stock and pre-funded warrants offered by this prospectus supplement if any such shares and pre-funded warrants are taken. However, the underwriters are not required to take or pay for the shares of common stock, including the number of shares underlying the pre-funded warrants covered by the underwriters option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we and the representatives on behalf of the underwriters shall instruct purchasers of the pre-funded warrants in this offering to make payment for such pre-funded warrants on the closing date of this offering to us, in lieu of payment by the underwriters for such pre-funded warrants, and we shall deliver executed pre-funded warrants to such purchaser on the closing date of this offering against such payment, in lieu of our obligation to deliver such pre-funded warrants to the underwriters; provided that, upon receipt by us of payment for the pre-funded warrants, we shall promptly (but in no event later than the closing date of this offering), pay the underwriting fee referred to below to the underwriters. In the event that any purchaser of the pre-funded warrants in this offering fails to make payment to us for all or part of the pre-funded warrants on the closing date of this offering, the representatives on behalf of the underwriters may elect, by written notice to us, to receive shares of common stock in lieu of all or a portion of such pre-funded warrants to be delivered to the underwriters in connection with this offering.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initially propose to offer part of the shares of common stock and pre-funded warrants directly to the public at the offering price listed on the cover page of this prospectus supplement and part to certain dealers at a price that represents a concession not in excess of $1.764 per share of common stock and pre-funded warrants under the public offering price. After the initial offering of the shares of common stock and pre-funded warrants, the offering price and other selling terms may from time to time be varied by the representatives. </w:t>
      </w:r>
    </w:p>
    <w:p>
      <w:pPr>
        <w:pStyle w:val="TextBody"/>
        <w:bidi w:val="0"/>
        <w:spacing w:before="240" w:after="0"/>
        <w:jc w:val="both"/>
        <w:rPr>
          <w:rFonts w:ascii="Times New Roman" w:hAnsi="Times New Roman"/>
          <w:sz w:val="20"/>
        </w:rPr>
      </w:pPr>
      <w:r>
        <w:rPr>
          <w:rFonts w:ascii="Times New Roman" w:hAnsi="Times New Roman"/>
          <w:sz w:val="20"/>
        </w:rPr>
        <w:t xml:space="preserve">We have granted to the underwriters an option, exercisable for 30 days from the date of this prospectus supplement, to purchase up to 420,000 additional shares of common stock at the public offering price listed on the cover page of this prospectus supplement, less underwriting discounts and commissions. The number of shares subject to the underwriters option equals 15% of the total number of shares of common stock plus the number of shares underlying the pre-funded warrants. To the extent the option is exercised, each underwriter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become obligated, subject to certain conditions, to purchase about the same percentage of the additional shares of common stock as the number listed next to the underwriters name in the preceding table bears to the total number of shares of common stock and pre-funded warrants listed next to the names of all underwriters in the preceding table.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shows the per share and pre-funded warrant total public offering price, underwriting discounts and commissions, and proceeds before expenses to us. These amounts are shown assuming both no exercise and full exercise of the underwriters option to purchase up to an additional 420,000 shares of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92"/>
        <w:gridCol w:w="123"/>
        <w:gridCol w:w="319"/>
        <w:gridCol w:w="1382"/>
        <w:gridCol w:w="60"/>
        <w:gridCol w:w="123"/>
        <w:gridCol w:w="200"/>
        <w:gridCol w:w="1158"/>
        <w:gridCol w:w="60"/>
        <w:gridCol w:w="123"/>
        <w:gridCol w:w="140"/>
        <w:gridCol w:w="1669"/>
        <w:gridCol w:w="60"/>
        <w:gridCol w:w="122"/>
        <w:gridCol w:w="140"/>
        <w:gridCol w:w="1669"/>
        <w:gridCol w:w="65"/>
      </w:tblGrid>
      <w:tr>
        <w:trPr/>
        <w:tc>
          <w:tcPr>
            <w:tcW w:w="279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79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0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35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38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279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01" w:type="dxa"/>
            <w:gridSpan w:val="2"/>
            <w:tcBorders>
              <w:bottom w:val="single" w:sz="8" w:space="0" w:color="000000"/>
            </w:tcBorders>
            <w:tcMar>
              <w:bottom w:w="28" w:type="dxa"/>
            </w:tcMar>
            <w:vAlign w:val="bottom"/>
          </w:tcPr>
          <w:p>
            <w:pPr>
              <w:pStyle w:val="TableContents"/>
              <w:bidi w:val="0"/>
              <w:spacing w:before="0" w:after="283"/>
              <w:jc w:val="center"/>
              <w:rPr/>
            </w:pPr>
            <w:r>
              <w:rPr>
                <w:b/>
              </w:rPr>
              <w:t>Per</w:t>
              <w:br/>
              <w:t>Share of</w:t>
            </w:r>
            <w:r>
              <w:rPr/>
              <w:br/>
            </w:r>
            <w:r>
              <w:rPr>
                <w:b/>
              </w:rPr>
              <w:t>Common Stock</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pPr>
            <w:r>
              <w:rPr>
                <w:b/>
              </w:rPr>
              <w:t>Per</w:t>
              <w:br/>
              <w:t>Pre-Funded</w:t>
            </w:r>
            <w:r>
              <w:rPr/>
              <w:br/>
            </w:r>
            <w:r>
              <w:rPr>
                <w:b/>
              </w:rPr>
              <w:t>Warrant</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8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w:t>
              <w:br/>
              <w:t>Exercise</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8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w:t>
              <w:br/>
              <w:t>Exercise</w:t>
            </w:r>
          </w:p>
        </w:tc>
        <w:tc>
          <w:tcPr>
            <w:tcW w:w="65" w:type="dxa"/>
            <w:tcBorders/>
            <w:vAlign w:val="bottom"/>
          </w:tcPr>
          <w:p>
            <w:pPr>
              <w:pStyle w:val="TableContents"/>
              <w:bidi w:val="0"/>
              <w:spacing w:before="0" w:after="283"/>
              <w:jc w:val="left"/>
              <w:rPr/>
            </w:pPr>
            <w:r>
              <w:rPr/>
              <w:t> </w:t>
            </w:r>
          </w:p>
        </w:tc>
      </w:tr>
      <w:tr>
        <w:trPr/>
        <w:tc>
          <w:tcPr>
            <w:tcW w:w="27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123"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w:t>
            </w:r>
          </w:p>
        </w:tc>
        <w:tc>
          <w:tcPr>
            <w:tcW w:w="1382" w:type="dxa"/>
            <w:tcBorders/>
            <w:shd w:fill="CCEEFF" w:val="clear"/>
            <w:vAlign w:val="bottom"/>
          </w:tcPr>
          <w:p>
            <w:pPr>
              <w:pStyle w:val="TableContents"/>
              <w:bidi w:val="0"/>
              <w:spacing w:before="0" w:after="283"/>
              <w:jc w:val="right"/>
              <w:rPr/>
            </w:pPr>
            <w:r>
              <w:rPr/>
              <w:t>49.00</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158" w:type="dxa"/>
            <w:tcBorders/>
            <w:shd w:fill="CCEEFF" w:val="clear"/>
            <w:vAlign w:val="bottom"/>
          </w:tcPr>
          <w:p>
            <w:pPr>
              <w:pStyle w:val="TableContents"/>
              <w:bidi w:val="0"/>
              <w:spacing w:before="0" w:after="283"/>
              <w:jc w:val="right"/>
              <w:rPr/>
            </w:pPr>
            <w:r>
              <w:rPr/>
              <w:t>48.9999</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69" w:type="dxa"/>
            <w:tcBorders/>
            <w:shd w:fill="CCEEFF" w:val="clear"/>
            <w:vAlign w:val="bottom"/>
          </w:tcPr>
          <w:p>
            <w:pPr>
              <w:pStyle w:val="TableContents"/>
              <w:bidi w:val="0"/>
              <w:spacing w:before="0" w:after="283"/>
              <w:jc w:val="right"/>
              <w:rPr/>
            </w:pPr>
            <w:r>
              <w:rPr/>
              <w:t>137,199,979.59</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69" w:type="dxa"/>
            <w:tcBorders/>
            <w:shd w:fill="CCEEFF" w:val="clear"/>
            <w:vAlign w:val="bottom"/>
          </w:tcPr>
          <w:p>
            <w:pPr>
              <w:pStyle w:val="TableContents"/>
              <w:bidi w:val="0"/>
              <w:spacing w:before="0" w:after="283"/>
              <w:jc w:val="right"/>
              <w:rPr/>
            </w:pPr>
            <w:r>
              <w:rPr/>
              <w:t>157,779,979.59</w:t>
            </w:r>
          </w:p>
        </w:tc>
        <w:tc>
          <w:tcPr>
            <w:tcW w:w="65" w:type="dxa"/>
            <w:tcBorders/>
            <w:shd w:fill="CCEEFF" w:val="clear"/>
            <w:vAlign w:val="bottom"/>
          </w:tcPr>
          <w:p>
            <w:pPr>
              <w:pStyle w:val="TableContents"/>
              <w:bidi w:val="0"/>
              <w:spacing w:before="0" w:after="283"/>
              <w:jc w:val="left"/>
              <w:rPr/>
            </w:pPr>
            <w:r>
              <w:rPr/>
              <w:t> </w:t>
            </w:r>
          </w:p>
        </w:tc>
      </w:tr>
      <w:tr>
        <w:trPr/>
        <w:tc>
          <w:tcPr>
            <w:tcW w:w="2792"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to be paid by us:</w:t>
            </w:r>
          </w:p>
        </w:tc>
        <w:tc>
          <w:tcPr>
            <w:tcW w:w="123"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w:t>
            </w:r>
          </w:p>
        </w:tc>
        <w:tc>
          <w:tcPr>
            <w:tcW w:w="1382" w:type="dxa"/>
            <w:tcBorders/>
            <w:vAlign w:val="bottom"/>
          </w:tcPr>
          <w:p>
            <w:pPr>
              <w:pStyle w:val="TableContents"/>
              <w:bidi w:val="0"/>
              <w:spacing w:before="0" w:after="283"/>
              <w:jc w:val="right"/>
              <w:rPr/>
            </w:pPr>
            <w:r>
              <w:rPr/>
              <w:t>2.94</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1158" w:type="dxa"/>
            <w:tcBorders/>
            <w:vAlign w:val="bottom"/>
          </w:tcPr>
          <w:p>
            <w:pPr>
              <w:pStyle w:val="TableContents"/>
              <w:bidi w:val="0"/>
              <w:spacing w:before="0" w:after="283"/>
              <w:jc w:val="right"/>
              <w:rPr/>
            </w:pPr>
            <w:r>
              <w:rPr/>
              <w:t>2.9400</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69" w:type="dxa"/>
            <w:tcBorders/>
            <w:vAlign w:val="bottom"/>
          </w:tcPr>
          <w:p>
            <w:pPr>
              <w:pStyle w:val="TableContents"/>
              <w:bidi w:val="0"/>
              <w:spacing w:before="0" w:after="283"/>
              <w:jc w:val="right"/>
              <w:rPr/>
            </w:pPr>
            <w:r>
              <w:rPr/>
              <w:t>8,232,000.00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69" w:type="dxa"/>
            <w:tcBorders/>
            <w:vAlign w:val="bottom"/>
          </w:tcPr>
          <w:p>
            <w:pPr>
              <w:pStyle w:val="TableContents"/>
              <w:bidi w:val="0"/>
              <w:spacing w:before="0" w:after="283"/>
              <w:jc w:val="right"/>
              <w:rPr/>
            </w:pPr>
            <w:r>
              <w:rPr/>
              <w:t>9,466,800.00</w:t>
            </w:r>
          </w:p>
        </w:tc>
        <w:tc>
          <w:tcPr>
            <w:tcW w:w="65" w:type="dxa"/>
            <w:tcBorders/>
            <w:vAlign w:val="bottom"/>
          </w:tcPr>
          <w:p>
            <w:pPr>
              <w:pStyle w:val="TableContents"/>
              <w:bidi w:val="0"/>
              <w:spacing w:before="0" w:after="283"/>
              <w:jc w:val="left"/>
              <w:rPr/>
            </w:pPr>
            <w:r>
              <w:rPr/>
              <w:t> </w:t>
            </w:r>
          </w:p>
        </w:tc>
      </w:tr>
      <w:tr>
        <w:trPr/>
        <w:tc>
          <w:tcPr>
            <w:tcW w:w="27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123"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w:t>
            </w:r>
          </w:p>
        </w:tc>
        <w:tc>
          <w:tcPr>
            <w:tcW w:w="1382" w:type="dxa"/>
            <w:tcBorders/>
            <w:shd w:fill="CCEEFF" w:val="clear"/>
            <w:vAlign w:val="bottom"/>
          </w:tcPr>
          <w:p>
            <w:pPr>
              <w:pStyle w:val="TableContents"/>
              <w:bidi w:val="0"/>
              <w:spacing w:before="0" w:after="283"/>
              <w:jc w:val="right"/>
              <w:rPr/>
            </w:pPr>
            <w:r>
              <w:rPr/>
              <w:t>46.06</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158" w:type="dxa"/>
            <w:tcBorders/>
            <w:shd w:fill="CCEEFF" w:val="clear"/>
            <w:vAlign w:val="bottom"/>
          </w:tcPr>
          <w:p>
            <w:pPr>
              <w:pStyle w:val="TableContents"/>
              <w:bidi w:val="0"/>
              <w:spacing w:before="0" w:after="283"/>
              <w:jc w:val="right"/>
              <w:rPr/>
            </w:pPr>
            <w:r>
              <w:rPr/>
              <w:t>46.0599</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69" w:type="dxa"/>
            <w:tcBorders/>
            <w:shd w:fill="CCEEFF" w:val="clear"/>
            <w:vAlign w:val="bottom"/>
          </w:tcPr>
          <w:p>
            <w:pPr>
              <w:pStyle w:val="TableContents"/>
              <w:bidi w:val="0"/>
              <w:spacing w:before="0" w:after="283"/>
              <w:jc w:val="right"/>
              <w:rPr/>
            </w:pPr>
            <w:r>
              <w:rPr/>
              <w:t>128,967,979.59</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69" w:type="dxa"/>
            <w:tcBorders/>
            <w:shd w:fill="CCEEFF" w:val="clear"/>
            <w:vAlign w:val="bottom"/>
          </w:tcPr>
          <w:p>
            <w:pPr>
              <w:pStyle w:val="TableContents"/>
              <w:bidi w:val="0"/>
              <w:spacing w:before="0" w:after="283"/>
              <w:jc w:val="right"/>
              <w:rPr/>
            </w:pPr>
            <w:r>
              <w:rPr/>
              <w:t>148,313,179.59</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estimated offering expenses payable by us, exclusive of the underwriting discounts and commissions, are approximately $0.8 million. We have agreed to reimburse the underwriters for expenses relating to the qualification of the securities offered hereby under state securities laws and the clearance of this offering with the Financial Industry Regulatory Authority. </w:t>
      </w:r>
    </w:p>
    <w:p>
      <w:pPr>
        <w:pStyle w:val="TextBody"/>
        <w:bidi w:val="0"/>
        <w:spacing w:before="240" w:after="0"/>
        <w:jc w:val="both"/>
        <w:rPr>
          <w:rFonts w:ascii="Times New Roman" w:hAnsi="Times New Roman"/>
          <w:sz w:val="20"/>
        </w:rPr>
      </w:pPr>
      <w:r>
        <w:rPr>
          <w:rFonts w:ascii="Times New Roman" w:hAnsi="Times New Roman"/>
          <w:sz w:val="20"/>
        </w:rPr>
        <w:t xml:space="preserve">Our common stock is listed on the Nasdaq Global Market under the trading symbol IRON. We do not intend to list the pre-funded warrants on the Nasdaq Global Market, any other nationally recognized securities exchange or any other nationally recognized trading system. </w:t>
      </w:r>
    </w:p>
    <w:p>
      <w:pPr>
        <w:pStyle w:val="TextBody"/>
        <w:bidi w:val="0"/>
        <w:spacing w:before="240" w:after="0"/>
        <w:jc w:val="both"/>
        <w:rPr>
          <w:rFonts w:ascii="Times New Roman" w:hAnsi="Times New Roman"/>
          <w:sz w:val="20"/>
        </w:rPr>
      </w:pPr>
      <w:r>
        <w:rPr>
          <w:rFonts w:ascii="Times New Roman" w:hAnsi="Times New Roman"/>
          <w:sz w:val="20"/>
        </w:rPr>
        <w:t xml:space="preserve">We and all directors and officers and certain stockholders have agreed that, without the prior written consent of the representatives on behalf of the underwriters, we and they will not, and will not publicly disclose an intention to, during the period ending 90 days after the date of this prospectus supplement (the restricted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203"/>
        <w:gridCol w:w="203"/>
        <w:gridCol w:w="9393"/>
      </w:tblGrid>
      <w:tr>
        <w:trPr/>
        <w:tc>
          <w:tcPr>
            <w:tcW w:w="4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subject to the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203"/>
        <w:gridCol w:w="203"/>
        <w:gridCol w:w="9393"/>
      </w:tblGrid>
      <w:tr>
        <w:trPr/>
        <w:tc>
          <w:tcPr>
            <w:tcW w:w="4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file any registration statement with the SEC relating to the offering of any shares of common stock or any securities convertible into or exercisable or exchangeable for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203"/>
        <w:gridCol w:w="203"/>
        <w:gridCol w:w="9393"/>
      </w:tblGrid>
      <w:tr>
        <w:trPr/>
        <w:tc>
          <w:tcPr>
            <w:tcW w:w="4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enter into any swap or other arrangement that transfers to another, in whole or in part, any of the economic consequences of ownership of the common stock subject to the lock-up agreement; </w:t>
            </w:r>
          </w:p>
        </w:tc>
      </w:tr>
    </w:tbl>
    <w:p>
      <w:pPr>
        <w:pStyle w:val="TextBody"/>
        <w:bidi w:val="0"/>
        <w:spacing w:before="240" w:after="0"/>
        <w:jc w:val="both"/>
        <w:rPr>
          <w:rFonts w:ascii="Times New Roman" w:hAnsi="Times New Roman"/>
          <w:sz w:val="20"/>
        </w:rPr>
      </w:pPr>
      <w:r>
        <w:rPr>
          <w:rFonts w:ascii="Times New Roman" w:hAnsi="Times New Roman"/>
          <w:sz w:val="20"/>
        </w:rPr>
        <w:t xml:space="preserve">whether any such transaction described above is to be settled by delivery of common stock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shares of common stock subject to the lock-up agreement or any security convertible into or exercisable or exchangeable for common stock. </w:t>
      </w:r>
    </w:p>
    <w:p>
      <w:pPr>
        <w:pStyle w:val="TextBody"/>
        <w:bidi w:val="0"/>
        <w:spacing w:before="240" w:after="0"/>
        <w:jc w:val="both"/>
        <w:rPr>
          <w:rFonts w:ascii="Times New Roman" w:hAnsi="Times New Roman"/>
          <w:sz w:val="20"/>
        </w:rPr>
      </w:pPr>
      <w:r>
        <w:rPr>
          <w:rFonts w:ascii="Times New Roman" w:hAnsi="Times New Roman"/>
          <w:sz w:val="20"/>
        </w:rPr>
        <w:t xml:space="preserve">In relation to us, the restrictions described above do not apply to: </w:t>
      </w:r>
    </w:p>
    <w:p>
      <w:pPr>
        <w:pStyle w:val="TextBody"/>
        <w:bidi w:val="0"/>
        <w:spacing w:before="240" w:after="0"/>
        <w:jc w:val="both"/>
        <w:rPr>
          <w:rFonts w:ascii="Times New Roman" w:hAnsi="Times New Roman"/>
          <w:sz w:val="20"/>
        </w:rPr>
      </w:pPr>
      <w:r>
        <w:rPr>
          <w:rFonts w:ascii="Times New Roman" w:hAnsi="Times New Roman"/>
          <w:sz w:val="20"/>
        </w:rPr>
        <w:t xml:space="preserve">(a) the shares to be sold under the underwriting agreement (including the shares of common stock issuable upon the exercise of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 the issuance by us of shares of common stock upon the exercise of an option or a warrant or the conversion of a security outstanding on the date of this prospectus supplement in the manner described in this prospectus supplement or the information incorporated by reference herein; </w:t>
      </w:r>
    </w:p>
    <w:p>
      <w:pPr>
        <w:pStyle w:val="TextBody"/>
        <w:bidi w:val="0"/>
        <w:spacing w:before="240" w:after="0"/>
        <w:jc w:val="both"/>
        <w:rPr>
          <w:rFonts w:ascii="Times New Roman" w:hAnsi="Times New Roman"/>
          <w:sz w:val="20"/>
        </w:rPr>
      </w:pPr>
      <w:r>
        <w:rPr>
          <w:rFonts w:ascii="Times New Roman" w:hAnsi="Times New Roman"/>
          <w:sz w:val="20"/>
        </w:rPr>
        <w:t xml:space="preserve">(c) transactions by any person other than us relating to shares of common stock or other securities acquired in open market transactions after the completion of the offering of the shares; provided that no filing under Section 16(a) of the Securities Exchange Act of 1934, as amended (the Exchange Act), is required or voluntarily made in connection with subsequent sales of the common stock or other securities acquired in such open market transactions; </w:t>
      </w:r>
    </w:p>
    <w:p>
      <w:pPr>
        <w:pStyle w:val="TextBody"/>
        <w:bidi w:val="0"/>
        <w:spacing w:before="240" w:after="0"/>
        <w:jc w:val="both"/>
        <w:rPr>
          <w:rFonts w:ascii="Times New Roman" w:hAnsi="Times New Roman"/>
          <w:sz w:val="20"/>
        </w:rPr>
      </w:pPr>
      <w:r>
        <w:rPr>
          <w:rFonts w:ascii="Times New Roman" w:hAnsi="Times New Roman"/>
          <w:sz w:val="20"/>
        </w:rPr>
        <w:t xml:space="preserve">(d) the filing by us of registration statements on Form S-8 with respect to the employee benefit plans described in this prospectus supplement or the documents incorporated by reference herein; </w:t>
      </w:r>
    </w:p>
    <w:p>
      <w:pPr>
        <w:pStyle w:val="TextBody"/>
        <w:bidi w:val="0"/>
        <w:spacing w:before="240" w:after="0"/>
        <w:jc w:val="both"/>
        <w:rPr>
          <w:rFonts w:ascii="Times New Roman" w:hAnsi="Times New Roman"/>
          <w:sz w:val="20"/>
        </w:rPr>
      </w:pPr>
      <w:r>
        <w:rPr>
          <w:rFonts w:ascii="Times New Roman" w:hAnsi="Times New Roman"/>
          <w:sz w:val="20"/>
        </w:rPr>
        <w:t xml:space="preserve">(e) the issuance by us of shares of common stock or options to purchase shares of common stock to our employees, officers, directors, advisors or consultants pursuant to employee benefit plans described in this prospectus supplement or in the information incorporated by reference herein, provided that, prior to the issuance of any such shares or the grant of any such options to any director or executive officer elected or appointed following the date of this prospectus supplement and prior to the end of the Restricted Period, we shall cause each such recipient of such grant or issuance to execute and deliver a lock-up agreement; or </w:t>
      </w:r>
    </w:p>
    <w:p>
      <w:pPr>
        <w:pStyle w:val="TextBody"/>
        <w:bidi w:val="0"/>
        <w:spacing w:before="240" w:after="0"/>
        <w:jc w:val="both"/>
        <w:rPr>
          <w:rFonts w:ascii="Times New Roman" w:hAnsi="Times New Roman"/>
          <w:sz w:val="20"/>
        </w:rPr>
      </w:pPr>
      <w:r>
        <w:rPr>
          <w:rFonts w:ascii="Times New Roman" w:hAnsi="Times New Roman"/>
          <w:sz w:val="20"/>
        </w:rPr>
        <w:t xml:space="preserve">(e) the sale or issuance of or entry into an agreement to sell or issue shares of common stock in connection with our acquisition of one or more businesses, products, assets or technologies (whether by means of merger, stock purchase, asset purchase or otherwise) or in connection with joint ventures, collaboration or licensing agreements, marketing or distribution arrangements, commercial relationships or other strategic transactions; provided, that, the aggregate number of shares of our common stock that we may sell or issue or agree to sell or issue may not exceed 5% of the total number of shares of our common stock issued and outstanding immediately following the completion of the transactions contemplated by the underwriting agreement and provided further that we cause each recipient of such shares to execute and a lock up agreement; </w:t>
      </w:r>
    </w:p>
    <w:p>
      <w:pPr>
        <w:pStyle w:val="TextBody"/>
        <w:bidi w:val="0"/>
        <w:spacing w:before="240" w:after="0"/>
        <w:jc w:val="both"/>
        <w:rPr>
          <w:rFonts w:ascii="Times New Roman" w:hAnsi="Times New Roman"/>
          <w:sz w:val="20"/>
        </w:rPr>
      </w:pPr>
      <w:r>
        <w:rPr>
          <w:rFonts w:ascii="Times New Roman" w:hAnsi="Times New Roman"/>
          <w:sz w:val="20"/>
        </w:rPr>
        <w:t xml:space="preserve">(f) facilitating the establishment of a trading plan on behalf of a shareholder, officer or director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 </w:t>
      </w:r>
    </w:p>
    <w:p>
      <w:pPr>
        <w:pStyle w:val="TextBody"/>
        <w:bidi w:val="0"/>
        <w:spacing w:before="240" w:after="0"/>
        <w:jc w:val="both"/>
        <w:rPr>
          <w:rFonts w:ascii="Times New Roman" w:hAnsi="Times New Roman"/>
          <w:sz w:val="20"/>
        </w:rPr>
      </w:pPr>
      <w:r>
        <w:rPr>
          <w:rFonts w:ascii="Times New Roman" w:hAnsi="Times New Roman"/>
          <w:sz w:val="20"/>
        </w:rPr>
        <w:t xml:space="preserve">In relation to our directors, executive officers and certain shareholders, the restrictions described above do not apply to: </w:t>
      </w:r>
    </w:p>
    <w:p>
      <w:pPr>
        <w:pStyle w:val="TextBody"/>
        <w:bidi w:val="0"/>
        <w:spacing w:before="240" w:after="0"/>
        <w:jc w:val="both"/>
        <w:rPr>
          <w:rFonts w:ascii="Times New Roman" w:hAnsi="Times New Roman"/>
          <w:sz w:val="20"/>
        </w:rPr>
      </w:pPr>
      <w:r>
        <w:rPr>
          <w:rFonts w:ascii="Times New Roman" w:hAnsi="Times New Roman"/>
          <w:sz w:val="20"/>
        </w:rPr>
        <w:t xml:space="preserve">(a) transactions relating to shares of common stock or other securities acquired in this offering or in open market transactions after the completion of this offering, </w:t>
      </w:r>
      <w:r>
        <w:rPr>
          <w:rFonts w:ascii="Times New Roman" w:hAnsi="Times New Roman"/>
          <w:i/>
          <w:sz w:val="20"/>
        </w:rPr>
        <w:t>provided</w:t>
      </w:r>
      <w:r>
        <w:rPr>
          <w:rFonts w:ascii="Times New Roman" w:hAnsi="Times New Roman"/>
          <w:sz w:val="20"/>
        </w:rPr>
        <w:t xml:space="preserve"> that no filing under Section 16(a) of the Exchange Act shall be required or shall be voluntarily made in connection with subsequent sales of common stock or other securities acquired in this offering or in such open market transactions; </w:t>
      </w:r>
    </w:p>
    <w:p>
      <w:pPr>
        <w:pStyle w:val="TextBody"/>
        <w:bidi w:val="0"/>
        <w:spacing w:before="240" w:after="0"/>
        <w:jc w:val="both"/>
        <w:rPr>
          <w:rFonts w:ascii="Times New Roman" w:hAnsi="Times New Roman"/>
          <w:sz w:val="20"/>
        </w:rPr>
      </w:pPr>
      <w:r>
        <w:rPr>
          <w:rFonts w:ascii="Times New Roman" w:hAnsi="Times New Roman"/>
          <w:sz w:val="20"/>
        </w:rPr>
        <w:t xml:space="preserve">(b) transfers of shares of common stock or any security convertible into or exercisable or exchangeable for common stock as a bona fide gift or to a charitable organization or educational institution in a transfer not involving a disposition for value; </w:t>
      </w:r>
    </w:p>
    <w:p>
      <w:pPr>
        <w:pStyle w:val="TextBody"/>
        <w:bidi w:val="0"/>
        <w:spacing w:before="240" w:after="0"/>
        <w:jc w:val="both"/>
        <w:rPr>
          <w:rFonts w:ascii="Times New Roman" w:hAnsi="Times New Roman"/>
          <w:sz w:val="20"/>
        </w:rPr>
      </w:pPr>
      <w:r>
        <w:rPr>
          <w:rFonts w:ascii="Times New Roman" w:hAnsi="Times New Roman"/>
          <w:sz w:val="20"/>
        </w:rPr>
        <w:t xml:space="preserve">(c) transfers or dispositions of shares of common stock or any security convertible into or exercisable or exchangeable for common stock to any immediate family member or any trust for the direct or indirect benefit of any immediate family member in a transaction not involving a disposition for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 distributions of shares of common stock or any security convertible into common stock to general or limited partners, members, beneficiaries or other equityholders, direct or indirect affiliates (as defined in Rule 405 promulgated under the Securities Act of 1933, as amended) or to an investment fund or other entity that controls or manages, or is under common control with certain holders and their affiliates; </w:t>
      </w:r>
    </w:p>
    <w:p>
      <w:pPr>
        <w:pStyle w:val="TextBody"/>
        <w:bidi w:val="0"/>
        <w:spacing w:before="240" w:after="0"/>
        <w:jc w:val="both"/>
        <w:rPr>
          <w:rFonts w:ascii="Times New Roman" w:hAnsi="Times New Roman"/>
          <w:sz w:val="20"/>
        </w:rPr>
      </w:pPr>
      <w:r>
        <w:rPr>
          <w:rFonts w:ascii="Times New Roman" w:hAnsi="Times New Roman"/>
          <w:sz w:val="20"/>
        </w:rPr>
        <w:t xml:space="preserve">(e) transfers or dispositions of shares of common stock or any security convertible into or exercisable or exchangeable for common stock (i) by will, other testamentary document or intestate succession to the legal representative, heir, beneficiary or a member of their immediate family upon their death or (ii) by operation of law pursuant to orders of a court or regulatory agency, in connection with a negotiated divorce settlement or pursuant to a qualified domestic relations order; </w:t>
      </w:r>
    </w:p>
    <w:p>
      <w:pPr>
        <w:pStyle w:val="TextBody"/>
        <w:bidi w:val="0"/>
        <w:spacing w:before="240" w:after="0"/>
        <w:jc w:val="both"/>
        <w:rPr>
          <w:rFonts w:ascii="Times New Roman" w:hAnsi="Times New Roman"/>
          <w:sz w:val="20"/>
        </w:rPr>
      </w:pPr>
      <w:r>
        <w:rPr>
          <w:rFonts w:ascii="Times New Roman" w:hAnsi="Times New Roman"/>
          <w:sz w:val="20"/>
        </w:rPr>
        <w:t xml:space="preserve">(f) transfers or dispositions of shares of common stock or any security convertible into or exercisable or exchangeable for common stock to us pursuant to any contractual arrangement in effect on the date of this agreement and disclosed to the underwriters in writing that provides for the repurchase of common stock or other securities by us or in connection with the termination of employment with or service to us; </w:t>
      </w:r>
      <w:r>
        <w:rPr>
          <w:rFonts w:ascii="Times New Roman" w:hAnsi="Times New Roman"/>
          <w:i/>
          <w:sz w:val="20"/>
        </w:rPr>
        <w:t>provided</w:t>
      </w:r>
      <w:r>
        <w:rPr>
          <w:rFonts w:ascii="Times New Roman" w:hAnsi="Times New Roman"/>
          <w:sz w:val="20"/>
        </w:rPr>
        <w:t xml:space="preserve"> that (i) the repurchase price for any such shares or securities shall not exceed the original purchase price (subject to appropriate adjustment in the event of any stock dividend, stock split, combination or other similar recapitalization) paid and (ii) any filing under Section 16(a) of the Exchange Act reporting a reduction in beneficial ownership of shares of common stock shall indicate by footnote disclosure or otherwise the nature of the transfer or disposition); </w:t>
      </w:r>
    </w:p>
    <w:p>
      <w:pPr>
        <w:pStyle w:val="TextBody"/>
        <w:bidi w:val="0"/>
        <w:spacing w:before="240" w:after="0"/>
        <w:jc w:val="both"/>
        <w:rPr>
          <w:rFonts w:ascii="Times New Roman" w:hAnsi="Times New Roman"/>
          <w:sz w:val="20"/>
        </w:rPr>
      </w:pPr>
      <w:r>
        <w:rPr>
          <w:rFonts w:ascii="Times New Roman" w:hAnsi="Times New Roman"/>
          <w:sz w:val="20"/>
        </w:rPr>
        <w:t xml:space="preserve">(g) transfers or dispositions of shares of common stock or other securities to us in connection with the conversion of any convertible security into, or the exercise of any option or warrant for, shares of common stock (including by way of net or cashless exercise solely to cover withholding tax obligations in connection with such exercise or transfer to us for the payment of taxes as a result of such exercise); </w:t>
      </w:r>
      <w:r>
        <w:rPr>
          <w:rFonts w:ascii="Times New Roman" w:hAnsi="Times New Roman"/>
          <w:i/>
          <w:sz w:val="20"/>
        </w:rPr>
        <w:t>provided</w:t>
      </w:r>
      <w:r>
        <w:rPr>
          <w:rFonts w:ascii="Times New Roman" w:hAnsi="Times New Roman"/>
          <w:sz w:val="20"/>
        </w:rPr>
        <w:t xml:space="preserve"> that (i) such convertible security, option or warrant is described in the prospectus and is outstanding on the date thereof, (ii) any such shares of common stock received by the undersigned shall be subject to the terms of this agreement and (iii) no filing under Section 16(a) of the Exchange Act, reporting a reduction in beneficial ownership of shares of common stock, shall be required or shall be voluntarily made during the restricted period, other than a filing on a Form 4 that reports such disposition under the transaction code F, in which case, the filing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underwriters of the offering; </w:t>
      </w:r>
    </w:p>
    <w:p>
      <w:pPr>
        <w:pStyle w:val="TextBody"/>
        <w:bidi w:val="0"/>
        <w:spacing w:before="240" w:after="0"/>
        <w:jc w:val="both"/>
        <w:rPr>
          <w:rFonts w:ascii="Times New Roman" w:hAnsi="Times New Roman"/>
          <w:sz w:val="20"/>
        </w:rPr>
      </w:pPr>
      <w:r>
        <w:rPr>
          <w:rFonts w:ascii="Times New Roman" w:hAnsi="Times New Roman"/>
          <w:sz w:val="20"/>
        </w:rPr>
        <w:t xml:space="preserve">(h) the establishment of a trading plan on behalf of a stockholder, officer or director pursuant to Rule 10b5-1 under the Exchange Act for the transfer of shares of common stock, </w:t>
      </w:r>
      <w:r>
        <w:rPr>
          <w:rFonts w:ascii="Times New Roman" w:hAnsi="Times New Roman"/>
          <w:i/>
          <w:sz w:val="20"/>
        </w:rPr>
        <w:t>provided</w:t>
      </w:r>
      <w:r>
        <w:rPr>
          <w:rFonts w:ascii="Times New Roman" w:hAnsi="Times New Roman"/>
          <w:sz w:val="20"/>
        </w:rPr>
        <w:t xml:space="preserve"> that (i) such plan does not provide for the transfer of common stock during the restricted period and (ii) to the extent a public announcement or filing under the Exchange Act, if any, is required of or voluntarily made by or on behalf of the undersigned or us regarding the establishment of such plan, such announcement or filing shall include a statement to the effect that no transfer of common stock may be made under such plan during the restricted period; or </w:t>
      </w:r>
    </w:p>
    <w:p>
      <w:pPr>
        <w:pStyle w:val="TextBody"/>
        <w:bidi w:val="0"/>
        <w:spacing w:before="240" w:after="0"/>
        <w:jc w:val="both"/>
        <w:rPr>
          <w:rFonts w:ascii="Times New Roman" w:hAnsi="Times New Roman"/>
          <w:sz w:val="20"/>
        </w:rPr>
      </w:pPr>
      <w:r>
        <w:rPr>
          <w:rFonts w:ascii="Times New Roman" w:hAnsi="Times New Roman"/>
          <w:sz w:val="20"/>
        </w:rPr>
        <w:t xml:space="preserve">(i) transfers of shares of common stock (or any securities convertible into or exercisable or exchangeable for common stock) pursuant to a bona fide third-party tender offer for shares of our capital stock made to all holders of our securities, merger, consolidation or other similar transaction approved by our board of directors and occurring after the closing of this offering, the result of which is that any person (as defined in Section 13(d)(3) of the Exchange Act), or group of persons, other than us, becomes the beneficial owner (as defined in Rules 13d-3 and 13d-5 of the Exchange Act) of more than 50% of the total voting power of our voting stock; </w:t>
      </w:r>
      <w:r>
        <w:rPr>
          <w:rFonts w:ascii="Times New Roman" w:hAnsi="Times New Roman"/>
          <w:i/>
          <w:sz w:val="20"/>
        </w:rPr>
        <w:t>provided</w:t>
      </w:r>
      <w:r>
        <w:rPr>
          <w:rFonts w:ascii="Times New Roman" w:hAnsi="Times New Roman"/>
          <w:sz w:val="20"/>
        </w:rPr>
        <w:t xml:space="preserve"> that in the event that such change of control transaction is not completed, the shares of common stock (or any security convertible into or exercisable or exchangeable for common stock) owned by the stockholder, officer or director shall remain subject to the restrictions contained in the lock-up agreement and title to the such shares shall remain with the applicable stockholder, officer or director;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(j) the sale or transfer of shares of common stock pursuant to a written trading plan pursuant to Rule 10b5-1 under the Exchange Act that has been entered into prior to the date of the lock-up agreement; </w:t>
      </w:r>
      <w:r>
        <w:rPr>
          <w:rFonts w:ascii="Times New Roman" w:hAnsi="Times New Roman"/>
          <w:i/>
          <w:sz w:val="20"/>
        </w:rPr>
        <w:t>provided</w:t>
      </w:r>
      <w:r>
        <w:rPr>
          <w:rFonts w:ascii="Times New Roman" w:hAnsi="Times New Roman"/>
          <w:sz w:val="20"/>
        </w:rPr>
        <w:t xml:space="preserve"> that no amendments or other modifications are made to such plans during the restricted period and that, to the extent a public announcement or filing under the Exchange Act, if any, is required or voluntarily made regarding such sales or transfers, such announcement or filing shall include a statement to the effect that the sale or transfer was made pursuant to a trading plan pursuant to Rule 10b5-1 of the Exchange Act; </w:t>
      </w:r>
    </w:p>
    <w:p>
      <w:pPr>
        <w:pStyle w:val="TextBody"/>
        <w:bidi w:val="0"/>
        <w:spacing w:before="240" w:after="0"/>
        <w:jc w:val="both"/>
        <w:rPr>
          <w:rFonts w:ascii="Times New Roman" w:hAnsi="Times New Roman"/>
          <w:sz w:val="20"/>
        </w:rPr>
      </w:pPr>
      <w:r>
        <w:rPr>
          <w:rFonts w:ascii="Times New Roman" w:hAnsi="Times New Roman"/>
          <w:sz w:val="20"/>
        </w:rPr>
        <w:t xml:space="preserve">provided that in the case of any transfer or distribution pursuant to clause (b), (c), (d) or (e), (i) each transferee, donee or distributee shall sign and deliver a lock-up agreement substantially in the form of the lock-up agreement signed by the transferor, donor or distributor and (ii) no filing under Section 16(a) of the Exchange Act, reporting a reduction in beneficial ownership of shares of common stock, shall be required or shall be voluntarily made during the restricted period (other than, with respect to clause (e) only, any Form 4 or Form 5 required to be filed under the Exchange Act if the undersigned is subject to Section 16 reporting under the Exchange Act due to their relationship with us, in which case any such filing will indicate by footnote disclosure or otherwise the nature of the transfer or disposition). </w:t>
      </w:r>
    </w:p>
    <w:p>
      <w:pPr>
        <w:pStyle w:val="TextBody"/>
        <w:bidi w:val="0"/>
        <w:spacing w:before="240" w:after="0"/>
        <w:jc w:val="both"/>
        <w:rPr>
          <w:rFonts w:ascii="Times New Roman" w:hAnsi="Times New Roman"/>
          <w:sz w:val="20"/>
        </w:rPr>
      </w:pPr>
      <w:r>
        <w:rPr>
          <w:rFonts w:ascii="Times New Roman" w:hAnsi="Times New Roman"/>
          <w:sz w:val="20"/>
        </w:rPr>
        <w:t xml:space="preserve">The representatives, in their sole discretion, may release the common stock and other securities subject to the lock-up agreements described above in whole or in part at any time. </w:t>
      </w:r>
    </w:p>
    <w:p>
      <w:pPr>
        <w:pStyle w:val="TextBody"/>
        <w:bidi w:val="0"/>
        <w:spacing w:before="240" w:after="0"/>
        <w:jc w:val="both"/>
        <w:rPr>
          <w:rFonts w:ascii="Times New Roman" w:hAnsi="Times New Roman"/>
          <w:sz w:val="20"/>
        </w:rPr>
      </w:pPr>
      <w:r>
        <w:rPr>
          <w:rFonts w:ascii="Times New Roman" w:hAnsi="Times New Roman"/>
          <w:sz w:val="20"/>
        </w:rPr>
        <w:t xml:space="preserve">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 </w:t>
      </w:r>
    </w:p>
    <w:p>
      <w:pPr>
        <w:pStyle w:val="TextBody"/>
        <w:bidi w:val="0"/>
        <w:spacing w:before="240" w:after="0"/>
        <w:jc w:val="both"/>
        <w:rPr>
          <w:rFonts w:ascii="Times New Roman" w:hAnsi="Times New Roman"/>
          <w:sz w:val="20"/>
        </w:rPr>
      </w:pPr>
      <w:r>
        <w:rPr>
          <w:rFonts w:ascii="Times New Roman" w:hAnsi="Times New Roman"/>
          <w:sz w:val="20"/>
        </w:rPr>
        <w:t xml:space="preserve">We and the underwriters have agreed to indemnify each other against certain liabilities, including liabilities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For example, we are party to a Sales Agreement with SVB Securities LLC, dated January 25, 2023, relating pursuant to which we may offer and sell shares of our common stock having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aggregate offering price of up to $100,000,000 from time to time through SVB Securities LLC, acting as our sales agent. </w:t>
      </w:r>
    </w:p>
    <w:p>
      <w:pPr>
        <w:pStyle w:val="TextBody"/>
        <w:bidi w:val="0"/>
        <w:spacing w:before="240" w:after="0"/>
        <w:jc w:val="both"/>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before="240" w:after="0"/>
        <w:jc w:val="both"/>
        <w:rPr>
          <w:rFonts w:ascii="Times New Roman" w:hAnsi="Times New Roman"/>
          <w:sz w:val="20"/>
        </w:rPr>
      </w:pPr>
      <w:r>
        <w:rPr>
          <w:rFonts w:ascii="Times New Roman" w:hAnsi="Times New Roman"/>
          <w:sz w:val="20"/>
        </w:rPr>
        <w:t xml:space="preserve">Each of Cantor Fitzgerald &amp; Co. (CF&amp;CO) and LifeSci Capital (LifeSci), FINRA members, are acting as financial advisors in connection with the offering. Neither CF&amp;CO nor LifeSci are acting as an underwriter and neither will sell or offer to sell any securities and will not identify, solicit or engage directly with potential investors. In addition, neither Cantor nor LifeSci will underwrite or purchase any of the offered securities or otherwise participate in any such undertaking.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and pre-funded warrants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shares of common stock or pre-funded warrant shares must be made in accordance with an exemption from, or in a transaction not subject to, the prospectus requirements of applicable securities laws. </w:t>
      </w:r>
    </w:p>
    <w:p>
      <w:pPr>
        <w:pStyle w:val="TextBody"/>
        <w:bidi w:val="0"/>
        <w:spacing w:before="240" w:after="0"/>
        <w:jc w:val="both"/>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both"/>
        <w:rPr>
          <w:rFonts w:ascii="Times New Roman" w:hAnsi="Times New Roman"/>
          <w:sz w:val="20"/>
        </w:rPr>
      </w:pPr>
      <w:r>
        <w:rPr>
          <w:rFonts w:ascii="Times New Roman" w:hAnsi="Times New Roman"/>
          <w:sz w:val="20"/>
        </w:rPr>
        <w:t xml:space="preserve">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both"/>
        <w:rPr>
          <w:rFonts w:ascii="Times New Roman" w:hAnsi="Times New Roman"/>
          <w:sz w:val="20"/>
        </w:rPr>
      </w:pPr>
      <w:r>
        <w:rPr>
          <w:rFonts w:ascii="Times New Roman" w:hAnsi="Times New Roman"/>
          <w:sz w:val="20"/>
        </w:rPr>
        <w:t xml:space="preserve">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underwriter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both"/>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securities shall require us or the underwriter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each of the underwriters and us that it is a qualified investor within the meaning of Article 2(e) of the Prospectus Regulation. </w:t>
      </w:r>
    </w:p>
    <w:p>
      <w:pPr>
        <w:pStyle w:val="TextBody"/>
        <w:bidi w:val="0"/>
        <w:spacing w:before="240" w:after="0"/>
        <w:jc w:val="both"/>
        <w:rPr>
          <w:rFonts w:ascii="Times New Roman" w:hAnsi="Times New Roman"/>
          <w:sz w:val="20"/>
        </w:rPr>
      </w:pPr>
      <w:r>
        <w:rPr>
          <w:rFonts w:ascii="Times New Roman" w:hAnsi="Times New Roman"/>
          <w:sz w:val="20"/>
        </w:rPr>
        <w:t xml:space="preserve">In the case of any securities being offered to a financial intermediary as that term is used in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Member State to qualified investors as so defined or in circumstances in which the prior consent of the representatives has been obtained to each such proposed offer or resale.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both"/>
        <w:rPr>
          <w:rFonts w:ascii="Times New Roman" w:hAnsi="Times New Roman"/>
          <w:sz w:val="20"/>
        </w:rPr>
      </w:pPr>
      <w:r>
        <w:rPr>
          <w:rFonts w:ascii="Times New Roman" w:hAnsi="Times New Roman"/>
          <w:sz w:val="20"/>
        </w:rPr>
        <w:t xml:space="preserve">No securities have been offered or will be offered pursuant to the offering to the public in the United Kingdom prior to the publication of a prospectus in relation to the securities which has been approved by the Financial Conduct Authority in the UK in accordance with the UK Prospectus Regulation and the Financial Services and Markets Act 2000 (FSMA), except that the securities may be offered to the public in the United Kingdom at any time under the following exemptions under the UK Prospectus Regulation and the FSMA: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underwriter for any such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Section 86 of the FSMA, </w:t>
            </w:r>
          </w:p>
        </w:tc>
      </w:tr>
    </w:tbl>
    <w:p>
      <w:pPr>
        <w:pStyle w:val="TextBody"/>
        <w:bidi w:val="0"/>
        <w:spacing w:before="240" w:after="0"/>
        <w:jc w:val="both"/>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securities shall require us or the underwriter to publish a prospectus pursuant to Section 85 of the FSMA or supplement a prospectus pursuant to Article 23 of the UK Prospectus Regulation. Each person in the United Kingdom who acquires any securities in the offering or to whom any offer is made will be deemed to have represented, acknowledged and agreed to and with us and the underwriters that it is a qualified investor within the meaning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 (the UK Prospectus Regulation). </w:t>
      </w:r>
    </w:p>
    <w:p>
      <w:pPr>
        <w:pStyle w:val="TextBody"/>
        <w:bidi w:val="0"/>
        <w:spacing w:before="240" w:after="0"/>
        <w:jc w:val="both"/>
        <w:rPr>
          <w:rFonts w:ascii="Times New Roman" w:hAnsi="Times New Roman"/>
          <w:sz w:val="20"/>
        </w:rPr>
      </w:pPr>
      <w:r>
        <w:rPr>
          <w:rFonts w:ascii="Times New Roman" w:hAnsi="Times New Roman"/>
          <w:sz w:val="20"/>
        </w:rPr>
        <w:t xml:space="preserve">Any invitation or inducement to engage in investment activity (within the meaning of Section 21 of the FSMA) in connection with the issue or sale of any securities may only be communicated or caused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communicated in circumstances in which Section 21(1) of the FSMA does not apply to us. Each purchaser of securities must comply with all applicable provisions of the FSMA and the Financial Services Act 2012 with respect to anything done by it in relation to any securities in, from or otherwise involving the United Kingdom.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supplement is only being distributed to, and is only directed at, persons in the United Kingdom that are qualified investors as defined in the UK Prospectus Regulation that are also (i) investment professionals falling within Article 19(5) of the Financial Services and Markets Act 2000 (Financial Promotion) Order 2005 (as amended, the Order) or (ii) high net worth entities, and other persons to whom it may lawfully be communicated, falling within Article 49(2)(a) to (d) of the Order or (iii) persons to whom an invitation or inducement to engage in investment activity (within the meaning of section 21 of the FSMA) in connection with the issue or sale of any securities may otherwise lawfully be communicated or caused to be communicated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prospectus supplement or any of its contents. </w:t>
      </w:r>
    </w:p>
    <w:p>
      <w:pPr>
        <w:pStyle w:val="TextBody"/>
        <w:bidi w:val="0"/>
        <w:spacing w:before="240" w:after="0"/>
        <w:jc w:val="both"/>
        <w:rPr>
          <w:rFonts w:ascii="Times New Roman" w:hAnsi="Times New Roman"/>
          <w:sz w:val="20"/>
        </w:rPr>
      </w:pPr>
      <w:r>
        <w:rPr>
          <w:rFonts w:ascii="Times New Roman" w:hAnsi="Times New Roman"/>
          <w:sz w:val="20"/>
        </w:rPr>
        <w:t xml:space="preserve">We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us or the underwriters. </w:t>
      </w:r>
    </w:p>
    <w:p>
      <w:pPr>
        <w:pStyle w:val="TextBody"/>
        <w:bidi w:val="0"/>
        <w:spacing w:before="240" w:after="0"/>
        <w:jc w:val="both"/>
        <w:rPr>
          <w:rFonts w:ascii="Times New Roman" w:hAnsi="Times New Roman"/>
          <w:sz w:val="20"/>
        </w:rPr>
      </w:pPr>
      <w:r>
        <w:rPr>
          <w:rFonts w:ascii="Times New Roman" w:hAnsi="Times New Roman"/>
          <w:sz w:val="20"/>
        </w:rPr>
        <w:t xml:space="preserve">Any person in the United Kingdom that is not a relevant person should not act or rely on the information included in this prospectus supplement or use it as basis for taking any action. In the United Kingdom, any investment or investment activity that this prospectus supplement relates to may be made or taken exclusively by relevant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and pre-funded warrant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and pre-funded warrant shares have not been and will not be registered pursuant to Article 4, Paragraph 1 of the Financial Instruments and Exchange Act. Accordingly, none of the shares of common stock or pre-funded warrant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For Qualified Institutional Investors, or QII </w:t>
      </w:r>
    </w:p>
    <w:p>
      <w:pPr>
        <w:pStyle w:val="TextBody"/>
        <w:bidi w:val="0"/>
        <w:spacing w:before="120" w:after="0"/>
        <w:jc w:val="both"/>
        <w:rPr>
          <w:rFonts w:ascii="Times New Roman" w:hAnsi="Times New Roman"/>
          <w:sz w:val="20"/>
        </w:rPr>
      </w:pPr>
      <w:r>
        <w:rPr>
          <w:rFonts w:ascii="Times New Roman" w:hAnsi="Times New Roman"/>
          <w:sz w:val="20"/>
        </w:rPr>
        <w:t xml:space="preserve">Please note that the solicitation for newly-issued or secondary securities (each as described in Paragraph 2, Article 4 of the FIEL) in relation to the shares of common stock and pre-funded warrant shares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and pre-funded warrant shares. The shares of common stock may only be transferred to QIIs.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 Non-QII Investors </w:t>
      </w:r>
    </w:p>
    <w:p>
      <w:pPr>
        <w:pStyle w:val="TextBody"/>
        <w:bidi w:val="0"/>
        <w:spacing w:before="120" w:after="0"/>
        <w:jc w:val="both"/>
        <w:rPr>
          <w:rFonts w:ascii="Times New Roman" w:hAnsi="Times New Roman"/>
          <w:sz w:val="20"/>
        </w:rPr>
      </w:pPr>
      <w:r>
        <w:rPr>
          <w:rFonts w:ascii="Times New Roman" w:hAnsi="Times New Roman"/>
          <w:sz w:val="20"/>
        </w:rPr>
        <w:t xml:space="preserve">Please note that the solicitation for newly-issued or secondary securities (each as described in Paragraph 2, Article 4 of the FIEL) in relation to the shares of common stock and pre-funded warrant shares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and pre-funded warrant shares. The shares of common stock may only be transferred en bloc without subdivision to a single investor.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Securities and Futures Act Production Classification </w:t>
      </w:r>
    </w:p>
    <w:p>
      <w:pPr>
        <w:pStyle w:val="TextBody"/>
        <w:bidi w:val="0"/>
        <w:spacing w:before="120" w:after="0"/>
        <w:jc w:val="both"/>
        <w:rPr>
          <w:rFonts w:ascii="Times New Roman" w:hAnsi="Times New Roman"/>
          <w:sz w:val="20"/>
        </w:rPr>
      </w:pPr>
      <w:r>
        <w:rPr>
          <w:rFonts w:ascii="Times New Roman" w:hAnsi="Times New Roman"/>
          <w:sz w:val="20"/>
        </w:rPr>
        <w:t xml:space="preserve">Solely for the purposes of its obligations pursuant to sections 309B(1)(a) and 309B(1)(c) of the Securities and Futures Act (Chapter 289 of Singapore) (the SFA), we have determined, and hereby notify all relevant persons (as defined in Section 309A of the SFA) that the shares of common stock and pre-funded warrants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and pre-funded warrant shares may not be publicly offered in Switzerland and will not be listed on the SIX Swiss Exchange (SIX) or on any other stock exchange or regulated trading facility in Switzerland. This prospectus supplement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shares of common stock and pre-funded warrant shares or the offering may be publicly distributed or otherwise made publicly available in Switzerland. </w:t>
      </w:r>
    </w:p>
    <w:p>
      <w:pPr>
        <w:pStyle w:val="TextBody"/>
        <w:bidi w:val="0"/>
        <w:spacing w:before="240" w:after="0"/>
        <w:jc w:val="both"/>
        <w:rPr>
          <w:rFonts w:ascii="Times New Roman" w:hAnsi="Times New Roman"/>
          <w:sz w:val="20"/>
        </w:rPr>
      </w:pPr>
      <w:r>
        <w:rPr>
          <w:rFonts w:ascii="Times New Roman" w:hAnsi="Times New Roman"/>
          <w:sz w:val="20"/>
        </w:rPr>
        <w:t xml:space="preserve">Neither this prospectus supplement nor any other offering or marketing material relating to the offering, us, the shares of common stock or the pre-funded warrant shares have been or will be filed with or approved by any Swiss regulatory authority. In particular, this prospectus supplement will not be filed with, and the offer of shares of common stock and pre-funded warrant shares will not be supervised by, the Swiss Financial Market Supervisory Authority, and the offer of these securities has not been and will not be authorized under the Swiss Federal Act on Collective Investment Schemes (CISA). The investor protection afforded to acquirers of interests in collective investment schemes under the CISA does not extend to acquirers of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Dubai International Financial Centre </w:t>
      </w:r>
    </w:p>
    <w:p>
      <w:pPr>
        <w:pStyle w:val="TextBody"/>
        <w:bidi w:val="0"/>
        <w:spacing w:before="120" w:after="0"/>
        <w:jc w:val="both"/>
        <w:rPr>
          <w:rFonts w:ascii="Times New Roman" w:hAnsi="Times New Roman"/>
          <w:sz w:val="20"/>
        </w:rPr>
      </w:pPr>
      <w:r>
        <w:rPr>
          <w:rFonts w:ascii="Times New Roman" w:hAnsi="Times New Roman"/>
          <w:sz w:val="20"/>
        </w:rPr>
        <w:t xml:space="preserve">This prospectus supplement relates to an Exempt Offer in accordance with the Markets Rules 2012 of the Dubai Financial Services Authority, or DFSA. This prospectus supplement is intended for distribution only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 </w:t>
      </w:r>
    </w:p>
    <w:p>
      <w:pPr>
        <w:pStyle w:val="TextBody"/>
        <w:bidi w:val="0"/>
        <w:spacing w:before="240" w:after="0"/>
        <w:jc w:val="both"/>
        <w:rPr>
          <w:rFonts w:ascii="Times New Roman" w:hAnsi="Times New Roman"/>
          <w:sz w:val="20"/>
        </w:rPr>
      </w:pPr>
      <w:r>
        <w:rPr>
          <w:rFonts w:ascii="Times New Roman" w:hAnsi="Times New Roman"/>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both"/>
        <w:rPr>
          <w:rFonts w:ascii="Times New Roman" w:hAnsi="Times New Roman"/>
          <w:sz w:val="20"/>
        </w:rPr>
      </w:pPr>
      <w:r>
        <w:rPr>
          <w:rFonts w:ascii="Times New Roman" w:hAnsi="Times New Roman"/>
          <w:sz w:val="20"/>
        </w:rPr>
        <w:t xml:space="preserve">This prospectus supplement and the accompanying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does not constitute a disclosure document under Chapter 6D.2 of the Corporations Act 2001 (Cth)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or Exempt Investors, available under section 708 of the Corporations Act.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shares of common stock and pre-funded warrant shares may not be directly or indirectly offered for subscription or purchased or sold, and no invitations to subscribe for or buy the shares of common stock or pre-funded warrant shares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 </w:t>
      </w:r>
    </w:p>
    <w:p>
      <w:pPr>
        <w:pStyle w:val="TextBody"/>
        <w:bidi w:val="0"/>
        <w:spacing w:before="240" w:after="0"/>
        <w:jc w:val="both"/>
        <w:rPr>
          <w:rFonts w:ascii="Times New Roman" w:hAnsi="Times New Roman"/>
          <w:sz w:val="20"/>
        </w:rPr>
      </w:pPr>
      <w:r>
        <w:rPr>
          <w:rFonts w:ascii="Times New Roman" w:hAnsi="Times New Roman"/>
          <w:sz w:val="20"/>
        </w:rPr>
        <w:t xml:space="preserve">As any offer of shares of common stock and pre-funded warrant shares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Israel </w:t>
      </w:r>
    </w:p>
    <w:p>
      <w:pPr>
        <w:pStyle w:val="TextBody"/>
        <w:bidi w:val="0"/>
        <w:spacing w:before="120" w:after="0"/>
        <w:jc w:val="both"/>
        <w:rPr>
          <w:rFonts w:ascii="Times New Roman" w:hAnsi="Times New Roman"/>
          <w:sz w:val="20"/>
        </w:rPr>
      </w:pPr>
      <w:r>
        <w:rPr>
          <w:rFonts w:ascii="Times New Roman" w:hAnsi="Times New Roman"/>
          <w:sz w:val="20"/>
        </w:rPr>
        <w:t xml:space="preserve">In the State of Israel this prospectus supplement shall not be regarded as an offer to the public to purchase common shares or pre-funded warrant shares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5728- 1968. We have not and will not distribute this prospectus supplement or make, distribute or direct an offer to subscribe for our common shares or pre-funded warrant shares to any person within the State of Israel, other than to Qualified Investors and up to 35 Addressed Investors. </w:t>
      </w:r>
    </w:p>
    <w:p>
      <w:pPr>
        <w:pStyle w:val="TextBody"/>
        <w:bidi w:val="0"/>
        <w:spacing w:before="240" w:after="0"/>
        <w:jc w:val="both"/>
        <w:rPr>
          <w:rFonts w:ascii="Times New Roman" w:hAnsi="Times New Roman"/>
          <w:sz w:val="20"/>
        </w:rPr>
      </w:pPr>
      <w:r>
        <w:rPr>
          <w:rFonts w:ascii="Times New Roman" w:hAnsi="Times New Roman"/>
          <w:sz w:val="20"/>
        </w:rPr>
        <w:t xml:space="preserve">Qualified Investors may have to submit written evidence that they meet the definitions set out in of the First Addendum to the Israeli Securities Law, 5728-1968. In particular, we may request, as a condition to be offered common shares and pre-funded warrant shares,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shares and pre-funded warrant shares; (iv) that the common shares and pre-funded warrant shares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srom495299_11"/>
      <w:bookmarkEnd w:id="13"/>
      <w:r>
        <w:rPr>
          <w:rFonts w:ascii="Times New Roman" w:hAnsi="Times New Roman"/>
          <w:b/>
          <w:sz w:val="20"/>
        </w:rPr>
        <w:t xml:space="preserve">LEGAL MATTERS </w:t>
      </w:r>
    </w:p>
    <w:p>
      <w:pPr>
        <w:pStyle w:val="TextBody"/>
        <w:bidi w:val="0"/>
        <w:spacing w:before="240" w:after="0"/>
        <w:jc w:val="both"/>
        <w:rPr>
          <w:rFonts w:ascii="Times New Roman" w:hAnsi="Times New Roman"/>
          <w:sz w:val="20"/>
        </w:rPr>
      </w:pPr>
      <w:r>
        <w:rPr>
          <w:rFonts w:ascii="Times New Roman" w:hAnsi="Times New Roman"/>
          <w:sz w:val="20"/>
        </w:rPr>
        <w:t xml:space="preserve">The validity of the shares of common stock and pre-funded warrants offered hereby will be passed upon for us by Goodwin Procter LLP, Boston, Massachusetts. Wilmer Cutler Pickering Hale and Dorr LLP, New York, New York, is acting as counsel to the underwriters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srom495299_12"/>
      <w:bookmarkEnd w:id="14"/>
      <w:r>
        <w:rPr>
          <w:rFonts w:ascii="Times New Roman" w:hAnsi="Times New Roman"/>
          <w:b/>
          <w:sz w:val="20"/>
        </w:rPr>
        <w:t xml:space="preserve">EXPERTS </w:t>
      </w:r>
    </w:p>
    <w:p>
      <w:pPr>
        <w:pStyle w:val="TextBody"/>
        <w:bidi w:val="0"/>
        <w:spacing w:before="240" w:after="0"/>
        <w:jc w:val="both"/>
        <w:rPr>
          <w:rFonts w:ascii="Times New Roman" w:hAnsi="Times New Roman"/>
          <w:sz w:val="20"/>
        </w:rPr>
      </w:pPr>
      <w:r>
        <w:rPr>
          <w:rFonts w:ascii="Times New Roman" w:hAnsi="Times New Roman"/>
          <w:sz w:val="20"/>
        </w:rPr>
        <w:t xml:space="preserve">The consolidated financial statements of Disc Medicine, Inc. appearing in Disc Medicine, Inc.s Annual Report (Form 10-K) for the years ended December 31, 2022 and 2021, have been audited by Ernst &amp; Young LLP, independent registered public accounting firm, as set forth in their report thereon, incorporated by reference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srom495299_13"/>
      <w:bookmarkEnd w:id="15"/>
      <w:r>
        <w:rPr>
          <w:rFonts w:ascii="Times New Roman" w:hAnsi="Times New Roman"/>
          <w:b/>
          <w:sz w:val="20"/>
        </w:rPr>
        <w:t xml:space="preserve">WHERE YOU CAN FIND MORE INFORMATION </w:t>
      </w:r>
    </w:p>
    <w:p>
      <w:pPr>
        <w:pStyle w:val="TextBody"/>
        <w:bidi w:val="0"/>
        <w:spacing w:before="240" w:after="0"/>
        <w:jc w:val="both"/>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and on our investor website at www.discmedicine.com. Information contained on our website is not incorporated by reference into this prospectus supplement or the accompanying prospectus, and you should not consider any information on, or that can be accessed from, our website as part of this prospectus supplement or the accompanying prospectus.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supplement is part of a registration statement that we have filed with the SEC. Certain information in the registration statement has been omitted from this prospectus supplement in accordance with the rules of the SEC. For more detail about us and any securities that may be offered by this prospectus supplement, you may examine the registration statement of which this prospectus supplement forms a part, including its exhibits and schedules. Statements contained in this prospectus supplement and the accompanying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srom495299_14"/>
      <w:bookmarkEnd w:id="16"/>
      <w:r>
        <w:rPr>
          <w:rFonts w:ascii="Times New Roman" w:hAnsi="Times New Roman"/>
          <w:b/>
          <w:sz w:val="20"/>
        </w:rPr>
        <w:t xml:space="preserve">INCORPORATION OF CERTAIN INFORMATION BY REFERENCE </w:t>
      </w:r>
    </w:p>
    <w:p>
      <w:pPr>
        <w:pStyle w:val="TextBody"/>
        <w:bidi w:val="0"/>
        <w:spacing w:before="240" w:after="0"/>
        <w:jc w:val="both"/>
        <w:rPr>
          <w:rFonts w:ascii="Times New Roman" w:hAnsi="Times New Roman"/>
          <w:sz w:val="20"/>
        </w:rPr>
      </w:pPr>
      <w:r>
        <w:rPr>
          <w:rFonts w:ascii="Times New Roman" w:hAnsi="Times New Roman"/>
          <w:sz w:val="20"/>
        </w:rPr>
        <w:t xml:space="preserve">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except as to any portion of any future report or document that is not deemed filed under such provisions until the offering of the securities offered hereby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Annual Report on Form 10-K for the year ended December 31, 2022, filed with the SEC on </w:t>
            </w:r>
            <w:hyperlink r:id="rId4">
              <w:r>
                <w:rPr>
                  <w:rStyle w:val="InternetLink"/>
                  <w:rFonts w:ascii="Times New Roman" w:hAnsi="Times New Roman"/>
                  <w:sz w:val="20"/>
                </w:rPr>
                <w:t>March 31,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rFonts w:ascii="Times New Roman" w:hAnsi="Times New Roman"/>
                <w:sz w:val="20"/>
              </w:rPr>
              <w:t xml:space="preserve">Quarterly Report on Form 10-Q for the quarter ended March 31, 2023, filed with the SEC on </w:t>
            </w:r>
            <w:hyperlink r:id="rId5">
              <w:r>
                <w:rPr>
                  <w:rStyle w:val="InternetLink"/>
                  <w:rFonts w:ascii="Times New Roman" w:hAnsi="Times New Roman"/>
                  <w:sz w:val="20"/>
                </w:rPr>
                <w:t>May 15,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pPr>
            <w:r>
              <w:rPr>
                <w:rFonts w:ascii="Times New Roman" w:hAnsi="Times New Roman"/>
                <w:sz w:val="20"/>
              </w:rPr>
              <w:t xml:space="preserve">Current Reports on Form 8-K, filed with the SEC on </w:t>
            </w:r>
            <w:hyperlink r:id="rId6">
              <w:r>
                <w:rPr>
                  <w:rStyle w:val="InternetLink"/>
                  <w:rFonts w:ascii="Times New Roman" w:hAnsi="Times New Roman"/>
                  <w:sz w:val="20"/>
                </w:rPr>
                <w:t>January 23, 2023</w:t>
              </w:r>
            </w:hyperlink>
            <w:r>
              <w:rPr>
                <w:rFonts w:ascii="Times New Roman" w:hAnsi="Times New Roman"/>
                <w:sz w:val="20"/>
              </w:rPr>
              <w:t xml:space="preserve"> (to the extent the information in such report is filed and not furnished), </w:t>
            </w:r>
            <w:hyperlink r:id="rId7">
              <w:r>
                <w:rPr>
                  <w:rStyle w:val="InternetLink"/>
                  <w:rFonts w:ascii="Times New Roman" w:hAnsi="Times New Roman"/>
                  <w:sz w:val="20"/>
                </w:rPr>
                <w:t>January  25, 2023</w:t>
              </w:r>
            </w:hyperlink>
            <w:r>
              <w:rPr>
                <w:rFonts w:ascii="Times New Roman" w:hAnsi="Times New Roman"/>
                <w:sz w:val="20"/>
              </w:rPr>
              <w:t xml:space="preserve">, </w:t>
            </w:r>
            <w:hyperlink r:id="rId8">
              <w:r>
                <w:rPr>
                  <w:rStyle w:val="InternetLink"/>
                  <w:rFonts w:ascii="Times New Roman" w:hAnsi="Times New Roman"/>
                  <w:sz w:val="20"/>
                </w:rPr>
                <w:t>February  14, 2023</w:t>
              </w:r>
            </w:hyperlink>
            <w:r>
              <w:rPr>
                <w:rFonts w:ascii="Times New Roman" w:hAnsi="Times New Roman"/>
                <w:sz w:val="20"/>
              </w:rPr>
              <w:t xml:space="preserve"> (to the extent the information in such report is filed and not furnished), </w:t>
            </w:r>
            <w:hyperlink r:id="rId9">
              <w:r>
                <w:rPr>
                  <w:rStyle w:val="InternetLink"/>
                  <w:rFonts w:ascii="Times New Roman" w:hAnsi="Times New Roman"/>
                  <w:sz w:val="20"/>
                </w:rPr>
                <w:t>March 31, 2023</w:t>
              </w:r>
            </w:hyperlink>
            <w:r>
              <w:rPr>
                <w:rFonts w:ascii="Times New Roman" w:hAnsi="Times New Roman"/>
                <w:sz w:val="20"/>
              </w:rPr>
              <w:t xml:space="preserve"> (to the extent the information in such report is filed and not furnished), </w:t>
            </w:r>
            <w:hyperlink r:id="rId10">
              <w:r>
                <w:rPr>
                  <w:rStyle w:val="InternetLink"/>
                  <w:rFonts w:ascii="Times New Roman" w:hAnsi="Times New Roman"/>
                  <w:sz w:val="20"/>
                </w:rPr>
                <w:t>April  19, 2023</w:t>
              </w:r>
            </w:hyperlink>
            <w:r>
              <w:rPr>
                <w:rFonts w:ascii="Times New Roman" w:hAnsi="Times New Roman"/>
                <w:sz w:val="20"/>
              </w:rPr>
              <w:t xml:space="preserve">, </w:t>
            </w:r>
            <w:hyperlink r:id="rId11">
              <w:r>
                <w:rPr>
                  <w:rStyle w:val="InternetLink"/>
                  <w:rFonts w:ascii="Times New Roman" w:hAnsi="Times New Roman"/>
                  <w:sz w:val="20"/>
                </w:rPr>
                <w:t>June  9, 2023</w:t>
              </w:r>
            </w:hyperlink>
            <w:r>
              <w:rPr>
                <w:rFonts w:ascii="Times New Roman" w:hAnsi="Times New Roman"/>
                <w:sz w:val="20"/>
              </w:rPr>
              <w:t xml:space="preserve"> (to the extent the information in such report is filed not furnished), </w:t>
            </w:r>
            <w:hyperlink r:id="rId12">
              <w:r>
                <w:rPr>
                  <w:rStyle w:val="InternetLink"/>
                  <w:rFonts w:ascii="Times New Roman" w:hAnsi="Times New Roman"/>
                  <w:sz w:val="20"/>
                </w:rPr>
                <w:t>June  9, 2023</w:t>
              </w:r>
            </w:hyperlink>
            <w:r>
              <w:rPr>
                <w:rFonts w:ascii="Times New Roman" w:hAnsi="Times New Roman"/>
                <w:sz w:val="20"/>
              </w:rPr>
              <w:t xml:space="preserve"> and </w:t>
            </w:r>
            <w:hyperlink r:id="rId13">
              <w:r>
                <w:rPr>
                  <w:rStyle w:val="InternetLink"/>
                  <w:rFonts w:ascii="Times New Roman" w:hAnsi="Times New Roman"/>
                  <w:sz w:val="20"/>
                </w:rPr>
                <w:t>June 12,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The information included in our Definitive Proxy Statement on Schedule 14A, filed with the SEC on </w:t>
            </w:r>
            <w:hyperlink r:id="rId14">
              <w:r>
                <w:rPr>
                  <w:rStyle w:val="InternetLink"/>
                  <w:rFonts w:ascii="Times New Roman" w:hAnsi="Times New Roman"/>
                  <w:sz w:val="20"/>
                </w:rPr>
                <w:t>April 20, 2023</w:t>
              </w:r>
            </w:hyperlink>
            <w:r>
              <w:rPr>
                <w:rFonts w:ascii="Times New Roman" w:hAnsi="Times New Roman"/>
                <w:sz w:val="20"/>
              </w:rPr>
              <w:t xml:space="preserve">, to the extent incorporated by reference into Part III of the Annual Report on Form 10-K for the fiscal year ended </w:t>
            </w:r>
            <w:r>
              <w:fldChar w:fldCharType="begin"/>
            </w:r>
            <w:r>
              <w:rPr>
                <w:rStyle w:val="InternetLink"/>
                <w:sz w:val="20"/>
                <w:rFonts w:ascii="Times New Roman" w:hAnsi="Times New Roman"/>
              </w:rPr>
              <w:instrText xml:space="preserve"> HYPERLINK "http://www.sec.gov/Archives/edgar/data/../../../ix?doc=/Archives/edgar/data/1816736/000095017023011139/iron-20221231.htm" \l "part_iii"</w:instrText>
            </w:r>
            <w:r>
              <w:rPr>
                <w:rStyle w:val="InternetLink"/>
                <w:sz w:val="20"/>
                <w:rFonts w:ascii="Times New Roman" w:hAnsi="Times New Roman"/>
              </w:rPr>
              <w:fldChar w:fldCharType="separate"/>
            </w:r>
            <w:r>
              <w:rPr>
                <w:rStyle w:val="InternetLink"/>
                <w:rFonts w:ascii="Times New Roman" w:hAnsi="Times New Roman"/>
                <w:sz w:val="20"/>
              </w:rPr>
              <w:t>December 31, 2022</w:t>
            </w:r>
            <w:r>
              <w:rPr>
                <w:rStyle w:val="InternetLink"/>
                <w:sz w:val="20"/>
                <w:rFonts w:ascii="Times New Roman" w:hAnsi="Times New Roman"/>
              </w:rPr>
              <w:fldChar w:fldCharType="end"/>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rFonts w:ascii="Times New Roman" w:hAnsi="Times New Roman"/>
                <w:sz w:val="20"/>
              </w:rPr>
              <w:t xml:space="preserve">The description of our common stock contained in our Registration Statement on Form 8-A filed with the SEC on </w:t>
            </w:r>
            <w:hyperlink r:id="rId15">
              <w:r>
                <w:rPr>
                  <w:rStyle w:val="InternetLink"/>
                  <w:rFonts w:ascii="Times New Roman" w:hAnsi="Times New Roman"/>
                  <w:sz w:val="20"/>
                </w:rPr>
                <w:t>August 10, 2020</w:t>
              </w:r>
            </w:hyperlink>
            <w:r>
              <w:rPr>
                <w:rFonts w:ascii="Times New Roman" w:hAnsi="Times New Roman"/>
                <w:sz w:val="20"/>
              </w:rPr>
              <w:t xml:space="preserve">, and as set forth by the description of our common stock set forth in Exhibit 4.4 to our Annual Report on Form 10-K for the year ended December  31, 2021, filed with the SEC on </w:t>
            </w:r>
            <w:hyperlink r:id="rId16">
              <w:r>
                <w:rPr>
                  <w:rStyle w:val="InternetLink"/>
                  <w:rFonts w:ascii="Times New Roman" w:hAnsi="Times New Roman"/>
                  <w:sz w:val="20"/>
                </w:rPr>
                <w:t>March 10, 2022</w:t>
              </w:r>
            </w:hyperlink>
            <w:r>
              <w:rPr>
                <w:rFonts w:ascii="Times New Roman" w:hAnsi="Times New Roman"/>
                <w:sz w:val="20"/>
              </w:rPr>
              <w:t xml:space="preserve">, and as further supplemented by the description of our common stock set forth in our Registration Statement on Form S-4/A, filed with the SEC on </w:t>
            </w:r>
            <w:hyperlink r:id="rId17">
              <w:r>
                <w:rPr>
                  <w:rStyle w:val="InternetLink"/>
                  <w:rFonts w:ascii="Times New Roman" w:hAnsi="Times New Roman"/>
                  <w:sz w:val="20"/>
                </w:rPr>
                <w:t>December 1, 2022</w:t>
              </w:r>
            </w:hyperlink>
            <w:r>
              <w:rPr>
                <w:rFonts w:ascii="Times New Roman" w:hAnsi="Times New Roman"/>
                <w:sz w:val="20"/>
              </w:rPr>
              <w:t xml:space="preserve">, including any amendments or reports filed for the purpose of updating such description.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You may request a copy of these filings,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Disc Medicine, Inc. </w:t>
      </w:r>
    </w:p>
    <w:p>
      <w:pPr>
        <w:pStyle w:val="TextBody"/>
        <w:bidi w:val="0"/>
        <w:spacing w:before="0" w:after="0"/>
        <w:jc w:val="center"/>
        <w:rPr>
          <w:rFonts w:ascii="Times New Roman" w:hAnsi="Times New Roman"/>
          <w:sz w:val="20"/>
        </w:rPr>
      </w:pPr>
      <w:r>
        <w:rPr>
          <w:rFonts w:ascii="Times New Roman" w:hAnsi="Times New Roman"/>
          <w:sz w:val="20"/>
        </w:rPr>
        <w:t xml:space="preserve">321 Arsenal Street, Suite 101 </w:t>
      </w:r>
    </w:p>
    <w:p>
      <w:pPr>
        <w:pStyle w:val="TextBody"/>
        <w:bidi w:val="0"/>
        <w:spacing w:before="0" w:after="0"/>
        <w:jc w:val="center"/>
        <w:rPr>
          <w:rFonts w:ascii="Times New Roman" w:hAnsi="Times New Roman"/>
          <w:sz w:val="20"/>
        </w:rPr>
      </w:pPr>
      <w:r>
        <w:rPr>
          <w:rFonts w:ascii="Times New Roman" w:hAnsi="Times New Roman"/>
          <w:sz w:val="20"/>
        </w:rPr>
        <w:t xml:space="preserve">Watertown, MA 02472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(617) 674-9274 </w:t>
      </w:r>
    </w:p>
    <w:p>
      <w:pPr>
        <w:pStyle w:val="TextBody"/>
        <w:bidi w:val="0"/>
        <w:spacing w:before="240" w:after="0"/>
        <w:jc w:val="both"/>
        <w:rPr>
          <w:rFonts w:ascii="Times New Roman" w:hAnsi="Times New Roman"/>
          <w:sz w:val="20"/>
        </w:rPr>
      </w:pPr>
      <w:r>
        <w:rPr>
          <w:rFonts w:ascii="Times New Roman" w:hAnsi="Times New Roman"/>
          <w:sz w:val="20"/>
        </w:rPr>
        <w:t xml:space="preserve">You may also access these documents, free of charge on the SECs website at </w:t>
      </w:r>
      <w:r>
        <w:rPr>
          <w:rFonts w:ascii="Times New Roman" w:hAnsi="Times New Roman"/>
          <w:i/>
          <w:sz w:val="20"/>
        </w:rPr>
        <w:t>www.sec.gov</w:t>
      </w:r>
      <w:r>
        <w:rPr>
          <w:rFonts w:ascii="Times New Roman" w:hAnsi="Times New Roman"/>
          <w:sz w:val="20"/>
        </w:rPr>
        <w:t xml:space="preserve"> or on our website at </w:t>
      </w:r>
      <w:r>
        <w:rPr>
          <w:rFonts w:ascii="Times New Roman" w:hAnsi="Times New Roman"/>
          <w:i/>
          <w:sz w:val="20"/>
        </w:rPr>
        <w:t>www.discmedicine.com</w:t>
      </w:r>
      <w:r>
        <w:rPr>
          <w:rFonts w:ascii="Times New Roman" w:hAnsi="Times New Roman"/>
          <w:sz w:val="20"/>
        </w:rPr>
        <w:t xml:space="preserve">. Information contained on our website is not incorporated by reference into this prospectus supplement or the accompanying prospectus, and you should not consider any information on, or that can be accessed from, our website as part of this prospectus supplement or the accompanying prospectus.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15925" cy="666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18"/>
                    <a:stretch>
                      <a:fillRect/>
                    </a:stretch>
                  </pic:blipFill>
                  <pic:spPr bwMode="auto">
                    <a:xfrm>
                      <a:off x="0" y="0"/>
                      <a:ext cx="415925" cy="666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$300,000,000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offer and sell up to $300,000,000 in aggregate principal amount of our Common Stock, Preferred Stock, Debt Securities, Warrants or Units, in each case in one or more issuances and at prices and on terms that we will determine at the time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IRON. On January 13, 2023, the closing price of our common stock, as reported on The Nasdaq Global Market, was $19.25 per share. </w:t>
      </w:r>
    </w:p>
    <w:p>
      <w:pPr>
        <w:pStyle w:val="TextBody"/>
        <w:bidi w:val="0"/>
        <w:spacing w:before="360" w:after="0"/>
        <w:jc w:val="left"/>
        <w:rPr/>
      </w:pPr>
      <w:r>
        <w:rPr>
          <w:rFonts w:ascii="Times New Roman" w:hAnsi="Times New Roman"/>
          <w:b/>
          <w:sz w:val="24"/>
        </w:rPr>
        <w:t>Investing in our securities involves risks. You should review carefully the risks and uncertainties described under the heading </w:t>
      </w:r>
      <w:hyperlink w:anchor="toc495299_6">
        <w:r>
          <w:rPr>
            <w:rStyle w:val="InternetLink"/>
            <w:rFonts w:ascii="Times New Roman" w:hAnsi="Times New Roman"/>
            <w:b/>
            <w:i/>
            <w:sz w:val="24"/>
          </w:rPr>
          <w:t>Risk Factors</w:t>
        </w:r>
      </w:hyperlink>
      <w:r>
        <w:rPr>
          <w:rFonts w:ascii="Times New Roman" w:hAnsi="Times New Roman"/>
          <w:b/>
          <w:sz w:val="24"/>
        </w:rPr>
        <w:t> on page 10 of this prospectus and under any similar heading in the documents that are incorporated by reference into this prospectus, as well as </w:t>
      </w:r>
      <w:r>
        <w:rPr>
          <w:rFonts w:ascii="Times New Roman" w:hAnsi="Times New Roman"/>
          <w:b/>
          <w:i/>
          <w:sz w:val="24"/>
        </w:rPr>
        <w:t>Special Note Regarding Forward-Looking Statements</w:t>
      </w:r>
      <w:r>
        <w:rPr>
          <w:rFonts w:ascii="Times New Roman" w:hAnsi="Times New Roman"/>
          <w:b/>
          <w:sz w:val="24"/>
        </w:rPr>
        <w:t xml:space="preserve"> on page 4 of this prospectus. You should read the entire prospectus and any applicable prospectus supplement carefully before you make your investment decision. </w:t>
      </w:r>
    </w:p>
    <w:p>
      <w:pPr>
        <w:pStyle w:val="TextBody"/>
        <w:bidi w:val="0"/>
        <w:spacing w:before="240" w:after="0"/>
        <w:jc w:val="left"/>
        <w:rPr>
          <w:rFonts w:ascii="Times New Roman" w:hAnsi="Times New Roman"/>
          <w:sz w:val="20"/>
        </w:rPr>
      </w:pPr>
      <w:r>
        <w:rPr>
          <w:rFonts w:ascii="Times New Roman" w:hAnsi="Times New Roman"/>
          <w:sz w:val="20"/>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hAnsi="Times New Roman"/>
          <w:i/>
          <w:sz w:val="20"/>
        </w:rPr>
        <w:t>Plan of Distribution</w:t>
      </w:r>
      <w:r>
        <w:rPr>
          <w:rFonts w:ascii="Times New Roman" w:hAnsi="Times New Roman"/>
          <w:sz w:val="20"/>
        </w:rPr>
        <w:t xml:space="preserve"> in this prospectus. We will also describe in an applicable prospectus supplement the way(s) in which we expect to use the net proceeds we receive from any sale.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offer or sell any securities unless accompanied by a prospectus supplement.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January 24,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10"/>
        <w:gridCol w:w="342"/>
        <w:gridCol w:w="90"/>
        <w:gridCol w:w="400"/>
        <w:gridCol w:w="63"/>
      </w:tblGrid>
      <w:tr>
        <w:trPr/>
        <w:tc>
          <w:tcPr>
            <w:tcW w:w="9310"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1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490" w:type="dxa"/>
            <w:gridSpan w:val="2"/>
            <w:tcBorders/>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3">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5">
              <w:r>
                <w:rPr>
                  <w:rStyle w:val="InternetLink"/>
                  <w:rFonts w:ascii="Times New Roman" w:hAnsi="Times New Roman"/>
                  <w:sz w:val="20"/>
                </w:rPr>
                <w:t>ABOUT THE COMPANY</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7">
              <w:r>
                <w:rPr>
                  <w:rStyle w:val="InternetLink"/>
                  <w:rFonts w:ascii="Times New Roman" w:hAnsi="Times New Roman"/>
                  <w:sz w:val="20"/>
                </w:rPr>
                <w:t>SELECTED FINANCIAL DATA</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8">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9">
              <w:r>
                <w:rPr>
                  <w:rStyle w:val="InternetLink"/>
                  <w:rFonts w:ascii="Times New Roman" w:hAnsi="Times New Roman"/>
                  <w:sz w:val="20"/>
                </w:rPr>
                <w:t>DIVIDEND POLICY</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10">
              <w:r>
                <w:rPr>
                  <w:rStyle w:val="InternetLink"/>
                  <w:rFonts w:ascii="Times New Roman" w:hAnsi="Times New Roman"/>
                  <w:sz w:val="20"/>
                </w:rPr>
                <w:t>GENERAL DESCRIPTION OF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11">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12">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13">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14">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15">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16">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495299_17">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 </w:t>
      </w:r>
    </w:p>
    <w:p>
      <w:pPr>
        <w:pStyle w:val="TextBody"/>
        <w:bidi w:val="0"/>
        <w:spacing w:before="240" w:after="0"/>
        <w:jc w:val="left"/>
        <w:rPr>
          <w:rFonts w:ascii="Times New Roman" w:hAnsi="Times New Roman"/>
          <w:b/>
          <w:sz w:val="20"/>
        </w:rPr>
      </w:pPr>
      <w:r>
        <w:rPr>
          <w:rFonts w:ascii="Times New Roman" w:hAnsi="Times New Roman"/>
          <w:b/>
          <w:sz w:val="20"/>
        </w:rPr>
        <w:t xml:space="preserve">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oc495299_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have filed with the Securities and Exchange Commission, or the SEC, using a shelf registration process. </w:t>
      </w:r>
    </w:p>
    <w:p>
      <w:pPr>
        <w:pStyle w:val="TextBody"/>
        <w:bidi w:val="0"/>
        <w:spacing w:before="240" w:after="0"/>
        <w:jc w:val="left"/>
        <w:rPr>
          <w:rFonts w:ascii="Times New Roman" w:hAnsi="Times New Roman"/>
          <w:sz w:val="20"/>
        </w:rPr>
      </w:pPr>
      <w:r>
        <w:rPr>
          <w:rFonts w:ascii="Times New Roman" w:hAnsi="Times New Roman"/>
          <w:sz w:val="20"/>
        </w:rPr>
        <w:t xml:space="preserve">Under this process, we may sell the securities described in this prospectus in one or more offerings for an aggregate offering amount of up to $300,000,000.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This prospectus, together with any accompanying prospectus supplement together with any additional information incorporated by reference,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Times New Roman" w:hAnsi="Times New Roman"/>
          <w:i/>
          <w:sz w:val="20"/>
        </w:rPr>
        <w:t xml:space="preserve">Where You Can Find More Information </w:t>
      </w:r>
      <w:r>
        <w:rPr>
          <w:rFonts w:ascii="Times New Roman" w:hAnsi="Times New Roman"/>
          <w:sz w:val="20"/>
        </w:rPr>
        <w:t>and </w:t>
      </w:r>
      <w:r>
        <w:rPr>
          <w:rFonts w:ascii="Times New Roman" w:hAnsi="Times New Roman"/>
          <w:i/>
          <w:sz w:val="20"/>
        </w:rPr>
        <w:t>Incorporation of Certain Information by Reference</w:t>
      </w:r>
      <w:r>
        <w:rPr>
          <w:rFonts w:ascii="Times New Roman" w:hAnsi="Times New Roman"/>
          <w:sz w:val="20"/>
        </w:rPr>
        <w:t xml:space="preserve"> in both this prospectus and the applicable prospectus supplement, and in 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 </w:t>
      </w:r>
    </w:p>
    <w:p>
      <w:pPr>
        <w:pStyle w:val="TextBody"/>
        <w:bidi w:val="0"/>
        <w:spacing w:before="480" w:after="0"/>
        <w:jc w:val="center"/>
        <w:rPr>
          <w:rFonts w:ascii="Times New Roman" w:hAnsi="Times New Roman"/>
          <w:b/>
          <w:sz w:val="20"/>
        </w:rPr>
      </w:pPr>
      <w:bookmarkStart w:id="18" w:name="toc495299_2"/>
      <w:bookmarkEnd w:id="1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under the Securities Act of 1933, as amended, or the Securities Act, with respect to the securities offered by this prospectus and any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make these documents available on our website at </w:t>
      </w:r>
      <w:r>
        <w:rPr>
          <w:rFonts w:ascii="Times New Roman" w:hAnsi="Times New Roman"/>
          <w:i/>
          <w:sz w:val="20"/>
        </w:rPr>
        <w:t>www.discmedicine.com</w:t>
      </w:r>
      <w:r>
        <w:rPr>
          <w:rFonts w:ascii="Times New Roman" w:hAnsi="Times New Roman"/>
          <w:sz w:val="20"/>
        </w:rPr>
        <w:t xml:space="preserve">. Our website and the information contained or connected to our website is not incorporated by reference in this prospectus or any prospectus supplement, and you should not consider it part of this prospectus or any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oc495299_3"/>
      <w:bookmarkEnd w:id="19"/>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Form 10-K for the fiscal year ended December 31, 2021, filed with the SEC on </w:t>
            </w:r>
            <w:hyperlink r:id="rId19">
              <w:r>
                <w:rPr>
                  <w:rStyle w:val="InternetLink"/>
                  <w:rFonts w:ascii="Times New Roman" w:hAnsi="Times New Roman"/>
                  <w:sz w:val="20"/>
                </w:rPr>
                <w:t>March 10, 2022</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quarters ended March 31, 2022, June 30, 2022 and September 30, 2022, filed with the SEC on </w:t>
            </w:r>
            <w:hyperlink r:id="rId20">
              <w:r>
                <w:rPr>
                  <w:rStyle w:val="InternetLink"/>
                  <w:rFonts w:ascii="Times New Roman" w:hAnsi="Times New Roman"/>
                  <w:sz w:val="20"/>
                </w:rPr>
                <w:t>May  6, 2022</w:t>
              </w:r>
            </w:hyperlink>
            <w:r>
              <w:rPr>
                <w:rFonts w:ascii="Times New Roman" w:hAnsi="Times New Roman"/>
                <w:sz w:val="20"/>
                <w:u w:val="single"/>
              </w:rPr>
              <w:t>,</w:t>
            </w:r>
            <w:r>
              <w:rPr>
                <w:rFonts w:ascii="Times New Roman" w:hAnsi="Times New Roman"/>
                <w:sz w:val="20"/>
              </w:rPr>
              <w:t xml:space="preserve"> </w:t>
            </w:r>
            <w:hyperlink r:id="rId21">
              <w:r>
                <w:rPr>
                  <w:rStyle w:val="InternetLink"/>
                  <w:rFonts w:ascii="Times New Roman" w:hAnsi="Times New Roman"/>
                  <w:sz w:val="20"/>
                </w:rPr>
                <w:t>August  11, 2022</w:t>
              </w:r>
            </w:hyperlink>
            <w:r>
              <w:rPr>
                <w:rFonts w:ascii="Times New Roman" w:hAnsi="Times New Roman"/>
                <w:sz w:val="20"/>
              </w:rPr>
              <w:t xml:space="preserve">, and </w:t>
            </w:r>
            <w:hyperlink r:id="rId22">
              <w:r>
                <w:rPr>
                  <w:rStyle w:val="InternetLink"/>
                  <w:rFonts w:ascii="Times New Roman" w:hAnsi="Times New Roman"/>
                  <w:sz w:val="20"/>
                </w:rPr>
                <w:t>November 11, 2022</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23">
              <w:r>
                <w:rPr>
                  <w:rStyle w:val="InternetLink"/>
                  <w:rFonts w:ascii="Times New Roman" w:hAnsi="Times New Roman"/>
                  <w:sz w:val="20"/>
                </w:rPr>
                <w:t>January 10, 2022</w:t>
              </w:r>
            </w:hyperlink>
            <w:r>
              <w:rPr>
                <w:rFonts w:ascii="Times New Roman" w:hAnsi="Times New Roman"/>
                <w:sz w:val="20"/>
              </w:rPr>
              <w:t xml:space="preserve"> (excluding information furnished pursuant to Item 7.01), </w:t>
            </w:r>
            <w:hyperlink r:id="rId24">
              <w:r>
                <w:rPr>
                  <w:rStyle w:val="InternetLink"/>
                  <w:rFonts w:ascii="Times New Roman" w:hAnsi="Times New Roman"/>
                  <w:sz w:val="20"/>
                </w:rPr>
                <w:t>January  14, 2022</w:t>
              </w:r>
            </w:hyperlink>
            <w:r>
              <w:rPr>
                <w:rFonts w:ascii="Times New Roman" w:hAnsi="Times New Roman"/>
                <w:sz w:val="20"/>
              </w:rPr>
              <w:t xml:space="preserve">, </w:t>
            </w:r>
            <w:hyperlink r:id="rId25">
              <w:r>
                <w:rPr>
                  <w:rStyle w:val="InternetLink"/>
                  <w:rFonts w:ascii="Times New Roman" w:hAnsi="Times New Roman"/>
                  <w:sz w:val="20"/>
                </w:rPr>
                <w:t>February  28, 2022</w:t>
              </w:r>
            </w:hyperlink>
            <w:r>
              <w:rPr>
                <w:rFonts w:ascii="Times New Roman" w:hAnsi="Times New Roman"/>
                <w:sz w:val="20"/>
              </w:rPr>
              <w:t xml:space="preserve"> (excluding information furnished pursuant to Item 7.01), </w:t>
            </w:r>
            <w:hyperlink r:id="rId26">
              <w:r>
                <w:rPr>
                  <w:rStyle w:val="InternetLink"/>
                  <w:rFonts w:ascii="Times New Roman" w:hAnsi="Times New Roman"/>
                  <w:sz w:val="20"/>
                </w:rPr>
                <w:t>April  5, 2022</w:t>
              </w:r>
            </w:hyperlink>
            <w:r>
              <w:rPr>
                <w:rFonts w:ascii="Times New Roman" w:hAnsi="Times New Roman"/>
                <w:sz w:val="20"/>
              </w:rPr>
              <w:t xml:space="preserve">, </w:t>
            </w:r>
            <w:hyperlink r:id="rId27">
              <w:r>
                <w:rPr>
                  <w:rStyle w:val="InternetLink"/>
                  <w:rFonts w:ascii="Times New Roman" w:hAnsi="Times New Roman"/>
                  <w:sz w:val="20"/>
                </w:rPr>
                <w:t>August  10, 2022</w:t>
              </w:r>
            </w:hyperlink>
            <w:r>
              <w:rPr>
                <w:rFonts w:ascii="Times New Roman" w:hAnsi="Times New Roman"/>
                <w:sz w:val="20"/>
              </w:rPr>
              <w:t xml:space="preserve"> (excluding information furnished pursuant to Item 7.01), </w:t>
            </w:r>
            <w:hyperlink r:id="rId28">
              <w:r>
                <w:rPr>
                  <w:rStyle w:val="InternetLink"/>
                  <w:rFonts w:ascii="Times New Roman" w:hAnsi="Times New Roman"/>
                  <w:sz w:val="20"/>
                </w:rPr>
                <w:t>December  8, 2022</w:t>
              </w:r>
            </w:hyperlink>
            <w:r>
              <w:rPr>
                <w:rFonts w:ascii="Times New Roman" w:hAnsi="Times New Roman"/>
                <w:sz w:val="20"/>
              </w:rPr>
              <w:t xml:space="preserve">, </w:t>
            </w:r>
            <w:hyperlink r:id="rId29">
              <w:r>
                <w:rPr>
                  <w:rStyle w:val="InternetLink"/>
                  <w:rFonts w:ascii="Times New Roman" w:hAnsi="Times New Roman"/>
                  <w:sz w:val="20"/>
                </w:rPr>
                <w:t>December  28, 2022</w:t>
              </w:r>
            </w:hyperlink>
            <w:r>
              <w:rPr>
                <w:rFonts w:ascii="Times New Roman" w:hAnsi="Times New Roman"/>
                <w:sz w:val="20"/>
              </w:rPr>
              <w:t xml:space="preserve"> and </w:t>
            </w:r>
            <w:hyperlink r:id="rId30">
              <w:r>
                <w:rPr>
                  <w:rStyle w:val="InternetLink"/>
                  <w:rFonts w:ascii="Times New Roman" w:hAnsi="Times New Roman"/>
                  <w:sz w:val="20"/>
                </w:rPr>
                <w:t>December 29, 2022</w:t>
              </w:r>
            </w:hyperlink>
            <w:r>
              <w:rPr>
                <w:rFonts w:ascii="Times New Roman" w:hAnsi="Times New Roman"/>
                <w:sz w:val="20"/>
              </w:rPr>
              <w:t xml:space="preserve"> (excluding information furnished pursuant to Items 2.02 or 7.01, or corresponding information furnished under Item 9.01 or included as an exhibit);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Form 8-A filed with the SEC on </w:t>
            </w:r>
            <w:hyperlink r:id="rId31">
              <w:r>
                <w:rPr>
                  <w:rStyle w:val="InternetLink"/>
                  <w:rFonts w:ascii="Times New Roman" w:hAnsi="Times New Roman"/>
                  <w:sz w:val="20"/>
                </w:rPr>
                <w:t>August 10, 2020</w:t>
              </w:r>
            </w:hyperlink>
            <w:r>
              <w:rPr>
                <w:rFonts w:ascii="Times New Roman" w:hAnsi="Times New Roman"/>
                <w:sz w:val="20"/>
              </w:rPr>
              <w:t xml:space="preserve">, and as set forth by the description of the Registrants common stock set forth in </w:t>
            </w:r>
            <w:hyperlink r:id="rId32">
              <w:r>
                <w:rPr>
                  <w:rStyle w:val="InternetLink"/>
                  <w:rFonts w:ascii="Times New Roman" w:hAnsi="Times New Roman"/>
                  <w:sz w:val="20"/>
                </w:rPr>
                <w:t>Exhibit 4.4</w:t>
              </w:r>
            </w:hyperlink>
            <w:r>
              <w:rPr>
                <w:rFonts w:ascii="Times New Roman" w:hAnsi="Times New Roman"/>
                <w:sz w:val="20"/>
              </w:rPr>
              <w:t xml:space="preserve"> to the Registrants Annual Report on Form 10-K for the year ended December 31, 2021, filed with the SEC on </w:t>
            </w:r>
            <w:hyperlink r:id="rId33">
              <w:r>
                <w:rPr>
                  <w:rStyle w:val="InternetLink"/>
                  <w:rFonts w:ascii="Times New Roman" w:hAnsi="Times New Roman"/>
                  <w:sz w:val="20"/>
                </w:rPr>
                <w:t>March 10, 2022</w:t>
              </w:r>
            </w:hyperlink>
            <w:r>
              <w:rPr>
                <w:rFonts w:ascii="Times New Roman" w:hAnsi="Times New Roman"/>
                <w:sz w:val="20"/>
              </w:rPr>
              <w:t xml:space="preserve">, and as further supplemented by the description of the Registrants common stock set forth in the Registrants Registration Statement on Form S-4/A, filed with the SEC on </w:t>
            </w:r>
            <w:hyperlink r:id="rId34">
              <w:r>
                <w:rPr>
                  <w:rStyle w:val="InternetLink"/>
                  <w:rFonts w:ascii="Times New Roman" w:hAnsi="Times New Roman"/>
                  <w:sz w:val="20"/>
                </w:rPr>
                <w:t>December 1, 2022</w:t>
              </w:r>
            </w:hyperlink>
            <w:r>
              <w:rPr>
                <w:rFonts w:ascii="Times New Roman" w:hAnsi="Times New Roman"/>
                <w:sz w:val="20"/>
              </w:rPr>
              <w:t xml:space="preserve">,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Documents incorporated by reference are available from us without charge, excluding all exhibits unless specifically incorporated by reference as an exhibit to this prospectus and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Prospective investors may obtain documents incorporated by reference in this prospectus and the applicable prospectus supplement at no cost by requesting them in writing or by telephone from us at our executive offices at: </w:t>
      </w:r>
    </w:p>
    <w:p>
      <w:pPr>
        <w:pStyle w:val="TextBody"/>
        <w:bidi w:val="0"/>
        <w:spacing w:before="240" w:after="0"/>
        <w:jc w:val="center"/>
        <w:rPr>
          <w:rFonts w:ascii="Times New Roman" w:hAnsi="Times New Roman"/>
          <w:sz w:val="20"/>
        </w:rPr>
      </w:pPr>
      <w:r>
        <w:rPr>
          <w:rFonts w:ascii="Times New Roman" w:hAnsi="Times New Roman"/>
          <w:sz w:val="20"/>
        </w:rPr>
        <w:t xml:space="preserve">Disc Medicine, Inc. </w:t>
      </w:r>
    </w:p>
    <w:p>
      <w:pPr>
        <w:pStyle w:val="TextBody"/>
        <w:bidi w:val="0"/>
        <w:spacing w:before="0" w:after="0"/>
        <w:jc w:val="center"/>
        <w:rPr>
          <w:rFonts w:ascii="Times New Roman" w:hAnsi="Times New Roman"/>
          <w:sz w:val="20"/>
        </w:rPr>
      </w:pPr>
      <w:r>
        <w:rPr>
          <w:rFonts w:ascii="Times New Roman" w:hAnsi="Times New Roman"/>
          <w:sz w:val="20"/>
        </w:rPr>
        <w:t xml:space="preserve">321 Arsenal Street, Suite 101 </w:t>
      </w:r>
    </w:p>
    <w:p>
      <w:pPr>
        <w:pStyle w:val="TextBody"/>
        <w:bidi w:val="0"/>
        <w:spacing w:before="0" w:after="0"/>
        <w:jc w:val="center"/>
        <w:rPr>
          <w:rFonts w:ascii="Times New Roman" w:hAnsi="Times New Roman"/>
          <w:sz w:val="20"/>
        </w:rPr>
      </w:pPr>
      <w:r>
        <w:rPr>
          <w:rFonts w:ascii="Times New Roman" w:hAnsi="Times New Roman"/>
          <w:sz w:val="20"/>
        </w:rPr>
        <w:t xml:space="preserve">Watertown, MA 02472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(617) 674-9274</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oc495299_4"/>
      <w:bookmarkEnd w:id="20"/>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Times New Roman" w:hAnsi="Times New Roman"/>
          <w:i/>
          <w:sz w:val="20"/>
        </w:rPr>
        <w:t>Risk Factors</w:t>
      </w:r>
      <w:r>
        <w:rPr>
          <w:rFonts w:ascii="Times New Roman" w:hAnsi="Times New Roman"/>
          <w:sz w:val="20"/>
        </w:rPr>
        <w:t xml:space="preserve"> and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recognize the benefits of the previously announced merger pursuant to the terms of the Agreement and Plan of Merger (the Merger Agreement), dated August 9, 2022, by and among Gemini Therapeutics, Inc. (Gemini), Gemstone Merger Sub, Inc. and Disc;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efficiently discover and develop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and the potential to successfully manufacture our drug substances and product candidates for preclinical use, for clinical trials and on a larger scale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necessary to complete further development and commercialization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our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revenues,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strategic collaboration agreements, our ability to enter into strategic collaborations or arrangements,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agreements with third parties in connection with the commercialization of product candidates and any other approved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produce our products or product candidates with advantages in turnaround times or manufacturing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ongoing COVID-19 pandemic, including mitigation efforts and economic effects, on any of the foregoing or other aspects of our business operations, including but not limited to our preclinical studies and clinical trials and any future studies or trials;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other risks and uncertainties, including those listed under the caption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Times New Roman" w:hAnsi="Times New Roman"/>
          <w:i/>
          <w:sz w:val="20"/>
        </w:rPr>
        <w:t>Risk Factors</w:t>
      </w:r>
      <w:r>
        <w:rPr>
          <w:rFonts w:ascii="Times New Roman" w:hAnsi="Times New Roman"/>
          <w:sz w:val="20"/>
        </w:rPr>
        <w:t xml:space="preserve"> contained in this prospectus and any related prospectus supplement or free writing prospectus, and in any other documents incorporated herein or therein (including in our current report on Form 8-K filed on December 29, 2022,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Market and Industry Data and Estimates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Trademarks </w:t>
      </w:r>
    </w:p>
    <w:p>
      <w:pPr>
        <w:pStyle w:val="TextBody"/>
        <w:bidi w:val="0"/>
        <w:spacing w:before="120" w:after="0"/>
        <w:jc w:val="left"/>
        <w:rPr>
          <w:rFonts w:ascii="Times New Roman" w:hAnsi="Times New Roman"/>
          <w:sz w:val="20"/>
        </w:rPr>
      </w:pPr>
      <w:r>
        <w:rPr>
          <w:rFonts w:ascii="Times New Roman" w:hAnsi="Times New Roman"/>
          <w:sz w:val="20"/>
        </w:rPr>
        <w:t xml:space="preserve">Disc Medicine, Inc., the Disc logo and our other registered or common law trademarks, trade names or service marks appearing in this prospectus are owned by us. This prospectus, any applicable prospectus supplement or any information incorporated herein or therein may contain references to our trademarks and to trademarks belonging to other entities. Solely for convenience, trademarks and trade names referred to in this prospectus, including logos, artwork and other visual displays, generally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any applicable prospectus supplement or any related free writing prospectus are the property of their respective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toc495299_5"/>
      <w:bookmarkEnd w:id="21"/>
      <w:r>
        <w:rPr>
          <w:rFonts w:ascii="Times New Roman" w:hAnsi="Times New Roman"/>
          <w:b/>
          <w:sz w:val="20"/>
        </w:rPr>
        <w:t xml:space="preserve">ABOUT THE COMPANY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including erythropoietic protoporphyria (EPP) and X-linked protoporphyria (XLP); and DISC-0974 for the treatment of anemia of myelofibrosis (MF) and anemia of chronic kidney disease (CKD). In addition, we have two programs in preclinical development: DISC-0998 for the treatment of anemia associated with inflammatory diseases; and a Matriptase-2 inhibitor for the treatment of polycythemia vera (PV) and diseases of iron overload. Our approach to product candidate development leverages well understood molecular mechanisms that have been validated in humans. We believe that each of our product candidates, if approved, has the potential to improve the lives of patients suffering from hematologic diseases. </w:t>
      </w:r>
    </w:p>
    <w:p>
      <w:pPr>
        <w:pStyle w:val="TextBody"/>
        <w:bidi w:val="0"/>
        <w:spacing w:before="240" w:after="0"/>
        <w:jc w:val="left"/>
        <w:rPr>
          <w:rFonts w:ascii="Times New Roman" w:hAnsi="Times New Roman"/>
          <w:sz w:val="20"/>
        </w:rPr>
      </w:pPr>
      <w:r>
        <w:rPr>
          <w:rFonts w:ascii="Times New Roman" w:hAnsi="Times New Roman"/>
          <w:sz w:val="20"/>
        </w:rPr>
        <w:t xml:space="preserve">Bitopertin is the lead product candidate in our heme biosynthesis modulation portfolio. Bitopertin was previously evaluated by Hoffmann-La Roche Inc.in a comprehensive clinical program in over 4,000 individuals in other indications which demonstrated the activity of bitopertin as a glycine transporter 1 (GlyT1) inhibitor and its effect on heme biosynthesis. We are planning to initially develop bitopertin for the treatment of erythropoietic porphyrias, including EPP and XLP. In July 2022, we received clearance of our investigational new drug application (IND) for A Randomized, Double-blind, Placebo-Controlled Study of Bitopertin to Evaluate the Safety, Tolerability, Efficacy, and Protoporphyrin IX (PPIX) Concentrations in Participants with Erythropoietic Protoporphyria (EPP) from the Food and Drug Administration. In July 2022, we initiated BEACON, a Phase 2 open-label, parallel-dose clinical trial designed to evaluate the safety, tolerability and effectiveness of bitopertin in EPP and XLP patients that is being conducted at sites in Australia. Separately, in October 2022, we initiated AURORA, a Phase 2, randomized, double-blind, placebo-controlled clinical trial designed to evaluate the safety, tolerability and efficacy of bitopertin in EPP patients that is being conducted at sites in the United States. We expect interim data from these two trials in 2023. We are planning additional studies in Diamond-Blackfan Anemia (DBA) and other indications. </w:t>
      </w:r>
    </w:p>
    <w:p>
      <w:pPr>
        <w:pStyle w:val="TextBody"/>
        <w:bidi w:val="0"/>
        <w:spacing w:before="240" w:after="0"/>
        <w:jc w:val="left"/>
        <w:rPr>
          <w:rFonts w:ascii="Times New Roman" w:hAnsi="Times New Roman"/>
          <w:sz w:val="20"/>
        </w:rPr>
      </w:pPr>
      <w:r>
        <w:rPr>
          <w:rFonts w:ascii="Times New Roman" w:hAnsi="Times New Roman"/>
          <w:sz w:val="20"/>
        </w:rPr>
        <w:t xml:space="preserve">DISC-0974 is the lead product candidate in our iron homeostasis portfolio. DISC-0974 is a monoclonal antibody that is designed to suppress hepcidin production and increase serum iron levels by inhibiting hemojuvelin (HJV). We submitted an IND for DISC-0974 in June 2021, received clearance in July 2021, and participants completed a Phase 1 clinical trial in healthy volunteers in the U.S. in June 2022 with results showing evidence of target engagement, iron mobilization and erythropoiesis. We initiated a Phase 1b/2 clinical trial in June 2022 to evaluate the safety, tolerability, pharmacokinetics and pharmacodynamics of DISC-0974 in patients with anemia of MF, and plan to initiate a separate Phase 1b/2 clinical trial in the first half of 2023 to evaluate DISC-0974 in patients with anemia of CKD. We expect interim data from these two trials in 2023. In addition, we are developing a preclinical anti-HJV monoclonal antibody, DISC-0998, which is also designed to target hepcidin suppression and was in-licensed from AbbVie Deutschland GmbH &amp; Co. KG. DISC-0998 is designed to increase serum iron levels and has an extended serum half-life as compared to DISC-0974. We believe this profile may be desirable in certain subsets of patients with anemia associated with inflammatory diseases. </w:t>
      </w:r>
    </w:p>
    <w:p>
      <w:pPr>
        <w:pStyle w:val="TextBody"/>
        <w:bidi w:val="0"/>
        <w:spacing w:before="240" w:after="0"/>
        <w:jc w:val="left"/>
        <w:rPr>
          <w:rFonts w:ascii="Times New Roman" w:hAnsi="Times New Roman"/>
          <w:sz w:val="20"/>
        </w:rPr>
      </w:pPr>
      <w:r>
        <w:rPr>
          <w:rFonts w:ascii="Times New Roman" w:hAnsi="Times New Roman"/>
          <w:sz w:val="20"/>
        </w:rPr>
        <w:t xml:space="preserve">Lastly, we are developing a Matriptase-2 inhibitor as part of our iron homeostasis portfolio, which is designed to induce hepcidin production and reduce serum iron levels. Preclinical data has demonstrated positive results,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we are in the process of identifying and optimizing a development candidate in our Matriptase-2 inhibitor program. If successful, we expect to designate a lead candidate and commence IND-enabling studies.</w:t>
      </w:r>
      <w:r>
        <w:rPr>
          <w:rFonts w:ascii="Times New Roman" w:hAnsi="Times New Roman"/>
          <w:b/>
          <w:sz w:val="20"/>
        </w:rPr>
        <w:t xml:space="preserve">Corporate Information </w:t>
      </w:r>
      <w:r>
        <w:rPr>
          <w:rFonts w:ascii="Times New Roman" w:hAnsi="Times New Roman"/>
          <w:sz w:val="20"/>
        </w:rPr>
        <w:t xml:space="preserve">Disc Medicine, Inc. was originally incorporated under the laws of the state of Delaware in October 2017, and changed its name to Disc Medicine Opco, Inc. (Disc Opco), in December 2022. On December 29, 2022, we completed our business combination with Gemini Therapeutics, Inc.(Gemini) in accordance with the terms of the Agreement and Plan of Merger and Reorganization, dated as of August 9, 2022 (the Merger Agreement), by and among Gemini, us and Gemstone Merger Sub, Inc., a Delaware corporation and a wholly owned subsidiary of Gemini (Merger Sub), pursuant to which, among other matters, Merger Sub merged with and into Disc Opco, with Disc Opco continuing as a wholly owned subsidiary of us and the surviving corporation of the merger (the Merger). In connection with the closing of the Merger, Gemini changed its name to Disc Medicine, Inc.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 </w:t>
      </w:r>
    </w:p>
    <w:p>
      <w:pPr>
        <w:pStyle w:val="TextBody"/>
        <w:bidi w:val="0"/>
        <w:spacing w:before="240" w:after="0"/>
        <w:jc w:val="left"/>
        <w:rPr>
          <w:rFonts w:ascii="Times New Roman" w:hAnsi="Times New Roman"/>
          <w:sz w:val="20"/>
        </w:rPr>
      </w:pPr>
      <w:r>
        <w:rPr>
          <w:rFonts w:ascii="Times New Roman" w:hAnsi="Times New Roman"/>
          <w:sz w:val="20"/>
        </w:rPr>
        <w:t xml:space="preserve">Our Annual Report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additional information about our Company, please refer to other documents we have filed with the SEC and that are incorporated by reference into this prospectus, as listed under the heading </w:t>
      </w:r>
      <w:r>
        <w:rPr>
          <w:rFonts w:ascii="Times New Roman" w:hAnsi="Times New Roman"/>
          <w:i/>
          <w:sz w:val="20"/>
        </w:rPr>
        <w:t>Incorporation of Certain Information by Reference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Implications of Being an Emerging Growth Company and a Smaller Reporting Company </w:t>
      </w:r>
    </w:p>
    <w:p>
      <w:pPr>
        <w:pStyle w:val="TextBody"/>
        <w:bidi w:val="0"/>
        <w:spacing w:before="120" w:after="0"/>
        <w:jc w:val="left"/>
        <w:rPr>
          <w:rFonts w:ascii="Times New Roman" w:hAnsi="Times New Roman"/>
          <w:sz w:val="20"/>
        </w:rPr>
      </w:pPr>
      <w:r>
        <w:rPr>
          <w:rFonts w:ascii="Times New Roman" w:hAnsi="Times New Roman"/>
          <w:sz w:val="20"/>
        </w:rPr>
        <w:t xml:space="preserve">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permitted to only disclose two years of audited financial statements in addition to any required unaudited interim financial statements with correspondingly reduced Managements Discussion and Analysis of Financial Condition and Results of Operations disclosure;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hold advisory votes on executive compensation or to obtain stockholder approval of any golden parachute arrangements not previously approved;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the auditor attestation requirement in the assessment of our internal control over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take advantage of these exemptions until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are in the process of evaluating the benefits of relying on other exemptions and reduced reporting requirements under the JOBS Act. Subject to certain conditions, as an emerging growth company, we may rely on certain of these exemptions, including without limitation, providing an auditors attestation report on our system of internal controls over financial reporting pursuant to Section 404(b)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toc495299_6"/>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our Current Report on Form 8-K filed with the SEC on December 29, 2022, which is incorporated into this prospectus by reference, as updated by our annual or quarterly reports for subsequent fiscal years or fiscal quarters that we file with the SEC and that are so incorporated. See </w:t>
      </w:r>
      <w:r>
        <w:rPr>
          <w:rFonts w:ascii="Times New Roman" w:hAnsi="Times New Roman"/>
          <w:i/>
          <w:sz w:val="20"/>
        </w:rPr>
        <w:t>Where You Can Find More Information</w:t>
      </w:r>
      <w:r>
        <w:rPr>
          <w:rFonts w:ascii="Times New Roman" w:hAnsi="Times New Roman"/>
          <w:sz w:val="20"/>
        </w:rPr>
        <w:t xml:space="preserve"> for information about how to obtain a copy of these documents. You should also carefully consider the risks and other information that may be contained in, or incorporated by reference into, any prospectus supplement relating to specific offerings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toc495299_7"/>
      <w:bookmarkEnd w:id="23"/>
      <w:r>
        <w:rPr>
          <w:rFonts w:ascii="Times New Roman" w:hAnsi="Times New Roman"/>
          <w:b/>
          <w:sz w:val="20"/>
        </w:rPr>
        <w:t xml:space="preserve">SELECTED FINANCIAL DATA </w:t>
      </w:r>
    </w:p>
    <w:p>
      <w:pPr>
        <w:pStyle w:val="TextBody"/>
        <w:bidi w:val="0"/>
        <w:spacing w:before="240" w:after="0"/>
        <w:jc w:val="left"/>
        <w:rPr>
          <w:rFonts w:ascii="Times New Roman" w:hAnsi="Times New Roman"/>
          <w:b/>
          <w:sz w:val="20"/>
        </w:rPr>
      </w:pPr>
      <w:r>
        <w:rPr>
          <w:rFonts w:ascii="Times New Roman" w:hAnsi="Times New Roman"/>
          <w:b/>
          <w:sz w:val="20"/>
        </w:rPr>
        <w:t xml:space="preserve">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On December 29, 2022, we effected a 1-for-10 reverse stock split of our common stock. The total number of authorized shares of capital stock was amended from 260,000,000 to 110,000,000. The par value per common share remained unchanged. The audited consolidated financial statements of Gemini Therapeutics, Inc. included in the Annual Report on Form 10-K for the year ended December 31, 2021, and the unaudited condensed consolidated financial statements included in our Quarterly Reports on Form 10-Q for the periods ended March 31, 2022, June 30, 2022, and September 30, 2022, that are incorporated by reference into this prospectus are presented without giving effect to the reverse stock split. Except where the context otherwise requires, share numbers in this prospectus reflect the 1-for-10 reverse stock split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selected financial data has been derived from our audited consolidated financial statements included in our Annual Report on Form 10-K filed with the SEC on March 10, 2022, and our unaudited condensed consolidated financial statements included in our Quarterly Reports on Form 10-Q filed with the SEC on May 6, 2022, August 11, 2022, and November 10, 2022, as adjusted to reflect the reverse stock split for all periods presented. Our historical results are not indicative of the results that may be expected in the future and results of interim periods are not indicative of the results for the entire year. In addition, the below presented historical results do not present the pro forma impact of the reverse merger, as presented in the unaudited pro forma financial statements and accompanying notes for the nine months ended September 30, 2022, and the fiscal year ended December 31, 2021, contained in the Companys Proxy Statement/Prospectus on Form S-4/A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AS REPORTED (in thousands, except per share amounts):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29"/>
        <w:gridCol w:w="513"/>
        <w:gridCol w:w="140"/>
        <w:gridCol w:w="1102"/>
        <w:gridCol w:w="155"/>
        <w:gridCol w:w="513"/>
        <w:gridCol w:w="140"/>
        <w:gridCol w:w="1102"/>
        <w:gridCol w:w="161"/>
      </w:tblGrid>
      <w:tr>
        <w:trPr/>
        <w:tc>
          <w:tcPr>
            <w:tcW w:w="3929"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b/>
              </w:rPr>
            </w:pPr>
            <w:r>
              <w:rPr>
                <w:b/>
              </w:rPr>
              <w:t>Years Ended</w:t>
              <w:br/>
              <w:t>December 31,</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(71,869</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(40,837</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(1.78</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(2.70</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40,362,303</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15,115,129</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year end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43,208,159</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15,565,380</w:t>
            </w:r>
          </w:p>
        </w:tc>
        <w:tc>
          <w:tcPr>
            <w:tcW w:w="161" w:type="dxa"/>
            <w:tcBorders/>
            <w:vAlign w:val="bottom"/>
          </w:tcPr>
          <w:p>
            <w:pPr>
              <w:pStyle w:val="TableContents"/>
              <w:bidi w:val="0"/>
              <w:spacing w:before="0" w:after="283"/>
              <w:jc w:val="left"/>
              <w:rPr/>
            </w:pPr>
            <w:r>
              <w:rPr/>
              <w:t> </w:t>
            </w:r>
          </w:p>
        </w:tc>
      </w:tr>
      <w:tr>
        <w:trPr>
          <w:trHeight w:val="240" w:hRule="atLeast"/>
        </w:trPr>
        <w:tc>
          <w:tcPr>
            <w:tcW w:w="3929" w:type="dxa"/>
            <w:tcBorders/>
            <w:vAlign w:val="center"/>
          </w:tcPr>
          <w:p>
            <w:pPr>
              <w:pStyle w:val="TableContents"/>
              <w:bidi w:val="0"/>
              <w:spacing w:before="0" w:after="283"/>
              <w:jc w:val="left"/>
              <w:rPr>
                <w:sz w:val="4"/>
                <w:szCs w:val="4"/>
              </w:rPr>
            </w:pPr>
            <w:r>
              <w:rPr>
                <w:sz w:val="4"/>
                <w:szCs w:val="4"/>
              </w:rPr>
            </w:r>
          </w:p>
        </w:tc>
        <w:tc>
          <w:tcPr>
            <w:tcW w:w="3826" w:type="dxa"/>
            <w:gridSpan w:val="8"/>
            <w:tcBorders/>
            <w:vAlign w:val="center"/>
          </w:tcPr>
          <w:p>
            <w:pPr>
              <w:pStyle w:val="TableContents"/>
              <w:bidi w:val="0"/>
              <w:spacing w:before="0" w:after="283"/>
              <w:jc w:val="left"/>
              <w:rPr>
                <w:sz w:val="4"/>
                <w:szCs w:val="4"/>
              </w:rPr>
            </w:pPr>
            <w:r>
              <w:rPr>
                <w:sz w:val="4"/>
                <w:szCs w:val="4"/>
              </w:rPr>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b/>
              </w:rPr>
            </w:pPr>
            <w:r>
              <w:rPr>
                <w:b/>
              </w:rPr>
              <w:t>Three Months Ended</w:t>
              <w:br/>
              <w:t>March 31,</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pPr>
            <w:r>
              <w:rPr/>
              <w:t>(Unaudited)</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(15,231</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(19,048</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(0.35</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(0.59</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43,212,803</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32,027,161</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43,227,159</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43,002,144</w:t>
            </w:r>
          </w:p>
        </w:tc>
        <w:tc>
          <w:tcPr>
            <w:tcW w:w="161" w:type="dxa"/>
            <w:tcBorders/>
            <w:vAlign w:val="bottom"/>
          </w:tcPr>
          <w:p>
            <w:pPr>
              <w:pStyle w:val="TableContents"/>
              <w:bidi w:val="0"/>
              <w:spacing w:before="0" w:after="283"/>
              <w:jc w:val="left"/>
              <w:rPr/>
            </w:pPr>
            <w:r>
              <w:rPr/>
              <w:t> </w:t>
            </w:r>
          </w:p>
        </w:tc>
      </w:tr>
      <w:tr>
        <w:trPr>
          <w:trHeight w:val="240" w:hRule="atLeast"/>
        </w:trPr>
        <w:tc>
          <w:tcPr>
            <w:tcW w:w="3929" w:type="dxa"/>
            <w:tcBorders/>
            <w:vAlign w:val="center"/>
          </w:tcPr>
          <w:p>
            <w:pPr>
              <w:pStyle w:val="TableContents"/>
              <w:bidi w:val="0"/>
              <w:spacing w:before="0" w:after="283"/>
              <w:jc w:val="left"/>
              <w:rPr>
                <w:sz w:val="4"/>
                <w:szCs w:val="4"/>
              </w:rPr>
            </w:pPr>
            <w:r>
              <w:rPr>
                <w:sz w:val="4"/>
                <w:szCs w:val="4"/>
              </w:rPr>
            </w:r>
          </w:p>
        </w:tc>
        <w:tc>
          <w:tcPr>
            <w:tcW w:w="3826" w:type="dxa"/>
            <w:gridSpan w:val="8"/>
            <w:tcBorders/>
            <w:vAlign w:val="center"/>
          </w:tcPr>
          <w:p>
            <w:pPr>
              <w:pStyle w:val="TableContents"/>
              <w:bidi w:val="0"/>
              <w:spacing w:before="0" w:after="283"/>
              <w:jc w:val="left"/>
              <w:rPr>
                <w:sz w:val="4"/>
                <w:szCs w:val="4"/>
              </w:rPr>
            </w:pPr>
            <w:r>
              <w:rPr>
                <w:sz w:val="4"/>
                <w:szCs w:val="4"/>
              </w:rPr>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b/>
              </w:rPr>
            </w:pPr>
            <w:r>
              <w:rPr>
                <w:b/>
              </w:rPr>
              <w:t>Three Months Ended</w:t>
              <w:br/>
              <w:t>June 30,</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pPr>
            <w:r>
              <w:rPr/>
              <w:t>(Unaudited)</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(7,090</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(16,447</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(0.16</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(0.38</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43,230,523</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43,041,856</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43,244,453</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43,055,112</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3800" w:type="pct"/>
        <w:jc w:val="center"/>
        <w:tblInd w:w="0" w:type="dxa"/>
        <w:tblLayout w:type="fixed"/>
        <w:tblCellMar>
          <w:top w:w="0" w:type="dxa"/>
          <w:left w:w="0" w:type="dxa"/>
          <w:bottom w:w="0" w:type="dxa"/>
          <w:right w:w="0" w:type="dxa"/>
        </w:tblCellMar>
      </w:tblPr>
      <w:tblGrid>
        <w:gridCol w:w="3929"/>
        <w:gridCol w:w="513"/>
        <w:gridCol w:w="140"/>
        <w:gridCol w:w="1102"/>
        <w:gridCol w:w="155"/>
        <w:gridCol w:w="513"/>
        <w:gridCol w:w="140"/>
        <w:gridCol w:w="1102"/>
        <w:gridCol w:w="161"/>
      </w:tblGrid>
      <w:tr>
        <w:trPr/>
        <w:tc>
          <w:tcPr>
            <w:tcW w:w="3929"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b/>
              </w:rPr>
            </w:pPr>
            <w:r>
              <w:rPr>
                <w:b/>
              </w:rPr>
              <w:t>Six Months Ended</w:t>
              <w:br/>
              <w:t>June 30,</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pPr>
            <w:r>
              <w:rPr/>
              <w:t>(Unaudited)</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(22,321</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(35,495</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(0.52</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(0.94</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43,221,712</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37,564,936</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43,244,453</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43,055,112</w:t>
            </w:r>
          </w:p>
        </w:tc>
        <w:tc>
          <w:tcPr>
            <w:tcW w:w="161" w:type="dxa"/>
            <w:tcBorders/>
            <w:vAlign w:val="bottom"/>
          </w:tcPr>
          <w:p>
            <w:pPr>
              <w:pStyle w:val="TableContents"/>
              <w:bidi w:val="0"/>
              <w:spacing w:before="0" w:after="283"/>
              <w:jc w:val="left"/>
              <w:rPr/>
            </w:pPr>
            <w:r>
              <w:rPr/>
              <w:t> </w:t>
            </w:r>
          </w:p>
        </w:tc>
      </w:tr>
      <w:tr>
        <w:trPr>
          <w:trHeight w:val="240" w:hRule="atLeast"/>
        </w:trPr>
        <w:tc>
          <w:tcPr>
            <w:tcW w:w="3929" w:type="dxa"/>
            <w:tcBorders/>
            <w:vAlign w:val="center"/>
          </w:tcPr>
          <w:p>
            <w:pPr>
              <w:pStyle w:val="TableContents"/>
              <w:bidi w:val="0"/>
              <w:spacing w:before="0" w:after="283"/>
              <w:jc w:val="left"/>
              <w:rPr>
                <w:sz w:val="4"/>
                <w:szCs w:val="4"/>
              </w:rPr>
            </w:pPr>
            <w:r>
              <w:rPr>
                <w:sz w:val="4"/>
                <w:szCs w:val="4"/>
              </w:rPr>
            </w:r>
          </w:p>
        </w:tc>
        <w:tc>
          <w:tcPr>
            <w:tcW w:w="3826" w:type="dxa"/>
            <w:gridSpan w:val="8"/>
            <w:tcBorders/>
            <w:vAlign w:val="center"/>
          </w:tcPr>
          <w:p>
            <w:pPr>
              <w:pStyle w:val="TableContents"/>
              <w:bidi w:val="0"/>
              <w:spacing w:before="0" w:after="283"/>
              <w:jc w:val="left"/>
              <w:rPr>
                <w:sz w:val="4"/>
                <w:szCs w:val="4"/>
              </w:rPr>
            </w:pPr>
            <w:r>
              <w:rPr>
                <w:sz w:val="4"/>
                <w:szCs w:val="4"/>
              </w:rPr>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b/>
              </w:rPr>
            </w:pPr>
            <w:r>
              <w:rPr>
                <w:b/>
              </w:rPr>
              <w:t>Three Months Ended</w:t>
              <w:br/>
              <w:t>September 30,</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pPr>
            <w:r>
              <w:rPr/>
              <w:t>(Unaudited)</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(3,277</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(18,551</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(0.08</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(0.43</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43,264,616</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43,091,822</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43,299,453</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43,112,742</w:t>
            </w:r>
          </w:p>
        </w:tc>
        <w:tc>
          <w:tcPr>
            <w:tcW w:w="161" w:type="dxa"/>
            <w:tcBorders/>
            <w:vAlign w:val="bottom"/>
          </w:tcPr>
          <w:p>
            <w:pPr>
              <w:pStyle w:val="TableContents"/>
              <w:bidi w:val="0"/>
              <w:spacing w:before="0" w:after="283"/>
              <w:jc w:val="left"/>
              <w:rPr/>
            </w:pPr>
            <w:r>
              <w:rPr/>
              <w:t> </w:t>
            </w:r>
          </w:p>
        </w:tc>
      </w:tr>
      <w:tr>
        <w:trPr>
          <w:trHeight w:val="240" w:hRule="atLeast"/>
        </w:trPr>
        <w:tc>
          <w:tcPr>
            <w:tcW w:w="3929" w:type="dxa"/>
            <w:tcBorders/>
            <w:vAlign w:val="center"/>
          </w:tcPr>
          <w:p>
            <w:pPr>
              <w:pStyle w:val="TableContents"/>
              <w:bidi w:val="0"/>
              <w:spacing w:before="0" w:after="283"/>
              <w:jc w:val="left"/>
              <w:rPr>
                <w:sz w:val="4"/>
                <w:szCs w:val="4"/>
              </w:rPr>
            </w:pPr>
            <w:r>
              <w:rPr>
                <w:sz w:val="4"/>
                <w:szCs w:val="4"/>
              </w:rPr>
            </w:r>
          </w:p>
        </w:tc>
        <w:tc>
          <w:tcPr>
            <w:tcW w:w="3826" w:type="dxa"/>
            <w:gridSpan w:val="8"/>
            <w:tcBorders/>
            <w:vAlign w:val="center"/>
          </w:tcPr>
          <w:p>
            <w:pPr>
              <w:pStyle w:val="TableContents"/>
              <w:bidi w:val="0"/>
              <w:spacing w:before="0" w:after="283"/>
              <w:jc w:val="left"/>
              <w:rPr>
                <w:sz w:val="4"/>
                <w:szCs w:val="4"/>
              </w:rPr>
            </w:pPr>
            <w:r>
              <w:rPr>
                <w:sz w:val="4"/>
                <w:szCs w:val="4"/>
              </w:rPr>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b/>
              </w:rPr>
            </w:pPr>
            <w:r>
              <w:rPr>
                <w:b/>
              </w:rPr>
              <w:t>Nine Months Ended</w:t>
              <w:br/>
              <w:t>September 30,</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1"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pPr>
            <w:r>
              <w:rPr/>
              <w:t>(Unaudited)</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(25,598</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(54,046</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(0.59</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(1.37</w:t>
            </w:r>
          </w:p>
        </w:tc>
        <w:tc>
          <w:tcPr>
            <w:tcW w:w="161"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43,236,171</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39,427,476</w:t>
            </w:r>
          </w:p>
        </w:tc>
        <w:tc>
          <w:tcPr>
            <w:tcW w:w="161"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43,299,453</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43,112,742</w:t>
            </w:r>
          </w:p>
        </w:tc>
        <w:tc>
          <w:tcPr>
            <w:tcW w:w="161"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AS ADJUSTED FOR 1-FOR-10 REVERSE STOCK SPLIT (unaudited, in thousands, except per share amounts):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422"/>
        <w:gridCol w:w="451"/>
        <w:gridCol w:w="143"/>
        <w:gridCol w:w="1007"/>
        <w:gridCol w:w="155"/>
        <w:gridCol w:w="451"/>
        <w:gridCol w:w="143"/>
        <w:gridCol w:w="1007"/>
        <w:gridCol w:w="160"/>
      </w:tblGrid>
      <w:tr>
        <w:trPr/>
        <w:tc>
          <w:tcPr>
            <w:tcW w:w="3422"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b/>
              </w:rPr>
            </w:pPr>
            <w:r>
              <w:rPr>
                <w:b/>
              </w:rPr>
              <w:t>Years Ended</w:t>
              <w:br/>
              <w:t>December 31,</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pPr>
            <w:r>
              <w:rPr/>
              <w:t>(Unaudited)</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(71,869</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(40,837</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(17.81</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(27.02</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4,036,230</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1,511,512</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year end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4,320,815</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1,556,538</w:t>
            </w:r>
          </w:p>
        </w:tc>
        <w:tc>
          <w:tcPr>
            <w:tcW w:w="160" w:type="dxa"/>
            <w:tcBorders/>
            <w:vAlign w:val="bottom"/>
          </w:tcPr>
          <w:p>
            <w:pPr>
              <w:pStyle w:val="TableContents"/>
              <w:bidi w:val="0"/>
              <w:spacing w:before="0" w:after="283"/>
              <w:jc w:val="left"/>
              <w:rPr/>
            </w:pPr>
            <w:r>
              <w:rPr/>
              <w:t> </w:t>
            </w:r>
          </w:p>
        </w:tc>
      </w:tr>
      <w:tr>
        <w:trPr>
          <w:trHeight w:val="240" w:hRule="atLeast"/>
        </w:trPr>
        <w:tc>
          <w:tcPr>
            <w:tcW w:w="3422" w:type="dxa"/>
            <w:tcBorders/>
            <w:vAlign w:val="center"/>
          </w:tcPr>
          <w:p>
            <w:pPr>
              <w:pStyle w:val="TableContents"/>
              <w:bidi w:val="0"/>
              <w:spacing w:before="0" w:after="283"/>
              <w:jc w:val="left"/>
              <w:rPr>
                <w:sz w:val="4"/>
                <w:szCs w:val="4"/>
              </w:rPr>
            </w:pPr>
            <w:r>
              <w:rPr>
                <w:sz w:val="4"/>
                <w:szCs w:val="4"/>
              </w:rPr>
            </w:r>
          </w:p>
        </w:tc>
        <w:tc>
          <w:tcPr>
            <w:tcW w:w="3517" w:type="dxa"/>
            <w:gridSpan w:val="8"/>
            <w:tcBorders/>
            <w:vAlign w:val="center"/>
          </w:tcPr>
          <w:p>
            <w:pPr>
              <w:pStyle w:val="TableContents"/>
              <w:bidi w:val="0"/>
              <w:spacing w:before="0" w:after="283"/>
              <w:jc w:val="left"/>
              <w:rPr>
                <w:sz w:val="4"/>
                <w:szCs w:val="4"/>
              </w:rPr>
            </w:pPr>
            <w:r>
              <w:rPr>
                <w:sz w:val="4"/>
                <w:szCs w:val="4"/>
              </w:rPr>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b/>
              </w:rPr>
            </w:pPr>
            <w:r>
              <w:rPr>
                <w:b/>
              </w:rPr>
              <w:t>Three Months Ended</w:t>
              <w:br/>
              <w:t>March 31,</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pPr>
            <w:r>
              <w:rPr/>
              <w:t>(Unaudited)</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(15,231</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(19,048</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(3.52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(5.95</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4,321,280</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3,202,716</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4,322,715</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4,300,214</w:t>
            </w:r>
          </w:p>
        </w:tc>
        <w:tc>
          <w:tcPr>
            <w:tcW w:w="1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3400" w:type="pct"/>
        <w:jc w:val="center"/>
        <w:tblInd w:w="0" w:type="dxa"/>
        <w:tblLayout w:type="fixed"/>
        <w:tblCellMar>
          <w:top w:w="0" w:type="dxa"/>
          <w:left w:w="0" w:type="dxa"/>
          <w:bottom w:w="0" w:type="dxa"/>
          <w:right w:w="0" w:type="dxa"/>
        </w:tblCellMar>
      </w:tblPr>
      <w:tblGrid>
        <w:gridCol w:w="3422"/>
        <w:gridCol w:w="451"/>
        <w:gridCol w:w="143"/>
        <w:gridCol w:w="1007"/>
        <w:gridCol w:w="155"/>
        <w:gridCol w:w="451"/>
        <w:gridCol w:w="143"/>
        <w:gridCol w:w="1007"/>
        <w:gridCol w:w="160"/>
      </w:tblGrid>
      <w:tr>
        <w:trPr/>
        <w:tc>
          <w:tcPr>
            <w:tcW w:w="3422"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b/>
              </w:rPr>
            </w:pPr>
            <w:r>
              <w:rPr>
                <w:b/>
              </w:rPr>
              <w:t>Three Months Ended</w:t>
              <w:br/>
              <w:t>June 30,</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pPr>
            <w:r>
              <w:rPr/>
              <w:t>(Unaudited)</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(7,090</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(16,447</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(1.64</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(3.82</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4,323,052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4,304,185</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4,324,445</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4,305,511</w:t>
            </w:r>
          </w:p>
        </w:tc>
        <w:tc>
          <w:tcPr>
            <w:tcW w:w="160" w:type="dxa"/>
            <w:tcBorders/>
            <w:vAlign w:val="bottom"/>
          </w:tcPr>
          <w:p>
            <w:pPr>
              <w:pStyle w:val="TableContents"/>
              <w:bidi w:val="0"/>
              <w:spacing w:before="0" w:after="283"/>
              <w:jc w:val="left"/>
              <w:rPr/>
            </w:pPr>
            <w:r>
              <w:rPr/>
              <w:t> </w:t>
            </w:r>
          </w:p>
        </w:tc>
      </w:tr>
      <w:tr>
        <w:trPr>
          <w:trHeight w:val="240" w:hRule="atLeast"/>
        </w:trPr>
        <w:tc>
          <w:tcPr>
            <w:tcW w:w="3422" w:type="dxa"/>
            <w:tcBorders/>
            <w:vAlign w:val="center"/>
          </w:tcPr>
          <w:p>
            <w:pPr>
              <w:pStyle w:val="TableContents"/>
              <w:bidi w:val="0"/>
              <w:spacing w:before="0" w:after="283"/>
              <w:jc w:val="left"/>
              <w:rPr>
                <w:sz w:val="4"/>
                <w:szCs w:val="4"/>
              </w:rPr>
            </w:pPr>
            <w:r>
              <w:rPr>
                <w:sz w:val="4"/>
                <w:szCs w:val="4"/>
              </w:rPr>
            </w:r>
          </w:p>
        </w:tc>
        <w:tc>
          <w:tcPr>
            <w:tcW w:w="3517" w:type="dxa"/>
            <w:gridSpan w:val="8"/>
            <w:tcBorders/>
            <w:vAlign w:val="center"/>
          </w:tcPr>
          <w:p>
            <w:pPr>
              <w:pStyle w:val="TableContents"/>
              <w:bidi w:val="0"/>
              <w:spacing w:before="0" w:after="283"/>
              <w:jc w:val="left"/>
              <w:rPr>
                <w:sz w:val="4"/>
                <w:szCs w:val="4"/>
              </w:rPr>
            </w:pPr>
            <w:r>
              <w:rPr>
                <w:sz w:val="4"/>
                <w:szCs w:val="4"/>
              </w:rPr>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b/>
              </w:rPr>
            </w:pPr>
            <w:r>
              <w:rPr>
                <w:b/>
              </w:rPr>
              <w:t>Six Months Ended</w:t>
              <w:br/>
              <w:t>June 30,</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pPr>
            <w:r>
              <w:rPr/>
              <w:t>(Unaudited)</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(22,321</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(35,495</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(5.16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(9.45</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4,322,171</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3,756,493</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4,324,445</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4,305,511</w:t>
            </w:r>
          </w:p>
        </w:tc>
        <w:tc>
          <w:tcPr>
            <w:tcW w:w="160" w:type="dxa"/>
            <w:tcBorders/>
            <w:vAlign w:val="bottom"/>
          </w:tcPr>
          <w:p>
            <w:pPr>
              <w:pStyle w:val="TableContents"/>
              <w:bidi w:val="0"/>
              <w:spacing w:before="0" w:after="283"/>
              <w:jc w:val="left"/>
              <w:rPr/>
            </w:pPr>
            <w:r>
              <w:rPr/>
              <w:t> </w:t>
            </w:r>
          </w:p>
        </w:tc>
      </w:tr>
      <w:tr>
        <w:trPr>
          <w:trHeight w:val="240" w:hRule="atLeast"/>
        </w:trPr>
        <w:tc>
          <w:tcPr>
            <w:tcW w:w="3422" w:type="dxa"/>
            <w:tcBorders/>
            <w:vAlign w:val="center"/>
          </w:tcPr>
          <w:p>
            <w:pPr>
              <w:pStyle w:val="TableContents"/>
              <w:bidi w:val="0"/>
              <w:spacing w:before="0" w:after="283"/>
              <w:jc w:val="left"/>
              <w:rPr>
                <w:sz w:val="4"/>
                <w:szCs w:val="4"/>
              </w:rPr>
            </w:pPr>
            <w:r>
              <w:rPr>
                <w:sz w:val="4"/>
                <w:szCs w:val="4"/>
              </w:rPr>
            </w:r>
          </w:p>
        </w:tc>
        <w:tc>
          <w:tcPr>
            <w:tcW w:w="3517" w:type="dxa"/>
            <w:gridSpan w:val="8"/>
            <w:tcBorders/>
            <w:vAlign w:val="center"/>
          </w:tcPr>
          <w:p>
            <w:pPr>
              <w:pStyle w:val="TableContents"/>
              <w:bidi w:val="0"/>
              <w:spacing w:before="0" w:after="283"/>
              <w:jc w:val="left"/>
              <w:rPr>
                <w:sz w:val="4"/>
                <w:szCs w:val="4"/>
              </w:rPr>
            </w:pPr>
            <w:r>
              <w:rPr>
                <w:sz w:val="4"/>
                <w:szCs w:val="4"/>
              </w:rPr>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b/>
              </w:rPr>
            </w:pPr>
            <w:r>
              <w:rPr>
                <w:b/>
              </w:rPr>
              <w:t>Three Months Ended</w:t>
              <w:br/>
              <w:t>September 30,</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pPr>
            <w:r>
              <w:rPr/>
              <w:t>(Unaudited)</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(3,277</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(18,551</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(0.76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(4.30</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4,326,461</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4,309,182</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4,329,945</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4,311,274</w:t>
            </w:r>
          </w:p>
        </w:tc>
        <w:tc>
          <w:tcPr>
            <w:tcW w:w="160" w:type="dxa"/>
            <w:tcBorders/>
            <w:vAlign w:val="bottom"/>
          </w:tcPr>
          <w:p>
            <w:pPr>
              <w:pStyle w:val="TableContents"/>
              <w:bidi w:val="0"/>
              <w:spacing w:before="0" w:after="283"/>
              <w:jc w:val="left"/>
              <w:rPr/>
            </w:pPr>
            <w:r>
              <w:rPr/>
              <w:t> </w:t>
            </w:r>
          </w:p>
        </w:tc>
      </w:tr>
      <w:tr>
        <w:trPr>
          <w:trHeight w:val="240" w:hRule="atLeast"/>
        </w:trPr>
        <w:tc>
          <w:tcPr>
            <w:tcW w:w="3422" w:type="dxa"/>
            <w:tcBorders/>
            <w:vAlign w:val="center"/>
          </w:tcPr>
          <w:p>
            <w:pPr>
              <w:pStyle w:val="TableContents"/>
              <w:bidi w:val="0"/>
              <w:spacing w:before="0" w:after="283"/>
              <w:jc w:val="left"/>
              <w:rPr>
                <w:sz w:val="4"/>
                <w:szCs w:val="4"/>
              </w:rPr>
            </w:pPr>
            <w:r>
              <w:rPr>
                <w:sz w:val="4"/>
                <w:szCs w:val="4"/>
              </w:rPr>
            </w:r>
          </w:p>
        </w:tc>
        <w:tc>
          <w:tcPr>
            <w:tcW w:w="3517" w:type="dxa"/>
            <w:gridSpan w:val="8"/>
            <w:tcBorders/>
            <w:vAlign w:val="center"/>
          </w:tcPr>
          <w:p>
            <w:pPr>
              <w:pStyle w:val="TableContents"/>
              <w:bidi w:val="0"/>
              <w:spacing w:before="0" w:after="283"/>
              <w:jc w:val="left"/>
              <w:rPr>
                <w:sz w:val="4"/>
                <w:szCs w:val="4"/>
              </w:rPr>
            </w:pPr>
            <w:r>
              <w:rPr>
                <w:sz w:val="4"/>
                <w:szCs w:val="4"/>
              </w:rPr>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b/>
              </w:rPr>
            </w:pPr>
            <w:r>
              <w:rPr>
                <w:b/>
              </w:rPr>
              <w:t>Nine Months Ended</w:t>
              <w:br/>
              <w:t>September 30,</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342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906" w:type="dxa"/>
            <w:gridSpan w:val="6"/>
            <w:tcBorders/>
            <w:vAlign w:val="bottom"/>
          </w:tcPr>
          <w:p>
            <w:pPr>
              <w:pStyle w:val="TableContents"/>
              <w:bidi w:val="0"/>
              <w:spacing w:before="0" w:after="283"/>
              <w:jc w:val="center"/>
              <w:rPr/>
            </w:pPr>
            <w:r>
              <w:rPr/>
              <w:t>(Unaudited)</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(25,598</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(54,046</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(5.92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(13.71</w:t>
            </w:r>
          </w:p>
        </w:tc>
        <w:tc>
          <w:tcPr>
            <w:tcW w:w="160"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4,323,617</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3,942,747</w:t>
            </w:r>
          </w:p>
        </w:tc>
        <w:tc>
          <w:tcPr>
            <w:tcW w:w="160"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4,329,945</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4,311,274</w:t>
            </w:r>
          </w:p>
        </w:tc>
        <w:tc>
          <w:tcPr>
            <w:tcW w:w="1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toc495299_8"/>
      <w:bookmarkEnd w:id="2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5" w:name="toc495299_9"/>
      <w:bookmarkEnd w:id="25"/>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cash dividends on our capital stock and do not anticipate paying any cash dividends in the foreseeable future. Payment of cash dividends, if any, in the future will solely be at the discretion of our board of directors and will depend on then-existing conditions, including our financial condition, operating results, contractual restrictions, capital requirements, business prospects and other factors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toc495299_10"/>
      <w:bookmarkEnd w:id="26"/>
      <w:r>
        <w:rPr>
          <w:rFonts w:ascii="Times New Roman" w:hAnsi="Times New Roman"/>
          <w:b/>
          <w:sz w:val="20"/>
        </w:rPr>
        <w:t xml:space="preserve">GENERAL 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dividends or other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issue discount;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exercise, exchange, settlement or sinking fund terms, including prices or rates, and any provisions for changes to or adjustments in such prices or rates and in the securities or other property receivable upon conversion, exercise, exchange or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listing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important U.S. federal income tax considerations.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 </w:t>
      </w:r>
    </w:p>
    <w:p>
      <w:pPr>
        <w:pStyle w:val="TextBody"/>
        <w:bidi w:val="0"/>
        <w:spacing w:before="240" w:after="0"/>
        <w:jc w:val="left"/>
        <w:rPr>
          <w:rFonts w:ascii="Times New Roman" w:hAnsi="Times New Roman"/>
          <w:sz w:val="20"/>
        </w:rPr>
      </w:pPr>
      <w:r>
        <w:rPr>
          <w:rFonts w:ascii="Times New Roman" w:hAnsi="Times New Roman"/>
          <w:sz w:val="20"/>
        </w:rPr>
        <w:t>We may sell the securities to or through underwriters, dealers or agents, directly to purchasers or through a combination of any of these methods of sale or as otherwise set forth under </w:t>
      </w:r>
      <w:r>
        <w:rPr>
          <w:rFonts w:ascii="Times New Roman" w:hAnsi="Times New Roman"/>
          <w:i/>
          <w:sz w:val="20"/>
        </w:rPr>
        <w:t>Plan of Distribution</w:t>
      </w:r>
      <w:r>
        <w:rPr>
          <w:rFonts w:ascii="Times New Roman" w:hAnsi="Times New Roman"/>
          <w:sz w:val="20"/>
        </w:rPr>
        <w:t xml:space="preserve">.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 </w:t>
      </w:r>
    </w:p>
    <w:p>
      <w:pPr>
        <w:pStyle w:val="TextBody"/>
        <w:bidi w:val="0"/>
        <w:spacing w:before="240" w:after="0"/>
        <w:jc w:val="left"/>
        <w:rPr>
          <w:rFonts w:ascii="Times New Roman" w:hAnsi="Times New Roman"/>
          <w:sz w:val="20"/>
        </w:rPr>
      </w:pPr>
      <w:r>
        <w:rPr>
          <w:rFonts w:ascii="Times New Roman" w:hAnsi="Times New Roman"/>
          <w:sz w:val="20"/>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toc495299_11"/>
      <w:bookmarkEnd w:id="27"/>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is intended as a summary only,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100,000,000 shares of common stock, par value $0.0001 per share, and 10,000,000 shares of preferred stock, par value $0.0001 per share, all of which preferred stock is undesignated. Based on our unaudited pro forma condensed combined financial information as of September 30, 2022, we had estimated 17,394,684 shares of our common stock outstanding and no shares of preferred stock outstanding. Unless our board of directors determines otherwise, we will issue all shares of our capital stock in uncertificated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as of September 30, 2022, were based on Disc Medicine, Inc.s historical consolidated financial statements and Gemini Therapeutics, Inc.s (Gemini) historical consolidated financial statements as adjusted to give effect to (1) the Merger, accounted for as a reverse recapitalization, (2) the conversion of each share of Private Discs preferred stock into common stock, (3) the Private Disc pre-closing financing in the amount of approximately $53.5 million, (4) the conversion of all shares of Private Disc common stock outstanding into shares of Geminis common stock based on an exchange ratio of 0.1096, (5) the Gemini 1:10 reverse stock split, and (6) other pro forma adjustments. The unaudited pro forma condensed combined financial information was prepared in accordance with SEC Regulation S-X Article 11. The unaudited pro forma condensed combined financial information is presented for illustrative purposes only and is not necessarily indicative of the combined financial position or results of operations of future periods or the results that would have been realized had the entities been a single entity during these periods.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validly issued, fully paid and non-assessable.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IRON. On January 13, 2023, the closing price for our common stock, as reported on The Nasdaq Global Market, was $19.25 per share. Based on our unaudited pro forma condensed combined financial information as of September 30, 2022, we had estimated approximately 77 stockholders of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Continental Stock Transfer &amp; Trust Company. The transfer agent and registrars address is One State Street  30th Floor, New York, NY 10004.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the board of directors may fix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Series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We will incorporate by reference as an exhibit to the registration statement, which includes this prospectus, the form of any certificate of designation that describes the terms of any additional series of preferred stock we may offer pursuant to this prospectus. This description and the applicable prospectus supplement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authorized;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period and payment date,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if applicable, and any restrictions on our ability to exercise those redemption and repurchase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and, if applicable, the conversion price, or how it will be calculated, and 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and, if applicable, the exchange price, or how it will be calculated, and the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preemptive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United States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series of preferred stock as to dividend rights and rights if we liquidate, dissolve or wind up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we issue shares of preferred stock under this prospectus, the shares will fully be paid and nonassessable and will not be subject to any preemptive or similar rights.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approximately 15.9 million shares of our common stock, or their transferees, are entitled to the registration rights set forth below with respect to registration of the resale of such shares under the Securities Act pursuant to the investors rights agreement, by and among us and certain of our stockholders. Generally, in an underwritten offering, the managing underwriter, if any, has the right, subject to specified conditions and limitations, to limit the number of shares the holders may include.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2022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 registration rights agreement (the 2022 Registration Rights Agreement) with certain holders of our capital stock (the 2022 Investors), pursuant to which we have (i) agreed to register for resale shares of our common stock issued to the 2022 Investors pursuant to the Merger Agreement (the Registrable Securities) and (ii) granted certain other registration rights to the 2022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particular, the 2022 Registration Rights Agreement provides for the following registration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Shelf registration rights</w:t>
            </w:r>
            <w:r>
              <w:rPr>
                <w:rFonts w:ascii="Times New Roman" w:hAnsi="Times New Roman"/>
                <w:sz w:val="20"/>
              </w:rPr>
              <w:t xml:space="preserve">. No later than 45 calendar days following the completion of the merger as contemplated by the Merger Agreement, we are required to file with the SEC, a shelf registration statement registering the resale of the Registrable Securities, and use our commercially reasonable efforts to have such registration statement declared effective by the SEC as promptly as possible.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Expenses and indemnification</w:t>
            </w:r>
            <w:r>
              <w:rPr>
                <w:rFonts w:ascii="Times New Roman" w:hAnsi="Times New Roman"/>
                <w:sz w:val="20"/>
              </w:rPr>
              <w:t xml:space="preserve">. The fees, costs and expenses of registrations pursuant to the registration rights granted to the 2022 Investors under the 2022 Registration Rights Agreement will be borne by us. The 2022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2021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a party to a registration tights agreement (the 2021 Registration Rights Agreement) pursuant to which, among other things, certain holders of capital stock, including certain investors of FS Development Corporation, a Delaware corporation (the FSDC Investors), certain entities affiliated with Atlas Ventures, entities affiliated with Lightstone Ventures, OrbiMed Private Investments VI, LP, and Wu Capital Investment LLC (collectively, the Major Investors and together with the FSDC Investors, the Investors) were granted certain registration rights with respect to Registrable Securities (as defined in the 2021 Registration Rights Agreement) held by them, subject to certain conditions and limitations.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2021 Registration Rights Agreement provides for the following registration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Demand registration rights</w:t>
            </w:r>
            <w:r>
              <w:rPr>
                <w:rFonts w:ascii="Times New Roman" w:hAnsi="Times New Roman"/>
                <w:sz w:val="20"/>
              </w:rPr>
              <w:t xml:space="preserve">. At any time after February 5, 2021, and following the expiration of any lock-up to which an Investor may have been subject, we are required, upon the written request of either (i) FSDC Investors holding a majority of the Registrable Securities held by all FSDC Investors or (ii) Major Investors holding a majority of the Registrable Securities held by all Major Investors, to file a registration statement under the Securities Act on Form S-1 or any similar long-form registration statement or, if then available, on Form S-3, and use reasonable best efforts to effect the registration of all or part of their registrable securities requested to be included in such registration by the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Shelf registration rights</w:t>
            </w:r>
            <w:r>
              <w:rPr>
                <w:rFonts w:ascii="Times New Roman" w:hAnsi="Times New Roman"/>
                <w:sz w:val="20"/>
              </w:rPr>
              <w:t xml:space="preserve">. A shelf registration statement pursuant to Rule 415 of Securities Act, was filed on February 17, 2021 and became effective on April 28, 2021. At any time we have an effective shelf registration statement, if we receive a request from Investors holding registrable securities with an estimated market value of at least $5,000,000, to effect an underwritten shelf takedown, we shall use our reasonable best efforts to as expeditiously as possible effect the underwritten shelf takedown.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Limits on demand registration rights and shelf registration rights.</w:t>
            </w:r>
            <w:r>
              <w:rPr>
                <w:rFonts w:ascii="Times New Roman" w:hAnsi="Times New Roman"/>
                <w:sz w:val="20"/>
              </w:rPr>
              <w:t xml:space="preserve"> We shall not be obligated to effect: (a) more than one (1) demand 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Investors, including those made under a shelf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Piggyback registration rights</w:t>
            </w:r>
            <w:r>
              <w:rPr>
                <w:rFonts w:ascii="Times New Roman" w:hAnsi="Times New Roman"/>
                <w:sz w:val="20"/>
              </w:rPr>
              <w:t xml:space="preserve">. At any time after the first anniversary of the closing date, if we propose to file a registration statement to register any of our equity securities under the Securities Act or to conduct a public offering, either for our own account or for the account of any other person, subject to certain exceptions, the Investors are entitled to include their registrable securities in such registration statement, subject to customary cut-back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Expenses and indemnification</w:t>
            </w:r>
            <w:r>
              <w:rPr>
                <w:rFonts w:ascii="Times New Roman" w:hAnsi="Times New Roman"/>
                <w:sz w:val="20"/>
              </w:rPr>
              <w:t xml:space="preserve">. All fees, costs and expenses of underwritten registrations will be borne by us and underwriting discounts and selling commissions will be borne by the holders of the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registered. The 2021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Registrable securities</w:t>
            </w:r>
            <w:r>
              <w:rPr>
                <w:rFonts w:ascii="Times New Roman" w:hAnsi="Times New Roman"/>
                <w:sz w:val="20"/>
              </w:rPr>
              <w:t xml:space="preserve">. Securities of ours shall cease to be registrable securities upon the earlier of (i) tenth anniversary of February 5, 2021 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Disc or FS Development Corporation as of immediately prior to the consummation of the business combination, the date when such Investor is permitted to sell the Registrable Securities under Rule 144 (or any similar provision) under the Securities Act without limitation on the amount of securities sold or the manner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Lockup</w:t>
            </w:r>
            <w:r>
              <w:rPr>
                <w:rFonts w:ascii="Times New Roman" w:hAnsi="Times New Roman"/>
                <w:sz w:val="20"/>
              </w:rPr>
              <w:t xml:space="preserve">. Under the 2021 Registration Rights Agreement, each Investor was required to enter into a customary lockup agreement restricting such investor from transferring any shares of common stock or any securities convertible into or exercisable or exchangeable (directly or indirectly) for common stock for one hundred eighty (180) days following February 5, 2021, which restriction expired August 4, 2021. The foregoing notwithstanding, each executive officer and director was permitted to establish a plan to acquire and sell shares of common stock pursuant to Rule 10b5-1 under the Exchange Act; provided, however, no sale of shares under any such plan shall be made prior to the expiration of the one hundred eighty (180) day lock-up period on August 4, 2021.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Authorized but Unissued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Delaware General Corporation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our Amended and Restated Certificate of Incorporation and Amended and Restated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not governed by Section 203 of the Delaware General Corporation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a special meeting of stockholders may be called at any time by our board of directors, but such special meetings may not be called by the stockholders or any other person or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contain advance notice procedures with respect to stockholder proposals and the nomination of candidates for election as directors, other than nominations made by or at the direction of the board of directors or a committee of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does not allow stockholders to act by written consent without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election and removal of directors; filling vacancies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66-2/3% of the voting power of the then outstanding voting stock. Any vacancy on our board of directors, however occurring, including a vacancy resulting from an increase in the size of the board, may only be filled by a resolution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employees or stockholders to us or to our stockholders; any action asserting a claim against us arising pursuant to the Delaware General Corporation Law, our amended and restated certificate of incorporation or our amended and restated bylaws (as either may be amended from time to time); any action to interpret, apply, enforce or determine the validity of our amended and restated certificate of incorporation or our amended and restated bylaws;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the Securities Act. In addition, unless we consent in writing to the selection of an alternative forum, the United States District Court for the District of Massachusetts will be the sole and exclusive forum for resolving any action asserting a claim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charter provisions or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may be amended or repealed by the Board or by the affirmative vote of not the holders of not less than two-thirds of the voting power of all of the shares of the capital stock of the Company entitled to vote on such amendment or repeal, voting as one class; provided, however, that if the Board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the Company entitled to vote thereon as a class, and the affirmative vote of the holders of a majority of the outstanding shares of each class entitled to vote thereon as a class voting together as a single class, will be required to amend certain provisions of our amended and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toc495299_12"/>
      <w:bookmarkEnd w:id="28"/>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will be qualified under the Trust Indenture Act of 1939, as amended (the Trust Indenture Act). We use the term trustee to refer to either the trustee under the senior indenture or the trustee under the subordinated indenture,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the applicable prospectus supplement or free writing prospectus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being offered, and if a series, the total amount authorized and the total amount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we will issue the series of debt securities in global form, and, if so, the terms and who the depository will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if any, we will pay additional amounts on any debt securities held by a person who is not a United States person for tax purposes, and whether we can redeem the debt securities if we have to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interest rate,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subordination of any series of subordinated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where payments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after which, the conditions upon which, and the price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indenture will restrict our ability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additional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make distributions in respect of our capital stock or the capital stock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place restrictions on our subsidiaries ability to pay dividends, make distributions or transfer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investments or other restricted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or otherwise dispose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sale-leaseback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transactions with stockholders or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or sell stock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a consolidation or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indenture will require us to maintain any interest coverage, fixed charge, cash flow-based, asset-based or other financial ratios;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material or special United States federal income tax considerations applicable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describing any book-entry features;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or other analogous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the provisions in the indenture on discharge;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to be offered at a price such that they will be deemed to be offered at an original issue discount as defined in paragraph (a) of Section 1273 of the Internal Revenue Code of 1986,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or free writing prospectus applicable to a particular series of debt securities, the following are events of default under the indentures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interest when due and payable and our failure continues for 90 days and the time for payment has not been extended;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premium or sinking fund payment, if any, when due and payable at maturity, upon redemption or repurchase or otherwise, and the time for payment has not been extended;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describe in each applicable prospectus supplement or free writing prospectus any additional events of default relating to the relevant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indentures or to appoint a receiver or trustee, or to seek other remedies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of the indenture for any series of debt securities that we may issue, we and the trustee may change an indenture without the consent of any holders with respect to the following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fix any ambiguity, defect or inconsistency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to comply with the provisions described above under </w:t>
            </w:r>
            <w:r>
              <w:rPr>
                <w:rFonts w:ascii="Times New Roman" w:hAnsi="Times New Roman"/>
                <w:i/>
                <w:sz w:val="20"/>
              </w:rPr>
              <w:t>Description of Debt Securities-Consolidation, Merger or</w:t>
            </w:r>
            <w:r>
              <w:rPr>
                <w:rFonts w:ascii="Times New Roman" w:hAnsi="Times New Roman"/>
                <w:sz w:val="20"/>
              </w:rPr>
              <w:t xml:space="preserve"> </w:t>
            </w:r>
            <w:r>
              <w:rPr>
                <w:rFonts w:ascii="Times New Roman" w:hAnsi="Times New Roman"/>
                <w:i/>
                <w:sz w:val="20"/>
              </w:rPr>
              <w:t>Sale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to provide for the issuance of and establish the form and terms and conditions of the debt securities of any series as provided under </w:t>
            </w:r>
            <w:r>
              <w:rPr>
                <w:rFonts w:ascii="Times New Roman" w:hAnsi="Times New Roman"/>
                <w:i/>
                <w:sz w:val="20"/>
              </w:rPr>
              <w:t>Description of Debt Securities-General</w:t>
            </w:r>
            <w:r>
              <w:rPr>
                <w:rFonts w:ascii="Times New Roman" w:hAnsi="Times New Roman"/>
                <w:sz w:val="20"/>
              </w:rPr>
              <w:t xml:space="preserve">,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hereunder by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and to make all appropriate changes for such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anything that does not materially adversely affect the interests of any holder of debt securities of any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stated maturity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or repurchase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and interest on, the debt securities of the series on the dates payments are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otherwise specify in the applicable prospectus supplement or free writing prospectus,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 or free writing prospectus, we will make interest payments by check that we will mail to the holder or by wire transfer to certain holders. Unless we otherwise indicate in the applicable prospectus supplement or 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except to the extent that the Trust Indenture Act is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Ranking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 </w:t>
      </w:r>
    </w:p>
    <w:p>
      <w:pPr>
        <w:pStyle w:val="TextBody"/>
        <w:bidi w:val="0"/>
        <w:spacing w:before="240" w:after="0"/>
        <w:jc w:val="left"/>
        <w:rPr>
          <w:rFonts w:ascii="Times New Roman" w:hAnsi="Times New Roman"/>
          <w:sz w:val="20"/>
        </w:rPr>
      </w:pPr>
      <w:r>
        <w:rPr>
          <w:rFonts w:ascii="Times New Roman" w:hAnsi="Times New Roman"/>
          <w:sz w:val="20"/>
        </w:rPr>
        <w:t xml:space="preserve">The senior debt securities will rank equally in right of payment to all our other senior unsecured debt. The senior indenture does not limit the amount of senior debt securities that we may issue. It also does not limit us from issuing any other secured or unsecured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toc495299_13"/>
      <w:bookmarkEnd w:id="29"/>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warrants,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periods during which, and places at which,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of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0" w:name="toc495299_14"/>
      <w:bookmarkEnd w:id="30"/>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of the governing unit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United States federal income tax considerations relating to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of the securities comprising the units. </w:t>
            </w:r>
          </w:p>
        </w:tc>
      </w:tr>
    </w:tbl>
    <w:p>
      <w:pPr>
        <w:pStyle w:val="TextBody"/>
        <w:bidi w:val="0"/>
        <w:spacing w:before="240" w:after="0"/>
        <w:jc w:val="left"/>
        <w:rPr>
          <w:rFonts w:ascii="Times New Roman" w:hAnsi="Times New Roman"/>
          <w:sz w:val="20"/>
        </w:rPr>
      </w:pPr>
      <w:r>
        <w:rPr>
          <w:rFonts w:ascii="Times New Roman" w:hAnsi="Times New Roman"/>
          <w:sz w:val="20"/>
        </w:rPr>
        <w:t>The provisions described in this section, as well as those described under </w:t>
      </w:r>
      <w:r>
        <w:rPr>
          <w:rFonts w:ascii="Times New Roman" w:hAnsi="Times New Roman"/>
          <w:i/>
          <w:sz w:val="20"/>
        </w:rPr>
        <w:t>Description of Capital Stock</w:t>
      </w:r>
      <w:r>
        <w:rPr>
          <w:rFonts w:ascii="Times New Roman" w:hAnsi="Times New Roman"/>
          <w:sz w:val="20"/>
        </w:rPr>
        <w:t>, </w:t>
      </w:r>
      <w:r>
        <w:rPr>
          <w:rFonts w:ascii="Times New Roman" w:hAnsi="Times New Roman"/>
          <w:i/>
          <w:sz w:val="20"/>
        </w:rPr>
        <w:t>Description of Debt Securities</w:t>
      </w:r>
      <w:r>
        <w:rPr>
          <w:rFonts w:ascii="Times New Roman" w:hAnsi="Times New Roman"/>
          <w:sz w:val="20"/>
        </w:rPr>
        <w:t xml:space="preserve"> and </w:t>
      </w:r>
      <w:r>
        <w:rPr>
          <w:rFonts w:ascii="Times New Roman" w:hAnsi="Times New Roman"/>
          <w:i/>
          <w:sz w:val="20"/>
        </w:rPr>
        <w:t>Description of Warrants</w:t>
      </w:r>
      <w:r>
        <w:rPr>
          <w:rFonts w:ascii="Times New Roman" w:hAnsi="Times New Roman"/>
          <w:sz w:val="20"/>
        </w:rPr>
        <w:t xml:space="preserve"> will apply to the securities included in each unit, to the extent relevant and as may be updated in any prospectus supplements.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Series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Unit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provisions will generally apply to all unit agreements unless otherwise stated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without Consent </w:t>
      </w:r>
    </w:p>
    <w:p>
      <w:pPr>
        <w:pStyle w:val="TextBody"/>
        <w:bidi w:val="0"/>
        <w:spacing w:before="120" w:after="0"/>
        <w:jc w:val="left"/>
        <w:rPr>
          <w:rFonts w:ascii="Times New Roman" w:hAnsi="Times New Roman"/>
          <w:sz w:val="20"/>
        </w:rPr>
      </w:pPr>
      <w:r>
        <w:rPr>
          <w:rFonts w:ascii="Times New Roman" w:hAnsi="Times New Roman"/>
          <w:sz w:val="20"/>
        </w:rPr>
        <w:t xml:space="preserve">We and the applicable unit agent may amend any unit or unit agreement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any provisions of the governing unit agreement that differ from those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correct or supplement any defective or inconsistent provision;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we believe is necessary or desirable and will not adversely affect the interests of the affected holders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with Consent </w:t>
      </w:r>
    </w:p>
    <w:p>
      <w:pPr>
        <w:pStyle w:val="TextBody"/>
        <w:bidi w:val="0"/>
        <w:spacing w:before="120" w:after="0"/>
        <w:jc w:val="left"/>
        <w:rPr>
          <w:rFonts w:ascii="Times New Roman" w:hAnsi="Times New Roman"/>
          <w:sz w:val="20"/>
        </w:rPr>
      </w:pPr>
      <w:r>
        <w:rPr>
          <w:rFonts w:ascii="Times New Roman" w:hAnsi="Times New Roman"/>
          <w:sz w:val="20"/>
        </w:rPr>
        <w:t xml:space="preserve">We may not amend any particular unit or a unit agreement with respect to any particular unit unless we obtain the consent of the holder of that unit, if the amendment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any right of the holder to exercise or enforce any right under a security included in the unit if the terms of that security require the consent of the holder to any changes that would impair the exercise or enforcement of that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outstanding units or any series or class the consent of whose holders is required to amend that series or class, or the applicable unit agreement with respect to that series or class,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other change to a particular unit agreement and the units issued under that agreement would require the following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the units of a particular series issued under that agreement, the change must be approved by the holders of a majority of the outstanding units of that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regarding changes with majority approval also apply to changes affecting any securities issued under a unit agreement, as the governing document. </w:t>
      </w:r>
    </w:p>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 Agreements Will Not Be Qualified under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Mergers and Similar Transactions Permitted; No Restrictive Covenants or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will not restrict our ability to merge or consolidate with, or sell our assets to, another corporation or other entity or to engage in any other transactions. If at any time we merge or consolidate with,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sell our assets substantially as an entirety to, another corporation or other entity, the successor entity will succeed to and assume our obligations under the unit agreements. We will then be relieved of any further obligation under these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unit agreements will not include any restrictions on our ability to put liens on our assets, nor will they restrict our ability to sell our assets. The unit agreements also will not provide for any events of default or remedies upon the occurrence of any events of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and the units will be governed by New York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unit and all securities comprising the unit will be issued in the same form. </w:t>
      </w:r>
    </w:p>
    <w:p>
      <w:pPr>
        <w:pStyle w:val="TextBody"/>
        <w:bidi w:val="0"/>
        <w:spacing w:before="240" w:after="0"/>
        <w:jc w:val="left"/>
        <w:rPr>
          <w:rFonts w:ascii="Times New Roman" w:hAnsi="Times New Roman"/>
          <w:sz w:val="20"/>
        </w:rPr>
      </w:pPr>
      <w:r>
        <w:rPr>
          <w:rFonts w:ascii="Times New Roman" w:hAnsi="Times New Roman"/>
          <w:sz w:val="20"/>
        </w:rPr>
        <w:t xml:space="preserve">If we issue any units in registered, non-global form, the following will apply to them. </w:t>
      </w:r>
    </w:p>
    <w:p>
      <w:pPr>
        <w:pStyle w:val="TextBody"/>
        <w:bidi w:val="0"/>
        <w:spacing w:before="240" w:after="0"/>
        <w:jc w:val="left"/>
        <w:rPr>
          <w:rFonts w:ascii="Times New Roman" w:hAnsi="Times New Roman"/>
          <w:sz w:val="20"/>
        </w:rPr>
      </w:pPr>
      <w:r>
        <w:rPr>
          <w:rFonts w:ascii="Times New Roman" w:hAnsi="Times New Roman"/>
          <w:sz w:val="20"/>
        </w:rPr>
        <w:t xml:space="preserve">The units will be issued in the denominations stated in the applicable prospectus supplement. Holders may exchange their units for units of smaller denominations or combined into fewer units of larger denominations, as long as the total amount is not changed.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may exchange or transfer their units at the office of the unit agent. Holders may also replace lost, stolen, destroyed or mutilated units at that office. We may appoint another entity to perform these functions or perform them ourselves.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the depositary will be entitled to transfer or exchange a unit in global form, since it will be the sole holder of the unit.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and Notices </w:t>
      </w:r>
    </w:p>
    <w:p>
      <w:pPr>
        <w:pStyle w:val="TextBody"/>
        <w:bidi w:val="0"/>
        <w:spacing w:before="120" w:after="0"/>
        <w:jc w:val="left"/>
        <w:rPr>
          <w:rFonts w:ascii="Times New Roman" w:hAnsi="Times New Roman"/>
          <w:sz w:val="20"/>
        </w:rPr>
      </w:pPr>
      <w:r>
        <w:rPr>
          <w:rFonts w:ascii="Times New Roman" w:hAnsi="Times New Roman"/>
          <w:sz w:val="20"/>
        </w:rPr>
        <w:t xml:space="preserve">In making payments and giving notices with respect to our units, we will follow the procedures as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1" w:name="toc495299_15"/>
      <w:bookmarkEnd w:id="3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or dealers are used in the sale, the securities will be acquired by the underwriters or dealers for their own account and may be resold from time to time in one or more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one or more transactions 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at-the-market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those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the following information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managing underwriter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commissions and other items constituting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initial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commissions paid to agents.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Sale through Underwriters or Dealers </w:t>
      </w:r>
    </w:p>
    <w:p>
      <w:pPr>
        <w:pStyle w:val="TextBody"/>
        <w:bidi w:val="0"/>
        <w:spacing w:before="120" w:after="0"/>
        <w:jc w:val="left"/>
        <w:rPr>
          <w:rFonts w:ascii="Times New Roman" w:hAnsi="Times New Roman"/>
          <w:sz w:val="20"/>
        </w:rPr>
      </w:pPr>
      <w:r>
        <w:rPr>
          <w:rFonts w:ascii="Times New Roman" w:hAnsi="Times New Roman"/>
          <w:sz w:val="20"/>
        </w:rPr>
        <w:t xml:space="preserve">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securities, the underwriters may engage in transactions that stabilize, maintain or otherwise affect the price of the securities. Specifically, the underwriters may overallot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any securities are offered through dealers, we will sell the securities to them as principals. They may then resell those securities to the public at varying prices determined by the dealers at the time of resale. </w:t>
      </w:r>
    </w:p>
    <w:p>
      <w:pPr>
        <w:pStyle w:val="TextBody"/>
        <w:bidi w:val="0"/>
        <w:spacing w:before="360" w:after="0"/>
        <w:jc w:val="left"/>
        <w:rPr>
          <w:rFonts w:ascii="Times New Roman" w:hAnsi="Times New Roman"/>
          <w:b/>
          <w:sz w:val="20"/>
        </w:rPr>
      </w:pPr>
      <w:r>
        <w:rPr>
          <w:rFonts w:ascii="Times New Roman" w:hAnsi="Times New Roman"/>
          <w:b/>
          <w:sz w:val="20"/>
        </w:rPr>
        <w:t xml:space="preserve">Direct Sales and Sales through Agents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 </w:t>
      </w:r>
    </w:p>
    <w:p>
      <w:pPr>
        <w:pStyle w:val="TextBody"/>
        <w:bidi w:val="0"/>
        <w:spacing w:before="360" w:after="0"/>
        <w:jc w:val="left"/>
        <w:rPr>
          <w:rFonts w:ascii="Times New Roman" w:hAnsi="Times New Roman"/>
          <w:b/>
          <w:sz w:val="20"/>
        </w:rPr>
      </w:pPr>
      <w:r>
        <w:rPr>
          <w:rFonts w:ascii="Times New Roman" w:hAnsi="Times New Roman"/>
          <w:b/>
          <w:sz w:val="20"/>
        </w:rPr>
        <w:t xml:space="preserve">At-the-Market Offerings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we make sales through one or more underwriters or agents in at-the-market offerings, we will do so pursuant to the terms of a sales agency financing agreement or other at-the-market offering arrangement between us, on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Remarketing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Delayed Delivery Contracts </w:t>
      </w:r>
    </w:p>
    <w:p>
      <w:pPr>
        <w:pStyle w:val="TextBody"/>
        <w:bidi w:val="0"/>
        <w:spacing w:before="120" w:after="0"/>
        <w:jc w:val="left"/>
        <w:rPr>
          <w:rFonts w:ascii="Times New Roman" w:hAnsi="Times New Roman"/>
          <w:sz w:val="20"/>
        </w:rPr>
      </w:pPr>
      <w:r>
        <w:rPr>
          <w:rFonts w:ascii="Times New Roman" w:hAnsi="Times New Roman"/>
          <w:sz w:val="20"/>
        </w:rPr>
        <w:t xml:space="preserve">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2" w:name="toc495299_16"/>
      <w:bookmarkEnd w:id="3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this offering will be passed upon for us by Goodwin Procter LLP, Boston, Massachusetts. Additional legal matters may be passed on for us, or any underwriters, dealers or agents by counsel we will name in the applicable prospectus supplement. </w:t>
      </w:r>
    </w:p>
    <w:p>
      <w:pPr>
        <w:pStyle w:val="TextBody"/>
        <w:bidi w:val="0"/>
        <w:spacing w:before="480" w:after="0"/>
        <w:jc w:val="center"/>
        <w:rPr>
          <w:rFonts w:ascii="Times New Roman" w:hAnsi="Times New Roman"/>
          <w:b/>
          <w:sz w:val="20"/>
        </w:rPr>
      </w:pPr>
      <w:bookmarkStart w:id="33" w:name="toc495299_17"/>
      <w:bookmarkEnd w:id="3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Disc Medicine, Inc. (formerly known as Gemini Therapeutics, Inc.) for the year ended December 31, 2021 included in the Annual Report on Form 10-K dated March 10,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Disc Medicine Opco, Inc. (formerly known as Disc Medicine, Inc.) for the year ended December 31, 2021, appearing in the Companys Current Report on Form 8-K dated December 29,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15290" cy="6604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35"/>
                    <a:stretch>
                      <a:fillRect/>
                    </a:stretch>
                  </pic:blipFill>
                  <pic:spPr bwMode="auto">
                    <a:xfrm>
                      <a:off x="0" y="0"/>
                      <a:ext cx="415290" cy="66040"/>
                    </a:xfrm>
                    <a:prstGeom prst="rect">
                      <a:avLst/>
                    </a:prstGeom>
                  </pic:spPr>
                </pic:pic>
              </a:graphicData>
            </a:graphic>
          </wp:inline>
        </w:drawing>
      </w:r>
      <w:r>
        <w:rPr/>
        <w:t xml:space="preserve"> </w:t>
      </w:r>
    </w:p>
    <w:p>
      <w:pPr>
        <w:pStyle w:val="TextBody"/>
        <w:bidi w:val="0"/>
        <w:spacing w:before="360" w:after="0"/>
        <w:jc w:val="center"/>
        <w:rPr>
          <w:rFonts w:ascii="Times New Roman" w:hAnsi="Times New Roman"/>
          <w:i/>
          <w:sz w:val="24"/>
        </w:rPr>
      </w:pPr>
      <w:r>
        <w:rPr>
          <w:rFonts w:ascii="Times New Roman" w:hAnsi="Times New Roman"/>
          <w:i/>
          <w:sz w:val="24"/>
        </w:rPr>
        <w:t xml:space="preserve">2,595,919 Shares of Common Stock </w:t>
      </w:r>
    </w:p>
    <w:p>
      <w:pPr>
        <w:pStyle w:val="TextBody"/>
        <w:bidi w:val="0"/>
        <w:spacing w:before="0" w:after="0"/>
        <w:jc w:val="center"/>
        <w:rPr>
          <w:rFonts w:ascii="Times New Roman" w:hAnsi="Times New Roman"/>
          <w:i/>
          <w:sz w:val="24"/>
        </w:rPr>
      </w:pPr>
      <w:r>
        <w:rPr>
          <w:rFonts w:ascii="Times New Roman" w:hAnsi="Times New Roman"/>
          <w:i/>
          <w:sz w:val="24"/>
        </w:rPr>
        <w:t xml:space="preserve">204,081 Pre-Funded Warrants to Purchase Shares of Common Stock </w:t>
      </w:r>
    </w:p>
    <w:p>
      <w:pPr>
        <w:pStyle w:val="TextBody"/>
        <w:bidi w:val="0"/>
        <w:spacing w:before="1920" w:after="0"/>
        <w:jc w:val="center"/>
        <w:rPr>
          <w:rFonts w:ascii="Times New Roman" w:hAnsi="Times New Roman"/>
          <w:i/>
          <w:sz w:val="24"/>
        </w:rPr>
      </w:pPr>
      <w:r>
        <w:rPr>
          <w:rFonts w:ascii="Times New Roman" w:hAnsi="Times New Roman"/>
          <w:i/>
          <w:sz w:val="24"/>
        </w:rPr>
        <w:t xml:space="preserve">PROSPECTUS SUPPLEMENT </w:t>
      </w:r>
    </w:p>
    <w:p>
      <w:pPr>
        <w:pStyle w:val="TextBody"/>
        <w:bidi w:val="0"/>
        <w:spacing w:before="1920" w:after="0"/>
        <w:jc w:val="center"/>
        <w:rPr>
          <w:rFonts w:ascii="Times New Roman" w:hAnsi="Times New Roman"/>
          <w:i/>
          <w:sz w:val="20"/>
        </w:rPr>
      </w:pPr>
      <w:r>
        <w:rPr>
          <w:rFonts w:ascii="Times New Roman" w:hAnsi="Times New Roman"/>
          <w:i/>
          <w:sz w:val="20"/>
        </w:rPr>
        <w:t xml:space="preserve">Joint Book-Running Managers </w:t>
      </w:r>
    </w:p>
    <w:p>
      <w:pPr>
        <w:pStyle w:val="TextBody"/>
        <w:bidi w:val="0"/>
        <w:spacing w:before="120" w:after="0"/>
        <w:jc w:val="center"/>
        <w:rPr>
          <w:rFonts w:ascii="Times New Roman" w:hAnsi="Times New Roman"/>
          <w:i/>
          <w:sz w:val="28"/>
        </w:rPr>
      </w:pPr>
      <w:r>
        <w:rPr>
          <w:rFonts w:ascii="Times New Roman" w:hAnsi="Times New Roman"/>
          <w:i/>
          <w:sz w:val="28"/>
        </w:rPr>
        <w:t xml:space="preserve">Morgan Stanley </w:t>
      </w:r>
    </w:p>
    <w:p>
      <w:pPr>
        <w:pStyle w:val="TextBody"/>
        <w:bidi w:val="0"/>
        <w:spacing w:before="120" w:after="0"/>
        <w:jc w:val="center"/>
        <w:rPr>
          <w:rFonts w:ascii="Times New Roman" w:hAnsi="Times New Roman"/>
          <w:i/>
          <w:sz w:val="28"/>
        </w:rPr>
      </w:pPr>
      <w:r>
        <w:rPr>
          <w:rFonts w:ascii="Times New Roman" w:hAnsi="Times New Roman"/>
          <w:i/>
          <w:sz w:val="28"/>
        </w:rPr>
        <w:t xml:space="preserve">SVB Securities </w:t>
      </w:r>
    </w:p>
    <w:p>
      <w:pPr>
        <w:pStyle w:val="TextBody"/>
        <w:bidi w:val="0"/>
        <w:spacing w:before="120" w:after="0"/>
        <w:jc w:val="center"/>
        <w:rPr>
          <w:rFonts w:ascii="Times New Roman" w:hAnsi="Times New Roman"/>
          <w:i/>
          <w:sz w:val="28"/>
        </w:rPr>
      </w:pPr>
      <w:r>
        <w:rPr>
          <w:rFonts w:ascii="Times New Roman" w:hAnsi="Times New Roman"/>
          <w:i/>
          <w:sz w:val="28"/>
        </w:rPr>
        <w:t xml:space="preserve">Stifel </w:t>
      </w:r>
    </w:p>
    <w:p>
      <w:pPr>
        <w:pStyle w:val="TextBody"/>
        <w:bidi w:val="0"/>
        <w:spacing w:before="120" w:after="0"/>
        <w:jc w:val="center"/>
        <w:rPr>
          <w:rFonts w:ascii="Times New Roman" w:hAnsi="Times New Roman"/>
          <w:i/>
          <w:sz w:val="28"/>
        </w:rPr>
      </w:pPr>
      <w:r>
        <w:rPr>
          <w:rFonts w:ascii="Times New Roman" w:hAnsi="Times New Roman"/>
          <w:i/>
          <w:sz w:val="28"/>
        </w:rPr>
        <w:t xml:space="preserve">BMO Capital Markets </w:t>
      </w:r>
    </w:p>
    <w:p>
      <w:pPr>
        <w:pStyle w:val="TextBody"/>
        <w:bidi w:val="0"/>
        <w:spacing w:before="360" w:after="0"/>
        <w:jc w:val="center"/>
        <w:rPr>
          <w:rFonts w:ascii="Times New Roman" w:hAnsi="Times New Roman"/>
          <w:i/>
          <w:sz w:val="20"/>
        </w:rPr>
      </w:pPr>
      <w:r>
        <w:rPr>
          <w:rFonts w:ascii="Times New Roman" w:hAnsi="Times New Roman"/>
          <w:i/>
          <w:sz w:val="20"/>
        </w:rPr>
        <w:t xml:space="preserve">Lead Manager </w:t>
      </w:r>
    </w:p>
    <w:p>
      <w:pPr>
        <w:pStyle w:val="TextBody"/>
        <w:bidi w:val="0"/>
        <w:spacing w:before="120" w:after="0"/>
        <w:jc w:val="center"/>
        <w:rPr>
          <w:rFonts w:ascii="Times New Roman" w:hAnsi="Times New Roman"/>
          <w:i/>
          <w:sz w:val="24"/>
        </w:rPr>
      </w:pPr>
      <w:r>
        <w:rPr>
          <w:rFonts w:ascii="Times New Roman" w:hAnsi="Times New Roman"/>
          <w:i/>
          <w:sz w:val="24"/>
        </w:rPr>
        <w:t xml:space="preserve">Wedbush PacGrow </w:t>
      </w:r>
    </w:p>
    <w:p>
      <w:pPr>
        <w:pStyle w:val="TextBody"/>
        <w:bidi w:val="0"/>
        <w:spacing w:before="240" w:after="0"/>
        <w:jc w:val="both"/>
        <w:rPr>
          <w:rFonts w:ascii="Times New Roman" w:hAnsi="Times New Roman"/>
          <w:i/>
          <w:sz w:val="20"/>
        </w:rPr>
      </w:pPr>
      <w:r>
        <w:rPr>
          <w:rFonts w:ascii="Times New Roman" w:hAnsi="Times New Roman"/>
          <w:i/>
          <w:sz w:val="20"/>
        </w:rPr>
        <w:t xml:space="preserve">June 13, 2023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Bodoni M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1816736/000095017023011139/iron-20221231.htm" TargetMode="External"/><Relationship Id="rId5" Type="http://schemas.openxmlformats.org/officeDocument/2006/relationships/hyperlink" Target="http://www.sec.gov/Archives/edgar/data/../../../ix?doc=/Archives/edgar/data/1816736/000095017023021963/iron-20230331.htm" TargetMode="External"/><Relationship Id="rId6" Type="http://schemas.openxmlformats.org/officeDocument/2006/relationships/hyperlink" Target="http://www.sec.gov/Archives/edgar/data/../../../ix?doc=/Archives/edgar/data/1816736/000119312523012530/d447304d8k.htm" TargetMode="External"/><Relationship Id="rId7" Type="http://schemas.openxmlformats.org/officeDocument/2006/relationships/hyperlink" Target="http://www.sec.gov/Archives/edgar/data/../../../ix?doc=/Archives/edgar/data/1816736/000119312523015225/d456405d8k.htm" TargetMode="External"/><Relationship Id="rId8" Type="http://schemas.openxmlformats.org/officeDocument/2006/relationships/hyperlink" Target="http://www.sec.gov/Archives/edgar/data/../../../ix?doc=/Archives/edgar/data/1816736/000119312523037151/d289637d8k.htm" TargetMode="External"/><Relationship Id="rId9" Type="http://schemas.openxmlformats.org/officeDocument/2006/relationships/hyperlink" Target="http://www.sec.gov/Archives/edgar/data/../../../ix?doc=/Archives/edgar/data/1816736/000119312523086710/d463005d8k.htm" TargetMode="External"/><Relationship Id="rId10" Type="http://schemas.openxmlformats.org/officeDocument/2006/relationships/hyperlink" Target="http://www.sec.gov/Archives/edgar/data/../../../ix?doc=/Archives/edgar/data/1816736/000119312523106433/d488839d8k.htm" TargetMode="External"/><Relationship Id="rId11" Type="http://schemas.openxmlformats.org/officeDocument/2006/relationships/hyperlink" Target="http://www.sec.gov/Archives/edgar/data/../../../ix?doc=/Archives/edgar/data/1816736/000119312523164010/d350054d8k.htm" TargetMode="External"/><Relationship Id="rId12" Type="http://schemas.openxmlformats.org/officeDocument/2006/relationships/hyperlink" Target="http://www.sec.gov/Archives/edgar/data/../../../ix?doc=/Archives/edgar/data/1816736/000119312523164532/d477797d8k.htm" TargetMode="External"/><Relationship Id="rId13" Type="http://schemas.openxmlformats.org/officeDocument/2006/relationships/hyperlink" Target="http://www.sec.gov/Archives/edgar/data/../../../ix?doc=/Archives/edgar/data/1816736/000119312523165366/d431921d8k.htm" TargetMode="External"/><Relationship Id="rId14" Type="http://schemas.openxmlformats.org/officeDocument/2006/relationships/hyperlink" Target="http://www.sec.gov/Archives/edgar/data/1816736/000095017023013565/iron-2023-proxy-def14a.htm" TargetMode="External"/><Relationship Id="rId15" Type="http://schemas.openxmlformats.org/officeDocument/2006/relationships/hyperlink" Target="http://www.sec.gov/Archives/edgar/data/1816736/000121390020021145/ea125295-8a12b_fsdevelop.htm" TargetMode="External"/><Relationship Id="rId16" Type="http://schemas.openxmlformats.org/officeDocument/2006/relationships/hyperlink" Target="http://www.sec.gov/Archives/edgar/data/1816736/000095017022003288/gmtx-ex4_4.htm" TargetMode="External"/><Relationship Id="rId17" Type="http://schemas.openxmlformats.org/officeDocument/2006/relationships/hyperlink" Target="http://www.sec.gov/Archives/edgar/data/1816736/000114036122043943/ny20005172x8_s4a.htm" TargetMode="External"/><Relationship Id="rId18" Type="http://schemas.openxmlformats.org/officeDocument/2006/relationships/image" Target="media/image3.jpeg"/><Relationship Id="rId19" Type="http://schemas.openxmlformats.org/officeDocument/2006/relationships/hyperlink" Target="http://www.sec.gov/Archives/edgar/data/../../../ix?doc=/Archives/edgar/data/1816736/000095017022003288/gmtx-20211231.htm" TargetMode="External"/><Relationship Id="rId20" Type="http://schemas.openxmlformats.org/officeDocument/2006/relationships/hyperlink" Target="http://www.sec.gov/Archives/edgar/data/../../../ix?doc=/Archives/edgar/data/1816736/000095017022008015/gmtx-20220331.htm" TargetMode="External"/><Relationship Id="rId21" Type="http://schemas.openxmlformats.org/officeDocument/2006/relationships/hyperlink" Target="http://www.sec.gov/Archives/edgar/data/../../../ix?doc=/Archives/edgar/data/1816736/000095017022016671/gmtx-20220630.htm" TargetMode="External"/><Relationship Id="rId22" Type="http://schemas.openxmlformats.org/officeDocument/2006/relationships/hyperlink" Target="http://www.sec.gov/Archives/edgar/data/../../../ix?doc=/Archives/edgar/data/1816736/000095017022024195/gmtx-20220930.htm" TargetMode="External"/><Relationship Id="rId23" Type="http://schemas.openxmlformats.org/officeDocument/2006/relationships/hyperlink" Target="http://www.sec.gov/Archives/edgar/data/../../../ix?doc=/Archives/edgar/data/1816736/000119312522005115/d291571d8k.htm" TargetMode="External"/><Relationship Id="rId24" Type="http://schemas.openxmlformats.org/officeDocument/2006/relationships/hyperlink" Target="http://www.sec.gov/Archives/edgar/data/../../../ix?doc=/Archives/edgar/data/1816736/000119312522009374/d237658d8k.htm" TargetMode="External"/><Relationship Id="rId25" Type="http://schemas.openxmlformats.org/officeDocument/2006/relationships/hyperlink" Target="http://www.sec.gov/Archives/edgar/data/../../../ix?doc=/Archives/edgar/data/1816736/000119312522055899/d29362d8k.htm" TargetMode="External"/><Relationship Id="rId26" Type="http://schemas.openxmlformats.org/officeDocument/2006/relationships/hyperlink" Target="http://www.sec.gov/Archives/edgar/data/../../../ix?doc=/Archives/edgar/data/1816736/000119312522095633/d345871d8k.htm" TargetMode="External"/><Relationship Id="rId27" Type="http://schemas.openxmlformats.org/officeDocument/2006/relationships/hyperlink" Target="http://www.sec.gov/Archives/edgar/data/../../../ix?doc=/Archives/edgar/data/1816736/000119312522216814/d94880d8k.htm" TargetMode="External"/><Relationship Id="rId28" Type="http://schemas.openxmlformats.org/officeDocument/2006/relationships/hyperlink" Target="http://www.sec.gov/Archives/edgar/data/../../../ix?doc=/Archives/edgar/data/1816736/000119312522301064/d425106d8k.htm" TargetMode="External"/><Relationship Id="rId29" Type="http://schemas.openxmlformats.org/officeDocument/2006/relationships/hyperlink" Target="http://www.sec.gov/Archives/edgar/data/../../../ix?doc=/Archives/edgar/data/1816736/000114036122047153/brhc10045909_8k.htm" TargetMode="External"/><Relationship Id="rId30" Type="http://schemas.openxmlformats.org/officeDocument/2006/relationships/hyperlink" Target="http://www.sec.gov/Archives/edgar/data/../../../ix?doc=/Archives/edgar/data/1816736/000114036122047453/brhc10045896_8k.htm" TargetMode="External"/><Relationship Id="rId31" Type="http://schemas.openxmlformats.org/officeDocument/2006/relationships/hyperlink" Target="http://www.sec.gov/Archives/edgar/data/1816736/000121390020021145/ea125295-8a12b_fsdevelop.htm" TargetMode="External"/><Relationship Id="rId32" Type="http://schemas.openxmlformats.org/officeDocument/2006/relationships/hyperlink" Target="http://www.sec.gov/Archives/edgar/data/1816736/000095017022003288/gmtx-ex4_4.htm" TargetMode="External"/><Relationship Id="rId33" Type="http://schemas.openxmlformats.org/officeDocument/2006/relationships/hyperlink" Target="http://www.sec.gov/Archives/edgar/data/1816736/000121390020021145/ea125295-8a12b_fsdevelop.htm" TargetMode="External"/><Relationship Id="rId34" Type="http://schemas.openxmlformats.org/officeDocument/2006/relationships/hyperlink" Target="http://www.sec.gov/Archives/edgar/data/1816736/000114036122043943/ny20005172x8_s4a.htm" TargetMode="External"/><Relationship Id="rId35" Type="http://schemas.openxmlformats.org/officeDocument/2006/relationships/image" Target="media/image1.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87</Pages>
  <Words>43585</Words>
  <Characters>227669</Characters>
  <CharactersWithSpaces>271805</CharactersWithSpaces>
  <Paragraphs>3449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