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Disc Medicine,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644" w:type="dxa"/>
        <w:tblCellMar>
          <w:top w:w="0" w:type="dxa"/>
          <w:left w:w="0" w:type="dxa"/>
          <w:bottom w:w="0" w:type="dxa"/>
          <w:right w:w="0" w:type="dxa"/>
        </w:tblCellMar>
      </w:tblPr>
      <w:tr>
        <w:trPr>
          <w:trHeight w:val="214"/>
        </w:trPr>
        <w:tc>
          <w:tcPr>
            <w:tcW w:w="3520" w:type="dxa"/>
            <w:vAlign w:val="bottom"/>
          </w:tcPr>
          <w:p>
            <w:pPr>
              <w:jc w:val="center"/>
              <w:ind w:right="9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001-39438</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85-1612845</w:t>
            </w:r>
          </w:p>
        </w:tc>
      </w:tr>
      <w:tr>
        <w:trPr>
          <w:trHeight w:val="148"/>
        </w:trPr>
        <w:tc>
          <w:tcPr>
            <w:tcW w:w="3520" w:type="dxa"/>
            <w:vAlign w:val="bottom"/>
          </w:tcPr>
          <w:p>
            <w:pPr>
              <w:jc w:val="center"/>
              <w:ind w:right="9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200" w:type="dxa"/>
            <w:vAlign w:val="bottom"/>
          </w:tcPr>
          <w:p>
            <w:pPr>
              <w:ind w:left="10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20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8"/>
                <w:szCs w:val="18"/>
                <w:b w:val="1"/>
                <w:bCs w:val="1"/>
                <w:color w:val="auto"/>
              </w:rPr>
              <w:t>321 Arsenal Street, Suite 101</w:t>
            </w:r>
          </w:p>
        </w:tc>
        <w:tc>
          <w:tcPr>
            <w:tcW w:w="32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4"/>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8"/>
                <w:szCs w:val="18"/>
                <w:b w:val="1"/>
                <w:bCs w:val="1"/>
                <w:color w:val="auto"/>
                <w:w w:val="99"/>
              </w:rPr>
              <w:t>Watertown, Massachusetts</w:t>
            </w:r>
          </w:p>
        </w:tc>
        <w:tc>
          <w:tcPr>
            <w:tcW w:w="3200" w:type="dxa"/>
            <w:vAlign w:val="bottom"/>
          </w:tcPr>
          <w:p>
            <w:pPr>
              <w:spacing w:after="0"/>
              <w:rPr>
                <w:sz w:val="18"/>
                <w:szCs w:val="18"/>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190"/>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674-9274</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10"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IRON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On June 14, 2024, Disc Medicine, Inc. (the “Company”) entered into an Underwriting Agreement (the “Underwriting Agreement”) with Leerink Partners, as representative of the underwriter listed on Schedule I thereto (“Underwriter”), related to an underwritten offering (the “Offering”) of 4,944,000 shares of common stock of the Company, par value $0.0001 per share (“Common Stock”) at a price to the public of $36.00 per share. The net proceeds from the Offering are expected to be approximately $172.3 million after deducting the underwriting discount and estimated offering expenses. The Company expects that its cash and cash equivalents, together with the estimated net proceeds from the Offering, will be sufficient to fund its current operating and capital expenditure plans well into 2027. The Offering is expected to close on June 17, 2024, subject to customary closing conditions.</w:t>
      </w:r>
    </w:p>
    <w:p>
      <w:pPr>
        <w:spacing w:after="0" w:line="173"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The Company made certain customary representations, warranties and covenants concerning the Company and the registration statement in the Underwriting Agreement and also agreed to indemnify the Underwriter against certain liabilities, including liabilities under the Securities Act of 1933, as amended (the “Securities Act”). The Offering is being made pursuant to the Company’s shelf registration statement on Form S-3 (File</w:t>
      </w:r>
    </w:p>
    <w:p>
      <w:pPr>
        <w:spacing w:after="0" w:line="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No. 333-275652), filed with the Securities and Exchange Commission (the “Commission”) on November 20, 2023 and declared effective by the Commission on November 29, 2023. This Current Report on Form 8-K does not constitute an offer to sell or a solicitation of an offer to buy any of the shares of Common Stock.</w:t>
      </w:r>
    </w:p>
    <w:p>
      <w:pPr>
        <w:spacing w:after="0" w:line="18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foregoing description of certain terms of the Underwriting Agreement and the transactions contemplated thereby does not purport to be complete and is subject to, and qualified in its entirety by, the full text of the Underwriting Agreement, which is attached as Exhibit 1.1 hereto and is incorporated by reference herein. A copy of the opinion of Goodwin Procter LLP, relating to the legality of the shares of Common Stock is filed as Exhibit 5.1 hereto and is incorporated by reference herein.</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On June 14, 2024, the Company issued a press release announcing the Offering. A copy of the press release is attached hereto as Exhibit 99.1 and is incorporated by reference herein.</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ectPr>
          <w:pgSz w:w="11900" w:h="16838" w:orient="portrait"/>
          <w:cols w:equalWidth="0" w:num="1">
            <w:col w:w="10980"/>
          </w:cols>
          <w:pgMar w:left="440" w:top="293" w:right="479" w:bottom="1440" w:gutter="0" w:footer="0" w:header="0"/>
        </w:sectPr>
      </w:pP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No. 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3257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755" cy="8890"/>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w:t>
      </w:r>
    </w:p>
    <w:p>
      <w:pPr>
        <w:spacing w:after="0" w:line="11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u w:val="single" w:color="auto"/>
          <w:color w:val="0000EE"/>
        </w:rPr>
        <w:t>Underwriting Agreement, dated as of June 14, 2024, by and among the Company and Leerink Partners LLC, as representative of the several underwriters listed on Schedule I thereto.</w:t>
      </w:r>
    </w:p>
    <w:p>
      <w:pPr>
        <w:spacing w:after="0" w:line="40" w:lineRule="exact"/>
        <w:rPr>
          <w:sz w:val="20"/>
          <w:szCs w:val="20"/>
          <w:color w:val="auto"/>
        </w:rPr>
      </w:pPr>
    </w:p>
    <w:p>
      <w:pPr>
        <w:sectPr>
          <w:pgSz w:w="11900" w:h="16838" w:orient="portrait"/>
          <w:cols w:equalWidth="0" w:num="2">
            <w:col w:w="480" w:space="560"/>
            <w:col w:w="9940"/>
          </w:cols>
          <w:pgMar w:left="440" w:top="293" w:right="47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  5.1</w:t>
            </w:r>
          </w:p>
        </w:tc>
        <w:tc>
          <w:tcPr>
            <w:tcW w:w="64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Opinion of Goodwin Procter LLP regarding the issue of Common Stock being registered.</w:t>
            </w: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Consent of Goodwin Procter LLP (included in Exhibit 5.1).</w:t>
            </w:r>
          </w:p>
        </w:tc>
      </w:tr>
      <w:tr>
        <w:trPr>
          <w:trHeight w:val="20"/>
        </w:trPr>
        <w:tc>
          <w:tcPr>
            <w:tcW w:w="1040" w:type="dxa"/>
            <w:vAlign w:val="bottom"/>
          </w:tcPr>
          <w:p>
            <w:pPr>
              <w:spacing w:after="0" w:line="20" w:lineRule="exact"/>
              <w:rPr>
                <w:sz w:val="1"/>
                <w:szCs w:val="1"/>
                <w:color w:val="auto"/>
              </w:rPr>
            </w:pPr>
          </w:p>
        </w:tc>
        <w:tc>
          <w:tcPr>
            <w:tcW w:w="42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announcing the Offering, dated June 14, 2024.</w:t>
            </w:r>
          </w:p>
        </w:tc>
      </w:tr>
      <w:tr>
        <w:trPr>
          <w:trHeight w:val="20"/>
        </w:trPr>
        <w:tc>
          <w:tcPr>
            <w:tcW w:w="1040" w:type="dxa"/>
            <w:vAlign w:val="bottom"/>
          </w:tcPr>
          <w:p>
            <w:pPr>
              <w:spacing w:after="0" w:line="20" w:lineRule="exact"/>
              <w:rPr>
                <w:sz w:val="1"/>
                <w:szCs w:val="1"/>
                <w:color w:val="auto"/>
              </w:rPr>
            </w:pPr>
          </w:p>
        </w:tc>
        <w:tc>
          <w:tcPr>
            <w:tcW w:w="4300" w:type="dxa"/>
            <w:vAlign w:val="bottom"/>
            <w:gridSpan w:val="2"/>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34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0980"/>
          </w:cols>
          <w:pgMar w:left="440" w:top="293" w:right="479" w:bottom="1440" w:gutter="0" w:footer="0" w:header="0"/>
          <w:type w:val="continuous"/>
        </w:sectPr>
      </w:pPr>
    </w:p>
    <w:bookmarkStart w:id="2" w:name="page3"/>
    <w:bookmarkEnd w:id="2"/>
    <w:p>
      <w:pPr>
        <w:ind w:left="4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25" w:lineRule="exact"/>
        <w:rPr>
          <w:sz w:val="20"/>
          <w:szCs w:val="20"/>
          <w:color w:val="auto"/>
        </w:rPr>
      </w:pPr>
    </w:p>
    <w:p>
      <w:pPr>
        <w:spacing w:after="0"/>
        <w:tabs>
          <w:tab w:leader="none" w:pos="5500" w:val="left"/>
          <w:tab w:leader="none" w:pos="6140" w:val="left"/>
        </w:tabs>
        <w:rPr>
          <w:sz w:val="20"/>
          <w:szCs w:val="20"/>
          <w:color w:val="auto"/>
        </w:rPr>
      </w:pPr>
      <w:r>
        <w:rPr>
          <w:rFonts w:ascii="Times New Roman" w:cs="Times New Roman" w:eastAsia="Times New Roman" w:hAnsi="Times New Roman"/>
          <w:sz w:val="18"/>
          <w:szCs w:val="18"/>
          <w:color w:val="auto"/>
        </w:rPr>
        <w:t>Date: June 14,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4"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Name:</w:t>
        <w:tab/>
        <w:t>John Quisel, J.D., Ph.D.</w:t>
      </w:r>
    </w:p>
    <w:p>
      <w:pPr>
        <w:spacing w:after="0" w:line="9"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ectPr>
          <w:pgSz w:w="11900" w:h="16838" w:orient="portrait"/>
          <w:cols w:equalWidth="0" w:num="1">
            <w:col w:w="10260"/>
          </w:cols>
          <w:pgMar w:left="440" w:top="297"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4,944,000 SHARES OF COMMON STOCK (PAR VALUE $0.0001 PER SHARE)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14, 2024</w:t>
      </w:r>
    </w:p>
    <w:p>
      <w:pPr>
        <w:sectPr>
          <w:pgSz w:w="11900" w:h="16838" w:orient="portrait"/>
          <w:cols w:equalWidth="0" w:num="1">
            <w:col w:w="11020"/>
          </w:cols>
          <w:pgMar w:left="440" w:top="117"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June 14,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Leerink Partners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Leerink Partners LLC</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53 State Street, 40th Floor</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Boston, Massachusetts 02109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Disc Medicine,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proposes to issue and sell to the several Underwriters named in Schedule I hereto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for whom Leerink Partners LLC is acting as representative (the “</w:t>
      </w:r>
      <w:r>
        <w:rPr>
          <w:rFonts w:ascii="Times New Roman" w:cs="Times New Roman" w:eastAsia="Times New Roman" w:hAnsi="Times New Roman"/>
          <w:sz w:val="18"/>
          <w:szCs w:val="18"/>
          <w:b w:val="1"/>
          <w:bCs w:val="1"/>
          <w:color w:val="auto"/>
        </w:rPr>
        <w:t>Representative</w:t>
      </w:r>
      <w:r>
        <w:rPr>
          <w:rFonts w:ascii="Times New Roman" w:cs="Times New Roman" w:eastAsia="Times New Roman" w:hAnsi="Times New Roman"/>
          <w:sz w:val="18"/>
          <w:szCs w:val="18"/>
          <w:color w:val="auto"/>
        </w:rPr>
        <w:t>”), 4,944,000 shares of its common stock, par value $0.0001 per 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The shares of common stock, par value $0.0001 per share, of the Company to be outstanding after giving effect to the sales contemplated hereby are hereinafter referred to as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The Company has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 registration statement, including a prospectus, on Form S-3 (File No. 333-275652), relating to the various securities (the “</w:t>
      </w:r>
      <w:r>
        <w:rPr>
          <w:rFonts w:ascii="Times New Roman" w:cs="Times New Roman" w:eastAsia="Times New Roman" w:hAnsi="Times New Roman"/>
          <w:sz w:val="18"/>
          <w:szCs w:val="18"/>
          <w:b w:val="1"/>
          <w:bCs w:val="1"/>
          <w:color w:val="auto"/>
        </w:rPr>
        <w:t>Shelf Securities</w:t>
      </w:r>
      <w:r>
        <w:rPr>
          <w:rFonts w:ascii="Times New Roman" w:cs="Times New Roman" w:eastAsia="Times New Roman" w:hAnsi="Times New Roman"/>
          <w:sz w:val="18"/>
          <w:szCs w:val="18"/>
          <w:color w:val="auto"/>
        </w:rPr>
        <w:t>”), including the Shares, to be issued from time to time by the Company. The registration statement as amended to the date of this Agreement, including the information (if any) deemed to be part of the registration statement at the time of effectiveness pursuant to Rule 430A or Rule 430B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is hereinafter referred to as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and the related prospectus covering the Shelf Securities dated November 29, 2023 is hereinafter referred to as the “</w:t>
      </w:r>
      <w:r>
        <w:rPr>
          <w:rFonts w:ascii="Times New Roman" w:cs="Times New Roman" w:eastAsia="Times New Roman" w:hAnsi="Times New Roman"/>
          <w:sz w:val="18"/>
          <w:szCs w:val="18"/>
          <w:b w:val="1"/>
          <w:bCs w:val="1"/>
          <w:color w:val="auto"/>
        </w:rPr>
        <w:t>Basic Prospectus</w:t>
      </w:r>
      <w:r>
        <w:rPr>
          <w:rFonts w:ascii="Times New Roman" w:cs="Times New Roman" w:eastAsia="Times New Roman" w:hAnsi="Times New Roman"/>
          <w:sz w:val="18"/>
          <w:szCs w:val="18"/>
          <w:color w:val="auto"/>
        </w:rPr>
        <w:t>.” The Basic Prospectus, as supplemented by the prospectus supplement specifically relating to the Shares in the form first used to confirm sales of the Shares (or in the form first made available to the Underwriters by the Company to meet requests of purchasers pursuant to Rule 173 under the Securities Act) is hereinafter referred to as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and the term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means any preliminary form of the Prospectus. If the Company has filed an abbreviated registration statement to register additional shares of Common Stock pursuant to Rule 462(b) under the Securities Act (a “</w:t>
      </w:r>
      <w:r>
        <w:rPr>
          <w:rFonts w:ascii="Times New Roman" w:cs="Times New Roman" w:eastAsia="Times New Roman" w:hAnsi="Times New Roman"/>
          <w:sz w:val="18"/>
          <w:szCs w:val="18"/>
          <w:b w:val="1"/>
          <w:bCs w:val="1"/>
          <w:color w:val="auto"/>
        </w:rPr>
        <w:t>Rule 462 Registration Statement</w:t>
      </w:r>
      <w:r>
        <w:rPr>
          <w:rFonts w:ascii="Times New Roman" w:cs="Times New Roman" w:eastAsia="Times New Roman" w:hAnsi="Times New Roman"/>
          <w:sz w:val="18"/>
          <w:szCs w:val="18"/>
          <w:color w:val="auto"/>
        </w:rPr>
        <w:t>”), then any reference herein to the term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shall be deemed to include such Rule 462 Registration Statement.</w:t>
      </w:r>
    </w:p>
    <w:p>
      <w:pPr>
        <w:spacing w:after="0" w:line="182"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7"/>
          <w:szCs w:val="17"/>
          <w:color w:val="auto"/>
        </w:rPr>
        <w:t>For purposes of this Agreement, “</w:t>
      </w:r>
      <w:r>
        <w:rPr>
          <w:rFonts w:ascii="Times New Roman" w:cs="Times New Roman" w:eastAsia="Times New Roman" w:hAnsi="Times New Roman"/>
          <w:sz w:val="17"/>
          <w:szCs w:val="17"/>
          <w:b w:val="1"/>
          <w:bCs w:val="1"/>
          <w:color w:val="auto"/>
        </w:rPr>
        <w:t>free writing prospectus</w:t>
      </w:r>
      <w:r>
        <w:rPr>
          <w:rFonts w:ascii="Times New Roman" w:cs="Times New Roman" w:eastAsia="Times New Roman" w:hAnsi="Times New Roman"/>
          <w:sz w:val="17"/>
          <w:szCs w:val="17"/>
          <w:color w:val="auto"/>
        </w:rPr>
        <w:t>” has the meaning set forth in Rule 405 under the Securities Act, “</w:t>
      </w:r>
      <w:r>
        <w:rPr>
          <w:rFonts w:ascii="Times New Roman" w:cs="Times New Roman" w:eastAsia="Times New Roman" w:hAnsi="Times New Roman"/>
          <w:sz w:val="17"/>
          <w:szCs w:val="17"/>
          <w:b w:val="1"/>
          <w:bCs w:val="1"/>
          <w:color w:val="auto"/>
        </w:rPr>
        <w:t>Time of Sale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Prospectus</w:t>
      </w:r>
      <w:r>
        <w:rPr>
          <w:rFonts w:ascii="Times New Roman" w:cs="Times New Roman" w:eastAsia="Times New Roman" w:hAnsi="Times New Roman"/>
          <w:sz w:val="17"/>
          <w:szCs w:val="17"/>
          <w:color w:val="auto"/>
        </w:rPr>
        <w:t>” means the Basic Prospectus as supplemented by the documents and pricing information set forth in Schedule II hereto, and “</w:t>
      </w:r>
      <w:r>
        <w:rPr>
          <w:rFonts w:ascii="Times New Roman" w:cs="Times New Roman" w:eastAsia="Times New Roman" w:hAnsi="Times New Roman"/>
          <w:sz w:val="17"/>
          <w:szCs w:val="17"/>
          <w:b w:val="1"/>
          <w:bCs w:val="1"/>
          <w:color w:val="auto"/>
        </w:rPr>
        <w:t>broadly available road show</w:t>
      </w:r>
      <w:r>
        <w:rPr>
          <w:rFonts w:ascii="Times New Roman" w:cs="Times New Roman" w:eastAsia="Times New Roman" w:hAnsi="Times New Roman"/>
          <w:sz w:val="17"/>
          <w:szCs w:val="17"/>
          <w:color w:val="auto"/>
        </w:rPr>
        <w:t>” means a “</w:t>
      </w:r>
      <w:r>
        <w:rPr>
          <w:rFonts w:ascii="Times New Roman" w:cs="Times New Roman" w:eastAsia="Times New Roman" w:hAnsi="Times New Roman"/>
          <w:sz w:val="17"/>
          <w:szCs w:val="17"/>
          <w:b w:val="1"/>
          <w:bCs w:val="1"/>
          <w:color w:val="auto"/>
        </w:rPr>
        <w:t>bona fide electronic road show</w:t>
      </w:r>
      <w:r>
        <w:rPr>
          <w:rFonts w:ascii="Times New Roman" w:cs="Times New Roman" w:eastAsia="Times New Roman" w:hAnsi="Times New Roman"/>
          <w:sz w:val="17"/>
          <w:szCs w:val="17"/>
          <w:color w:val="auto"/>
        </w:rPr>
        <w:t>” as defined in Rule 433(h)(5) under the Securities Act that has been made available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without restriction to any person. As used herein, the terms “</w:t>
      </w:r>
      <w:r>
        <w:rPr>
          <w:rFonts w:ascii="Times New Roman" w:cs="Times New Roman" w:eastAsia="Times New Roman" w:hAnsi="Times New Roman"/>
          <w:sz w:val="17"/>
          <w:szCs w:val="17"/>
          <w:b w:val="1"/>
          <w:bCs w:val="1"/>
          <w:color w:val="auto"/>
        </w:rPr>
        <w:t>Registration Statement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Basic Prospectus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preliminary prospectus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Time of Sale</w:t>
      </w:r>
    </w:p>
    <w:p>
      <w:pPr>
        <w:sectPr>
          <w:pgSz w:w="11900" w:h="16838" w:orient="portrait"/>
          <w:cols w:equalWidth="0" w:num="1">
            <w:col w:w="11020"/>
          </w:cols>
          <w:pgMar w:left="440" w:top="270" w:right="439" w:bottom="1440" w:gutter="0" w:footer="0" w:header="0"/>
        </w:sectPr>
      </w:pPr>
    </w:p>
    <w:bookmarkStart w:id="5" w:name="page6"/>
    <w:bookmarkEnd w:id="5"/>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Prospectus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shall include the documents, if any, incorporated by reference therein as of the date hereof. The terms “</w:t>
      </w:r>
      <w:r>
        <w:rPr>
          <w:rFonts w:ascii="Times New Roman" w:cs="Times New Roman" w:eastAsia="Times New Roman" w:hAnsi="Times New Roman"/>
          <w:sz w:val="18"/>
          <w:szCs w:val="18"/>
          <w:b w:val="1"/>
          <w:bCs w:val="1"/>
          <w:color w:val="auto"/>
        </w:rPr>
        <w:t>supplement,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amend</w:t>
      </w:r>
      <w:r>
        <w:rPr>
          <w:rFonts w:ascii="Times New Roman" w:cs="Times New Roman" w:eastAsia="Times New Roman" w:hAnsi="Times New Roman"/>
          <w:sz w:val="18"/>
          <w:szCs w:val="18"/>
          <w:color w:val="auto"/>
        </w:rPr>
        <w:t>” as used herein with respect to the Registration Statement, the Prospectus, the Time of Sale Prospectus or the Prospectus shall include all documents subsequently filed by the Company with the Commission pursuant to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that are deemed to be incorporated by reference therein.</w:t>
      </w:r>
    </w:p>
    <w:p>
      <w:pPr>
        <w:spacing w:after="0" w:line="178" w:lineRule="exact"/>
        <w:rPr>
          <w:sz w:val="20"/>
          <w:szCs w:val="20"/>
          <w:color w:val="auto"/>
        </w:rPr>
      </w:pPr>
    </w:p>
    <w:p>
      <w:pPr>
        <w:ind w:left="620" w:hanging="184"/>
        <w:spacing w:after="0"/>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w:t>
      </w:r>
      <w:r>
        <w:rPr>
          <w:rFonts w:ascii="Times New Roman" w:cs="Times New Roman" w:eastAsia="Times New Roman" w:hAnsi="Times New Roman"/>
          <w:sz w:val="18"/>
          <w:szCs w:val="18"/>
          <w:color w:val="auto"/>
        </w:rPr>
        <w:t>. The Company represents and warrants to and agrees with each of the Underwriters that:</w:t>
      </w:r>
    </w:p>
    <w:p>
      <w:pPr>
        <w:spacing w:after="0" w:line="119" w:lineRule="exact"/>
        <w:rPr>
          <w:rFonts w:ascii="Times New Roman" w:cs="Times New Roman" w:eastAsia="Times New Roman" w:hAnsi="Times New Roman"/>
          <w:sz w:val="18"/>
          <w:szCs w:val="18"/>
          <w:color w:val="auto"/>
        </w:rPr>
      </w:pPr>
    </w:p>
    <w:p>
      <w:pPr>
        <w:ind w:left="220" w:right="80" w:firstLine="428"/>
        <w:spacing w:after="0" w:line="266" w:lineRule="auto"/>
        <w:tabs>
          <w:tab w:leader="none" w:pos="896"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has become effective; no stop order suspending the effectiveness of the Registration Statement is in effect, and no proceedings for such purpose or pursuant to Section 8A under the Securities Act are pending before or, to the knowledge of the Company, threatened by the Commission.</w:t>
      </w:r>
    </w:p>
    <w:p>
      <w:pPr>
        <w:spacing w:after="0" w:line="67" w:lineRule="exact"/>
        <w:rPr>
          <w:rFonts w:ascii="Times New Roman" w:cs="Times New Roman" w:eastAsia="Times New Roman" w:hAnsi="Times New Roman"/>
          <w:sz w:val="18"/>
          <w:szCs w:val="18"/>
          <w:color w:val="auto"/>
        </w:rPr>
      </w:pPr>
    </w:p>
    <w:p>
      <w:pPr>
        <w:ind w:left="220" w:firstLine="428"/>
        <w:spacing w:after="0" w:line="267" w:lineRule="auto"/>
        <w:tabs>
          <w:tab w:leader="none" w:pos="907" w:val="left"/>
        </w:tabs>
        <w:numPr>
          <w:ilvl w:val="1"/>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(ii) the Registration Statement, when it became effective, did not contain and, as amended or supplemented, if applicable, will not contain any untrue statement of a material fact or omit to state a material fact required to be stated therein or necessary to make the statements therein not misleading, (iii) the Registration Statement and the Prospectus comply and, as amended or supplemented, if applicable, will comply in all material respects with the Securities Act and the applicable rules and regulations of the Commission thereunder, (iv) the Time of Sale Prospectus does not, and at the time of each sale of the Shares in connection with the offering when the Prospectus is not yet available to prospective purchasers and at the Closing Date (as defined in Section 4),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(v) the Prospectus does not contain and, as amended or supplemented, if applicable, will not contain any untrue statement of a material fact or omit to state a material fact necessary to make the statements therein, in the light of the circumstances under which they were made, not misleading and (vi)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information relating to any Underwriter furnished to the Company in writing by or on behalf of such Underwriter through the Representative expressly for use therein, it being understood and agreed upon that the only such information in the Prospectus furnished on behalf of each Underwriter is the concession figure appearing in the sixth paragraph under the caption “Underwriters,” and the information contained in the twelfth paragraph under the caption “Underwriters” regarding stabilizing transactions (the “</w:t>
      </w:r>
      <w:r>
        <w:rPr>
          <w:rFonts w:ascii="Times New Roman" w:cs="Times New Roman" w:eastAsia="Times New Roman" w:hAnsi="Times New Roman"/>
          <w:sz w:val="17"/>
          <w:szCs w:val="17"/>
          <w:b w:val="1"/>
          <w:bCs w:val="1"/>
          <w:color w:val="auto"/>
        </w:rPr>
        <w:t>Underwriter Information</w:t>
      </w:r>
      <w:r>
        <w:rPr>
          <w:rFonts w:ascii="Times New Roman" w:cs="Times New Roman" w:eastAsia="Times New Roman" w:hAnsi="Times New Roman"/>
          <w:sz w:val="17"/>
          <w:szCs w:val="17"/>
          <w:color w:val="auto"/>
        </w:rPr>
        <w:t>”).</w:t>
      </w:r>
    </w:p>
    <w:p>
      <w:pPr>
        <w:spacing w:after="0" w:line="33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440" w:top="266" w:right="519" w:bottom="1440" w:gutter="0" w:footer="0" w:header="0"/>
        </w:sectPr>
      </w:pPr>
    </w:p>
    <w:bookmarkStart w:id="6" w:name="page7"/>
    <w:bookmarkEnd w:id="6"/>
    <w:p>
      <w:pPr>
        <w:ind w:firstLine="428"/>
        <w:spacing w:after="0" w:line="254" w:lineRule="auto"/>
        <w:tabs>
          <w:tab w:leader="none" w:pos="67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Commission thereunder. Except for the free writing prospectuses, if any, identified in Schedule II hereto, and electronic road shows, if any, each furnished to the Representative before first use, the Company has not prepared, used or referred to, and will not, without the Representative’s prior consent, prepare, use or refer to, any free writing prospectus.</w:t>
      </w:r>
    </w:p>
    <w:p>
      <w:pPr>
        <w:spacing w:after="0" w:line="83" w:lineRule="exact"/>
        <w:rPr>
          <w:rFonts w:ascii="Times New Roman" w:cs="Times New Roman" w:eastAsia="Times New Roman" w:hAnsi="Times New Roman"/>
          <w:sz w:val="18"/>
          <w:szCs w:val="18"/>
          <w:color w:val="auto"/>
        </w:rPr>
      </w:pPr>
    </w:p>
    <w:p>
      <w:pPr>
        <w:ind w:right="280" w:firstLine="428"/>
        <w:spacing w:after="0" w:line="266" w:lineRule="auto"/>
        <w:tabs>
          <w:tab w:leader="none" w:pos="68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67" w:lineRule="exact"/>
        <w:rPr>
          <w:rFonts w:ascii="Times New Roman" w:cs="Times New Roman" w:eastAsia="Times New Roman" w:hAnsi="Times New Roman"/>
          <w:sz w:val="18"/>
          <w:szCs w:val="18"/>
          <w:color w:val="auto"/>
        </w:rPr>
      </w:pPr>
    </w:p>
    <w:p>
      <w:pPr>
        <w:ind w:right="140" w:firstLine="428"/>
        <w:spacing w:after="0" w:line="266" w:lineRule="auto"/>
        <w:tabs>
          <w:tab w:leader="none" w:pos="67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time of initial confidential submission of the Company’s Registration Statement on Form S-1 (File No. 333-240098) to the Commission through the date hereof, the Company has been and is an “emerging growth company,” as defined in Section 2(a) of the Securities Act (an “</w:t>
      </w:r>
      <w:r>
        <w:rPr>
          <w:rFonts w:ascii="Times New Roman" w:cs="Times New Roman" w:eastAsia="Times New Roman" w:hAnsi="Times New Roman"/>
          <w:sz w:val="18"/>
          <w:szCs w:val="18"/>
          <w:b w:val="1"/>
          <w:bCs w:val="1"/>
          <w:color w:val="auto"/>
        </w:rPr>
        <w:t>Emerging Growth Company</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jc w:val="both"/>
        <w:ind w:right="80" w:firstLine="428"/>
        <w:spacing w:after="0" w:line="266" w:lineRule="auto"/>
        <w:tabs>
          <w:tab w:leader="none" w:pos="65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interactive data in eXtensible Business Reporting Language included or incorporated by reference in the Registration Statement, Time of Sale Prospectus and the Prospectus fairly presents the information called for in all material respects and has been prepared in accordance with the Commission’s rules and guidelines applicable thereto.</w:t>
      </w:r>
    </w:p>
    <w:p>
      <w:pPr>
        <w:spacing w:after="0" w:line="67" w:lineRule="exact"/>
        <w:rPr>
          <w:rFonts w:ascii="Times New Roman" w:cs="Times New Roman" w:eastAsia="Times New Roman" w:hAnsi="Times New Roman"/>
          <w:sz w:val="18"/>
          <w:szCs w:val="18"/>
          <w:color w:val="auto"/>
        </w:rPr>
      </w:pPr>
    </w:p>
    <w:p>
      <w:pPr>
        <w:ind w:firstLine="428"/>
        <w:spacing w:after="0" w:line="256" w:lineRule="auto"/>
        <w:tabs>
          <w:tab w:leader="none" w:pos="68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subject to and in compliance in all material respects with the reporting requirements of Section 13 or Section 15(d) of the Exchange Act. The Common Stock is registered pursuant to Section 12(b) of the Exchange Act and is listed on the Nasdaq Global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and the Company has taken no action designed to, or reasonably likely to have the effect of, terminating the registration of the Common Stock under the Exchange Act or delisting the Common Stock from Nasdaq, nor has the Company received any notification that the Commission or Nasdaq is contemplating terminating such registration or listing. The Company is in compliance with the current listing standards of Nasdaq. The Company has filed a Notification of Listing of Additional Shares with Nasdaq with respect to the Shares.</w:t>
      </w:r>
    </w:p>
    <w:p>
      <w:pPr>
        <w:spacing w:after="0" w:line="12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40"/>
          </w:cols>
          <w:pgMar w:left="660" w:top="270" w:right="499" w:bottom="1440" w:gutter="0" w:footer="0" w:header="0"/>
        </w:sectPr>
      </w:pPr>
    </w:p>
    <w:bookmarkStart w:id="7" w:name="page8"/>
    <w:bookmarkEnd w:id="7"/>
    <w:p>
      <w:pPr>
        <w:ind w:left="680" w:hanging="252"/>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person (as such term is defined in Rule 1-02 of Regulation S-X promulgated under the Securities Act) has the right to act as an</w:t>
      </w:r>
    </w:p>
    <w:p>
      <w:pPr>
        <w:spacing w:after="0" w:line="27" w:lineRule="exact"/>
        <w:rPr>
          <w:rFonts w:ascii="Times New Roman" w:cs="Times New Roman" w:eastAsia="Times New Roman" w:hAnsi="Times New Roman"/>
          <w:sz w:val="18"/>
          <w:szCs w:val="18"/>
          <w:color w:val="auto"/>
        </w:rPr>
      </w:pPr>
    </w:p>
    <w:p>
      <w:pPr>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underwriter or as a financial advisor to the Company in connection with the offer and sale of the Shares hereunder, whether as a result of the filing or effectiveness of the Registration Statement or the sale of the Shares as contemplated hereby or otherwise. Except for the Underwriters, there is no broker, finder or other party that is entitled to receive from the Company or any of its Subsidiaries (as defined below) any brokerage or finder’s fee or other fee or commission as a result of any transactions contemplated by this Agreement.</w:t>
      </w:r>
    </w:p>
    <w:p>
      <w:pPr>
        <w:spacing w:after="0" w:line="80" w:lineRule="exact"/>
        <w:rPr>
          <w:rFonts w:ascii="Times New Roman" w:cs="Times New Roman" w:eastAsia="Times New Roman" w:hAnsi="Times New Roman"/>
          <w:sz w:val="18"/>
          <w:szCs w:val="18"/>
          <w:color w:val="auto"/>
        </w:rPr>
      </w:pPr>
    </w:p>
    <w:p>
      <w:pPr>
        <w:ind w:right="120" w:firstLine="428"/>
        <w:spacing w:after="0" w:line="254" w:lineRule="auto"/>
        <w:tabs>
          <w:tab w:leader="none" w:pos="64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duly incorporated, is validly existing as a corporation in good standing under the laws of the jurisdiction of its incorporation, has the corporate power and authority to own, lease and operate its property and to conduct its business as described in each of the Registration Statement, the Time of Sale Prospectus and the Prospectus and to enter into and perform its obligations under this Agreement. The Company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reasonably be expected to, singly or in the aggregate, have a material adverse effect on the condition (financial or otherwise), earnings, results of operations, business, prospects, properties, operations, assets, liabilities or prospects of the Company and its Subsidiaries, taken as a whole, whether or not arising from transactions in the ordinary course of business (a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ind w:left="640" w:hanging="212"/>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“subsidiaries” (for purposes of this Agreement, as defined in Rule 405 under the Securities Act) (each, a</w:t>
      </w:r>
    </w:p>
    <w:p>
      <w:pPr>
        <w:spacing w:after="0" w:line="27"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Subsidiary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u w:val="single" w:color="auto"/>
          <w:color w:val="auto"/>
        </w:rPr>
        <w:t>Subsidiaries</w:t>
      </w:r>
      <w:r>
        <w:rPr>
          <w:rFonts w:ascii="Times New Roman" w:cs="Times New Roman" w:eastAsia="Times New Roman" w:hAnsi="Times New Roman"/>
          <w:sz w:val="18"/>
          <w:szCs w:val="18"/>
          <w:color w:val="auto"/>
        </w:rPr>
        <w:t>”) has been duly incorporated, organized or formed and is validly existing in good standing (where such concept exists) under the laws of the jurisdiction of its incorporation or organization and has full power and authority to acquire, own, lease and operate its properties, and to conduct its business as described in the Registration Statement, the Time of Sale Prospectus and the Prospectus. Each Subsidiary is duly qualified to transact business and is in good standing (where such concept exists) under the laws of each jurisdiction that requires such qualification, whether by reason of the ownership or leasing of property or the conduct of business, except to the extent that the failure to be so qualified or in good standing could not reasonably be expected, individually or in the aggregate, to have a Material Adverse Effect. All of the issued and outstanding share capital or other equity or ownership interests of each Subsidiary has been duly authorized and validly issued, is fully paid and nonassessable, has been issued in compliance with federal state and securities laws and is owned by the Company, directly or through other wholly-owned Subsidiaries, free and clear of any security interest, mortgage, pledge, lien, encumbrance or adverse claim. Except for Disc Medicine Opco, Inc., a Delaware corporation, Disc Medicine B.V., a Netherlands private limited company, and Disc Medicine Securities Corp., a Delaware corporation, the Company does not own or control, directly or indirectly, any corporation, association or other entity. Only Disc Medicine Opco, Inc. constitutes a “significant subsidiary” within the meaning of Rule 1-02 of Regulation S-X. No Subsidiary is prohibited or restricted, directly or indirectly, from paying dividends to the Company, from making any other distribution with respect to such Subsidiary’s equity securities, from repaying to the Company or any other Subsidiary any amounts that may from time to time become due under any loans or advances to such Subsidiary from the Company or from transferring any property or assets to the Company or to any other Subsidiary.</w:t>
      </w:r>
    </w:p>
    <w:p>
      <w:pPr>
        <w:spacing w:after="0" w:line="12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60"/>
          </w:cols>
          <w:pgMar w:left="660" w:top="270" w:right="479" w:bottom="1440" w:gutter="0" w:footer="0" w:header="0"/>
        </w:sectPr>
      </w:pPr>
    </w:p>
    <w:bookmarkStart w:id="8" w:name="page9"/>
    <w:bookmarkEnd w:id="8"/>
    <w:p>
      <w:pPr>
        <w:ind w:right="240" w:firstLine="428"/>
        <w:spacing w:after="0" w:line="282" w:lineRule="auto"/>
        <w:tabs>
          <w:tab w:leader="none" w:pos="68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authorized capital stock of the Company conforms as to legal matters to the description thereof contained in each of the Registration Statement, the Time of Sale Prospectus and the Prospectus.</w:t>
      </w:r>
    </w:p>
    <w:p>
      <w:pPr>
        <w:spacing w:after="0" w:line="53" w:lineRule="exact"/>
        <w:rPr>
          <w:rFonts w:ascii="Times New Roman" w:cs="Times New Roman" w:eastAsia="Times New Roman" w:hAnsi="Times New Roman"/>
          <w:sz w:val="18"/>
          <w:szCs w:val="18"/>
          <w:color w:val="auto"/>
        </w:rPr>
      </w:pPr>
    </w:p>
    <w:p>
      <w:pPr>
        <w:ind w:right="20" w:firstLine="428"/>
        <w:spacing w:after="0" w:line="271" w:lineRule="auto"/>
        <w:tabs>
          <w:tab w:leader="none" w:pos="647"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Common Stock conforms in all material respects to the description thereof contained in the Registration Statement, the Time of Sale Prospectus and the Prospectus, including under the heading “Description of Capital Stock.” All of the issued and outstanding share capital or other equity or ownership interest of the Company (including the Common Stock) has been duly authorized and validly issued and is fully paid and nonassessable, has been issued in compliance with all federal, state and local securities laws and is free and clear of any security interest, mortgage, pledge, lien, encumbrance or adverse claim. None of the outstanding shares of capital stock of the Company were issued in violation of any preemptive rights, rights of first refusal or other similar rights to subscribe for or purchase securities of the Company. The descriptions of the Company’s equity incentive plan, stock option plans and other stock plans or arrangements described in the Prospectus and in effect as of the date hereof (collectively, the “</w:t>
      </w:r>
      <w:r>
        <w:rPr>
          <w:rFonts w:ascii="Times New Roman" w:cs="Times New Roman" w:eastAsia="Times New Roman" w:hAnsi="Times New Roman"/>
          <w:sz w:val="17"/>
          <w:szCs w:val="17"/>
          <w:b w:val="1"/>
          <w:bCs w:val="1"/>
          <w:color w:val="auto"/>
        </w:rPr>
        <w:t>Stock Plans</w:t>
      </w:r>
      <w:r>
        <w:rPr>
          <w:rFonts w:ascii="Times New Roman" w:cs="Times New Roman" w:eastAsia="Times New Roman" w:hAnsi="Times New Roman"/>
          <w:sz w:val="17"/>
          <w:szCs w:val="17"/>
          <w:color w:val="auto"/>
        </w:rPr>
        <w:t>”) and the options or other rights granted thereunder, set forth in the Registration Statement and the Prospectus accurately and fairly present the information required to be shown with respect to such Stock Plans and the options or other rights granted thereunder.</w:t>
      </w:r>
    </w:p>
    <w:p>
      <w:pPr>
        <w:spacing w:after="0" w:line="65" w:lineRule="exact"/>
        <w:rPr>
          <w:rFonts w:ascii="Times New Roman" w:cs="Times New Roman" w:eastAsia="Times New Roman" w:hAnsi="Times New Roman"/>
          <w:sz w:val="17"/>
          <w:szCs w:val="17"/>
          <w:color w:val="auto"/>
        </w:rPr>
      </w:pPr>
    </w:p>
    <w:p>
      <w:pPr>
        <w:ind w:right="60" w:firstLine="428"/>
        <w:spacing w:after="0" w:line="266" w:lineRule="auto"/>
        <w:tabs>
          <w:tab w:leader="none" w:pos="73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have been duly authorized and, when issued, delivered and paid for in accordance with the terms of this Agreement, will be validly issued, fully paid and non-assessable, and the issuance of the Shares will not be subject to any preemptive or similar rights that have not been validly waived. This Agreement has been duly authorized, executed and delivered by the Company.</w:t>
      </w:r>
    </w:p>
    <w:p>
      <w:pPr>
        <w:spacing w:after="0" w:line="67" w:lineRule="exact"/>
        <w:rPr>
          <w:rFonts w:ascii="Times New Roman" w:cs="Times New Roman" w:eastAsia="Times New Roman" w:hAnsi="Times New Roman"/>
          <w:sz w:val="18"/>
          <w:szCs w:val="18"/>
          <w:color w:val="auto"/>
        </w:rPr>
      </w:pPr>
    </w:p>
    <w:p>
      <w:pPr>
        <w:ind w:right="40" w:firstLine="428"/>
        <w:spacing w:after="0" w:line="266" w:lineRule="auto"/>
        <w:tabs>
          <w:tab w:leader="none" w:pos="68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after giving effect to the offering and sale of the Shares and the application of the proceeds thereof as described in each of the Registration Statement, the Time of Sale Prospectus and the Prospectus will not be, required to register as an “investment company” as such term is defined in the Investment Company Act of 1940, as amended.</w:t>
      </w:r>
    </w:p>
    <w:p>
      <w:pPr>
        <w:spacing w:after="0" w:line="67" w:lineRule="exact"/>
        <w:rPr>
          <w:rFonts w:ascii="Times New Roman" w:cs="Times New Roman" w:eastAsia="Times New Roman" w:hAnsi="Times New Roman"/>
          <w:sz w:val="18"/>
          <w:szCs w:val="18"/>
          <w:color w:val="auto"/>
        </w:rPr>
      </w:pPr>
    </w:p>
    <w:p>
      <w:pPr>
        <w:ind w:firstLine="428"/>
        <w:spacing w:after="0" w:line="254" w:lineRule="auto"/>
        <w:tabs>
          <w:tab w:leader="none" w:pos="68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Company of, and the performance by the Company of its obligations under, this Agreement will not contravene any provision of (i) applicable law, (ii) the certificate of incorporation or by laws of the Company, (iii) any agreement or other instrument binding upon the Company or its Subsidiaries that is material to the Company and its Subsidiaries, taken as a whole, or (iv) any judgment, order or decree of any governmental body, agency or court having jurisdiction over the Company or its Subsidiaries, except that, in the case of clause (i) and (iii), as would not, individually or in the aggregate, reasonably be expected to have a Material Adverse Effect on the Company or on the power and ability of the Company to perform its obligations under this Agreement, and no consent, approval, authorization or order of, or qualification with, any governmental body, agency or court is required for the performance by the Company of its obligations under this Agreement, except such as may be required by the securities or Blue Sky laws of the various states in connection with the offer and sale of the Shares.</w:t>
      </w:r>
    </w:p>
    <w:p>
      <w:pPr>
        <w:spacing w:after="0" w:line="1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780"/>
          </w:cols>
          <w:pgMar w:left="660" w:top="270" w:right="459" w:bottom="1440" w:gutter="0" w:footer="0" w:header="0"/>
        </w:sectPr>
      </w:pPr>
    </w:p>
    <w:bookmarkStart w:id="9" w:name="page10"/>
    <w:bookmarkEnd w:id="9"/>
    <w:p>
      <w:pPr>
        <w:jc w:val="both"/>
        <w:ind w:right="20" w:firstLine="428"/>
        <w:spacing w:after="0" w:line="266" w:lineRule="auto"/>
        <w:tabs>
          <w:tab w:leader="none" w:pos="68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 has not occurred any Material Adverse Effect, or any development involving a prospective Material Adverse Effect, in the condition, financial or otherwise, or in the earnings, business or operations of the Company and its subsidiaries, taken as a whole, from that set forth in the Time of Sale Prospectus.</w:t>
      </w:r>
    </w:p>
    <w:p>
      <w:pPr>
        <w:spacing w:after="0" w:line="67" w:lineRule="exact"/>
        <w:rPr>
          <w:rFonts w:ascii="Times New Roman" w:cs="Times New Roman" w:eastAsia="Times New Roman" w:hAnsi="Times New Roman"/>
          <w:sz w:val="18"/>
          <w:szCs w:val="18"/>
          <w:color w:val="auto"/>
        </w:rPr>
      </w:pPr>
    </w:p>
    <w:p>
      <w:pPr>
        <w:ind w:right="80" w:firstLine="428"/>
        <w:spacing w:after="0" w:line="261" w:lineRule="auto"/>
        <w:tabs>
          <w:tab w:leader="none" w:pos="68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 except as have been validly waived or complied with in connection with the issuance and sale of the Shares contemplated hereby.</w:t>
      </w:r>
    </w:p>
    <w:p>
      <w:pPr>
        <w:spacing w:after="0" w:line="71" w:lineRule="exact"/>
        <w:rPr>
          <w:rFonts w:ascii="Times New Roman" w:cs="Times New Roman" w:eastAsia="Times New Roman" w:hAnsi="Times New Roman"/>
          <w:sz w:val="18"/>
          <w:szCs w:val="18"/>
          <w:color w:val="auto"/>
        </w:rPr>
      </w:pPr>
    </w:p>
    <w:p>
      <w:pPr>
        <w:ind w:firstLine="428"/>
        <w:spacing w:after="0" w:line="252" w:lineRule="auto"/>
        <w:tabs>
          <w:tab w:leader="none" w:pos="65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included in each of the Registration Statement, the Time of Sale Prospectus and the Prospectus, together with the related schedules and notes thereto, comply as to form in all material respects with the applicable accounting requirements of the Securities Act and present fairly in all material respects the consolidated financial position of the Company and its Subsidiaries as of the dates shown and its results of operations and cash flows for the periods shown, and such financial statements have been prepared in conformity with generally accepted accounting principles in the United States (“</w:t>
      </w:r>
      <w:r>
        <w:rPr>
          <w:rFonts w:ascii="Times New Roman" w:cs="Times New Roman" w:eastAsia="Times New Roman" w:hAnsi="Times New Roman"/>
          <w:sz w:val="18"/>
          <w:szCs w:val="18"/>
          <w:b w:val="1"/>
          <w:bCs w:val="1"/>
          <w:color w:val="auto"/>
        </w:rPr>
        <w:t>U.S. GAAP</w:t>
      </w:r>
      <w:r>
        <w:rPr>
          <w:rFonts w:ascii="Times New Roman" w:cs="Times New Roman" w:eastAsia="Times New Roman" w:hAnsi="Times New Roman"/>
          <w:sz w:val="18"/>
          <w:szCs w:val="18"/>
          <w:color w:val="auto"/>
        </w:rPr>
        <w:t>”) applied on a consistent basis throughout the periods covered thereby except for any normal year-end adjustments in the Company’s quarterly financial statements. The other financial information included in each of the Registration Statement, the Time of Sale Prospectus and the Prospectus comply with the requirements of Regulation S-X of the Securities Act, including, without limitation, Article 11 thereof, fairly present the information set forth herein, and the assumptions used in the preparation of such pro forma financial statements and data are reasonable, the pro forma adjustments used therein are appropriate to give effect to the circumstances referred to therein and the pro forma adjustments have been properly applied to the historical amounts in the compilation of those statements and data. There are no financial statements (historical or pro forma) that are required to be included or incorporated by reference in the Registration Statement, the Time of Sale Prospectus or the Prospectus that are not included or incorporated by reference therein as required. The Company and the Subsidiaries do not have any material liabilities or obligations, direct or contingent (including any off-balance sheet obligations), not disclosed in the Registration Statement, the Time of Sale Prospectus and the Prospectus. All disclosures contained in the Registration Statement, the Time of Sale Prospectus or the Prospectus that contain “non-GAAP financial measures” (as such term is defined by the rules and regulations of the Commission) comply, in all material respects, with Regulation G under the Exchange Act and Item 10 of Regulation S-K under the Securities Act, to</w:t>
      </w:r>
    </w:p>
    <w:p>
      <w:pPr>
        <w:spacing w:after="0" w:line="12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780"/>
          </w:cols>
          <w:pgMar w:left="660" w:top="270" w:right="459" w:bottom="1440" w:gutter="0" w:footer="0" w:header="0"/>
        </w:sectPr>
      </w:pPr>
    </w:p>
    <w:bookmarkStart w:id="10" w:name="page11"/>
    <w:bookmarkEnd w:id="10"/>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extent applicable. The statistical, industry-related and market-related data included in each of the Registration Statement, the Time of Sale Prospectus and the Prospectus are based on or derived from sources which the Company reasonably and in good faith believes are reliable and accurate and such data is consistent with the sources from which they are derived, in each case in all material respects and the Company has obtained the written consent to the use of such data from such sources to the extent required. To the Company’s knowledge, no person who has been suspended or barred from being associated with a registered public accounting firm, or who has failed to comply with any sanction pursuant to Rule 5300 promulgated by the Public Company Accounting Oversight Board (“</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 has participated in or otherwise aided the preparation of, or audited, the financial statements, supporting schedules or other financial data filed with the Commission as a part of the Registration Statement and the Prospectus.</w:t>
      </w:r>
    </w:p>
    <w:p>
      <w:pPr>
        <w:spacing w:after="0" w:line="84" w:lineRule="exact"/>
        <w:rPr>
          <w:sz w:val="20"/>
          <w:szCs w:val="20"/>
          <w:color w:val="auto"/>
        </w:rPr>
      </w:pPr>
    </w:p>
    <w:p>
      <w:pPr>
        <w:ind w:firstLine="428"/>
        <w:spacing w:after="0" w:line="254" w:lineRule="auto"/>
        <w:tabs>
          <w:tab w:leader="none" w:pos="66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legal or governmental proceedings pending or, to the knowledge of the Company, threatened to which the Company or any of its subsidiaries is a party or to which any of the properties of the Company or any of its subsidiaries is subject (i) other than proceedings accurately described in all material respects in each of the Registration Statement, the Time of Sale Prospectus and the Prospectus and proceedings that would not reasonably be expected to, singly or in the aggregate, have a Material Adverse Effect on the Company and its subsidiaries, taken as a whole, or on the power or ability of the Company to perform its obligations under this Agreement or to consummate the transactions contemplated by each of the Registration Statement, the Time of Sale Prospectus and the Prospectus or (ii) that are required to be described in the Registration Statement, the Time of Sale Prospectus or the Prospectus and are not so described in all material respects; and there are no statutes, regulations, contracts or other documents that are required to be described in the Registration Statement, the Time of Sale Prospectus or the Prospectus or to be filed as exhibits to the Registration Statement that are not described in all material respects or filed as required.</w:t>
      </w:r>
    </w:p>
    <w:p>
      <w:pPr>
        <w:spacing w:after="0" w:line="80" w:lineRule="exact"/>
        <w:rPr>
          <w:rFonts w:ascii="Times New Roman" w:cs="Times New Roman" w:eastAsia="Times New Roman" w:hAnsi="Times New Roman"/>
          <w:sz w:val="18"/>
          <w:szCs w:val="18"/>
          <w:color w:val="auto"/>
        </w:rPr>
      </w:pPr>
    </w:p>
    <w:p>
      <w:pPr>
        <w:ind w:firstLine="428"/>
        <w:spacing w:after="0" w:line="256" w:lineRule="auto"/>
        <w:tabs>
          <w:tab w:leader="none" w:pos="64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Ernst &amp; Young LLP, who have certified certain financial statements of the Company and its Subsidiaries and delivered its report with respect to the audited consolidated financial statements and schedules filed with the Commission as part of the Registration Statement and included in each of the Registration Statement, the Time of Sale Prospectus and the Prospectus, is an independent registered public accounting firm with respect to the Company within the meaning of the Securities Act and the applicable rules and regulations thereunder adopted by the Commission and the Public Company Accounting Oversight Board (United States). Ernst &amp; Young LLP has not been engaged by the Company to perform any “prohibited activities” or provided to the Company any “non-audit services” (as defined in Section 10A of the Exchange Act).</w:t>
      </w:r>
    </w:p>
    <w:p>
      <w:pPr>
        <w:spacing w:after="0" w:line="79" w:lineRule="exact"/>
        <w:rPr>
          <w:rFonts w:ascii="Times New Roman" w:cs="Times New Roman" w:eastAsia="Times New Roman" w:hAnsi="Times New Roman"/>
          <w:sz w:val="18"/>
          <w:szCs w:val="18"/>
          <w:color w:val="auto"/>
        </w:rPr>
      </w:pPr>
    </w:p>
    <w:p>
      <w:pPr>
        <w:ind w:right="180" w:firstLine="428"/>
        <w:spacing w:after="0" w:line="266" w:lineRule="auto"/>
        <w:tabs>
          <w:tab w:leader="none" w:pos="68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transfer taxes or other similar fees or charges under federal law, the laws of any state, any foreign law, or any political subdivision thereof, required to be paid in connection with the execution and delivery of this Agreement or the issuance by the Company or sale by the Company of the Shares.</w:t>
      </w:r>
    </w:p>
    <w:p>
      <w:pPr>
        <w:spacing w:after="0" w:line="10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780"/>
          </w:cols>
          <w:pgMar w:left="660" w:top="270" w:right="459" w:bottom="1440" w:gutter="0" w:footer="0" w:header="0"/>
        </w:sectPr>
      </w:pPr>
    </w:p>
    <w:bookmarkStart w:id="11" w:name="page12"/>
    <w:bookmarkEnd w:id="11"/>
    <w:p>
      <w:pPr>
        <w:ind w:left="4" w:firstLine="428"/>
        <w:spacing w:after="0" w:line="261" w:lineRule="auto"/>
        <w:tabs>
          <w:tab w:leader="none" w:pos="69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material labor dispute with the employees of the Company or any of its Subsidiaries exists or, to the knowledge of the Company, is imminent; and the Company is not aware of any existing, threatened or imminent labor disturbance by the employees of any of its principal suppliers, manufacturers or contractors that could, singly or in the aggregate, have a Material Adverse Effect on the Company and its Subsidiaries, taken as a whole.</w:t>
      </w:r>
    </w:p>
    <w:p>
      <w:pPr>
        <w:spacing w:after="0" w:line="71" w:lineRule="exact"/>
        <w:rPr>
          <w:rFonts w:ascii="Times New Roman" w:cs="Times New Roman" w:eastAsia="Times New Roman" w:hAnsi="Times New Roman"/>
          <w:sz w:val="18"/>
          <w:szCs w:val="18"/>
          <w:color w:val="auto"/>
        </w:rPr>
      </w:pPr>
    </w:p>
    <w:p>
      <w:pPr>
        <w:ind w:left="4" w:right="160" w:firstLine="428"/>
        <w:spacing w:after="0" w:line="256" w:lineRule="auto"/>
        <w:tabs>
          <w:tab w:leader="none" w:pos="73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are insured by insurers of recognized financial responsibility against such losses and risks and in such amounts as are prudent and customary in the businesses in which they are engaged; neither the Company nor its Subsidiaries has been refused any insurance coverage sought or applied for; and neither the Company nor its Subsidiaries has any reason to believe that it will not be able to renew its existing insurance coverage as and when such coverage expires or to obtain similar coverage from similar insurers as may be necessary to continue its business at a cost that would not reasonably be expected to, singly or in the aggregate, have a Material Adverse Effect on the Company and its Subsidiaries, taken as a whole.</w:t>
      </w:r>
    </w:p>
    <w:p>
      <w:pPr>
        <w:spacing w:after="0" w:line="79" w:lineRule="exact"/>
        <w:rPr>
          <w:rFonts w:ascii="Times New Roman" w:cs="Times New Roman" w:eastAsia="Times New Roman" w:hAnsi="Times New Roman"/>
          <w:sz w:val="18"/>
          <w:szCs w:val="18"/>
          <w:color w:val="auto"/>
        </w:rPr>
      </w:pPr>
    </w:p>
    <w:p>
      <w:pPr>
        <w:ind w:left="4" w:right="120" w:firstLine="428"/>
        <w:spacing w:after="0" w:line="274" w:lineRule="auto"/>
        <w:tabs>
          <w:tab w:leader="none" w:pos="69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and its Subsidiaries have good and marketable title in fee simple to all real property and good and marketable title to all personal property owned by them which is material to the business of the Company and its Subsidiaries, in each case free and clear of all liens, encumbrances and defects except such as do not materially affect the value of such property and do not interfere in any material respect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interfere in any material respect with the use made and proposed to be made of such property and buildings by the Company and its Subsidiaries.</w:t>
      </w:r>
    </w:p>
    <w:p>
      <w:pPr>
        <w:spacing w:after="0" w:line="64" w:lineRule="exact"/>
        <w:rPr>
          <w:rFonts w:ascii="Times New Roman" w:cs="Times New Roman" w:eastAsia="Times New Roman" w:hAnsi="Times New Roman"/>
          <w:sz w:val="17"/>
          <w:szCs w:val="17"/>
          <w:color w:val="auto"/>
        </w:rPr>
      </w:pPr>
    </w:p>
    <w:p>
      <w:pPr>
        <w:ind w:left="4" w:right="100" w:firstLine="428"/>
        <w:spacing w:after="0" w:line="256" w:lineRule="auto"/>
        <w:tabs>
          <w:tab w:leader="none" w:pos="69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possess and are operating in material compliance with all certificates, authorizations and permits issued by the appropriate federal, state or foreign regulatory authorities necessary to conduct their respective businesses as described in the Registration Statement, the Time of Sale Prospectus and the Prospectus, and neither the Company nor its Subsidiaries has received any written notice of proceedings relating to the revocation or modification of, or material non-compliance with, any such material certificate, authorization or permit which, singly or in the aggregate, if the subject of an unfavorable decision, ruling or finding, would have a Material Adverse Effect on the Company and its Subsidiaries, taken as a whole.</w:t>
      </w:r>
    </w:p>
    <w:p>
      <w:pPr>
        <w:spacing w:after="0" w:line="79" w:lineRule="exact"/>
        <w:rPr>
          <w:rFonts w:ascii="Times New Roman" w:cs="Times New Roman" w:eastAsia="Times New Roman" w:hAnsi="Times New Roman"/>
          <w:sz w:val="18"/>
          <w:szCs w:val="18"/>
          <w:color w:val="auto"/>
        </w:rPr>
      </w:pPr>
    </w:p>
    <w:p>
      <w:pPr>
        <w:ind w:left="684" w:hanging="252"/>
        <w:spacing w:after="0"/>
        <w:tabs>
          <w:tab w:leader="none" w:pos="68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maintain a system of internal accounting controls sufficient to provide reasonable assurance that:</w:t>
      </w:r>
    </w:p>
    <w:p>
      <w:pPr>
        <w:spacing w:after="0" w:line="27" w:lineRule="exact"/>
        <w:rPr>
          <w:rFonts w:ascii="Times New Roman" w:cs="Times New Roman" w:eastAsia="Times New Roman" w:hAnsi="Times New Roman"/>
          <w:sz w:val="18"/>
          <w:szCs w:val="18"/>
          <w:color w:val="auto"/>
        </w:rPr>
      </w:pPr>
    </w:p>
    <w:p>
      <w:pPr>
        <w:ind w:left="4" w:right="40" w:hanging="4"/>
        <w:spacing w:after="0" w:line="277" w:lineRule="auto"/>
        <w:tabs>
          <w:tab w:leader="none" w:pos="219"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transactions are executed in accordance with management’s general or specific authorizations; (ii) transactions are recorded as necessary to permit preparation of financial statements in conformity with U.S. GAAP and to maintain asset accountability; (iii) access to assets is permitted only in accordance with management’s general or specific authorization; and (iv) the recorded accountability for assets is compared with existing assets at</w:t>
      </w:r>
    </w:p>
    <w:p>
      <w:pPr>
        <w:spacing w:after="0" w:line="101" w:lineRule="exact"/>
        <w:rPr>
          <w:sz w:val="20"/>
          <w:szCs w:val="20"/>
          <w:color w:val="auto"/>
        </w:rPr>
      </w:pPr>
    </w:p>
    <w:p>
      <w:pPr>
        <w:jc w:val="center"/>
        <w:ind w:right="196"/>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784"/>
          </w:cols>
          <w:pgMar w:left="656" w:top="270" w:right="459" w:bottom="1440" w:gutter="0" w:footer="0" w:header="0"/>
        </w:sectPr>
      </w:pPr>
    </w:p>
    <w:bookmarkStart w:id="12" w:name="page13"/>
    <w:bookmarkEnd w:id="1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reasonable intervals and appropriate action is taken with respect to any differences. Since the end of the Company’s most recent audited fiscal year,</w:t>
      </w:r>
    </w:p>
    <w:p>
      <w:pPr>
        <w:spacing w:after="0" w:line="27" w:lineRule="exact"/>
        <w:rPr>
          <w:sz w:val="20"/>
          <w:szCs w:val="20"/>
          <w:color w:val="auto"/>
        </w:rPr>
      </w:pPr>
    </w:p>
    <w:p>
      <w:pPr>
        <w:ind w:left="4" w:right="40" w:hanging="4"/>
        <w:spacing w:after="0" w:line="253" w:lineRule="auto"/>
        <w:tabs>
          <w:tab w:leader="none" w:pos="21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(x) no material weakness in the Company’s internal control over financial reporting (whether or not remediated) and (y) no change in the Company’s internal control over financial reporting that has materially affected, or is reasonably likely to materially affect, the Company’s internal control over financial reporting; and (ii) the interactive data in the eXtensible Business Reporting Language included or incorporated by reference in the Registration Statement fairly presents the information called for in all respects and has been prepared in accordance with the Commission’s rules and guidelines applicable thereto.</w:t>
      </w:r>
    </w:p>
    <w:p>
      <w:pPr>
        <w:spacing w:after="0" w:line="78" w:lineRule="exact"/>
        <w:rPr>
          <w:rFonts w:ascii="Times New Roman" w:cs="Times New Roman" w:eastAsia="Times New Roman" w:hAnsi="Times New Roman"/>
          <w:sz w:val="18"/>
          <w:szCs w:val="18"/>
          <w:color w:val="auto"/>
        </w:rPr>
      </w:pPr>
    </w:p>
    <w:p>
      <w:pPr>
        <w:ind w:left="4" w:right="60" w:firstLine="428"/>
        <w:spacing w:after="0" w:line="258" w:lineRule="auto"/>
        <w:tabs>
          <w:tab w:leader="none" w:pos="7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to the knowledge of the Company, any of its or their respective directors, officers or controlling persons has taken, directly or indirectly, without giving effect to any actions taken by the Underwriters, (i) any action designed to or that might constitute or reasonably be expected to cause or result in, under the Exchange Act or otherwise, stabilization or manipulation of the price of any security of the Company to facilitate the sale or resale of the Shares or (ii) any action designed to or that might constitute or reasonably be expected to cause or result in a violation of Regulation M under the Exchange Act.</w:t>
      </w:r>
    </w:p>
    <w:p>
      <w:pPr>
        <w:spacing w:after="0" w:line="75" w:lineRule="exact"/>
        <w:rPr>
          <w:rFonts w:ascii="Times New Roman" w:cs="Times New Roman" w:eastAsia="Times New Roman" w:hAnsi="Times New Roman"/>
          <w:sz w:val="18"/>
          <w:szCs w:val="18"/>
          <w:color w:val="auto"/>
        </w:rPr>
      </w:pPr>
    </w:p>
    <w:p>
      <w:pPr>
        <w:ind w:left="4" w:firstLine="428"/>
        <w:spacing w:after="0" w:line="255" w:lineRule="auto"/>
        <w:tabs>
          <w:tab w:leader="none" w:pos="7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Subsidiary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 on the Company and its Subsidiaries, taken as a whole.</w:t>
      </w:r>
    </w:p>
    <w:p>
      <w:pPr>
        <w:spacing w:after="0" w:line="80" w:lineRule="exact"/>
        <w:rPr>
          <w:rFonts w:ascii="Times New Roman" w:cs="Times New Roman" w:eastAsia="Times New Roman" w:hAnsi="Times New Roman"/>
          <w:sz w:val="18"/>
          <w:szCs w:val="18"/>
          <w:color w:val="auto"/>
        </w:rPr>
      </w:pPr>
    </w:p>
    <w:p>
      <w:pPr>
        <w:ind w:left="4" w:right="140" w:firstLine="428"/>
        <w:spacing w:after="0" w:line="261" w:lineRule="auto"/>
        <w:tabs>
          <w:tab w:leader="none" w:pos="7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costs or liabilities associated with Environmental Laws (including, without limitation, any capital or operating expenditures required for clean up, closure of properties or compliance with Environmental Laws or any permit, license or approval, any related constraints on operating activities and any potential liabilities to third parties) which would, singly or in the aggregate, reasonably be expected to have a Material Adverse Effect on the Company and its Subsidiaries, taken as a whole.</w:t>
      </w:r>
    </w:p>
    <w:p>
      <w:pPr>
        <w:spacing w:after="0" w:line="71" w:lineRule="exact"/>
        <w:rPr>
          <w:rFonts w:ascii="Times New Roman" w:cs="Times New Roman" w:eastAsia="Times New Roman" w:hAnsi="Times New Roman"/>
          <w:sz w:val="18"/>
          <w:szCs w:val="18"/>
          <w:color w:val="auto"/>
        </w:rPr>
      </w:pPr>
    </w:p>
    <w:p>
      <w:pPr>
        <w:ind w:left="4" w:right="80" w:firstLine="428"/>
        <w:spacing w:after="0" w:line="261" w:lineRule="auto"/>
        <w:tabs>
          <w:tab w:leader="none" w:pos="7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following events has occurred or exists: (i) a failure to fulfill the obligations, if any, under the minimum funding standards of Section 302 of the United States Employee Retirement Income Security Act of 1974, as amended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and the regulations and published interpretations thereunder with respect to a Plan that is required to be funded, determined without regard to any waiver of such obligations or extension of any amortization period that would reasonably be</w:t>
      </w:r>
    </w:p>
    <w:p>
      <w:pPr>
        <w:spacing w:after="0" w:line="112" w:lineRule="exact"/>
        <w:rPr>
          <w:sz w:val="20"/>
          <w:szCs w:val="20"/>
          <w:color w:val="auto"/>
        </w:rPr>
      </w:pPr>
    </w:p>
    <w:p>
      <w:pPr>
        <w:jc w:val="center"/>
        <w:ind w:right="156"/>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744"/>
          </w:cols>
          <w:pgMar w:left="656" w:top="270" w:right="499" w:bottom="1440" w:gutter="0" w:footer="0" w:header="0"/>
        </w:sectPr>
      </w:pPr>
    </w:p>
    <w:bookmarkStart w:id="13" w:name="page14"/>
    <w:bookmarkEnd w:id="13"/>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expected to have a Material Adverse Effect; (ii) an audit or investigation by the Internal Revenue Service, the U.S. Department of Labor, the Pension Benefit Guaranty Corporation or any other federal or state governmental agency or any foreign regulatory agency with respect to the employment or compensation of employees by any of the Company or its Subsidiaries that would reasonably be expected to have a Material Adverse Effect; (iii) any breach of any contractual obligation, or any violation of law or applicable qualification standards, with respect to the employment or compensation of employees by the Company or its Subsidiaries that would reasonably be expected to have a Material Adverse Effect. None of the following events has occurred or is reasonably likely to occur: (i) a material increase in the aggregate amount of contributions required to be made to all Plans in the current fiscal year of the Company and its Subsidiaries compared to the amount of such contributions made in the most recently completed fiscal year of the Company and its Subsidiaries; (ii) a material increase in the “accumulated post-retirement benefit obligations” (within the meaning of Statement of Financial Accounting Standards 106) of the Company and its Subsidiaries compared to the amount of such obligations in the most recently completed fiscal year of the Company and its Subsidiaries; (iii) any event or condition giving rise to a liability under Title IV of ERISA that would reasonably be expected to have a Material Adverse Effect; or (iv) the filing of a claim by one or more employees or former employees of the Company or any of its Subsidiaries related to their employment that would reasonably be expected to have a Material Adverse Effect. For purposes of this paragraph, the term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a plan (within the meaning of Section 3(3) of ERISA) subject to Title IV of ERISA with respect to which the Company or any of its Subsidiaries may have any liability.</w:t>
      </w:r>
    </w:p>
    <w:p>
      <w:pPr>
        <w:spacing w:after="0" w:line="89" w:lineRule="exact"/>
        <w:rPr>
          <w:sz w:val="20"/>
          <w:szCs w:val="20"/>
          <w:color w:val="auto"/>
        </w:rPr>
      </w:pPr>
    </w:p>
    <w:p>
      <w:pPr>
        <w:ind w:right="60" w:firstLine="428"/>
        <w:spacing w:after="0" w:line="258" w:lineRule="auto"/>
        <w:tabs>
          <w:tab w:leader="none" w:pos="75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taken all necessary actions to ensure that it is in compliance with all applicable provisions of the Sarbanes-Oxley Act of 2002 and the rules and regulations promulgated in connection therewith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that are currently in effect and with which the Company is required to comply. There is and has been no material failure on the part of the Company or, to the knowledge of the Company, any of the Company’s directors or officers, in their capacities as such, to comply with any applicable provision of the Sarbanes-Oxley Act, including Section 402 related to loans and Sections 302 and 906 related to certifications.</w:t>
      </w:r>
    </w:p>
    <w:p>
      <w:pPr>
        <w:spacing w:after="0" w:line="75" w:lineRule="exact"/>
        <w:rPr>
          <w:rFonts w:ascii="Times New Roman" w:cs="Times New Roman" w:eastAsia="Times New Roman" w:hAnsi="Times New Roman"/>
          <w:sz w:val="18"/>
          <w:szCs w:val="18"/>
          <w:color w:val="auto"/>
        </w:rPr>
      </w:pPr>
    </w:p>
    <w:p>
      <w:pPr>
        <w:ind w:left="700" w:hanging="272"/>
        <w:spacing w:after="0"/>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None of the Company or any of its subsidiaries or affiliates, or any director, officer, or employee thereof, or, to the Company’s</w:t>
      </w:r>
    </w:p>
    <w:p>
      <w:pPr>
        <w:spacing w:after="0" w:line="27" w:lineRule="exact"/>
        <w:rPr>
          <w:rFonts w:ascii="Times New Roman" w:cs="Times New Roman" w:eastAsia="Times New Roman" w:hAnsi="Times New Roman"/>
          <w:sz w:val="18"/>
          <w:szCs w:val="18"/>
          <w:color w:val="auto"/>
        </w:rPr>
      </w:pPr>
    </w:p>
    <w:p>
      <w:pPr>
        <w:ind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knowledge, any agent or representative of the Company or of any of its subsidiaries or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w:t>
      </w:r>
      <w:r>
        <w:rPr>
          <w:rFonts w:ascii="Times New Roman" w:cs="Times New Roman" w:eastAsia="Times New Roman" w:hAnsi="Times New Roman"/>
          <w:sz w:val="18"/>
          <w:szCs w:val="18"/>
          <w:b w:val="1"/>
          <w:bCs w:val="1"/>
          <w:color w:val="auto"/>
        </w:rPr>
        <w:t>Government Official</w:t>
      </w:r>
      <w:r>
        <w:rPr>
          <w:rFonts w:ascii="Times New Roman" w:cs="Times New Roman" w:eastAsia="Times New Roman" w:hAnsi="Times New Roman"/>
          <w:sz w:val="18"/>
          <w:szCs w:val="18"/>
          <w:color w:val="auto"/>
        </w:rPr>
        <w:t>”) in order to influence official action, or to any person in violation of any applicable anti-corruption laws; (ii) the Company and each of its subsidiaries and affiliates have conducted their businesses in compliance</w:t>
      </w:r>
    </w:p>
    <w:p>
      <w:pPr>
        <w:spacing w:after="0" w:line="12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780"/>
          </w:cols>
          <w:pgMar w:left="660" w:top="270" w:right="459" w:bottom="1440" w:gutter="0" w:footer="0" w:header="0"/>
        </w:sectPr>
      </w:pPr>
    </w:p>
    <w:bookmarkStart w:id="14" w:name="page15"/>
    <w:bookmarkEnd w:id="14"/>
    <w:p>
      <w:pPr>
        <w:ind w:lef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applicable anti-corruption laws and have instituted and maintained and will continue to maintain policies and procedures reasonably designed to promote and achieve compliance with such laws and with the representations and warranties contained herein; and (iii)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72" w:lineRule="exact"/>
        <w:rPr>
          <w:sz w:val="20"/>
          <w:szCs w:val="20"/>
          <w:color w:val="auto"/>
        </w:rPr>
      </w:pPr>
    </w:p>
    <w:p>
      <w:pPr>
        <w:ind w:left="180" w:right="20" w:firstLine="428"/>
        <w:spacing w:after="0" w:line="254" w:lineRule="auto"/>
        <w:tabs>
          <w:tab w:leader="none" w:pos="95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and each of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each of its subsidiaries conduct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b w:val="1"/>
          <w:bCs w:val="1"/>
          <w:color w:val="auto"/>
        </w:rPr>
        <w:t>Anti-Money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Anti-Money Laundering Laws is pending or, to the best knowledge of the Company, threatened.</w:t>
      </w:r>
    </w:p>
    <w:p>
      <w:pPr>
        <w:spacing w:after="0" w:line="83" w:lineRule="exact"/>
        <w:rPr>
          <w:rFonts w:ascii="Times New Roman" w:cs="Times New Roman" w:eastAsia="Times New Roman" w:hAnsi="Times New Roman"/>
          <w:sz w:val="18"/>
          <w:szCs w:val="18"/>
          <w:color w:val="auto"/>
        </w:rPr>
      </w:pPr>
    </w:p>
    <w:p>
      <w:pPr>
        <w:ind w:left="180" w:right="20" w:firstLine="428"/>
        <w:spacing w:after="0" w:line="266" w:lineRule="auto"/>
        <w:tabs>
          <w:tab w:leader="none" w:pos="95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None of the Company, any of its subsidiaries, or any director, officer, or employee thereof, or, to the Company’s knowledge, any agent, affiliate or representative of the Company or any of its subsidiaries, is an individual or entity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that is, or is owned or controlled by one or more Persons that are:</w:t>
      </w:r>
    </w:p>
    <w:p>
      <w:pPr>
        <w:spacing w:after="0" w:line="67" w:lineRule="exact"/>
        <w:rPr>
          <w:rFonts w:ascii="Times New Roman" w:cs="Times New Roman" w:eastAsia="Times New Roman" w:hAnsi="Times New Roman"/>
          <w:sz w:val="18"/>
          <w:szCs w:val="18"/>
          <w:color w:val="auto"/>
        </w:rPr>
      </w:pPr>
    </w:p>
    <w:p>
      <w:pPr>
        <w:ind w:left="940" w:firstLine="408"/>
        <w:spacing w:after="0" w:line="266" w:lineRule="auto"/>
        <w:tabs>
          <w:tab w:leader="none" w:pos="1636"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of any sanctions administered or enforced by the U.S. Department of the Treasury’s Office of Foreign Assets Control, the United Nations Security Council, the European Union, His Majesty’s Treasury,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or</w:t>
      </w:r>
    </w:p>
    <w:p>
      <w:pPr>
        <w:spacing w:after="0" w:line="67" w:lineRule="exact"/>
        <w:rPr>
          <w:rFonts w:ascii="Times New Roman" w:cs="Times New Roman" w:eastAsia="Times New Roman" w:hAnsi="Times New Roman"/>
          <w:sz w:val="18"/>
          <w:szCs w:val="18"/>
          <w:color w:val="auto"/>
        </w:rPr>
      </w:pPr>
    </w:p>
    <w:p>
      <w:pPr>
        <w:jc w:val="both"/>
        <w:ind w:left="940" w:right="80" w:firstLine="408"/>
        <w:spacing w:after="0" w:line="266" w:lineRule="auto"/>
        <w:tabs>
          <w:tab w:leader="none" w:pos="1626"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 organized or resident in a country or territory that is the subject of Sanctions (including, without limitation, Crimea, the so-called Donetsk People’s Republic, the so-called Luhansk People’s Republic, the non-government controlled areas of Zaporizhzhia and Kherson regions of Ukraine, Cuba, Iran, North Korea and Syria).</w:t>
      </w:r>
    </w:p>
    <w:p>
      <w:pPr>
        <w:spacing w:after="0" w:line="175" w:lineRule="exact"/>
        <w:rPr>
          <w:rFonts w:ascii="Times New Roman" w:cs="Times New Roman" w:eastAsia="Times New Roman" w:hAnsi="Times New Roman"/>
          <w:sz w:val="18"/>
          <w:szCs w:val="18"/>
          <w:color w:val="auto"/>
        </w:rPr>
      </w:pPr>
    </w:p>
    <w:p>
      <w:pPr>
        <w:ind w:left="-40" w:right="300" w:firstLine="987"/>
        <w:spacing w:after="0" w:line="282" w:lineRule="auto"/>
        <w:tabs>
          <w:tab w:leader="none" w:pos="121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directly or indirectly, use the proceeds of the offering, or lend, contribute or otherwise make available such proceeds to any subsidiary, joint venture partner or other Person:</w:t>
      </w:r>
    </w:p>
    <w:p>
      <w:pPr>
        <w:spacing w:after="0" w:line="53" w:lineRule="exact"/>
        <w:rPr>
          <w:rFonts w:ascii="Times New Roman" w:cs="Times New Roman" w:eastAsia="Times New Roman" w:hAnsi="Times New Roman"/>
          <w:sz w:val="18"/>
          <w:szCs w:val="18"/>
          <w:color w:val="auto"/>
        </w:rPr>
      </w:pPr>
    </w:p>
    <w:p>
      <w:pPr>
        <w:ind w:left="940" w:firstLine="408"/>
        <w:spacing w:after="0" w:line="282" w:lineRule="auto"/>
        <w:tabs>
          <w:tab w:leader="none" w:pos="1636"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or facilitate any activities or business of or with any Person or in any country or territory that, at the time of such funding or facilitation, is the subject of Sanctions, except to the extent permitted for a Person required to comply with Sanctions; or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0"/>
          </w:cols>
          <w:pgMar w:left="480" w:top="270" w:right="499" w:bottom="1440" w:gutter="0" w:footer="0" w:header="0"/>
        </w:sectPr>
      </w:pPr>
    </w:p>
    <w:bookmarkStart w:id="15" w:name="page16"/>
    <w:bookmarkEnd w:id="15"/>
    <w:p>
      <w:pPr>
        <w:ind w:left="960" w:right="80" w:firstLine="408"/>
        <w:spacing w:after="0" w:line="282" w:lineRule="auto"/>
        <w:tabs>
          <w:tab w:leader="none" w:pos="1646"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any other manner that will result in a violation of Sanctions by any Person (including any Person participating in the offering, whether as underwriter, advisor, investor or otherwise).</w:t>
      </w:r>
    </w:p>
    <w:p>
      <w:pPr>
        <w:spacing w:after="0" w:line="161" w:lineRule="exact"/>
        <w:rPr>
          <w:rFonts w:ascii="Times New Roman" w:cs="Times New Roman" w:eastAsia="Times New Roman" w:hAnsi="Times New Roman"/>
          <w:sz w:val="18"/>
          <w:szCs w:val="18"/>
          <w:color w:val="auto"/>
        </w:rPr>
      </w:pPr>
    </w:p>
    <w:p>
      <w:pPr>
        <w:ind w:left="-20" w:right="40" w:firstLine="987"/>
        <w:spacing w:after="0" w:line="266" w:lineRule="auto"/>
        <w:tabs>
          <w:tab w:leader="none" w:pos="128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have not knowingly engaged in, are not now knowingly engaged in, and will not engage in, any dealings or transactions with any Person, or in any country or territory, that at the time of the dealing or transaction is or was the subject of Sanctions.</w:t>
      </w:r>
    </w:p>
    <w:p>
      <w:pPr>
        <w:spacing w:after="0" w:line="67" w:lineRule="exact"/>
        <w:rPr>
          <w:rFonts w:ascii="Times New Roman" w:cs="Times New Roman" w:eastAsia="Times New Roman" w:hAnsi="Times New Roman"/>
          <w:sz w:val="18"/>
          <w:szCs w:val="18"/>
          <w:color w:val="auto"/>
        </w:rPr>
      </w:pPr>
    </w:p>
    <w:p>
      <w:pPr>
        <w:ind w:left="200" w:firstLine="428"/>
        <w:spacing w:after="0" w:line="252" w:lineRule="auto"/>
        <w:tabs>
          <w:tab w:leader="none" w:pos="89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and its Subsidiaries own or have a license to all patents, inventions, copyrights, know how (including trade secrets and other unpatented and/or unpatentable proprietary or confidential information, systems or procedures), trademarks, service marks and trade names (collectively, “</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used in or reasonably necessary to the conduct of their businesses; (ii) to the Company’s knowledge, the Intellectual Property Rights owned by the Company and its Subsidiaries and the Intellectual Property Rights licensed to the Company and its Subsidiaries, are valid, subsisting and enforceable, and there is no pending or, to the knowledge of the Company or any of its Subsidiaries, threatened action, suit, proceeding or claim by others challenging the validity, scope or enforceability of any such Intellectual Property Rights; (iii) neither the Company nor any of its Subsidiaries has received any notice alleging any infringement, misappropriation or other violation of Intellectual Property Rights which, singly or in the aggregate, if the subject of an unfavorable decision, ruling or finding, would have a Material Adverse Effect on the Company and its Subsidiaries, taken as a whole; (iv) to the Company’s knowledge, no third party is infringing, misappropriating or otherwise violating, or has infringed, misappropriated or otherwise violated, any Intellectual Property Rights owned by the Company; (v) to the Company’s knowledge, the Company’s or any of its Subsidiaries’ products do not infringe or have not infringed any Intellectual Property Rights of a third party; to the Company’s knowledge, neither the Company nor any of its Subsidiaries misappropriates or otherwise violates, or has misappropriated or otherwise violated, any Intellectual Property Rights of a third party; (vi) all employees or contractors engaged in the development of Intellectual Property Rights on behalf of the Company or its Subsidiaries have executed or have an obligation to execute an invention assignment agreement whereby such employees or contractors presently assign all of their right, title and interest in and to such Intellectual Property Rights to the Company or the applicable subsidiary, and to the Company’s knowledge no such agreement has been breached or violated; and (vii) the Company and its Subsidiaries use, and have used, commercially reasonable efforts to appropriately maintain all information intended to be maintained as a trade secret.</w:t>
      </w:r>
    </w:p>
    <w:p>
      <w:pPr>
        <w:spacing w:after="0" w:line="83" w:lineRule="exact"/>
        <w:rPr>
          <w:rFonts w:ascii="Times New Roman" w:cs="Times New Roman" w:eastAsia="Times New Roman" w:hAnsi="Times New Roman"/>
          <w:sz w:val="18"/>
          <w:szCs w:val="18"/>
          <w:color w:val="auto"/>
        </w:rPr>
      </w:pPr>
    </w:p>
    <w:p>
      <w:pPr>
        <w:ind w:left="200" w:firstLine="428"/>
        <w:spacing w:after="0" w:line="261" w:lineRule="auto"/>
        <w:tabs>
          <w:tab w:leader="none" w:pos="89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and its Subsidiaries use and have used any and all software and other materials distributed under a “free,” “open source,” or similar licensing model (including but not limited to the MIT License, Apache License, GNU General Public License, GNU Lesser General Public License and GNU Affero General Public License) (“</w:t>
      </w:r>
      <w:r>
        <w:rPr>
          <w:rFonts w:ascii="Times New Roman" w:cs="Times New Roman" w:eastAsia="Times New Roman" w:hAnsi="Times New Roman"/>
          <w:sz w:val="18"/>
          <w:szCs w:val="18"/>
          <w:b w:val="1"/>
          <w:bCs w:val="1"/>
          <w:color w:val="auto"/>
        </w:rPr>
        <w:t>Open Source Software</w:t>
      </w:r>
      <w:r>
        <w:rPr>
          <w:rFonts w:ascii="Times New Roman" w:cs="Times New Roman" w:eastAsia="Times New Roman" w:hAnsi="Times New Roman"/>
          <w:sz w:val="18"/>
          <w:szCs w:val="18"/>
          <w:color w:val="auto"/>
        </w:rPr>
        <w:t>”) in compliance with all license terms applicable to such Open Source Software; and (ii) neither the Company nor any of its Subsidiaries uses or distributes or has used or distributed any Open Source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0"/>
          </w:cols>
          <w:pgMar w:left="460" w:top="270" w:right="479" w:bottom="1440" w:gutter="0" w:footer="0" w:header="0"/>
        </w:sectPr>
      </w:pPr>
    </w:p>
    <w:bookmarkStart w:id="16" w:name="page17"/>
    <w:bookmarkEnd w:id="16"/>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Software in any manner that requires or has required (A) the Company or any of its Subsidiaries to permit reverse engineering of any software code or other technology owned by the Company or any of its Subsidiaries or (B) any software code or other technology owned by the Company or any of its Subsidiaries to be (1) disclosed or distributed in source code form, (2) licensed for the purpose of making derivative works or (3) redistributed at no charge.</w:t>
      </w:r>
    </w:p>
    <w:p>
      <w:pPr>
        <w:spacing w:after="0" w:line="72" w:lineRule="exact"/>
        <w:rPr>
          <w:sz w:val="20"/>
          <w:szCs w:val="20"/>
          <w:color w:val="auto"/>
        </w:rPr>
      </w:pPr>
    </w:p>
    <w:p>
      <w:pPr>
        <w:ind w:right="220" w:firstLine="428"/>
        <w:spacing w:after="0" w:line="256" w:lineRule="auto"/>
        <w:tabs>
          <w:tab w:leader="none" w:pos="77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and its Subsidiaries have complied and are presently in compliance in all material respects with their respective published privacy policies, contractual obligations, and applicable laws relating to the collection, use, transfer, import, export, storage, protection, disposal and disclosure by the Company or its Subsidiaries of personal, personally identifiable, or household regulated data (“</w:t>
      </w:r>
      <w:r>
        <w:rPr>
          <w:rFonts w:ascii="Times New Roman" w:cs="Times New Roman" w:eastAsia="Times New Roman" w:hAnsi="Times New Roman"/>
          <w:sz w:val="18"/>
          <w:szCs w:val="18"/>
          <w:b w:val="1"/>
          <w:bCs w:val="1"/>
          <w:color w:val="auto"/>
        </w:rPr>
        <w:t>Data 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and such data, “</w:t>
      </w:r>
      <w:r>
        <w:rPr>
          <w:rFonts w:ascii="Times New Roman" w:cs="Times New Roman" w:eastAsia="Times New Roman" w:hAnsi="Times New Roman"/>
          <w:sz w:val="18"/>
          <w:szCs w:val="18"/>
          <w:b w:val="1"/>
          <w:bCs w:val="1"/>
          <w:color w:val="auto"/>
        </w:rPr>
        <w:t>Data</w:t>
      </w:r>
      <w:r>
        <w:rPr>
          <w:rFonts w:ascii="Times New Roman" w:cs="Times New Roman" w:eastAsia="Times New Roman" w:hAnsi="Times New Roman"/>
          <w:sz w:val="18"/>
          <w:szCs w:val="18"/>
          <w:color w:val="auto"/>
        </w:rPr>
        <w:t>”); (ii) the Company has not received any notification of or complaint regarding any material non-compliance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any Data Security Obligation; and (iii) there is no action, suit or proceeding by or before any court or governmental agency, authority or body pending or, to the Company’s knowledge, threatened alleging non-compliance with any Data Security Obligation.</w:t>
      </w:r>
    </w:p>
    <w:p>
      <w:pPr>
        <w:spacing w:after="0" w:line="79" w:lineRule="exact"/>
        <w:rPr>
          <w:rFonts w:ascii="Times New Roman" w:cs="Times New Roman" w:eastAsia="Times New Roman" w:hAnsi="Times New Roman"/>
          <w:sz w:val="18"/>
          <w:szCs w:val="18"/>
          <w:color w:val="auto"/>
        </w:rPr>
      </w:pPr>
    </w:p>
    <w:p>
      <w:pPr>
        <w:ind w:firstLine="428"/>
        <w:spacing w:after="0" w:line="254" w:lineRule="auto"/>
        <w:tabs>
          <w:tab w:leader="none" w:pos="69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taken all reasonable technical and organizational measures designed to protect the information technology systems and Data under the Company’s and any of its Subsidiaries’ control used in connection with the operation of the Company’s and its Subsidiaries’ businesses. Without limiting the foregoing, the Company and its Subsidiaries have used reasonable efforts to establish and maintain, and have established, maintained, implemented and complied with, reasonable information technology, information security, cyber security and data protection controls, policies and procedures that are designed to protect against and prevent breach, destruction, loss, unauthorized distribution, use, access, disablement, misappropriation or modification, or other compromise or misuse of or relating to any information technology system or Data used in connection with the operation of the Company’s and its Subsidiaries’ businesses (“</w:t>
      </w:r>
      <w:r>
        <w:rPr>
          <w:rFonts w:ascii="Times New Roman" w:cs="Times New Roman" w:eastAsia="Times New Roman" w:hAnsi="Times New Roman"/>
          <w:sz w:val="18"/>
          <w:szCs w:val="18"/>
          <w:b w:val="1"/>
          <w:bCs w:val="1"/>
          <w:color w:val="auto"/>
        </w:rPr>
        <w:t>Breach</w:t>
      </w:r>
      <w:r>
        <w:rPr>
          <w:rFonts w:ascii="Times New Roman" w:cs="Times New Roman" w:eastAsia="Times New Roman" w:hAnsi="Times New Roman"/>
          <w:sz w:val="18"/>
          <w:szCs w:val="18"/>
          <w:color w:val="auto"/>
        </w:rPr>
        <w:t>”). To the Company’s knowledge, there has been no such Breach, and the Company and its Subsidiaries have not been notified of and have no knowledge of any event or condition that would reasonably be expected to result in, any such Breach.</w:t>
      </w:r>
    </w:p>
    <w:p>
      <w:pPr>
        <w:spacing w:after="0" w:line="80" w:lineRule="exact"/>
        <w:rPr>
          <w:rFonts w:ascii="Times New Roman" w:cs="Times New Roman" w:eastAsia="Times New Roman" w:hAnsi="Times New Roman"/>
          <w:sz w:val="18"/>
          <w:szCs w:val="18"/>
          <w:color w:val="auto"/>
        </w:rPr>
      </w:pPr>
    </w:p>
    <w:p>
      <w:pPr>
        <w:ind w:right="120" w:firstLine="428"/>
        <w:spacing w:after="0" w:line="254" w:lineRule="auto"/>
        <w:tabs>
          <w:tab w:leader="none" w:pos="87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preclinical studies and tests and clinical trials conducted by or on behalf of the Company that are described in the Registration Statement, the Time of Sale Prospectus and the Prospectus (the “</w:t>
      </w:r>
      <w:r>
        <w:rPr>
          <w:rFonts w:ascii="Times New Roman" w:cs="Times New Roman" w:eastAsia="Times New Roman" w:hAnsi="Times New Roman"/>
          <w:sz w:val="18"/>
          <w:szCs w:val="18"/>
          <w:b w:val="1"/>
          <w:bCs w:val="1"/>
          <w:color w:val="auto"/>
        </w:rPr>
        <w:t>Company Studies and Trials</w:t>
      </w:r>
      <w:r>
        <w:rPr>
          <w:rFonts w:ascii="Times New Roman" w:cs="Times New Roman" w:eastAsia="Times New Roman" w:hAnsi="Times New Roman"/>
          <w:sz w:val="18"/>
          <w:szCs w:val="18"/>
          <w:color w:val="auto"/>
        </w:rPr>
        <w:t>”) were and, if still pending, are being, conducted in all material respects in accordance with applicable laws, including, without limitation, the Federal Food, Drug, and Cosmetic Act (21 U.S.C. §§ 301 et seq.) and the rules and regulations promulgated thereunder; the descriptions of the results of the Company Studies and Trials contained in the Registration Statement, the Time of Sale Prospectus and the Prospectus are accurate in all material respects; the Company has no knowledge of any other studies or trials not described in the Registration Statement, the Time of Sale Prospectus and the Prospectus, the results of which are inconsistent with or reasonably call into question the results described or referred to in such documents when viewed in the context in which such results are described and the stage of development; and the Company has</w:t>
      </w:r>
    </w:p>
    <w:p>
      <w:pPr>
        <w:spacing w:after="0" w:line="1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780"/>
          </w:cols>
          <w:pgMar w:left="660" w:top="270" w:right="459" w:bottom="1440" w:gutter="0" w:footer="0" w:header="0"/>
        </w:sectPr>
      </w:pPr>
    </w:p>
    <w:bookmarkStart w:id="17" w:name="page18"/>
    <w:bookmarkEnd w:id="17"/>
    <w:p>
      <w:pPr>
        <w:ind w:right="80"/>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 received any written notices, correspondence or other written communication from the U.S. Food and Drug Administration (the “</w:t>
      </w:r>
      <w:r>
        <w:rPr>
          <w:rFonts w:ascii="Times New Roman" w:cs="Times New Roman" w:eastAsia="Times New Roman" w:hAnsi="Times New Roman"/>
          <w:sz w:val="17"/>
          <w:szCs w:val="17"/>
          <w:b w:val="1"/>
          <w:bCs w:val="1"/>
          <w:color w:val="auto"/>
        </w:rPr>
        <w:t>FDA</w:t>
      </w:r>
      <w:r>
        <w:rPr>
          <w:rFonts w:ascii="Times New Roman" w:cs="Times New Roman" w:eastAsia="Times New Roman" w:hAnsi="Times New Roman"/>
          <w:sz w:val="17"/>
          <w:szCs w:val="17"/>
          <w:color w:val="auto"/>
        </w:rPr>
        <w:t>”) or any foreign, state or local governmental body exercising comparable authority requiring the termination, suspension or material modification of any Company Studies and Trials, where such termination, suspension or material modification would reasonably be expected to have a Material Adverse Effect and, to the Company’s knowledge, there are no reasonable grounds for the same. To the Company’s knowledge, none of the Company Studies and Trials involved any investigator who has been disqualified as a clinical investigator by the FDA. To the Company’s knowledge, the manufacturing facilities and operations of its suppliers are operated in compliance in all material respects with all applicable statutes, rules, regulations and policies of the FDA and comparable regulatory agencies outside of the United States to which the Company is subject.</w:t>
      </w:r>
    </w:p>
    <w:p>
      <w:pPr>
        <w:spacing w:after="0" w:line="67" w:lineRule="exact"/>
        <w:rPr>
          <w:sz w:val="20"/>
          <w:szCs w:val="20"/>
          <w:color w:val="auto"/>
        </w:rPr>
      </w:pPr>
    </w:p>
    <w:p>
      <w:pPr>
        <w:ind w:firstLine="428"/>
        <w:spacing w:after="0" w:line="252" w:lineRule="auto"/>
        <w:tabs>
          <w:tab w:leader="none" w:pos="77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Registration Statement, the Time of Sale Prospectus and the Prospectus, as applicable, the Company (i) is and at all times has been in material compliance with all local, state, federal, national and supranational statutes, rules and regulations applicable to the ownership, testing, development, manufacture, packaging, processing, use, storage, import, export or disposal of any product manufactured or distributed by the Company, including, without limitation, the Federal Food, Drug and Cosmetic Act (21 U.S.C. § 301 et seq.), and the federal Anti-kickback Statute (42 U.S.C. § 1320a-7b(b)), the regulations promulgated pursuant to such laws, and any successor government programs, and comparable state laws (collectively, the “</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except for such non-compliance as would not, individually or in the aggregate, have a Material Adverse Effect; (ii) has not received any written notice from any court or arbitrator or governmental or regulatory authority alleging or asserting non-compliance with any Applicable Laws or any licenses, exemptions, certificates, approvals, clearances, authorizations, permits and registrations required by any such Applicable Laws (“</w:t>
      </w:r>
      <w:r>
        <w:rPr>
          <w:rFonts w:ascii="Times New Roman" w:cs="Times New Roman" w:eastAsia="Times New Roman" w:hAnsi="Times New Roman"/>
          <w:sz w:val="18"/>
          <w:szCs w:val="18"/>
          <w:b w:val="1"/>
          <w:bCs w:val="1"/>
          <w:color w:val="auto"/>
        </w:rPr>
        <w:t>Authorizations</w:t>
      </w:r>
      <w:r>
        <w:rPr>
          <w:rFonts w:ascii="Times New Roman" w:cs="Times New Roman" w:eastAsia="Times New Roman" w:hAnsi="Times New Roman"/>
          <w:sz w:val="18"/>
          <w:szCs w:val="18"/>
          <w:color w:val="auto"/>
        </w:rPr>
        <w:t>”), except for such non-compliance as would not, individually or in the aggregate, have a Material Adverse Effect; (iii) possesses all material Authorizations and such Authorizations are valid and in full force and effect and is not in violation of any term of any such Authorizations, except for such violations as would not, individually or in the aggregate, have a Material Adverse Effect; (iv) has not received written notice of any claim, action, suit, proceeding, hearing, enforcement, investigation, arbitration or other action from any court or arbitrator or governmental or regulatory authority alleging that any product operation or activity is in violation of any Applicable Laws or Authorizations nor, to the Company’s knowledge, is any such claim, action, suit, proceeding, hearing, enforcement, investigation, arbitration or other action threatened, except such as would not, individually or in the aggregate, have a Material Adverse Effect; (v) has not received written notice that any court or arbitrator or governmental or regulatory authority has taken, is taking or intends to take action to materially limit, suspend, materially modify or revoke any Authorizations nor, to the Company’s knowledge, is any such limitation, suspension, modification or revocation threatened, except such as would not, individually or in the aggregate, have a Material Adverse Effect; (vi) has filed, obtained, maintained or submitted all material reports, documents, forms, notices, applications, records and claims as required by any</w:t>
      </w:r>
    </w:p>
    <w:p>
      <w:pPr>
        <w:spacing w:after="0" w:line="12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780"/>
          </w:cols>
          <w:pgMar w:left="660" w:top="266" w:right="459" w:bottom="1440" w:gutter="0" w:footer="0" w:header="0"/>
        </w:sectPr>
      </w:pPr>
    </w:p>
    <w:bookmarkStart w:id="18" w:name="page19"/>
    <w:bookmarkEnd w:id="18"/>
    <w:p>
      <w:pPr>
        <w:ind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Applicable Laws or Authorizations and that all such reports, documents, forms, notices, applications, records and claims, and to the Company’s knowledge, were complete and accurate on the date filed in all material respects (or were corrected or supplemented by a subsequent submission); and (vii) to the Company’s knowledge, is not a party to any corporate integrity agreements, monitoring agreements, consent decrees, settlement orders, or similar agreements with or imposed by any governmental or regulatory authority.</w:t>
      </w:r>
    </w:p>
    <w:p>
      <w:pPr>
        <w:spacing w:after="0" w:line="72" w:lineRule="exact"/>
        <w:rPr>
          <w:sz w:val="20"/>
          <w:szCs w:val="20"/>
          <w:color w:val="auto"/>
        </w:rPr>
      </w:pPr>
    </w:p>
    <w:p>
      <w:pPr>
        <w:ind w:right="80" w:firstLine="428"/>
        <w:spacing w:after="0" w:line="272" w:lineRule="auto"/>
        <w:tabs>
          <w:tab w:leader="none" w:pos="777"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is not required to register as a “broker” or “dealer” in accordance with the provisions of the Exchange Act and does not, directly or indirectly through one or more intermediaries, control or have any other association with (within the meaning of Article I of the By-laws of the Financial Industry Regulatory Authority, Inc. (“</w:t>
      </w:r>
      <w:r>
        <w:rPr>
          <w:rFonts w:ascii="Times New Roman" w:cs="Times New Roman" w:eastAsia="Times New Roman" w:hAnsi="Times New Roman"/>
          <w:sz w:val="17"/>
          <w:szCs w:val="17"/>
          <w:b w:val="1"/>
          <w:bCs w:val="1"/>
          <w:color w:val="auto"/>
        </w:rPr>
        <w:t>FINRA</w:t>
      </w:r>
      <w:r>
        <w:rPr>
          <w:rFonts w:ascii="Times New Roman" w:cs="Times New Roman" w:eastAsia="Times New Roman" w:hAnsi="Times New Roman"/>
          <w:sz w:val="17"/>
          <w:szCs w:val="17"/>
          <w:color w:val="auto"/>
        </w:rPr>
        <w:t>”)) any member firm of FINRA. To the Company’s knowledge, no relationship, direct or indirect, exists between or among the Company, on the one hand, and the directors, officers or shareholders of the Company, on the other hand, which is required by the rules of FINRA to be described in the Registration Statement, the Time of Sale Prospectus and the Prospectus, which is not so described. All of the information (including, but not limited to, information regarding affiliations, security ownership and trading activity) provided to the Agent or its counsel by the Company in connection with the filing to be made and other supplemental information to be provided to FINRA pursuant to FINRA Rule 5110 in connection with the transactions contemplated by this Agreement is true, complete and correct.</w:t>
      </w:r>
    </w:p>
    <w:p>
      <w:pPr>
        <w:spacing w:after="0" w:line="63" w:lineRule="exact"/>
        <w:rPr>
          <w:rFonts w:ascii="Times New Roman" w:cs="Times New Roman" w:eastAsia="Times New Roman" w:hAnsi="Times New Roman"/>
          <w:sz w:val="17"/>
          <w:szCs w:val="17"/>
          <w:color w:val="auto"/>
        </w:rPr>
      </w:pPr>
    </w:p>
    <w:p>
      <w:pPr>
        <w:ind w:right="160" w:firstLine="428"/>
        <w:spacing w:after="0" w:line="266" w:lineRule="auto"/>
        <w:tabs>
          <w:tab w:leader="none" w:pos="77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issuance, sale and delivery of the Shares nor the application of the proceeds thereof by the Company as described in the Registration Statement, the Time of Sale Prospectus and the Prospectus will violate Regulation T, U or X of the Board of Governors of the Federal Reserve System or any other regulation of such Board of Governors.</w:t>
      </w:r>
    </w:p>
    <w:p>
      <w:pPr>
        <w:spacing w:after="0" w:line="67" w:lineRule="exact"/>
        <w:rPr>
          <w:rFonts w:ascii="Times New Roman" w:cs="Times New Roman" w:eastAsia="Times New Roman" w:hAnsi="Times New Roman"/>
          <w:sz w:val="18"/>
          <w:szCs w:val="18"/>
          <w:color w:val="auto"/>
        </w:rPr>
      </w:pPr>
    </w:p>
    <w:p>
      <w:pPr>
        <w:ind w:right="80" w:firstLine="428"/>
        <w:spacing w:after="0" w:line="261" w:lineRule="auto"/>
        <w:tabs>
          <w:tab w:leader="none" w:pos="77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independent directors (or independent director nominees, once appointed, if applicable) named in the Registration Statement, the Time of Sale Prospectus and Prospectus satisfies the independence standards established by Nasdaq and, with respect to members of the Company’s audit committee, the enhanced independence standards contained in Rule 10A-3(b)(1) promulgated by the Commission under the Exchange Act.</w:t>
      </w:r>
    </w:p>
    <w:p>
      <w:pPr>
        <w:spacing w:after="0" w:line="71" w:lineRule="exact"/>
        <w:rPr>
          <w:rFonts w:ascii="Times New Roman" w:cs="Times New Roman" w:eastAsia="Times New Roman" w:hAnsi="Times New Roman"/>
          <w:sz w:val="18"/>
          <w:szCs w:val="18"/>
          <w:color w:val="auto"/>
        </w:rPr>
      </w:pPr>
    </w:p>
    <w:p>
      <w:pPr>
        <w:ind w:left="720" w:hanging="292"/>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financial or operational projection or other “forward-looking statement” (as defined by Section 27A of the Securities Act or</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Section 21E of the Exchange Act) contained in the Registration Statement or the Prospectus (i) was so included by the Company in good faith and with reasonable basis after due consideration by the Company of the underlying assumptions, estimates and other applicable facts and circumstances and (ii) as required, is accompanied by meaningful cautionary statements identifying those factors that could cause actual results to differ materially from those in such forward-looking statement. No such statement was made with the knowledge of a director or senior manager of the Company that was false or misleading.</w:t>
      </w:r>
    </w:p>
    <w:p>
      <w:pPr>
        <w:spacing w:after="0" w:line="11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720"/>
          </w:cols>
          <w:pgMar w:left="660" w:top="270" w:right="519" w:bottom="1440" w:gutter="0" w:footer="0" w:header="0"/>
        </w:sectPr>
      </w:pPr>
    </w:p>
    <w:bookmarkStart w:id="19" w:name="page20"/>
    <w:bookmarkEnd w:id="19"/>
    <w:p>
      <w:pPr>
        <w:ind w:right="40" w:firstLine="428"/>
        <w:spacing w:after="0" w:line="256" w:lineRule="auto"/>
        <w:tabs>
          <w:tab w:leader="none" w:pos="73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 are no relationships, direct or indirect, or related party transactions involving the Company or any of its Subsidiaries or any other person (including any director, officer, stockholder, customer or supplier of the Company or any of its Subsidiaries) required to be described in the Registration Statement, the Time of Sale Prospectus or the Prospectus that have not been described as required. There are no material outstanding loans, advances (except normal advances for business expenses in the ordinary course of business) or guarantees of indebtedness by the Company or any of its Subsidiaries to or for the benefit of any of the officers or directors of the Company or any of its Subsidiaries, or any of the family members of any of such persons.</w:t>
      </w:r>
    </w:p>
    <w:p>
      <w:pPr>
        <w:spacing w:after="0" w:line="79" w:lineRule="exact"/>
        <w:rPr>
          <w:rFonts w:ascii="Times New Roman" w:cs="Times New Roman" w:eastAsia="Times New Roman" w:hAnsi="Times New Roman"/>
          <w:sz w:val="18"/>
          <w:szCs w:val="18"/>
          <w:color w:val="auto"/>
        </w:rPr>
      </w:pPr>
    </w:p>
    <w:p>
      <w:pPr>
        <w:ind w:left="700" w:hanging="272"/>
        <w:spacing w:after="0"/>
        <w:tabs>
          <w:tab w:leader="none" w:pos="7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in or subject to a bankruptcy or insolvency proceeding in any jurisdiction.</w:t>
      </w:r>
    </w:p>
    <w:p>
      <w:pPr>
        <w:spacing w:after="0" w:line="117" w:lineRule="exact"/>
        <w:rPr>
          <w:rFonts w:ascii="Times New Roman" w:cs="Times New Roman" w:eastAsia="Times New Roman" w:hAnsi="Times New Roman"/>
          <w:sz w:val="18"/>
          <w:szCs w:val="18"/>
          <w:color w:val="auto"/>
        </w:rPr>
      </w:pPr>
    </w:p>
    <w:p>
      <w:pPr>
        <w:ind w:firstLine="428"/>
        <w:spacing w:after="0" w:line="253" w:lineRule="auto"/>
        <w:tabs>
          <w:tab w:leader="none" w:pos="77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United States federal income tax returns of the Company and its Subsidiaries required by law to be filed have been filed or extensions thereof have been requested, and all taxes shown by such returns or otherwise assessed, which are due and payable, have been paid, except assessments that are being contested in good faith and as to which adequate reserves have been provided under U.S. GAAP. The Company has no knowledge of any material tax deficiency which has been or is likely to be threatened or asserted against the Company or its Subsidiaries. Each of the Company and its Subsidiaries has filed all foreign, state, provincial, local or other tax returns that are required to have been filed pursuant to applicable foreign, state, provincial, local or other law except insofar as the failure to file such returns would not, individually or in the aggregate, reasonably be expected to result in a Material Adverse Effect, and paid all taxes due pursuant to such returns or pursuant to any assessment received by the Company and its Subsidiaries, except for such taxes, if any, as are being contested in good faith and as to which adequate reserves have been provided and except for such taxes or assessments the nonpayment of which would not, individually or in the aggregate, reasonably be expected to result in a Material Adverse Effect. The charges, accruals and reserves on the books of the Company and its Subsidiaries in respect of any income or other tax liability for any years not finally determined are adequate to meet any assessments or re-assessments for additional tax for any years not finally determined, except to the extent of any inadequacy that would not reasonably be expected to result in a Material Adverse Effect.</w:t>
      </w:r>
    </w:p>
    <w:p>
      <w:pPr>
        <w:spacing w:after="0" w:line="81" w:lineRule="exact"/>
        <w:rPr>
          <w:rFonts w:ascii="Times New Roman" w:cs="Times New Roman" w:eastAsia="Times New Roman" w:hAnsi="Times New Roman"/>
          <w:sz w:val="18"/>
          <w:szCs w:val="18"/>
          <w:color w:val="auto"/>
        </w:rPr>
      </w:pPr>
    </w:p>
    <w:p>
      <w:pPr>
        <w:ind w:right="40" w:firstLine="428"/>
        <w:spacing w:after="0" w:line="256" w:lineRule="auto"/>
        <w:tabs>
          <w:tab w:leader="none" w:pos="77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close of trading on Nasdaq on June 10, 2024, the aggregate market value of the outstanding voting and non-voting common equity (as defined in Rule 405) of the Company held by persons other than affiliates of the Company (pursuant to Rule 144 of the Securities Act, those that directly, or indirectly through one or more intermediaries, control, or are controlled by, or are under common control with, the Company) (the “</w:t>
      </w:r>
      <w:r>
        <w:rPr>
          <w:rFonts w:ascii="Times New Roman" w:cs="Times New Roman" w:eastAsia="Times New Roman" w:hAnsi="Times New Roman"/>
          <w:sz w:val="18"/>
          <w:szCs w:val="18"/>
          <w:b w:val="1"/>
          <w:bCs w:val="1"/>
          <w:color w:val="auto"/>
        </w:rPr>
        <w:t>Non-Affiliate Shares</w:t>
      </w:r>
      <w:r>
        <w:rPr>
          <w:rFonts w:ascii="Times New Roman" w:cs="Times New Roman" w:eastAsia="Times New Roman" w:hAnsi="Times New Roman"/>
          <w:sz w:val="18"/>
          <w:szCs w:val="18"/>
          <w:color w:val="auto"/>
        </w:rPr>
        <w:t>”), was approximately $465.3 million (calculated by multiplying (x) the price at which the common equity of the Company was last sold on Nasdaq on June 10, 2024 by (y) the number of Non-Affiliate Shares outstanding on June 10, 2024). The Company is not a shell company (as defined in Rule 405) and has not been a shell company for at least 12 calendar months previously.</w:t>
      </w:r>
    </w:p>
    <w:p>
      <w:pPr>
        <w:spacing w:after="0" w:line="12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760"/>
          </w:cols>
          <w:pgMar w:left="660" w:top="270" w:right="479" w:bottom="1440" w:gutter="0" w:footer="0" w:header="0"/>
        </w:sectPr>
      </w:pPr>
    </w:p>
    <w:bookmarkStart w:id="20" w:name="page21"/>
    <w:bookmarkEnd w:id="20"/>
    <w:p>
      <w:pPr>
        <w:ind w:left="220" w:right="200" w:firstLine="428"/>
        <w:spacing w:after="0" w:line="258" w:lineRule="auto"/>
        <w:tabs>
          <w:tab w:leader="none" w:pos="107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(i) has not alone engaged in any Testing-the-Waters Communication with any person and (ii) has not authorized anyone other than the Representative to engage in Testing-the-Waters Communications. The Company reconfirms that the Representative has been authorized to act on its behalf in undertaking Testing-the-Waters Communications. The Company has not distributed any Testing-the-Waters Communication that is a written communication within the meaning of Rule 405 under the Securities Act. “</w:t>
      </w:r>
      <w:r>
        <w:rPr>
          <w:rFonts w:ascii="Times New Roman" w:cs="Times New Roman" w:eastAsia="Times New Roman" w:hAnsi="Times New Roman"/>
          <w:sz w:val="18"/>
          <w:szCs w:val="18"/>
          <w:b w:val="1"/>
          <w:bCs w:val="1"/>
          <w:color w:val="auto"/>
        </w:rPr>
        <w:t>Testing-the-Waters Communication</w:t>
      </w:r>
      <w:r>
        <w:rPr>
          <w:rFonts w:ascii="Times New Roman" w:cs="Times New Roman" w:eastAsia="Times New Roman" w:hAnsi="Times New Roman"/>
          <w:sz w:val="18"/>
          <w:szCs w:val="18"/>
          <w:color w:val="auto"/>
        </w:rPr>
        <w:t>” means any communication with potential investors undertaken in reliance on Section 5(d) or Rule 163B of the Securities Act.</w:t>
      </w:r>
    </w:p>
    <w:p>
      <w:pPr>
        <w:spacing w:after="0" w:line="75" w:lineRule="exact"/>
        <w:rPr>
          <w:rFonts w:ascii="Times New Roman" w:cs="Times New Roman" w:eastAsia="Times New Roman" w:hAnsi="Times New Roman"/>
          <w:sz w:val="18"/>
          <w:szCs w:val="18"/>
          <w:color w:val="auto"/>
        </w:rPr>
      </w:pPr>
    </w:p>
    <w:p>
      <w:pPr>
        <w:ind w:left="220" w:firstLine="428"/>
        <w:spacing w:after="0" w:line="258" w:lineRule="auto"/>
        <w:tabs>
          <w:tab w:leader="none" w:pos="99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time of each sale of the Shares in connection with the offering when the Prospectus is not yet available to prospective purchasers, none of (i) the Time of Sale Prospectus (ii) any free writing prospectus, when considered together with the Time of Sale Prospectus, and (iii) any individual Testing-the-Waters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181" w:lineRule="exact"/>
        <w:rPr>
          <w:rFonts w:ascii="Times New Roman" w:cs="Times New Roman" w:eastAsia="Times New Roman" w:hAnsi="Times New Roman"/>
          <w:sz w:val="18"/>
          <w:szCs w:val="18"/>
          <w:color w:val="auto"/>
        </w:rPr>
      </w:pPr>
    </w:p>
    <w:p>
      <w:pPr>
        <w:jc w:val="both"/>
        <w:ind w:right="140" w:firstLine="436"/>
        <w:spacing w:after="0" w:line="261" w:lineRule="auto"/>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Agreements to Sell and Purchase. </w:t>
      </w:r>
      <w:r>
        <w:rPr>
          <w:rFonts w:ascii="Times New Roman" w:cs="Times New Roman" w:eastAsia="Times New Roman" w:hAnsi="Times New Roman"/>
          <w:sz w:val="18"/>
          <w:szCs w:val="18"/>
          <w:color w:val="auto"/>
        </w:rPr>
        <w:t>The Company hereby agrees to sell to the several Underwriters, and each Underwriter, upon the basis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representations and warranties herein contained, but subject to the terms and conditions hereinafter stated, agrees, severally and not jointly, to purchase from the Company the respective numbers of Shares set forth in Schedule I hereto opposite its name. The purchase price per Share to be paid by the several Underwriters to the Company shall be $35.10 a share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20" w:firstLine="436"/>
        <w:spacing w:after="0" w:line="258" w:lineRule="auto"/>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Terms of Public Offering</w:t>
      </w:r>
      <w:r>
        <w:rPr>
          <w:rFonts w:ascii="Times New Roman" w:cs="Times New Roman" w:eastAsia="Times New Roman" w:hAnsi="Times New Roman"/>
          <w:sz w:val="18"/>
          <w:szCs w:val="18"/>
          <w:color w:val="auto"/>
        </w:rPr>
        <w:t>. The Company is advised by the Representative that the Underwriters propose to make a public offering of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portions of the Shares as soon after the Registration Statement and this Agreement have become effective as in the Representative’s judgment is advisable. The Company is further advised by the Representative that the Shares are to be offered to the public initially at $36.00 a share (the “</w:t>
      </w:r>
      <w:r>
        <w:rPr>
          <w:rFonts w:ascii="Times New Roman" w:cs="Times New Roman" w:eastAsia="Times New Roman" w:hAnsi="Times New Roman"/>
          <w:sz w:val="18"/>
          <w:szCs w:val="18"/>
          <w:b w:val="1"/>
          <w:bCs w:val="1"/>
          <w:color w:val="auto"/>
        </w:rPr>
        <w:t>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Offering Price</w:t>
      </w:r>
      <w:r>
        <w:rPr>
          <w:rFonts w:ascii="Times New Roman" w:cs="Times New Roman" w:eastAsia="Times New Roman" w:hAnsi="Times New Roman"/>
          <w:sz w:val="18"/>
          <w:szCs w:val="18"/>
          <w:color w:val="auto"/>
        </w:rPr>
        <w:t>”) and to certain dealers selected by the Representative at a price that represents a concession not in excess of $0.54 a share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Public Offering Price.</w:t>
      </w:r>
    </w:p>
    <w:p>
      <w:pPr>
        <w:spacing w:after="0" w:line="185" w:lineRule="exact"/>
        <w:rPr>
          <w:rFonts w:ascii="Times New Roman" w:cs="Times New Roman" w:eastAsia="Times New Roman" w:hAnsi="Times New Roman"/>
          <w:sz w:val="18"/>
          <w:szCs w:val="18"/>
          <w:color w:val="auto"/>
        </w:rPr>
      </w:pPr>
    </w:p>
    <w:p>
      <w:pPr>
        <w:ind w:firstLine="436"/>
        <w:spacing w:after="0" w:line="261" w:lineRule="auto"/>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and Delivery</w:t>
      </w:r>
      <w:r>
        <w:rPr>
          <w:rFonts w:ascii="Times New Roman" w:cs="Times New Roman" w:eastAsia="Times New Roman" w:hAnsi="Times New Roman"/>
          <w:sz w:val="18"/>
          <w:szCs w:val="18"/>
          <w:color w:val="auto"/>
        </w:rPr>
        <w:t>. Payment for the Shares shall be made to the Company in Federal or other funds immediately available in New York City against delivery of the Shares for the respective accounts of the several Underwriters at 10:00 a.m., New York City time, on June 17, 2024, or at such other time on the same or such other date, not later than June 24, 2024, as shall be designated in writing by the Representative. The time and date of such payment are hereinafter referred to as the “Closing Date.”</w:t>
      </w:r>
    </w:p>
    <w:p>
      <w:pPr>
        <w:spacing w:after="0" w:line="180"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Shares shall be registered in such names and in such denominations as the Representative shall request in writing not later than one full business day prior to the Closing Date. The Shares shall be delivered to the Representative on the Closing Date for the respective accounts of the several Underwriters, with any transfer taxes payable in connection with the transfer of the Shares to the Underwriters duly paid, against payment of the Purchase Price therefor.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21" w:name="page22"/>
    <w:bookmarkEnd w:id="21"/>
    <w:p>
      <w:pPr>
        <w:ind w:left="-40" w:right="60" w:firstLine="436"/>
        <w:spacing w:after="0" w:line="284" w:lineRule="auto"/>
        <w:tabs>
          <w:tab w:leader="none" w:pos="5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Conditions to the Underwriters’ Obligations</w:t>
      </w:r>
      <w:r>
        <w:rPr>
          <w:rFonts w:ascii="Times New Roman" w:cs="Times New Roman" w:eastAsia="Times New Roman" w:hAnsi="Times New Roman"/>
          <w:sz w:val="18"/>
          <w:szCs w:val="18"/>
          <w:color w:val="auto"/>
        </w:rPr>
        <w:t>. The obligations of the Company to sell the Shares to the Underwriters and the several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Underwriters to purchase and pay for the Shares on the Closing Date are subject to the following conditions:</w:t>
      </w:r>
    </w:p>
    <w:p>
      <w:pPr>
        <w:spacing w:after="0" w:line="52" w:lineRule="exact"/>
        <w:rPr>
          <w:rFonts w:ascii="Times New Roman" w:cs="Times New Roman" w:eastAsia="Times New Roman" w:hAnsi="Times New Roman"/>
          <w:sz w:val="18"/>
          <w:szCs w:val="18"/>
          <w:color w:val="auto"/>
        </w:rPr>
      </w:pPr>
    </w:p>
    <w:p>
      <w:pPr>
        <w:ind w:left="860" w:hanging="252"/>
        <w:spacing w:after="0"/>
        <w:tabs>
          <w:tab w:leader="none" w:pos="8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execution and delivery of this Agreement and prior to the Closing Date:</w:t>
      </w:r>
    </w:p>
    <w:p>
      <w:pPr>
        <w:spacing w:after="0" w:line="117" w:lineRule="exact"/>
        <w:rPr>
          <w:rFonts w:ascii="Times New Roman" w:cs="Times New Roman" w:eastAsia="Times New Roman" w:hAnsi="Times New Roman"/>
          <w:sz w:val="18"/>
          <w:szCs w:val="18"/>
          <w:color w:val="auto"/>
        </w:rPr>
      </w:pPr>
    </w:p>
    <w:p>
      <w:pPr>
        <w:ind w:left="940" w:right="420" w:firstLine="408"/>
        <w:spacing w:after="0" w:line="266" w:lineRule="auto"/>
        <w:tabs>
          <w:tab w:leader="none" w:pos="1556"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suspending the effectiveness of the Registration Statement shall be in effect, and no proceeding for such purpose or pursuant to Section 8A under the Securities Act shall be pending before or, to the knowledge of the Company, threatened by the Commission;</w:t>
      </w:r>
    </w:p>
    <w:p>
      <w:pPr>
        <w:spacing w:after="0" w:line="67" w:lineRule="exact"/>
        <w:rPr>
          <w:rFonts w:ascii="Times New Roman" w:cs="Times New Roman" w:eastAsia="Times New Roman" w:hAnsi="Times New Roman"/>
          <w:sz w:val="18"/>
          <w:szCs w:val="18"/>
          <w:color w:val="auto"/>
        </w:rPr>
      </w:pPr>
    </w:p>
    <w:p>
      <w:pPr>
        <w:ind w:left="940" w:firstLine="408"/>
        <w:spacing w:after="0" w:line="261" w:lineRule="auto"/>
        <w:tabs>
          <w:tab w:leader="none" w:pos="1606"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any downgrading, nor shall any notice have been given of any intended or potential downgrading or of any review for a possible change that does not indicate the direction of the possible change, in the rating accorded any of the securities of the Company or any of its Subsidiaries by any “nationally recognized statistical rating organization,” as such term is defined in Section 3(a)(62) of the Exchange Act; and</w:t>
      </w:r>
    </w:p>
    <w:p>
      <w:pPr>
        <w:spacing w:after="0" w:line="71" w:lineRule="exact"/>
        <w:rPr>
          <w:rFonts w:ascii="Times New Roman" w:cs="Times New Roman" w:eastAsia="Times New Roman" w:hAnsi="Times New Roman"/>
          <w:sz w:val="18"/>
          <w:szCs w:val="18"/>
          <w:color w:val="auto"/>
        </w:rPr>
      </w:pPr>
    </w:p>
    <w:p>
      <w:pPr>
        <w:ind w:left="940" w:right="100" w:firstLine="408"/>
        <w:spacing w:after="0" w:line="261" w:lineRule="auto"/>
        <w:tabs>
          <w:tab w:leader="none" w:pos="1656"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any change, or any development involving a prospective change, in the condition, financial or otherwise, or in the earnings, business or operations of the Company and its subsidiaries, taken as a whole, from that set forth in the Time of Sale Prospectus that, in the Representative’s judgment, is material and adverse and that makes it, in the Representative’s judgment, impracticable to market the Shares on the terms and in the manner contemplated in the Time of Sale Prospectus.</w:t>
      </w:r>
    </w:p>
    <w:p>
      <w:pPr>
        <w:spacing w:after="0" w:line="71" w:lineRule="exact"/>
        <w:rPr>
          <w:rFonts w:ascii="Times New Roman" w:cs="Times New Roman" w:eastAsia="Times New Roman" w:hAnsi="Times New Roman"/>
          <w:sz w:val="18"/>
          <w:szCs w:val="18"/>
          <w:color w:val="auto"/>
        </w:rPr>
      </w:pPr>
    </w:p>
    <w:p>
      <w:pPr>
        <w:ind w:left="180" w:right="160" w:firstLine="428"/>
        <w:spacing w:after="0" w:line="261" w:lineRule="auto"/>
        <w:tabs>
          <w:tab w:leader="none" w:pos="86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 certificate, dated the Closing Date and signed by an executive officer of the Company, to the effect set forth in Sections 5(a)(i) and 5(a)(ii)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w:t>
      </w:r>
    </w:p>
    <w:p>
      <w:pPr>
        <w:spacing w:after="0" w:line="18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officer signing and delivering such certificate may rely upon the best of his or her knowledge as to proceedings threatened.</w:t>
      </w:r>
    </w:p>
    <w:p>
      <w:pPr>
        <w:spacing w:after="0" w:line="117" w:lineRule="exact"/>
        <w:rPr>
          <w:sz w:val="20"/>
          <w:szCs w:val="20"/>
          <w:color w:val="auto"/>
        </w:rPr>
      </w:pPr>
    </w:p>
    <w:p>
      <w:pPr>
        <w:ind w:left="180" w:right="560" w:firstLine="428"/>
        <w:spacing w:after="0" w:line="282" w:lineRule="auto"/>
        <w:tabs>
          <w:tab w:leader="none" w:pos="85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an opinion and negative assurance letter of Goodwin Procter LLP, outside counsel for the Company, dated the Closing Date, in form and substance reasonably satisfactory to the Representative.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40"/>
          </w:cols>
          <w:pgMar w:left="480" w:top="268" w:right="479" w:bottom="1440" w:gutter="0" w:footer="0" w:header="0"/>
        </w:sectPr>
      </w:pPr>
    </w:p>
    <w:bookmarkStart w:id="22" w:name="page23"/>
    <w:bookmarkEnd w:id="22"/>
    <w:p>
      <w:pPr>
        <w:ind w:left="220" w:right="60" w:firstLine="428"/>
        <w:spacing w:after="0" w:line="282" w:lineRule="auto"/>
        <w:tabs>
          <w:tab w:leader="none" w:pos="90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Underwriters shall have received on the Closing Date an opinion of White &amp; Case LLP, intellectual property counsel for the Company, dated the Closing Date, in form and substance reasonably satisfactory to the Representative.</w:t>
      </w:r>
    </w:p>
    <w:p>
      <w:pPr>
        <w:spacing w:after="0" w:line="53" w:lineRule="exact"/>
        <w:rPr>
          <w:rFonts w:ascii="Times New Roman" w:cs="Times New Roman" w:eastAsia="Times New Roman" w:hAnsi="Times New Roman"/>
          <w:sz w:val="18"/>
          <w:szCs w:val="18"/>
          <w:color w:val="auto"/>
        </w:rPr>
      </w:pPr>
    </w:p>
    <w:p>
      <w:pPr>
        <w:ind w:left="220" w:right="220" w:firstLine="428"/>
        <w:spacing w:after="0" w:line="282" w:lineRule="auto"/>
        <w:tabs>
          <w:tab w:leader="none" w:pos="89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an opinion of Wolf, Greenfield &amp; Sacks, P.C., intellectual property counsel for the Company, dated the Closing Date, in form and substance reasonably satisfactory to the Representative.</w:t>
      </w:r>
    </w:p>
    <w:p>
      <w:pPr>
        <w:spacing w:after="0" w:line="53" w:lineRule="exact"/>
        <w:rPr>
          <w:rFonts w:ascii="Times New Roman" w:cs="Times New Roman" w:eastAsia="Times New Roman" w:hAnsi="Times New Roman"/>
          <w:sz w:val="18"/>
          <w:szCs w:val="18"/>
          <w:color w:val="auto"/>
        </w:rPr>
      </w:pPr>
    </w:p>
    <w:p>
      <w:pPr>
        <w:ind w:left="220" w:right="300" w:firstLine="428"/>
        <w:spacing w:after="0" w:line="282" w:lineRule="auto"/>
        <w:tabs>
          <w:tab w:leader="none" w:pos="87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an opinion and negative assurance letter of Wilmer Cutler Pickering Hale and Dorr LLP, counsel for the Underwriters, dated the Closing Date, in form and substance reasonably satisfactory to the Representative.</w:t>
      </w:r>
    </w:p>
    <w:p>
      <w:pPr>
        <w:spacing w:after="0" w:line="162"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With respect to the negative assurance letters to be delivered pursuant to Sections 5(c) and 5(f) above, Goodwin Procter LLP and Wilmer Cutler Pickering Hale and Dorr LLP, respectively, may state that their opinions and beliefs are based upon their participation in the preparation of the Registration Statement, the Time of Sale Prospectus and the Prospectus and any amendments or supplements thereto and review and discussion of the contents thereof, but are without independent check or verification, except as specified.</w:t>
      </w:r>
    </w:p>
    <w:p>
      <w:pPr>
        <w:spacing w:after="0" w:line="180" w:lineRule="exact"/>
        <w:rPr>
          <w:sz w:val="20"/>
          <w:szCs w:val="20"/>
          <w:color w:val="auto"/>
        </w:rPr>
      </w:pPr>
    </w:p>
    <w:p>
      <w:pPr>
        <w:ind w:right="720" w:firstLine="440"/>
        <w:spacing w:after="0" w:line="282" w:lineRule="auto"/>
        <w:rPr>
          <w:sz w:val="20"/>
          <w:szCs w:val="20"/>
          <w:color w:val="auto"/>
        </w:rPr>
      </w:pPr>
      <w:r>
        <w:rPr>
          <w:rFonts w:ascii="Times New Roman" w:cs="Times New Roman" w:eastAsia="Times New Roman" w:hAnsi="Times New Roman"/>
          <w:sz w:val="18"/>
          <w:szCs w:val="18"/>
          <w:color w:val="auto"/>
        </w:rPr>
        <w:t>The opinions of Goodwin Procter LLP, White &amp; Case LLP and Wolf, Greenfield &amp; Sacks, P.C. described in Sections 5(c), 5(d) and 5(e), respectively, shall be rendered to the Underwriters at the request of the Company and shall so state therein.</w:t>
      </w:r>
    </w:p>
    <w:p>
      <w:pPr>
        <w:spacing w:after="0" w:line="54" w:lineRule="exact"/>
        <w:rPr>
          <w:sz w:val="20"/>
          <w:szCs w:val="20"/>
          <w:color w:val="auto"/>
        </w:rPr>
      </w:pPr>
    </w:p>
    <w:p>
      <w:pPr>
        <w:ind w:left="220" w:right="40" w:firstLine="428"/>
        <w:spacing w:after="0" w:line="258" w:lineRule="auto"/>
        <w:tabs>
          <w:tab w:leader="none" w:pos="90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Underwriters shall have received, on each of the date hereof and the Closing Date, a letter dated the date hereof or the Closing Date, as the case may be, in form and substance satisfactory to the Representative, from Ernst &amp; Young LLP, independent public accountants,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letter delivered on the Closing Date shall use a “cut-off date” not earlier than the date hereof.</w:t>
      </w:r>
    </w:p>
    <w:p>
      <w:pPr>
        <w:spacing w:after="0" w:line="75" w:lineRule="exact"/>
        <w:rPr>
          <w:rFonts w:ascii="Times New Roman" w:cs="Times New Roman" w:eastAsia="Times New Roman" w:hAnsi="Times New Roman"/>
          <w:sz w:val="18"/>
          <w:szCs w:val="18"/>
          <w:color w:val="auto"/>
        </w:rPr>
      </w:pPr>
    </w:p>
    <w:p>
      <w:pPr>
        <w:ind w:left="220" w:right="160" w:firstLine="428"/>
        <w:spacing w:after="0" w:line="266" w:lineRule="auto"/>
        <w:tabs>
          <w:tab w:leader="none" w:pos="90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“lock-up” agreements, each substantially in the form of Exhibit A hereto, between the Representative certain officers and directors of the Company relating to restrictions on sales and certain other dispositions of shares of Common Stock or certain other securities, delivered to the Representative on or before the date hereof, shall be in full force and effect on the Closing Date.</w:t>
      </w:r>
    </w:p>
    <w:p>
      <w:pPr>
        <w:spacing w:after="0" w:line="67" w:lineRule="exact"/>
        <w:rPr>
          <w:rFonts w:ascii="Times New Roman" w:cs="Times New Roman" w:eastAsia="Times New Roman" w:hAnsi="Times New Roman"/>
          <w:sz w:val="18"/>
          <w:szCs w:val="18"/>
          <w:color w:val="auto"/>
        </w:rPr>
      </w:pPr>
    </w:p>
    <w:p>
      <w:pPr>
        <w:ind w:left="860" w:hanging="212"/>
        <w:spacing w:after="0"/>
        <w:tabs>
          <w:tab w:leader="none" w:pos="8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sold pursuant to this Agreement shall have been submitted for listing on Nasdaq.</w:t>
      </w:r>
    </w:p>
    <w:p>
      <w:pPr>
        <w:spacing w:after="0" w:line="117" w:lineRule="exact"/>
        <w:rPr>
          <w:rFonts w:ascii="Times New Roman" w:cs="Times New Roman" w:eastAsia="Times New Roman" w:hAnsi="Times New Roman"/>
          <w:sz w:val="18"/>
          <w:szCs w:val="18"/>
          <w:color w:val="auto"/>
        </w:rPr>
      </w:pPr>
    </w:p>
    <w:p>
      <w:pPr>
        <w:ind w:left="220" w:firstLine="428"/>
        <w:spacing w:after="0" w:line="266" w:lineRule="auto"/>
        <w:tabs>
          <w:tab w:leader="none" w:pos="86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to the Underwriters on the Closing Date of such other documents as the Representatives may reasonably request with respect to the good standing of the Company and the Subsidiary, the due authorization and issuance of the Shares to be sold on the Closing Date and other matters related to the issuance of the Shares.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70" w:right="479" w:bottom="1440" w:gutter="0" w:footer="0" w:header="0"/>
        </w:sectPr>
      </w:pPr>
    </w:p>
    <w:bookmarkStart w:id="23" w:name="page24"/>
    <w:bookmarkEnd w:id="23"/>
    <w:p>
      <w:pPr>
        <w:ind w:left="400" w:hanging="184"/>
        <w:spacing w:after="0"/>
        <w:tabs>
          <w:tab w:leader="none" w:pos="4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Covenants of the Company</w:t>
      </w:r>
      <w:r>
        <w:rPr>
          <w:rFonts w:ascii="Times New Roman" w:cs="Times New Roman" w:eastAsia="Times New Roman" w:hAnsi="Times New Roman"/>
          <w:sz w:val="18"/>
          <w:szCs w:val="18"/>
          <w:color w:val="auto"/>
        </w:rPr>
        <w:t>. The Company covenants with each Underwriter as follows:</w:t>
      </w:r>
    </w:p>
    <w:p>
      <w:pPr>
        <w:spacing w:after="0" w:line="119" w:lineRule="exact"/>
        <w:rPr>
          <w:rFonts w:ascii="Times New Roman" w:cs="Times New Roman" w:eastAsia="Times New Roman" w:hAnsi="Times New Roman"/>
          <w:sz w:val="18"/>
          <w:szCs w:val="18"/>
          <w:color w:val="auto"/>
        </w:rPr>
      </w:pPr>
    </w:p>
    <w:p>
      <w:pPr>
        <w:ind w:firstLine="428"/>
        <w:spacing w:after="0" w:line="256" w:lineRule="auto"/>
        <w:tabs>
          <w:tab w:leader="none" w:pos="67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to the Representative, without charge, four signed copies of the Registration Statement (including exhibits thereto and documents incorporated by reference) and for delivery to each other Underwriter a conformed copy of the Registration Statement (without exhibits thereto but including documents incorporated by reference) and to furnish to the Representative in New York City, without charge, prior to 10:00 a.m. New York City time on the business day next succeeding the date of this Agreement and during the period mentioned in Section 6(e) or 6(f) below, as many copies of the Time of Sale Prospectus, the Prospectus, any documents incorporated by reference therein and any supplements and amendments thereto or to the Registration Statement as the Representative may reasonably request.</w:t>
      </w:r>
    </w:p>
    <w:p>
      <w:pPr>
        <w:spacing w:after="0" w:line="79" w:lineRule="exact"/>
        <w:rPr>
          <w:rFonts w:ascii="Times New Roman" w:cs="Times New Roman" w:eastAsia="Times New Roman" w:hAnsi="Times New Roman"/>
          <w:sz w:val="18"/>
          <w:szCs w:val="18"/>
          <w:color w:val="auto"/>
        </w:rPr>
      </w:pPr>
    </w:p>
    <w:p>
      <w:pPr>
        <w:ind w:left="680" w:hanging="252"/>
        <w:spacing w:after="0"/>
        <w:tabs>
          <w:tab w:leader="none" w:pos="6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amending or supplementing the Registration Statement, the Time of Sale Prospectus or the Prospectus, to furnish to the</w:t>
      </w:r>
    </w:p>
    <w:p>
      <w:pPr>
        <w:spacing w:after="0" w:line="27" w:lineRule="exact"/>
        <w:rPr>
          <w:rFonts w:ascii="Times New Roman" w:cs="Times New Roman" w:eastAsia="Times New Roman" w:hAnsi="Times New Roman"/>
          <w:sz w:val="18"/>
          <w:szCs w:val="18"/>
          <w:color w:val="auto"/>
        </w:rPr>
      </w:pPr>
    </w:p>
    <w:p>
      <w:pPr>
        <w:ind w:right="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Representative a copy of each such proposed amendment or supplement and not to file any such proposed amendment or supplement to which the Representative reasonably object, and to file with the Commission within the applicable period specified in Rule 424(b) under the Securities Act any prospectus required to be filed pursuant to such Rule.</w:t>
      </w:r>
    </w:p>
    <w:p>
      <w:pPr>
        <w:spacing w:after="0" w:line="77" w:lineRule="exact"/>
        <w:rPr>
          <w:rFonts w:ascii="Times New Roman" w:cs="Times New Roman" w:eastAsia="Times New Roman" w:hAnsi="Times New Roman"/>
          <w:sz w:val="18"/>
          <w:szCs w:val="18"/>
          <w:color w:val="auto"/>
        </w:rPr>
      </w:pPr>
    </w:p>
    <w:p>
      <w:pPr>
        <w:ind w:firstLine="428"/>
        <w:spacing w:after="0" w:line="282" w:lineRule="auto"/>
        <w:tabs>
          <w:tab w:leader="none" w:pos="67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to the Representative a copy of each proposed free writing prospectus to be prepared by or on behalf of, used by, or referred to by the Company and not to use or refer to any proposed free writing prospectus to which the Representative reasonably objects.</w:t>
      </w:r>
    </w:p>
    <w:p>
      <w:pPr>
        <w:spacing w:after="0" w:line="53" w:lineRule="exact"/>
        <w:rPr>
          <w:rFonts w:ascii="Times New Roman" w:cs="Times New Roman" w:eastAsia="Times New Roman" w:hAnsi="Times New Roman"/>
          <w:sz w:val="18"/>
          <w:szCs w:val="18"/>
          <w:color w:val="auto"/>
        </w:rPr>
      </w:pPr>
    </w:p>
    <w:p>
      <w:pPr>
        <w:ind w:right="100" w:firstLine="428"/>
        <w:spacing w:after="0" w:line="266" w:lineRule="auto"/>
        <w:tabs>
          <w:tab w:leader="none" w:pos="68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67" w:lineRule="exact"/>
        <w:rPr>
          <w:rFonts w:ascii="Times New Roman" w:cs="Times New Roman" w:eastAsia="Times New Roman" w:hAnsi="Times New Roman"/>
          <w:sz w:val="18"/>
          <w:szCs w:val="18"/>
          <w:color w:val="auto"/>
        </w:rPr>
      </w:pPr>
    </w:p>
    <w:p>
      <w:pPr>
        <w:ind w:firstLine="428"/>
        <w:spacing w:after="0" w:line="253" w:lineRule="auto"/>
        <w:tabs>
          <w:tab w:leader="none" w:pos="67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12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780"/>
          </w:cols>
          <w:pgMar w:left="660" w:top="268" w:right="459" w:bottom="1440" w:gutter="0" w:footer="0" w:header="0"/>
        </w:sectPr>
      </w:pPr>
    </w:p>
    <w:bookmarkStart w:id="24" w:name="page25"/>
    <w:bookmarkEnd w:id="24"/>
    <w:p>
      <w:pPr>
        <w:ind w:firstLine="428"/>
        <w:spacing w:after="0" w:line="253" w:lineRule="auto"/>
        <w:tabs>
          <w:tab w:leader="none" w:pos="65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during such period after the first date of the public offering of the Shares as in the opinion of counsel for the Underwriters the 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Representative will furnish to the Company) to which Shares may have been sold by the Representative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pacing w:after="0" w:line="83" w:lineRule="exact"/>
        <w:rPr>
          <w:rFonts w:ascii="Times New Roman" w:cs="Times New Roman" w:eastAsia="Times New Roman" w:hAnsi="Times New Roman"/>
          <w:sz w:val="18"/>
          <w:szCs w:val="18"/>
          <w:color w:val="auto"/>
        </w:rPr>
      </w:pPr>
    </w:p>
    <w:p>
      <w:pPr>
        <w:ind w:right="200" w:firstLine="428"/>
        <w:spacing w:after="0" w:line="282" w:lineRule="auto"/>
        <w:tabs>
          <w:tab w:leader="none" w:pos="68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endeavor to qualify the Shares for offer and sale under the securities or Blue Sky laws of such jurisdictions as the Representative shall reasonably request.</w:t>
      </w:r>
    </w:p>
    <w:p>
      <w:pPr>
        <w:spacing w:after="0" w:line="53" w:lineRule="exact"/>
        <w:rPr>
          <w:rFonts w:ascii="Times New Roman" w:cs="Times New Roman" w:eastAsia="Times New Roman" w:hAnsi="Times New Roman"/>
          <w:sz w:val="18"/>
          <w:szCs w:val="18"/>
          <w:color w:val="auto"/>
        </w:rPr>
      </w:pPr>
    </w:p>
    <w:p>
      <w:pPr>
        <w:ind w:right="380" w:firstLine="428"/>
        <w:spacing w:after="0" w:line="289" w:lineRule="auto"/>
        <w:tabs>
          <w:tab w:leader="none" w:pos="687"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make generally available to the Company’s security holders and to the Representative as soon as reasonably practicable an earnings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w:t>
      </w:r>
    </w:p>
    <w:p>
      <w:pPr>
        <w:spacing w:after="0" w:line="49" w:lineRule="exact"/>
        <w:rPr>
          <w:rFonts w:ascii="Times New Roman" w:cs="Times New Roman" w:eastAsia="Times New Roman" w:hAnsi="Times New Roman"/>
          <w:sz w:val="17"/>
          <w:szCs w:val="17"/>
          <w:color w:val="auto"/>
        </w:rPr>
      </w:pPr>
    </w:p>
    <w:p>
      <w:pPr>
        <w:ind w:right="200" w:firstLine="428"/>
        <w:spacing w:after="0" w:line="254" w:lineRule="auto"/>
        <w:tabs>
          <w:tab w:leader="none" w:pos="64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and the Company’s accountants in connection with the registration and delivery of the Shares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Shares to the Underwriters, including any transfer or other taxes payable thereon, (iii) the cost of printing or</w:t>
      </w:r>
    </w:p>
    <w:p>
      <w:pPr>
        <w:spacing w:after="0" w:line="12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760"/>
          </w:cols>
          <w:pgMar w:left="660" w:top="270" w:right="479" w:bottom="1440" w:gutter="0" w:footer="0" w:header="0"/>
        </w:sectPr>
      </w:pPr>
    </w:p>
    <w:bookmarkStart w:id="25" w:name="page26"/>
    <w:bookmarkEnd w:id="25"/>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producing any Blue Sky or Legal Investment memorandum in connection with the offer and sale of the Shares under state securities laws and all expenses in connection with the qualification of the Shares for offer and sale under state securities laws as provided in Section 6(g) hereof, including filing fees and the reasonable fees and disbursements of counsel for the Underwriters in connection with such qualification and in connection with the Blue Sky or Legal Investment memorandum, (iv) all filing fees and the reasonable fees and disbursements of counsel to the Underwriters incurred in connection with the review and qualification of the offering of the Shares by the Financial Industry Regulatory Authority;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amount payable by the Company with respect to fees and disbursements of counsel for the Underwriters pursuant to subsections (iii) and (iv) shall not exceed $30,000 in the aggregate, (v) all costs and expenses incident to listing the Shares on Nasdaq, (vi) the cost of printing certificates representing the Shares, (vii) the costs and charges of any transfer agent, registrar or depositary, (viii)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50% of the cost of any aircraft chartered in connection with the road show (with the remaining 50% of the cost of such aircraft to be paid by the Underwriters), (ix) the document production charges and expenses associated with printing this Agreement and (x) all other costs and expenses incident to the performance of the obligations of the Company hereunder for which provision is not otherwise made in this Section. It is understood, however, that except as provided in this Section, Section 8 entitled “Indemnity and Contribution” and the last paragraph of Section 10 below, the Underwriters will pay all of their costs and expenses, including fees and disbursements of their counsel, stock transfer taxes payable on resale of any of the Shares by them and any advertising expenses connected with any offers they may make.</w:t>
      </w:r>
    </w:p>
    <w:p>
      <w:pPr>
        <w:spacing w:after="0" w:line="84" w:lineRule="exact"/>
        <w:rPr>
          <w:sz w:val="20"/>
          <w:szCs w:val="20"/>
          <w:color w:val="auto"/>
        </w:rPr>
      </w:pPr>
    </w:p>
    <w:p>
      <w:pPr>
        <w:ind w:right="160" w:firstLine="428"/>
        <w:spacing w:after="0" w:line="266" w:lineRule="auto"/>
        <w:tabs>
          <w:tab w:leader="none" w:pos="64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promptly notify the Representative if the Company ceases to be an Emerging Growth Company at any time prior to the later of (i) completion of the distribution of the Shares within the meaning of the Securities Act and (ii) completion of the Restricted Period (as defined in this Section 6).</w:t>
      </w:r>
    </w:p>
    <w:p>
      <w:pPr>
        <w:spacing w:after="0" w:line="67" w:lineRule="exact"/>
        <w:rPr>
          <w:rFonts w:ascii="Times New Roman" w:cs="Times New Roman" w:eastAsia="Times New Roman" w:hAnsi="Times New Roman"/>
          <w:sz w:val="18"/>
          <w:szCs w:val="18"/>
          <w:color w:val="auto"/>
        </w:rPr>
      </w:pPr>
    </w:p>
    <w:p>
      <w:pPr>
        <w:ind w:left="680" w:hanging="252"/>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deliver to each Underwriter (or its agent), on the date of execution of this Agreement, a properly completed and</w:t>
      </w:r>
    </w:p>
    <w:p>
      <w:pPr>
        <w:spacing w:after="0" w:line="27" w:lineRule="exact"/>
        <w:rPr>
          <w:rFonts w:ascii="Times New Roman" w:cs="Times New Roman" w:eastAsia="Times New Roman" w:hAnsi="Times New Roman"/>
          <w:sz w:val="18"/>
          <w:szCs w:val="18"/>
          <w:color w:val="auto"/>
        </w:rPr>
      </w:pPr>
    </w:p>
    <w:p>
      <w:pPr>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Certification Regarding Beneficial Owners of Legal Entity Customers, together with copies of identifying documentation, and the Company undertakes to provide such additional supporting documentation as each Underwriter may reasonably request in connection with the verification of the foregoing Certification.</w:t>
      </w:r>
    </w:p>
    <w:p>
      <w:pPr>
        <w:spacing w:after="0" w:line="11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780"/>
          </w:cols>
          <w:pgMar w:left="660" w:top="270" w:right="459" w:bottom="1440" w:gutter="0" w:footer="0" w:header="0"/>
        </w:sectPr>
      </w:pPr>
    </w:p>
    <w:bookmarkStart w:id="26" w:name="page27"/>
    <w:bookmarkEnd w:id="26"/>
    <w:p>
      <w:pPr>
        <w:ind w:left="4" w:right="22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also covenants with each Underwriter that, without the prior written consent of the Representative on behalf of the Underwriters, it will not, and will not publicly disclose an intention to, during the period ending 45 days after the date of the Prospectus (the “</w:t>
      </w:r>
      <w:r>
        <w:rPr>
          <w:rFonts w:ascii="Times New Roman" w:cs="Times New Roman" w:eastAsia="Times New Roman" w:hAnsi="Times New Roman"/>
          <w:sz w:val="17"/>
          <w:szCs w:val="17"/>
          <w:b w:val="1"/>
          <w:bCs w:val="1"/>
          <w:color w:val="auto"/>
        </w:rPr>
        <w:t>Restricted Period</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left="4" w:right="40" w:hanging="4"/>
        <w:spacing w:after="0" w:line="252" w:lineRule="auto"/>
        <w:tabs>
          <w:tab w:leader="none" w:pos="25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or (3) file any registration statement with the Commission relating to the offering of any shares of Common Stock or any securities convertible into or exercisable or exchangeable for Common Stock.</w:t>
      </w:r>
    </w:p>
    <w:p>
      <w:pPr>
        <w:spacing w:after="0" w:line="82" w:lineRule="exact"/>
        <w:rPr>
          <w:sz w:val="20"/>
          <w:szCs w:val="20"/>
          <w:color w:val="auto"/>
        </w:rPr>
      </w:pPr>
    </w:p>
    <w:p>
      <w:pPr>
        <w:ind w:left="4"/>
        <w:spacing w:after="0" w:line="251" w:lineRule="auto"/>
        <w:rPr>
          <w:sz w:val="20"/>
          <w:szCs w:val="20"/>
          <w:color w:val="auto"/>
        </w:rPr>
      </w:pPr>
      <w:r>
        <w:rPr>
          <w:rFonts w:ascii="Times New Roman" w:cs="Times New Roman" w:eastAsia="Times New Roman" w:hAnsi="Times New Roman"/>
          <w:sz w:val="18"/>
          <w:szCs w:val="18"/>
          <w:color w:val="auto"/>
        </w:rPr>
        <w:t>The restrictions contained in the preceding paragraph shall not apply to (A) the Shares to be sold hereunder, (B) the issuance by the Company of shares of common stock or securities convertible into or exercisable for shares of Common Stock upon the exercise of an option or warrant or the conversion of a security outstanding on the date hereof as described in each of the Time of Sale Prospectus and Prospectus, (C) the issuance by the Company of shares of Common Stock or options to purchase shares of, Common Stock to employees, officers, directors, advisors or consultants of the Company pursuant to employee benefit plans as described in each of the Time of Sale Prospectus and Prospectus, provided that, prior to the issuance of any such shares or the grant of any such options to any director or executive officer elected or appointed following the date of this Agreement and prior to the end of the Restricted Period, the Company shall cause each such recipient of such grant or issuance to execute and deliver a “lock-up” agreement, substantially in the form of Exhibit A hereto, (D) the filing by the Company of registration statements on Form S-8 with respect to the employee benefit plans described in the Time of Sale Prospectus and Prospectus, (E) the sale or issuance of or entry into an agreement to sell or issue shares of the Common Stock in connection with the Company’s acquisition of one or more businesses, products, assets or technologies (whether by means of merger, stock purchase, asset purchase or otherwise) or in connection with joint ventures, collaboration or licensing agreements, marketing or distribution arrangements, commercial relationships or other strategic transactions; provided, that, the aggregate number of shares of Common Stock that the Company may sell or issue or agree to sell or issue pursuant to this clause (E) shall not exceed 5% of the total number of shares of Common Stock issued and outstanding immediately following the completion of the transactions contemplated by this Agreement and provided further that the Company shall cause each recipient of such shares to execute and deliver to you, on or prior to such issuance, a “lock up” agreement, substantially in the form of Exhibit A hereto, (F) facilitating the establishment of a trading plan on behalf of a stockholder, officer or director of the Company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the Company regarding the establishment of such plan, such announcement or filing shall include a statement to the effect that no transfer of Common Stock may be made under such plan during the Restricted Period, or (G) the issuance of shares of Common Stock pursuant to a placement made under any “at-the-market” offering program described in the Time of Sale Prospectus and the Prospectus, provided that no shares may be offered or sold pursuant to such program during the period ending 30 days after the date of the Prospectus.</w:t>
      </w:r>
    </w:p>
    <w:p>
      <w:pPr>
        <w:spacing w:after="0" w:line="138" w:lineRule="exact"/>
        <w:rPr>
          <w:sz w:val="20"/>
          <w:szCs w:val="20"/>
          <w:color w:val="auto"/>
        </w:rPr>
      </w:pPr>
    </w:p>
    <w:p>
      <w:pPr>
        <w:jc w:val="center"/>
        <w:ind w:right="196"/>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784"/>
          </w:cols>
          <w:pgMar w:left="656" w:top="270" w:right="459" w:bottom="1440" w:gutter="0" w:footer="0" w:header="0"/>
        </w:sectPr>
      </w:pPr>
    </w:p>
    <w:bookmarkStart w:id="27" w:name="page28"/>
    <w:bookmarkEnd w:id="27"/>
    <w:p>
      <w:pPr>
        <w:ind w:right="380" w:firstLine="436"/>
        <w:spacing w:after="0" w:line="267" w:lineRule="auto"/>
        <w:tabs>
          <w:tab w:leader="none" w:pos="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Covenants of the Underwriters</w:t>
      </w:r>
      <w:r>
        <w:rPr>
          <w:rFonts w:ascii="Times New Roman" w:cs="Times New Roman" w:eastAsia="Times New Roman" w:hAnsi="Times New Roman"/>
          <w:sz w:val="18"/>
          <w:szCs w:val="18"/>
          <w:color w:val="auto"/>
        </w:rPr>
        <w:t>. Each Underwriter, severally and not jointly, covenants with the Company not to take any action that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in the 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173" w:lineRule="exact"/>
        <w:rPr>
          <w:rFonts w:ascii="Times New Roman" w:cs="Times New Roman" w:eastAsia="Times New Roman" w:hAnsi="Times New Roman"/>
          <w:sz w:val="18"/>
          <w:szCs w:val="18"/>
          <w:color w:val="auto"/>
        </w:rPr>
      </w:pPr>
    </w:p>
    <w:p>
      <w:pPr>
        <w:ind w:firstLine="436"/>
        <w:spacing w:after="0" w:line="253" w:lineRule="auto"/>
        <w:tabs>
          <w:tab w:leader="none" w:pos="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Indemnity and Contribution. </w:t>
      </w:r>
      <w:r>
        <w:rPr>
          <w:rFonts w:ascii="Times New Roman" w:cs="Times New Roman" w:eastAsia="Times New Roman" w:hAnsi="Times New Roman"/>
          <w:sz w:val="18"/>
          <w:szCs w:val="18"/>
          <w:color w:val="auto"/>
        </w:rPr>
        <w:t>(a) The Company agrees to indemnify and hold harmless each Underwriter, each person, if any, who controls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that arise out of, or are based upon,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“road show”), the Prospectus or any amendment or supplement thereto, or any Testing-the-Waters Communication, or arise out of, or are based upon, any omission or alleged omission to state therein a material fact required to be stated therein or necessary to make the statements therein not misleading, except insofar as such losses, claims, damages or liabilities arise out of, or are based upon, any such untrue statement or omission or alleged untrue statement or omission made in reliance upon and in conformity with any information relating to any Underwriter furnished to the Company in writing by such Underwriter through the Representative expressly for use therein, it being understood and agreed that the only such information furnished by the Underwriters through the Representative consists of the Underwriter Information.</w:t>
      </w:r>
    </w:p>
    <w:p>
      <w:pPr>
        <w:spacing w:after="0" w:line="79" w:lineRule="exact"/>
        <w:rPr>
          <w:rFonts w:ascii="Times New Roman" w:cs="Times New Roman" w:eastAsia="Times New Roman" w:hAnsi="Times New Roman"/>
          <w:sz w:val="18"/>
          <w:szCs w:val="18"/>
          <w:color w:val="auto"/>
        </w:rPr>
      </w:pPr>
    </w:p>
    <w:p>
      <w:pPr>
        <w:ind w:left="220" w:firstLine="428"/>
        <w:spacing w:after="0" w:line="255" w:lineRule="auto"/>
        <w:tabs>
          <w:tab w:leader="none" w:pos="90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agrees, severally and not jointly,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such Underwriter, but only with reference to information relating to such Underwriter furnished to the Company in writing by such Underwriter through the Representative expressly for use in the Registration Statement, any preliminary prospectus, the Time of Sale Prospectus, any issuer free writing prospectus, road show, or the Prospectus or any amendment or supplement thereto; it being understood and agreed that the only such information furnished by the Underwriters consists of the Underwriter Information.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68" w:right="459" w:bottom="1440" w:gutter="0" w:footer="0" w:header="0"/>
        </w:sectPr>
      </w:pPr>
    </w:p>
    <w:bookmarkStart w:id="28" w:name="page29"/>
    <w:bookmarkEnd w:id="28"/>
    <w:p>
      <w:pPr>
        <w:ind w:firstLine="428"/>
        <w:spacing w:after="0" w:line="251" w:lineRule="auto"/>
        <w:tabs>
          <w:tab w:leader="none" w:pos="67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case any proceeding (including any governmental investigation) shall be instituted involving any person in respect of which indemnity may be sought pursuant to Section 8(a) or 8(b), such person (the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shall promptly notify the person against whom such indemnity may be sought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reasonably incurred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the Representative, in the case of parties indemnified pursuant to Section 8(a), and by the Company, in the case of parties indemnified pursuant to Section 8(b).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and does not include a statement as to or an admission of fault, culpability or a failure to act by or on behalf of any indemnified party.</w:t>
      </w:r>
    </w:p>
    <w:p>
      <w:pPr>
        <w:spacing w:after="0" w:line="13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720"/>
          </w:cols>
          <w:pgMar w:left="660" w:top="270" w:right="519" w:bottom="1440" w:gutter="0" w:footer="0" w:header="0"/>
        </w:sectPr>
      </w:pPr>
    </w:p>
    <w:bookmarkStart w:id="29" w:name="page30"/>
    <w:bookmarkEnd w:id="29"/>
    <w:p>
      <w:pPr>
        <w:ind w:firstLine="428"/>
        <w:spacing w:after="0" w:line="252" w:lineRule="auto"/>
        <w:tabs>
          <w:tab w:leader="none" w:pos="68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Underwriters on the other hand from the offering of the Shares or (ii) if the allocation provided by clause 8(d)(i) above is not permitted by applicable law, in such proportion as is appropriate to reflect not only the relative benefits referred to in clause 8(d)(i) above but also the relative fault of the Company on the one hand and of the Underwriters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Shares shall be deemed to be in the same respective proportions as the net proceeds from the offering of the Shares (before deducting expenses) received by the Company and the total underwriting discounts and commissions received by the Underwriters, in each case as set forth in the table on the cover of the Prospectus, bear to the aggregate Public Offering Price of the Shares.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8 are several in proportion to the respective number of Shares they have purchased hereunder, and not joint.</w:t>
      </w:r>
    </w:p>
    <w:p>
      <w:pPr>
        <w:spacing w:after="0" w:line="86" w:lineRule="exact"/>
        <w:rPr>
          <w:rFonts w:ascii="Times New Roman" w:cs="Times New Roman" w:eastAsia="Times New Roman" w:hAnsi="Times New Roman"/>
          <w:sz w:val="18"/>
          <w:szCs w:val="18"/>
          <w:color w:val="auto"/>
        </w:rPr>
      </w:pPr>
    </w:p>
    <w:p>
      <w:pPr>
        <w:ind w:firstLine="428"/>
        <w:spacing w:after="0" w:line="253" w:lineRule="auto"/>
        <w:tabs>
          <w:tab w:leader="none" w:pos="67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the Underwriters agree that it would not be just or equitable if contribution pursuant to this Section 8 were determined by </w:t>
      </w:r>
      <w:r>
        <w:rPr>
          <w:rFonts w:ascii="Times New Roman" w:cs="Times New Roman" w:eastAsia="Times New Roman" w:hAnsi="Times New Roman"/>
          <w:sz w:val="18"/>
          <w:szCs w:val="18"/>
          <w:i w:val="1"/>
          <w:iCs w:val="1"/>
          <w:color w:val="auto"/>
        </w:rPr>
        <w:t xml:space="preserve">pro rata </w:t>
      </w:r>
      <w:r>
        <w:rPr>
          <w:rFonts w:ascii="Times New Roman" w:cs="Times New Roman" w:eastAsia="Times New Roman" w:hAnsi="Times New Roman"/>
          <w:sz w:val="18"/>
          <w:szCs w:val="18"/>
          <w:color w:val="auto"/>
        </w:rPr>
        <w:t>allocation (even if the Underwriters were treated as one entity for such purpose) or by any other method of allocation that does not take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of the equitable 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 in connection with investigating or defending any such action or claim. Notwithstanding the provisions of this Section 8, no Underwriter shall be required to contribute any amount in excess of the amount by which the total price at which the Shares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w:t>
      </w:r>
    </w:p>
    <w:p>
      <w:pPr>
        <w:spacing w:after="0" w:line="1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780"/>
          </w:cols>
          <w:pgMar w:left="660" w:top="270" w:right="459" w:bottom="1440" w:gutter="0" w:footer="0" w:header="0"/>
        </w:sectPr>
      </w:pPr>
    </w:p>
    <w:bookmarkStart w:id="30" w:name="page31"/>
    <w:bookmarkEnd w:id="30"/>
    <w:p>
      <w:pPr>
        <w:ind w:left="224" w:right="60" w:firstLine="428"/>
        <w:spacing w:after="0" w:line="261" w:lineRule="auto"/>
        <w:tabs>
          <w:tab w:leader="none" w:pos="881"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indemnity and contribution provisions contained in this Section 8 and the representations, warranties and other statements of the Company contained in this Agreement shall remain operative and in full force and effect regardless of (i) any termination of this Agreement, (ii) any investigation made by or on behalf of any Underwriter, any person controlling any Underwriter or any affiliate of any Underwriter or by or on behalf of the Company, its officers or directors or any person controlling the Company and (iii) acceptance of and payment for any of the Shares.</w:t>
      </w:r>
    </w:p>
    <w:p>
      <w:pPr>
        <w:spacing w:after="0" w:line="177" w:lineRule="exact"/>
        <w:rPr>
          <w:rFonts w:ascii="Times New Roman" w:cs="Times New Roman" w:eastAsia="Times New Roman" w:hAnsi="Times New Roman"/>
          <w:sz w:val="18"/>
          <w:szCs w:val="18"/>
          <w:color w:val="auto"/>
        </w:rPr>
      </w:pPr>
    </w:p>
    <w:p>
      <w:pPr>
        <w:ind w:left="4" w:right="20" w:firstLine="436"/>
        <w:spacing w:after="0" w:line="255" w:lineRule="auto"/>
        <w:tabs>
          <w:tab w:leader="none" w:pos="62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The Underwriters may terminate this Agreement by notice given by the Representative to the Company, if after the execution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of this Agreement and prior to or on the Closing Date (i) trading generally shall have been suspended or materially limited on, or by, as the case may be, any of the New York Stock Exchange, the NYSE American, the Nasdaq, the Chicago Board of Options Exchange, the Chicago Mercantile Exchange or the Chicago Board of Trade, (ii) trading of any securities of the Company shall have been suspended on any exchange or in any over-the-counter market, (iii) a material disruption in securities settlement, payment or clearance services in the United States shall have occurred,</w:t>
      </w:r>
    </w:p>
    <w:p>
      <w:pPr>
        <w:ind w:left="4" w:hanging="4"/>
        <w:spacing w:after="0" w:line="253" w:lineRule="auto"/>
        <w:tabs>
          <w:tab w:leader="none" w:pos="30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moratorium on commercial banking activities shall have been declared by Federal or New York State authorities or (v) there shall have occurred any outbreak or escalation of hostilities, or any change in financial markets or any calamity or crisis that, in the Representative’s judgment, is material and adverse and which, singly or together with any other event specified in this clause (v), makes it, in the Representative’s judgment, impracticable or inadvisable to proceed with the offer, sale or delivery of the Shares on the terms and in the manner contemplated in the Time of Sale Prospectus or the Prospectus.</w:t>
      </w:r>
    </w:p>
    <w:p>
      <w:pPr>
        <w:spacing w:after="0" w:line="184"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Effectiveness; Defaulting Underwriters</w:t>
      </w:r>
      <w:r>
        <w:rPr>
          <w:rFonts w:ascii="Times New Roman" w:cs="Times New Roman" w:eastAsia="Times New Roman" w:hAnsi="Times New Roman"/>
          <w:sz w:val="18"/>
          <w:szCs w:val="18"/>
          <w:color w:val="auto"/>
        </w:rPr>
        <w:t>. This Agreement shall become effective upon the execution and delivery hereof by the parties hereto.</w:t>
      </w:r>
    </w:p>
    <w:p>
      <w:pPr>
        <w:spacing w:after="0" w:line="227" w:lineRule="exact"/>
        <w:rPr>
          <w:sz w:val="20"/>
          <w:szCs w:val="20"/>
          <w:color w:val="auto"/>
        </w:rPr>
      </w:pPr>
    </w:p>
    <w:p>
      <w:pPr>
        <w:ind w:left="4"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If, on the Closing Date any one or more of the Underwriters shall fail or refuse to purchase Shares that it has or they have agreed to purchase hereunder on such date, and the aggregate number of Shares which such defaulting Underwriter or Underwriters agreed but failed or refused to purchase is not more than one-tenth of the aggregate number of the Shares to be purchased on such date, the other Underwriters shall be obligated severally in the proportions that the number of Shares set forth opposite their respective names in Schedule I bears to the aggregate number of Shares set forth opposite the names of all such non-defaulting Underwriters, or in such other proportions as the Representative may specify, to purchase the Shares which such defaulting Underwriter or Underwriters agreed but failed or refused to purchase on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number of Shares that any Underwriter has agreed to purchase pursuant to this Agreement be increased pursuant to this Section 10 by an amount in excess of one-ninth of such number of Shares without the written consent of such Underwriter. If, on the Closing Date, any Underwriter or Underwriters shall fail or refuse to purchase Shares and the aggregate number of Shares with respect to which such default occurs is more than one-tenth of the aggregate number of Shares to be purchased on such date, and arrangements satisfactory to the Representative and the Company for the purchase of such Shares are not made within 36 hours after such default, this Agreement shall terminate without liability on the part of any non-defaulting Underwriter or the Company. In any such case either the Representative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w:t>
      </w:r>
    </w:p>
    <w:p>
      <w:pPr>
        <w:spacing w:after="0" w:line="13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4"/>
          </w:cols>
          <w:pgMar w:left="436" w:top="270" w:right="459" w:bottom="1440" w:gutter="0" w:footer="0" w:header="0"/>
        </w:sectPr>
      </w:pPr>
    </w:p>
    <w:bookmarkStart w:id="31" w:name="page32"/>
    <w:bookmarkEnd w:id="31"/>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contemplated hereunder.</w:t>
      </w:r>
    </w:p>
    <w:p>
      <w:pPr>
        <w:spacing w:after="0" w:line="181" w:lineRule="exact"/>
        <w:rPr>
          <w:sz w:val="20"/>
          <w:szCs w:val="20"/>
          <w:color w:val="auto"/>
        </w:rPr>
      </w:pPr>
    </w:p>
    <w:p>
      <w:pPr>
        <w:ind w:right="40" w:firstLine="436"/>
        <w:spacing w:after="0" w:line="261" w:lineRule="auto"/>
        <w:tabs>
          <w:tab w:leader="none" w:pos="70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(a) This Agreement, together with any contemporaneous written agreements and any prior written agreements (to the extent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superseded by this Agreement) that relate to the offering of the Shares, represents the entire agreement between the Company and the Underwriters with respect to the preparation of any preliminary prospectus, the Time of Sale Prospectus, the Prospectus, the conduct of the offering, and the purchase and sale of the Shares.</w:t>
      </w:r>
    </w:p>
    <w:p>
      <w:pPr>
        <w:spacing w:after="0" w:line="73" w:lineRule="exact"/>
        <w:rPr>
          <w:rFonts w:ascii="Times New Roman" w:cs="Times New Roman" w:eastAsia="Times New Roman" w:hAnsi="Times New Roman"/>
          <w:sz w:val="18"/>
          <w:szCs w:val="18"/>
          <w:color w:val="auto"/>
        </w:rPr>
      </w:pPr>
    </w:p>
    <w:p>
      <w:pPr>
        <w:ind w:left="220" w:right="20" w:firstLine="428"/>
        <w:spacing w:after="0" w:line="255" w:lineRule="auto"/>
        <w:tabs>
          <w:tab w:leader="none" w:pos="90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that in connection with the offering of the Shares: (i) the Underwriters have acted at arm’s length, are not agents of, and owe no fiduciary duties to, the Company or any other person, (ii) the Underwriters owe the Company only those duties and obligations set forth in this Agreement, any contemporaneous written agreements and prior written agreements (to the extent not superseded by this Agreement), if any, (iii) the Underwriters may have interests that differ from those of the Company, and (iv) none of the activities of the Underwriters in connection with the transactions contemplated herein constitutes a recommendation, investment advice, or solicitation of any action by the Underwriters with respect to any entity or natural person. The Company waives to the full extent permitted by applicable law any claims it may have against the Underwriters arising from an alleged breach of fiduciary duty in connection with the offering of the Shares.</w:t>
      </w:r>
    </w:p>
    <w:p>
      <w:pPr>
        <w:spacing w:after="0" w:line="186"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Recognition of the U.S. Special Resolution Regimes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220" w:right="100" w:firstLine="428"/>
        <w:spacing w:after="0" w:line="261" w:lineRule="auto"/>
        <w:tabs>
          <w:tab w:leader="none" w:pos="89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1" w:lineRule="exact"/>
        <w:rPr>
          <w:rFonts w:ascii="Times New Roman" w:cs="Times New Roman" w:eastAsia="Times New Roman" w:hAnsi="Times New Roman"/>
          <w:sz w:val="18"/>
          <w:szCs w:val="18"/>
          <w:color w:val="auto"/>
        </w:rPr>
      </w:pPr>
    </w:p>
    <w:p>
      <w:pPr>
        <w:ind w:left="220" w:right="280" w:firstLine="428"/>
        <w:spacing w:after="0" w:line="261" w:lineRule="auto"/>
        <w:tabs>
          <w:tab w:leader="none" w:pos="90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32" w:name="page33"/>
    <w:bookmarkEnd w:id="32"/>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this Section a “</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w:t>
      </w:r>
      <w:r>
        <w:rPr>
          <w:rFonts w:ascii="Times New Roman" w:cs="Times New Roman" w:eastAsia="Times New Roman" w:hAnsi="Times New Roman"/>
          <w:sz w:val="18"/>
          <w:szCs w:val="18"/>
          <w:b w:val="1"/>
          <w:bCs w:val="1"/>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85" w:lineRule="exact"/>
        <w:rPr>
          <w:sz w:val="20"/>
          <w:szCs w:val="20"/>
          <w:color w:val="auto"/>
        </w:rPr>
      </w:pPr>
    </w:p>
    <w:p>
      <w:pPr>
        <w:ind w:right="120" w:firstLine="436"/>
        <w:spacing w:after="0" w:line="258" w:lineRule="auto"/>
        <w:tabs>
          <w:tab w:leader="none" w:pos="71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Agreement may be signed in two or more counterparts, each of which shall be an original, with the same effect as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signatures thereto and hereto were upon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Applicable Law</w:t>
      </w:r>
      <w:r>
        <w:rPr>
          <w:rFonts w:ascii="Times New Roman" w:cs="Times New Roman" w:eastAsia="Times New Roman" w:hAnsi="Times New Roman"/>
          <w:sz w:val="18"/>
          <w:szCs w:val="18"/>
          <w:color w:val="auto"/>
        </w:rPr>
        <w:t>. This Agreement shall be governed by and construed in accordance with the internal laws of the State of New York.</w:t>
      </w:r>
    </w:p>
    <w:p>
      <w:pPr>
        <w:spacing w:after="0" w:line="225" w:lineRule="exact"/>
        <w:rPr>
          <w:rFonts w:ascii="Times New Roman" w:cs="Times New Roman" w:eastAsia="Times New Roman" w:hAnsi="Times New Roman"/>
          <w:sz w:val="18"/>
          <w:szCs w:val="18"/>
          <w:color w:val="auto"/>
        </w:rPr>
      </w:pPr>
    </w:p>
    <w:p>
      <w:pPr>
        <w:ind w:right="40" w:firstLine="436"/>
        <w:spacing w:after="0" w:line="284" w:lineRule="auto"/>
        <w:tabs>
          <w:tab w:leader="none" w:pos="71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The headings of the sections of this Agreement have been inserted for convenience of reference only and shall not be deemed a part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Agreement.</w:t>
      </w:r>
    </w:p>
    <w:p>
      <w:pPr>
        <w:spacing w:after="0" w:line="158" w:lineRule="exact"/>
        <w:rPr>
          <w:rFonts w:ascii="Times New Roman" w:cs="Times New Roman" w:eastAsia="Times New Roman" w:hAnsi="Times New Roman"/>
          <w:sz w:val="18"/>
          <w:szCs w:val="18"/>
          <w:color w:val="auto"/>
        </w:rPr>
      </w:pPr>
    </w:p>
    <w:p>
      <w:pPr>
        <w:ind w:firstLine="436"/>
        <w:spacing w:after="0" w:line="267" w:lineRule="auto"/>
        <w:tabs>
          <w:tab w:leader="none" w:pos="71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Notices. </w:t>
      </w:r>
      <w:r>
        <w:rPr>
          <w:rFonts w:ascii="Times New Roman" w:cs="Times New Roman" w:eastAsia="Times New Roman" w:hAnsi="Times New Roman"/>
          <w:sz w:val="18"/>
          <w:szCs w:val="18"/>
          <w:color w:val="auto"/>
        </w:rPr>
        <w:t>All communications hereunder shall be in writing and effective only upon receipt and if to the Underwriters shall be delivered, mailed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sent to Leerink Partners LLC in care of Leerink Partners LLC, 1301 Avenue of Americas, 12th Floor, New York, New York 10019, Attention: Stuart Nayman.</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immediately follows.]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66" w:right="459" w:bottom="1440" w:gutter="0" w:footer="0" w:header="0"/>
        </w:sectPr>
      </w:pPr>
    </w:p>
    <w:bookmarkStart w:id="33" w:name="page34"/>
    <w:bookmarkEnd w:id="33"/>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Very truly yours,</w:t>
      </w:r>
    </w:p>
    <w:p>
      <w:pPr>
        <w:spacing w:after="0" w:line="2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John Quisel</w:t>
      </w:r>
    </w:p>
    <w:p>
      <w:pPr>
        <w:spacing w:after="0" w:line="27" w:lineRule="exact"/>
        <w:rPr>
          <w:sz w:val="20"/>
          <w:szCs w:val="20"/>
          <w:color w:val="auto"/>
        </w:rPr>
      </w:pPr>
    </w:p>
    <w:p>
      <w:pPr>
        <w:jc w:val="both"/>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President and Chief Executive</w:t>
      </w:r>
    </w:p>
    <w:p>
      <w:pPr>
        <w:spacing w:after="0" w:line="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Officer</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Underwriting Agreement]</w:t>
      </w:r>
    </w:p>
    <w:p>
      <w:pPr>
        <w:sectPr>
          <w:pgSz w:w="11900" w:h="16838" w:orient="portrait"/>
          <w:cols w:equalWidth="0" w:num="1">
            <w:col w:w="9019"/>
          </w:cols>
          <w:pgMar w:left="1440" w:top="270"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Accepted as of the date hereof</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Leerink Partners LLC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severally on behalf of itself and the several</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Underwriters named in Schedule I hereto.</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Leerink Partners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Sean Pitt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17145</wp:posOffset>
            </wp:positionV>
            <wp:extent cx="25717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Name:</w:t>
        <w:tab/>
        <w:t>Sean Pitt</w:t>
      </w:r>
    </w:p>
    <w:p>
      <w:pPr>
        <w:spacing w:after="0" w:line="27"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Title:</w:t>
        <w:tab/>
        <w:t>Senior Managing Director</w:t>
      </w:r>
    </w:p>
    <w:p>
      <w:pPr>
        <w:spacing w:after="0" w:line="139"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019"/>
          </w:cols>
          <w:pgMar w:left="440" w:top="270" w:right="144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SCHEDULE I</w:t>
            </w:r>
          </w:p>
        </w:tc>
        <w:tc>
          <w:tcPr>
            <w:tcW w:w="0" w:type="dxa"/>
            <w:vAlign w:val="bottom"/>
          </w:tcPr>
          <w:p>
            <w:pPr>
              <w:spacing w:after="0"/>
              <w:rPr>
                <w:sz w:val="1"/>
                <w:szCs w:val="1"/>
                <w:color w:val="auto"/>
              </w:rPr>
            </w:pPr>
          </w:p>
        </w:tc>
      </w:tr>
      <w:tr>
        <w:trPr>
          <w:trHeight w:val="367"/>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2700" w:type="dxa"/>
            <w:vAlign w:val="bottom"/>
            <w:vMerge w:val="restart"/>
          </w:tcPr>
          <w:p>
            <w:pPr>
              <w:spacing w:after="0"/>
              <w:rPr>
                <w:sz w:val="24"/>
                <w:szCs w:val="24"/>
                <w:color w:val="auto"/>
              </w:rPr>
            </w:pPr>
          </w:p>
        </w:tc>
        <w:tc>
          <w:tcPr>
            <w:tcW w:w="6360" w:type="dxa"/>
            <w:vAlign w:val="bottom"/>
          </w:tcPr>
          <w:p>
            <w:pPr>
              <w:spacing w:after="0"/>
              <w:rPr>
                <w:sz w:val="24"/>
                <w:szCs w:val="24"/>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6360" w:type="dxa"/>
            <w:vAlign w:val="bottom"/>
          </w:tcPr>
          <w:p>
            <w:pPr>
              <w:spacing w:after="0"/>
              <w:rPr>
                <w:sz w:val="15"/>
                <w:szCs w:val="15"/>
                <w:color w:val="auto"/>
              </w:rPr>
            </w:pPr>
          </w:p>
        </w:tc>
        <w:tc>
          <w:tcPr>
            <w:tcW w:w="118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To Be Purchased</w:t>
            </w:r>
          </w:p>
        </w:tc>
        <w:tc>
          <w:tcPr>
            <w:tcW w:w="0" w:type="dxa"/>
            <w:vAlign w:val="bottom"/>
          </w:tcPr>
          <w:p>
            <w:pPr>
              <w:spacing w:after="0"/>
              <w:rPr>
                <w:sz w:val="1"/>
                <w:szCs w:val="1"/>
                <w:color w:val="auto"/>
              </w:rPr>
            </w:pPr>
          </w:p>
        </w:tc>
      </w:tr>
      <w:tr>
        <w:trPr>
          <w:trHeight w:val="203"/>
        </w:trPr>
        <w:tc>
          <w:tcPr>
            <w:tcW w:w="34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Leerink Partners LLC</w:t>
            </w:r>
          </w:p>
        </w:tc>
        <w:tc>
          <w:tcPr>
            <w:tcW w:w="63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4,944,000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64"/>
        </w:trPr>
        <w:tc>
          <w:tcPr>
            <w:tcW w:w="7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754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I-1</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II</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Time of Sale Prospectus</w:t>
      </w:r>
    </w:p>
    <w:p>
      <w:pPr>
        <w:spacing w:after="0" w:line="256" w:lineRule="exact"/>
        <w:rPr>
          <w:sz w:val="20"/>
          <w:szCs w:val="20"/>
          <w:color w:val="auto"/>
        </w:rPr>
      </w:pPr>
    </w:p>
    <w:p>
      <w:pPr>
        <w:ind w:left="424" w:hanging="424"/>
        <w:spacing w:after="0"/>
        <w:tabs>
          <w:tab w:leader="none" w:pos="4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Prospectus, dated as of November 29, 2023, relating to the Shelf Securities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of orally communicated information included in the Time of Sale Prospectus:</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Offered: 4,944,000</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Offering Price: $36.00</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Price: $35.10</w:t>
      </w:r>
    </w:p>
    <w:p>
      <w:pPr>
        <w:spacing w:after="0" w:line="130" w:lineRule="exact"/>
        <w:rPr>
          <w:rFonts w:ascii="Times New Roman" w:cs="Times New Roman" w:eastAsia="Times New Roman" w:hAnsi="Times New Roman"/>
          <w:sz w:val="18"/>
          <w:szCs w:val="18"/>
          <w:color w:val="auto"/>
        </w:rPr>
      </w:pPr>
    </w:p>
    <w:p>
      <w:pPr>
        <w:ind w:left="1424" w:right="800" w:hanging="439"/>
        <w:spacing w:after="0" w:line="282" w:lineRule="auto"/>
        <w:tabs>
          <w:tab w:leader="none" w:pos="142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Net Proceeds to the Company (after underwriting discounts and commissions, but before transaction expenses): $173,534,400</w:t>
      </w:r>
    </w:p>
    <w:p>
      <w:pPr>
        <w:spacing w:after="0" w:line="67" w:lineRule="exact"/>
        <w:rPr>
          <w:rFonts w:ascii="Times New Roman" w:cs="Times New Roman" w:eastAsia="Times New Roman" w:hAnsi="Times New Roman"/>
          <w:sz w:val="18"/>
          <w:szCs w:val="18"/>
          <w:color w:val="auto"/>
        </w:rPr>
      </w:pPr>
    </w:p>
    <w:p>
      <w:pPr>
        <w:ind w:left="1424" w:right="280" w:hanging="439"/>
        <w:spacing w:after="0" w:line="282" w:lineRule="auto"/>
        <w:tabs>
          <w:tab w:leader="none" w:pos="142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Cash Runway: The Company expects that its cash and cash equivalents, together with the estimated net proceeds from this offering, will be sufficient to fund its current operating and capital expenditure plans well into 2027.</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024"/>
          </w:cols>
          <w:pgMar w:left="436" w:top="266" w:right="4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LOCK-UP AGREEMENT]</w:t>
      </w:r>
    </w:p>
    <w:p>
      <w:pPr>
        <w:spacing w:after="0" w:line="22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_____________,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Leerink Partners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Leerink Partners LLC</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53 State Street, 40th Floor</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Boston, Massachusetts 02109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undersigned understands that Leerink Partners LLC (the “</w:t>
      </w:r>
      <w:r>
        <w:rPr>
          <w:rFonts w:ascii="Times New Roman" w:cs="Times New Roman" w:eastAsia="Times New Roman" w:hAnsi="Times New Roman"/>
          <w:sz w:val="18"/>
          <w:szCs w:val="18"/>
          <w:b w:val="1"/>
          <w:bCs w:val="1"/>
          <w:color w:val="auto"/>
        </w:rPr>
        <w:t>Representative</w:t>
      </w:r>
      <w:r>
        <w:rPr>
          <w:rFonts w:ascii="Times New Roman" w:cs="Times New Roman" w:eastAsia="Times New Roman" w:hAnsi="Times New Roman"/>
          <w:sz w:val="18"/>
          <w:szCs w:val="18"/>
          <w:color w:val="auto"/>
        </w:rPr>
        <w:t>”) proposes to enter into an Underwriting Agreement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with Disc Medicine,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providing for the public offering (the “</w:t>
      </w:r>
      <w:r>
        <w:rPr>
          <w:rFonts w:ascii="Times New Roman" w:cs="Times New Roman" w:eastAsia="Times New Roman" w:hAnsi="Times New Roman"/>
          <w:sz w:val="18"/>
          <w:szCs w:val="18"/>
          <w:b w:val="1"/>
          <w:bCs w:val="1"/>
          <w:color w:val="auto"/>
        </w:rPr>
        <w:t>Public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by the several Underwriters, including the Representative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of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the common stock, par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$0.0001 per share, of the Company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 in lieu of Common Stock to certain investors that so choose, pre-funded warrants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shares of Common Stock (the “</w:t>
      </w:r>
      <w:r>
        <w:rPr>
          <w:rFonts w:ascii="Times New Roman" w:cs="Times New Roman" w:eastAsia="Times New Roman" w:hAnsi="Times New Roman"/>
          <w:sz w:val="18"/>
          <w:szCs w:val="18"/>
          <w:b w:val="1"/>
          <w:bCs w:val="1"/>
          <w:color w:val="auto"/>
        </w:rPr>
        <w:t>Pre-Funded Warrants</w:t>
      </w:r>
      <w:r>
        <w:rPr>
          <w:rFonts w:ascii="Times New Roman" w:cs="Times New Roman" w:eastAsia="Times New Roman" w:hAnsi="Times New Roman"/>
          <w:sz w:val="18"/>
          <w:szCs w:val="18"/>
          <w:color w:val="auto"/>
        </w:rPr>
        <w:t>” and together with the Shares,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To induce the Underwriters that may participate in the Public Offering to continue their efforts in connection with the Public Offering, the undersigned hereby agrees that, without the prior written consent of the Representative on behalf of the Underwriters, it will not, and will not publicly disclose an intention to, during the period commencing on the date hereof and ending 45 days after the date of the prospectus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relating to the Public Offering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(1) offer, pledge, sell, contract to sell, sell any option or contract to purchase, purchase any option or contract to sell, grant any option, right or warrant to purchase, lend, or otherwise transfer or dispose of, directly or indirectly, any shares of Common Stock beneficially owned (as such term is used in Rule 13d-3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by the undersigned or any other securities so owned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The foregoing sentence shall not apply to:</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20"/>
          </w:cols>
          <w:pgMar w:left="440" w:top="266" w:right="439" w:bottom="1440" w:gutter="0" w:footer="0" w:header="0"/>
        </w:sectPr>
      </w:pPr>
    </w:p>
    <w:bookmarkStart w:id="38" w:name="page39"/>
    <w:bookmarkEnd w:id="38"/>
    <w:p>
      <w:pPr>
        <w:jc w:val="both"/>
        <w:ind w:left="4" w:right="340" w:firstLine="436"/>
        <w:spacing w:after="0" w:line="266" w:lineRule="auto"/>
        <w:tabs>
          <w:tab w:leader="none" w:pos="68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transactions relating to shares of Common Stock or other securities acquired in the Public Offering or in open market transactions after the completion of the Public Offering,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filing under Section 16(a) of the Exchange Act shall be required or shall be voluntarily made in connection with subsequent sales of Common Stock or other securities acquired in the Public Offering or in such open market transactions;</w:t>
      </w:r>
    </w:p>
    <w:p>
      <w:pPr>
        <w:spacing w:after="0" w:line="175" w:lineRule="exact"/>
        <w:rPr>
          <w:rFonts w:ascii="Times New Roman" w:cs="Times New Roman" w:eastAsia="Times New Roman" w:hAnsi="Times New Roman"/>
          <w:sz w:val="18"/>
          <w:szCs w:val="18"/>
          <w:color w:val="auto"/>
        </w:rPr>
      </w:pPr>
    </w:p>
    <w:p>
      <w:pPr>
        <w:ind w:left="4" w:right="120" w:firstLine="436"/>
        <w:spacing w:after="0" w:line="282" w:lineRule="auto"/>
        <w:tabs>
          <w:tab w:leader="none" w:pos="69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any security convertible into or exercisable or exchangeable for Common Stock as a bona fide gift or to a charitable organization or educational institution in a transfer not involving a disposition for value;</w:t>
      </w:r>
    </w:p>
    <w:p>
      <w:pPr>
        <w:spacing w:after="0" w:line="161" w:lineRule="exact"/>
        <w:rPr>
          <w:rFonts w:ascii="Times New Roman" w:cs="Times New Roman" w:eastAsia="Times New Roman" w:hAnsi="Times New Roman"/>
          <w:sz w:val="18"/>
          <w:szCs w:val="18"/>
          <w:color w:val="auto"/>
        </w:rPr>
      </w:pPr>
    </w:p>
    <w:p>
      <w:pPr>
        <w:ind w:left="4" w:right="80" w:firstLine="436"/>
        <w:spacing w:after="0" w:line="266" w:lineRule="auto"/>
        <w:tabs>
          <w:tab w:leader="none" w:pos="68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shares of Common Stock or any security convertible into or exercisable or exchangeable for Common Stock to any member of the immediate family of the undersigned or any trust for the direct or indirect benefit of the undersigned or the immediate family of the undersigned in a transaction not involving a disposition for value;</w:t>
      </w:r>
    </w:p>
    <w:p>
      <w:pPr>
        <w:spacing w:after="0" w:line="175" w:lineRule="exact"/>
        <w:rPr>
          <w:rFonts w:ascii="Times New Roman" w:cs="Times New Roman" w:eastAsia="Times New Roman" w:hAnsi="Times New Roman"/>
          <w:sz w:val="18"/>
          <w:szCs w:val="18"/>
          <w:color w:val="auto"/>
        </w:rPr>
      </w:pPr>
    </w:p>
    <w:p>
      <w:pPr>
        <w:ind w:left="4" w:firstLine="436"/>
        <w:spacing w:after="0" w:line="266" w:lineRule="auto"/>
        <w:tabs>
          <w:tab w:leader="none" w:pos="69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of shares of Common Stock or any security convertible into Common Stock to general or limited partners, members, beneficiaries or other equityholders of the undersigned, its direct or indirect affiliates (as defined in Rule 405 promulgated under the Securities Act of 1933, as amended) or to an investment fund or other entity that controls or manages, or is under common control with, the undersigned;</w:t>
      </w:r>
    </w:p>
    <w:p>
      <w:pPr>
        <w:spacing w:after="0" w:line="175" w:lineRule="exact"/>
        <w:rPr>
          <w:rFonts w:ascii="Times New Roman" w:cs="Times New Roman" w:eastAsia="Times New Roman" w:hAnsi="Times New Roman"/>
          <w:sz w:val="18"/>
          <w:szCs w:val="18"/>
          <w:color w:val="auto"/>
        </w:rPr>
      </w:pPr>
    </w:p>
    <w:p>
      <w:pPr>
        <w:ind w:left="4" w:right="120" w:firstLine="436"/>
        <w:spacing w:after="0" w:line="261" w:lineRule="auto"/>
        <w:tabs>
          <w:tab w:leader="none" w:pos="68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shares of Common Stock or any security convertible into or exercisable or exchangeable for Common Stock (i) by will, other testamentary document or intestate succession to the legal representative, heir, beneficiary or a member of the immediate family of the undersigned upon the death of the undersigned or (ii) by operation of law pursuant to orders of a court or regulatory agency, in connection with a negotiated divorce settlement or pursuant to a qualified domestic relations order;</w:t>
      </w:r>
    </w:p>
    <w:p>
      <w:pPr>
        <w:spacing w:after="0" w:line="179" w:lineRule="exact"/>
        <w:rPr>
          <w:rFonts w:ascii="Times New Roman" w:cs="Times New Roman" w:eastAsia="Times New Roman" w:hAnsi="Times New Roman"/>
          <w:sz w:val="18"/>
          <w:szCs w:val="18"/>
          <w:color w:val="auto"/>
        </w:rPr>
      </w:pPr>
    </w:p>
    <w:p>
      <w:pPr>
        <w:ind w:left="4" w:right="140" w:firstLine="436"/>
        <w:spacing w:after="0" w:line="269" w:lineRule="auto"/>
        <w:tabs>
          <w:tab w:leader="none" w:pos="669"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transfers or dispositions of shares of Common Stock or any security convertible into or exercisable or exchangeable for Common Stock to the Company pursuant to any contractual arrangement in effect on the date of this agreement and disclosed to the Underwriters in writing that provides for the repurchase of the undersigned’s Common Stock or other securities by the Company or in connection with the termination of the undersigned’s employment with or service to the Company;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 the repurchase price for any such shares or securities shall not exceed the original purchase price (subject to appropriate adjustment in the event of any stock dividend, stock split, combination or other similar recapitalization) paid and</w:t>
      </w:r>
    </w:p>
    <w:p>
      <w:pPr>
        <w:spacing w:after="0" w:line="2" w:lineRule="exact"/>
        <w:rPr>
          <w:rFonts w:ascii="Times New Roman" w:cs="Times New Roman" w:eastAsia="Times New Roman" w:hAnsi="Times New Roman"/>
          <w:sz w:val="17"/>
          <w:szCs w:val="17"/>
          <w:color w:val="auto"/>
        </w:rPr>
      </w:pPr>
    </w:p>
    <w:p>
      <w:pPr>
        <w:ind w:left="4" w:right="500" w:hanging="4"/>
        <w:spacing w:after="0" w:line="260" w:lineRule="auto"/>
        <w:tabs>
          <w:tab w:leader="none" w:pos="26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filing under Section 16(a) of the Exchange Act reporting a reduction in beneficial ownership of shares of Common Stock shall indicate by footnote disclosure or otherwise the nature of the transfer or disposition);</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004"/>
          </w:cols>
          <w:pgMar w:left="436" w:top="270" w:right="459" w:bottom="1440" w:gutter="0" w:footer="0" w:header="0"/>
        </w:sectPr>
      </w:pPr>
    </w:p>
    <w:bookmarkStart w:id="39" w:name="page40"/>
    <w:bookmarkEnd w:id="39"/>
    <w:p>
      <w:pPr>
        <w:ind w:left="-40" w:right="20" w:firstLine="436"/>
        <w:spacing w:after="0" w:line="253"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transfers or dispositions of shares of Common Stock or other securities to the Company in connection with the conversion of any convertible security into, or the exercise of any option or warrant for, shares of Common Stock (including by way of “net” or “cashless” exercise solely to cover withholding tax obligations in connection with such exercise or transfer to the Company for the payment of taxes as a result of such exercise);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convertible security, option or warrant is described in the Prospectus and is outstanding on the date thereof, (ii) any such shares of Common Stock received by the undersigned shall be subject to the terms of this agreement and (iii) no filing under Section 16(a) of the Exchange Act, reporting a reduction in beneficial ownership of shares of Common Stock, shall be required or shall be voluntarily made during the Restricted Period, other than a filing on a Form 4 that reports such disposition under the transaction code “F,” in which case, the filing shall clearly indicate in the footnotes thereto or comments section thereof that the filing relates to the exercise of a stock option or warrant, as the case may be, that no shares of Common Stock were sold by the reporting person and that the shares of Common Stock received upon exercise of the stock option or warrant are subject to a lock-up agreement with the Underwriters of the Public Offering;</w:t>
      </w:r>
    </w:p>
    <w:p>
      <w:pPr>
        <w:spacing w:after="0" w:line="194" w:lineRule="exact"/>
        <w:rPr>
          <w:rFonts w:ascii="Times New Roman" w:cs="Times New Roman" w:eastAsia="Times New Roman" w:hAnsi="Times New Roman"/>
          <w:sz w:val="18"/>
          <w:szCs w:val="18"/>
          <w:color w:val="auto"/>
        </w:rPr>
      </w:pPr>
    </w:p>
    <w:p>
      <w:pPr>
        <w:ind w:left="-40" w:right="60" w:firstLine="436"/>
        <w:spacing w:after="0" w:line="258"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establishment of a trading plan on behalf of a stockholder, officer or director of the Company pursuant to Rule 10b5-1 under the Exchange Act for the transfer of shares of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plan does not provide for the transfer of Common Stock during the Restricted Period and (ii) to the extent a public announcement or filing under the Exchange Act, if any, is required of or voluntarily made by or on behalf of the undersigned or the Company regarding the establishment of such plan, such announcement or filing shall include a statement to the effect that no transfer of Common Stock may be made under such plan during the Restricted Period; or</w:t>
      </w:r>
    </w:p>
    <w:p>
      <w:pPr>
        <w:spacing w:after="0" w:line="183" w:lineRule="exact"/>
        <w:rPr>
          <w:rFonts w:ascii="Times New Roman" w:cs="Times New Roman" w:eastAsia="Times New Roman" w:hAnsi="Times New Roman"/>
          <w:sz w:val="18"/>
          <w:szCs w:val="18"/>
          <w:color w:val="auto"/>
        </w:rPr>
      </w:pPr>
    </w:p>
    <w:p>
      <w:pPr>
        <w:ind w:left="-40" w:right="80" w:firstLine="436"/>
        <w:spacing w:after="0" w:line="254" w:lineRule="auto"/>
        <w:tabs>
          <w:tab w:leader="none" w:pos="6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of shares of Common Stock (or any securities convertible into or exercisable or exchangeable for Common Stock) pursuant to a bona fide third-party tender offer for shares of the Company’s capital stock made to all holders of the Company’s securities, merger, consolidation or other similar transaction approved by the Company’s board of directors and occurring after the closing of the Public Offering, the result of which is that any person (as defined in Section 13(d)(3) of the Exchange Act), or group of persons, other than the Company, becomes the beneficial owner (as defined in Rules 13d-3 and 13d-5 of the Exchange Act) of more than 50% of the total voting power of the voting stock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that such change of control transaction is not completed, the shares of Common Stock (or any security convertible into or exercisable or exchangeable for Common Stock) owned by the undersigned shall remain subject to the restrictions contained in this agreement and title to the undersigned’s shares shall remain with the undersigned;</w:t>
      </w:r>
    </w:p>
    <w:p>
      <w:pPr>
        <w:spacing w:after="0" w:line="191" w:lineRule="exact"/>
        <w:rPr>
          <w:rFonts w:ascii="Times New Roman" w:cs="Times New Roman" w:eastAsia="Times New Roman" w:hAnsi="Times New Roman"/>
          <w:sz w:val="18"/>
          <w:szCs w:val="18"/>
          <w:color w:val="auto"/>
        </w:rPr>
      </w:pPr>
    </w:p>
    <w:p>
      <w:pPr>
        <w:ind w:left="-40" w:firstLine="436"/>
        <w:spacing w:after="0" w:line="258" w:lineRule="auto"/>
        <w:tabs>
          <w:tab w:leader="none" w:pos="6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sale or transfer of shares of Common Stock pursuant to a written trading plan that has been entered into by the undersigned prior to the date of this letter agreement pursuant to Rule 10b5-1 under the Exchange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amendments or other modifications are made to such plans during the Restricted Period and that, to the extent a public announcement or filing under the Exchange Act, if any, is required or voluntarily made by or on behalf of the undersigned or the Company regarding such sales or transfers, such announcement or filing shall include a statement to the effect that the sale or transfer was made pursuant to a trading plan pursuant to Rule 10b5-1 of the Exchange Act;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0940"/>
          </w:cols>
          <w:pgMar w:left="480" w:top="270" w:right="479" w:bottom="1440" w:gutter="0" w:footer="0" w:header="0"/>
        </w:sectPr>
      </w:pPr>
    </w:p>
    <w:bookmarkStart w:id="40" w:name="page41"/>
    <w:bookmarkEnd w:id="40"/>
    <w:p>
      <w:pPr>
        <w:ind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provided </w:t>
      </w:r>
      <w:r>
        <w:rPr>
          <w:rFonts w:ascii="Times New Roman" w:cs="Times New Roman" w:eastAsia="Times New Roman" w:hAnsi="Times New Roman"/>
          <w:sz w:val="18"/>
          <w:szCs w:val="18"/>
          <w:color w:val="auto"/>
        </w:rPr>
        <w:t>that in the case of any transfer or distribution pursuant to clause (b), (c), (d) or (e), (i) each transferee, donee or distributee shall sign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 a lock-up agreement substantially in the form of this agreement and (ii) no filing under Section 16(a) of the Exchange Act, reporting a reduction in beneficial ownership of shares of Common Stock, shall be required or shall be voluntarily made during the Restricted Period (other than, with respect to clause (e) only, any Form 4 or Form 5 required to be filed under the Exchange Act if the undersigned is subject to Section 16 reporting with respect to the Company under the Exchange Act, in which case any such filing will indicate by footnote disclosure or otherwise the nature of the transfer or disposition).</w:t>
      </w:r>
    </w:p>
    <w:p>
      <w:pPr>
        <w:spacing w:after="0" w:line="184"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For purposes of this agreement, “immediate family” shall mean any relationship by blood, marriage, domestic partnership or adoption, not more remote than first cousin. The undersigned acknowledges and agrees that the foregoing precludes the undersigned from engaging in any hedging or other transaction designed or intended, or which could reasonably be expected to lead to or result in, a sale or disposition of any shares of Common Stock, or any securities convertible into or exercisable or exchangeable for Common Stock, even if any such sale or disposition transaction or transactions would be made or executed by or on behalf of someone other than the undersigned. In addition, the undersigned agrees that, without the prior written consent of the Representative on behalf of the Underwriters, it will not, during the Restricted Period, make any demand for or exercise any right with respect to, the registration of any shares of Common Stock or any security convertible into or exercisable or exchangeable for Common Stock. The undersigned also agrees and consents to the entry of stop transfer instructions with the Company’s transfer agent and registrar against the transfer of the undersigned’s shares of Common Stock except in compliance with the foregoing restrictions.</w:t>
      </w:r>
    </w:p>
    <w:p>
      <w:pPr>
        <w:spacing w:after="0" w:line="188"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The undersigned understands that the Company and the Underwriters are relying upon this agreement in proceeding toward consummation of the Public Offering. The undersigned further understands that this agreement is irrevocable and shall be binding upon the undersigned’s heirs, legal representatives, successors and assigns.</w:t>
      </w:r>
    </w:p>
    <w:p>
      <w:pPr>
        <w:spacing w:after="0" w:line="17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undersigned acknowledges and agrees that the Underwriters have not provided any recommendation or investment advice nor have the Underwriters solicited any action from the undersigned with respect to the Public Offering and the undersigned has consulted their own legal, accounting, financial, regulatory and tax advisors to the extent deemed appropriate. The undersigned further acknowledges and agrees that, although the Underwriters may provide certain Regulation Best Interest and Form CRS disclosures or other related documentation to you in connection with the Public Offering, the Underwriters are not making a recommendation to you to participate in the Public Offering or sell any Securities at the price determined in the Public Offering, and nothing set forth in such disclosures or documentation is intended to suggest that any Underwriter is making such a recommendation. The undersigned further acknowledges and agrees that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0980"/>
          </w:cols>
          <w:pgMar w:left="440" w:top="268" w:right="479" w:bottom="1440" w:gutter="0" w:footer="0" w:header="0"/>
        </w:sectPr>
      </w:pPr>
    </w:p>
    <w:bookmarkStart w:id="41" w:name="page42"/>
    <w:bookmarkEnd w:id="41"/>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none of the Underwriters has made any recommendation or provided any investment or other advice to the undersigned with respect to this agreement or the subject matter hereof, and the undersigned has consulted its own legal, accounting, financial, regulatory, tax and other advisors with respect to this agreement and the subject matter hereof to the extent the undersigned has deemed appropriate.</w:t>
      </w:r>
    </w:p>
    <w:p>
      <w:pPr>
        <w:spacing w:after="0" w:line="176"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Whether or not the Public Offering actually occurs depends on a number of factors, including market conditions. Any Public Offering will only be made pursuant to an Underwriting Agreement, the terms of which are subject to negotiation between the Company and the Underwriters.</w:t>
      </w:r>
    </w:p>
    <w:p>
      <w:pPr>
        <w:spacing w:after="0" w:line="162" w:lineRule="exact"/>
        <w:rPr>
          <w:sz w:val="20"/>
          <w:szCs w:val="20"/>
          <w:color w:val="auto"/>
        </w:rPr>
      </w:pPr>
    </w:p>
    <w:p>
      <w:pPr>
        <w:ind w:firstLine="440"/>
        <w:spacing w:after="0" w:line="274" w:lineRule="auto"/>
        <w:rPr>
          <w:sz w:val="20"/>
          <w:szCs w:val="20"/>
          <w:color w:val="auto"/>
        </w:rPr>
      </w:pPr>
      <w:r>
        <w:rPr>
          <w:rFonts w:ascii="Times New Roman" w:cs="Times New Roman" w:eastAsia="Times New Roman" w:hAnsi="Times New Roman"/>
          <w:sz w:val="17"/>
          <w:szCs w:val="17"/>
          <w:color w:val="auto"/>
        </w:rPr>
        <w:t>The undersigned understands that, if (i) the Representative, on the one hand, or the Company, on the other hand, informs the other in writing, prior to the execution of the Underwriting Agreement, that it has determined not to proceed with the Public Offering, (ii) the Underwriting Agreement (other than the provisions thereof which survive termination) shall terminate or be terminated prior to payment for and delivery of the securities to be sold thereunder, (iii) the registration statement related to the Public Offering is withdrawn prior to the execution of the Underwriting Agreement or (iv) the Underwriting Agreement is not executed on or before July 15, 2024, then, in each case, this agreement shall automatically, and without any action on the part of any other party, be of no further force and effect, and the undersigned shall be automatically released from all obligations under this agreement.</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laws of the State of New York.</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291465</wp:posOffset>
            </wp:positionV>
            <wp:extent cx="27946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291465</wp:posOffset>
            </wp:positionV>
            <wp:extent cx="27946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(Address)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000"/>
          </w:cols>
          <w:pgMar w:left="440" w:top="270" w:right="45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color w:val="auto"/>
        </w:rPr>
        <w:t>Exhibit 5.1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321 Arsenal Street, Suite 101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23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Securities Registered under Registration Statement on Form S-3</w:t>
      </w:r>
    </w:p>
    <w:p>
      <w:pPr>
        <w:spacing w:after="0" w:line="117"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We have acted as counsel to you in connection with your filing of a Registration Statement on Form S-3 (File No. 333-275652) (as amended or supplemented, the “Registration Statement”) filed on November 20, 2023 with the Securities and Exchange Commission (the “Commission”) pursuant to the Securities Act of 1933, as amended (the “Securities Act”), relating to the registration of the offer by Disc Medicine, Inc., a Delaware corporation (the “Company”), of up to $400,000,000 of any combination of securities of the types specified therein. The Registration Statement was declared effective by the Commission on November 29, 2023. Reference is made to our opinion letter dated November 17, 2023 and included as Exhibit 5.1 to the Registration Statement. We are delivering this supplemental opinion letter in connection with the prospectus supplement (the “Prospectus Supplement”) filed on June 14, 2024 by the Company with the Commission pursuant to Rule 424 under the Securities Act. The Prospectus Supplement relates to the offering by the Company of up to 4,944,000 shares (the “Shares”) of the Company’s common stock, par value $0.0001 per share (the “Common Stock”) covered by the Registration Statement. The Shares are being sold to the several underwriters named in, and pursuant to, an underwriting agreement among the Company and such underwriters (the “Underwriting Agreement”).</w:t>
      </w:r>
    </w:p>
    <w:p>
      <w:pPr>
        <w:spacing w:after="0" w:line="19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opinion set forth below is limited to the Delaware General Corporation Law.</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Based on the foregoing, we are of the opinion that the Shares have been duly authorized and, when delivered and paid for in accordance with the terms of the Underwriting Agreement, will be validly issued, fully paid and non-assessable.</w:t>
      </w:r>
    </w:p>
    <w:p>
      <w:pPr>
        <w:spacing w:after="0" w:line="160"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color w:val="auto"/>
        </w:rPr>
        <w:t xml:space="preserve">This opinion letter and the opinion it contains shall be interpreted in accordance with the Core Opinion Principles as published in 74 </w:t>
      </w:r>
      <w:r>
        <w:rPr>
          <w:rFonts w:ascii="Times New Roman" w:cs="Times New Roman" w:eastAsia="Times New Roman" w:hAnsi="Times New Roman"/>
          <w:sz w:val="18"/>
          <w:szCs w:val="18"/>
          <w:i w:val="1"/>
          <w:iCs w:val="1"/>
          <w:color w:val="auto"/>
        </w:rPr>
        <w:t>Business Lawyer</w:t>
      </w:r>
      <w:r>
        <w:rPr>
          <w:rFonts w:ascii="Times New Roman" w:cs="Times New Roman" w:eastAsia="Times New Roman" w:hAnsi="Times New Roman"/>
          <w:sz w:val="18"/>
          <w:szCs w:val="18"/>
          <w:color w:val="auto"/>
        </w:rPr>
        <w:t xml:space="preserve"> 815 (Summer 2019).</w:t>
      </w:r>
    </w:p>
    <w:p>
      <w:pPr>
        <w:sectPr>
          <w:pgSz w:w="11900" w:h="16838" w:orient="portrait"/>
          <w:cols w:equalWidth="0" w:num="1">
            <w:col w:w="11020"/>
          </w:cols>
          <w:pgMar w:left="440" w:top="121"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Disc Medicine,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14,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opinion is being furnished to you for submission to the Commission as an exhibit to the Company’s Current Report on Form 8-K relating to the Shares (the “Current Report”), which is incorporated by reference in the Registration Statement. We hereby consent to the inclusion of this opinion as Exhibit 5.1 to the Current Report and its incorporation by reference in the Registration Statement and the reference to our firm under the caption “Legal Matters” in the Prospectus Supplement. In giving our consent, we do not admit that we are in the category of persons whose consent is required under Section 7 of the Securities Act or the rules and regulations thereunder.</w:t>
      </w:r>
    </w:p>
    <w:p>
      <w:pPr>
        <w:spacing w:after="0" w:line="21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Goodwin Procter LLP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GOODWIN PROCTER </w:t>
      </w:r>
      <w:r>
        <w:rPr>
          <w:rFonts w:ascii="Times New Roman" w:cs="Times New Roman" w:eastAsia="Times New Roman" w:hAnsi="Times New Roman"/>
          <w:sz w:val="14"/>
          <w:szCs w:val="14"/>
          <w:color w:val="auto"/>
        </w:rPr>
        <w:t>LLP</w:t>
      </w:r>
    </w:p>
    <w:p>
      <w:pPr>
        <w:sectPr>
          <w:pgSz w:w="11900" w:h="16838" w:orient="portrait"/>
          <w:cols w:equalWidth="0" w:num="1">
            <w:col w:w="10920"/>
          </w:cols>
          <w:pgMar w:left="440" w:top="270" w:right="5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2254250" cy="3517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25425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Announces Underwritten Offering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Common Stock</w:t>
      </w:r>
    </w:p>
    <w:p>
      <w:pPr>
        <w:spacing w:after="0" w:line="20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WATERTOWN, Mass. (June 14, 2024) – Disc Medicine, Inc. (NASDAQ: IRON) (Disc), a clinical-stage biopharmaceutical company focused on the discovery, development, and commercialization of novel treatments for patients suffering from serious hematologic diseases, today announced the pricing of an underwritten offering of 4,944,000 shares of its common stock at a price of $36.00 per share. The aggregate gross proceeds to Disc from this offering are expected to be approximately $178.0 million, before deducting underwriting discounts and commissions and other offering expenses. All of the securities being sold in the offering are being offered by Disc. The offering is expected to close on June 17, 2024, subject to the satisfaction of customary closing conditions.</w:t>
      </w:r>
    </w:p>
    <w:p>
      <w:pPr>
        <w:spacing w:after="0" w:line="18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financing was led by Frazier Life Sciences and Logos Capital and includes participation from new and existing institutional investors, including Access Biotechnology, Adage Capital Partners LP, Atlas Venture, Janus Henderson Investors, OrbiMed, Paradigm BioCapital, TCGX, Wellington Management, a leading mutual fund, and others.</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Disc intends to use the net proceeds from the offering to fund research and clinical development of its current or additional product candidates, as well as for working capital and other general corporate purposes.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Leerink Partners is acting as sole bookrunning manager for the offering.</w:t>
      </w:r>
    </w:p>
    <w:p>
      <w:pPr>
        <w:spacing w:after="0" w:line="22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securities described above are being offered by Disc pursuant to a shelf registration statement on Form S-3 (No. 333-275652) that was declared effective by the Securities and Exchange Commission (SEC) on November 29, 2023. This offering is being made only by means of a prospectus and prospectus supplement that form a part of the registration statement. A prospectus supplement and accompanying prospectus related to the offering will be filed with the SEC and will be available on the SEC’s website at www.sec.gov. Copies of the prospectus supplement and the accompanying prospectus relating to this offering may also be obtained, when available, by contacting: Leerink Partners LLC, Attention: Syndicate Department, 53 State Street, 40th Floor, Boston, MA 02109, (800) 808-7525 ext. 6105 or by email at syndicate@leerink.com.</w:t>
      </w:r>
    </w:p>
    <w:p>
      <w:pPr>
        <w:spacing w:after="0" w:line="18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a solicitation of an offer to buy these securities, nor shall there be any sale of these securities in any state or jurisdiction in which such offer, solicitation or sale would be unlawful prior to registration or qualification under the securities laws of that state or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Disc Medicine</w:t>
      </w:r>
    </w:p>
    <w:p>
      <w:pPr>
        <w:spacing w:after="0" w:line="22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Disc Medicine (NASDAQ: IRON) is a clinical-stage biopharmaceutical company committed to discovering, developing, and commercializing novel treatments for patients who suffer from serious hematologic diseases. We are building a portfolio of innovative, potentially first-in-class therapeutic candidates that aim to address a wide spectrum of hematologic diseases by targeting fundamental biological pathways of red blood cell biology, specifically heme biosynthesis and iron homeostasis.</w:t>
      </w:r>
    </w:p>
    <w:p>
      <w:pPr>
        <w:sectPr>
          <w:pgSz w:w="11900" w:h="16838" w:orient="portrait"/>
          <w:cols w:equalWidth="0" w:num="1">
            <w:col w:w="11020"/>
          </w:cols>
          <w:pgMar w:left="440" w:top="117"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2254250" cy="3511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2254250" cy="351155"/>
                    </a:xfrm>
                    <a:prstGeom prst="rect">
                      <a:avLst/>
                    </a:prstGeom>
                    <a:noFill/>
                  </pic:spPr>
                </pic:pic>
              </a:graphicData>
            </a:graphic>
          </wp:anchor>
        </w:drawing>
        <w:t>Cautionary Statement Regarding 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as amended, including, without limitation, express or implied statements related to Disc’s expectations regarding the timing and closing of the offering, and the anticipated use of proceeds from the offering. The words “may,” “will,” “could,” “would,” “should,” “expect,” “plan,” “anticipate,” “intend,” “believe,” “estimate,” “predict,” “project,” “potential,” “continue,” “seek,”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These risks and uncertainties include fluctuations in Disc’s stock price, changes in market conditions, the satisfaction of customary closing conditions related to the underwritten offering, and other risks identified in our SEC filings, including our Quarterly Report on Form 10-Q for the quarter ended March 31, 2024, and in the prospectus supplement related to the offering we will file with the SEC. We caution you not to place undue reliance on any forward-looking statements, which speak only as of the date they are made. We disclaim any obligation to publicly update or revise any such statements to reflect any change in expectations or in events, conditions or circumstances on which any such statements may be based, or that may affect the likelihood that actual results will differ from those set forth in the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Peg Rusconi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Verge Scientific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prusconi@vergescientific.com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 Tartaglia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Stern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christina.tartaglia@sternir.com</w:t>
      </w:r>
    </w:p>
    <w:sectPr>
      <w:pgSz w:w="11900" w:h="16838" w:orient="portrait"/>
      <w:cols w:equalWidth="0" w:num="1">
        <w:col w:w="10960"/>
      </w:cols>
      <w:pgMar w:left="440" w:top="968"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1."/>
      <w:numFmt w:val="decimal"/>
      <w:start w:val="1"/>
    </w:lvl>
    <w:lvl w:ilvl="1">
      <w:lvlJc w:val="left"/>
      <w:lvlText w:val="(%2)"/>
      <w:numFmt w:val="lowerLetter"/>
      <w:start w:val="1"/>
    </w:lvl>
  </w:abstractNum>
  <w:abstractNum w:abstractNumId="2">
    <w:nsid w:val="2443A858"/>
    <w:multiLevelType w:val="hybridMultilevel"/>
    <w:lvl w:ilvl="0">
      <w:lvlJc w:val="left"/>
      <w:lvlText w:val="(%1)"/>
      <w:numFmt w:val="lowerLetter"/>
      <w:start w:val="3"/>
    </w:lvl>
  </w:abstractNum>
  <w:abstractNum w:abstractNumId="3">
    <w:nsid w:val="2D1D5AE9"/>
    <w:multiLevelType w:val="hybridMultilevel"/>
    <w:lvl w:ilvl="0">
      <w:lvlJc w:val="left"/>
      <w:lvlText w:val="(%1)"/>
      <w:numFmt w:val="lowerLetter"/>
      <w:start w:val="8"/>
    </w:lvl>
  </w:abstractNum>
  <w:abstractNum w:abstractNumId="4">
    <w:nsid w:val="6763845E"/>
    <w:multiLevelType w:val="hybridMultilevel"/>
    <w:lvl w:ilvl="0">
      <w:lvlJc w:val="left"/>
      <w:lvlText w:val="(%1)"/>
      <w:numFmt w:val="lowerLetter"/>
      <w:start w:val="11"/>
    </w:lvl>
  </w:abstractNum>
  <w:abstractNum w:abstractNumId="5">
    <w:nsid w:val="75A2A8D4"/>
    <w:multiLevelType w:val="hybridMultilevel"/>
    <w:lvl w:ilvl="0">
      <w:lvlJc w:val="left"/>
      <w:lvlText w:val="(%1)"/>
      <w:numFmt w:val="lowerLetter"/>
      <w:start w:val="16"/>
    </w:lvl>
  </w:abstractNum>
  <w:abstractNum w:abstractNumId="6">
    <w:nsid w:val="8EDBDAB"/>
    <w:multiLevelType w:val="hybridMultilevel"/>
    <w:lvl w:ilvl="0">
      <w:lvlJc w:val="left"/>
      <w:lvlText w:val="(%1)"/>
      <w:numFmt w:val="lowerLetter"/>
      <w:start w:val="19"/>
    </w:lvl>
  </w:abstractNum>
  <w:abstractNum w:abstractNumId="7">
    <w:nsid w:val="79838CB2"/>
    <w:multiLevelType w:val="hybridMultilevel"/>
    <w:lvl w:ilvl="0">
      <w:lvlJc w:val="left"/>
      <w:lvlText w:val="%1"/>
      <w:numFmt w:val="lowerLetter"/>
      <w:start w:val="1"/>
    </w:lvl>
    <w:lvl w:ilvl="1">
      <w:lvlJc w:val="left"/>
      <w:lvlText w:val="(%2)"/>
      <w:numFmt w:val="lowerLetter"/>
      <w:start w:val="22"/>
    </w:lvl>
  </w:abstractNum>
  <w:abstractNum w:abstractNumId="8">
    <w:nsid w:val="4353D0CD"/>
    <w:multiLevelType w:val="hybridMultilevel"/>
    <w:lvl w:ilvl="0">
      <w:lvlJc w:val="left"/>
      <w:lvlText w:val="(%1)"/>
      <w:numFmt w:val="lowerLetter"/>
      <w:start w:val="9"/>
    </w:lvl>
    <w:lvl w:ilvl="1">
      <w:lvlJc w:val="left"/>
      <w:lvlText w:val="%2"/>
      <w:numFmt w:val="lowerLetter"/>
      <w:start w:val="1"/>
    </w:lvl>
  </w:abstractNum>
  <w:abstractNum w:abstractNumId="9">
    <w:nsid w:val="B03E0C6"/>
    <w:multiLevelType w:val="hybridMultilevel"/>
    <w:lvl w:ilvl="0">
      <w:lvlJc w:val="left"/>
      <w:lvlText w:val="(%1)"/>
      <w:numFmt w:val="lowerLetter"/>
      <w:start w:val="9"/>
    </w:lvl>
    <w:lvl w:ilvl="1">
      <w:lvlJc w:val="left"/>
      <w:lvlText w:val="(%2)"/>
      <w:numFmt w:val="lowerLetter"/>
      <w:start w:val="27"/>
    </w:lvl>
  </w:abstractNum>
  <w:abstractNum w:abstractNumId="10">
    <w:nsid w:val="189A769B"/>
    <w:multiLevelType w:val="hybridMultilevel"/>
    <w:lvl w:ilvl="0">
      <w:lvlJc w:val="left"/>
      <w:lvlText w:val="(%1)"/>
      <w:numFmt w:val="lowerLetter"/>
      <w:start w:val="31"/>
    </w:lvl>
  </w:abstractNum>
  <w:abstractNum w:abstractNumId="11">
    <w:nsid w:val="54E49EB4"/>
    <w:multiLevelType w:val="hybridMultilevel"/>
    <w:lvl w:ilvl="0">
      <w:lvlJc w:val="left"/>
      <w:lvlText w:val="(%1)"/>
      <w:numFmt w:val="lowerLetter"/>
      <w:start w:val="33"/>
    </w:lvl>
    <w:lvl w:ilvl="1">
      <w:lvlJc w:val="left"/>
      <w:lvlText w:val="(%2)"/>
      <w:numFmt w:val="lowerRoman"/>
      <w:start w:val="1"/>
    </w:lvl>
    <w:lvl w:ilvl="2">
      <w:lvlJc w:val="left"/>
      <w:lvlText w:val="(%3)"/>
      <w:numFmt w:val="upperLetter"/>
      <w:start w:val="1"/>
    </w:lvl>
  </w:abstractNum>
  <w:abstractNum w:abstractNumId="12">
    <w:nsid w:val="71F3245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3">
    <w:nsid w:val="2CA88611"/>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14">
    <w:nsid w:val="836C40E"/>
    <w:multiLevelType w:val="hybridMultilevel"/>
    <w:lvl w:ilvl="0">
      <w:lvlJc w:val="left"/>
      <w:lvlText w:val="(%1)"/>
      <w:numFmt w:val="lowerLetter"/>
      <w:start w:val="35"/>
    </w:lvl>
    <w:lvl w:ilvl="1">
      <w:lvlJc w:val="left"/>
      <w:lvlText w:val="%2"/>
      <w:numFmt w:val="lowerRoman"/>
      <w:start w:val="1"/>
    </w:lvl>
    <w:lvl w:ilvl="2">
      <w:lvlJc w:val="left"/>
      <w:lvlText w:val="%3"/>
      <w:numFmt w:val="upperLetter"/>
      <w:start w:val="1"/>
    </w:lvl>
  </w:abstractNum>
  <w:abstractNum w:abstractNumId="15">
    <w:nsid w:val="2901D82"/>
    <w:multiLevelType w:val="hybridMultilevel"/>
    <w:lvl w:ilvl="0">
      <w:lvlJc w:val="left"/>
      <w:lvlText w:val="(%1)"/>
      <w:numFmt w:val="lowerLetter"/>
      <w:start w:val="37"/>
    </w:lvl>
  </w:abstractNum>
  <w:abstractNum w:abstractNumId="16">
    <w:nsid w:val="3A95F874"/>
    <w:multiLevelType w:val="hybridMultilevel"/>
    <w:lvl w:ilvl="0">
      <w:lvlJc w:val="left"/>
      <w:lvlText w:val="(%1)"/>
      <w:numFmt w:val="lowerLetter"/>
      <w:start w:val="40"/>
    </w:lvl>
  </w:abstractNum>
  <w:abstractNum w:abstractNumId="17">
    <w:nsid w:val="8138641"/>
    <w:multiLevelType w:val="hybridMultilevel"/>
    <w:lvl w:ilvl="0">
      <w:lvlJc w:val="left"/>
      <w:lvlText w:val="(%1)"/>
      <w:numFmt w:val="lowerLetter"/>
      <w:start w:val="41"/>
    </w:lvl>
  </w:abstractNum>
  <w:abstractNum w:abstractNumId="18">
    <w:nsid w:val="1E7FF521"/>
    <w:multiLevelType w:val="hybridMultilevel"/>
    <w:lvl w:ilvl="0">
      <w:lvlJc w:val="left"/>
      <w:lvlText w:val="(%1)"/>
      <w:numFmt w:val="lowerLetter"/>
      <w:start w:val="45"/>
    </w:lvl>
  </w:abstractNum>
  <w:abstractNum w:abstractNumId="19">
    <w:nsid w:val="7C3DBD3D"/>
    <w:multiLevelType w:val="hybridMultilevel"/>
    <w:lvl w:ilvl="0">
      <w:lvlJc w:val="left"/>
      <w:lvlText w:val="%1"/>
      <w:numFmt w:val="decimal"/>
      <w:start w:val="1"/>
    </w:lvl>
    <w:lvl w:ilvl="1">
      <w:lvlJc w:val="left"/>
      <w:lvlText w:val="(%2)"/>
      <w:numFmt w:val="lowerLetter"/>
      <w:start w:val="49"/>
    </w:lvl>
  </w:abstractNum>
  <w:abstractNum w:abstractNumId="20">
    <w:nsid w:val="737B8DDC"/>
    <w:multiLevelType w:val="hybridMultilevel"/>
    <w:lvl w:ilvl="0">
      <w:lvlJc w:val="left"/>
      <w:lvlText w:val="%1."/>
      <w:numFmt w:val="decimal"/>
      <w:start w:val="2"/>
    </w:lvl>
    <w:lvl w:ilvl="1">
      <w:lvlJc w:val="left"/>
      <w:lvlText w:val="%2"/>
      <w:numFmt w:val="lowerLetter"/>
      <w:start w:val="1"/>
    </w:lvl>
  </w:abstractNum>
  <w:abstractNum w:abstractNumId="21">
    <w:nsid w:val="6CEAF087"/>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2">
    <w:nsid w:val="22221A70"/>
    <w:multiLevelType w:val="hybridMultilevel"/>
    <w:lvl w:ilvl="0">
      <w:lvlJc w:val="left"/>
      <w:lvlText w:val="(%1)"/>
      <w:numFmt w:val="lowerLetter"/>
      <w:start w:val="3"/>
    </w:lvl>
  </w:abstractNum>
  <w:abstractNum w:abstractNumId="23">
    <w:nsid w:val="4516DDE9"/>
    <w:multiLevelType w:val="hybridMultilevel"/>
    <w:lvl w:ilvl="0">
      <w:lvlJc w:val="left"/>
      <w:lvlText w:val="(%1)"/>
      <w:numFmt w:val="lowerLetter"/>
      <w:start w:val="4"/>
    </w:lvl>
  </w:abstractNum>
  <w:abstractNum w:abstractNumId="24">
    <w:nsid w:val="3006C83E"/>
    <w:multiLevelType w:val="hybridMultilevel"/>
    <w:lvl w:ilvl="0">
      <w:lvlJc w:val="left"/>
      <w:lvlText w:val="(%1)"/>
      <w:numFmt w:val="lowerLetter"/>
      <w:start w:val="7"/>
    </w:lvl>
  </w:abstractNum>
  <w:abstractNum w:abstractNumId="25">
    <w:nsid w:val="614FD4A1"/>
    <w:multiLevelType w:val="hybridMultilevel"/>
    <w:lvl w:ilvl="0">
      <w:lvlJc w:val="left"/>
      <w:lvlText w:val="%1."/>
      <w:numFmt w:val="decimal"/>
      <w:start w:val="6"/>
    </w:lvl>
    <w:lvl w:ilvl="1">
      <w:lvlJc w:val="left"/>
      <w:lvlText w:val="(%2)"/>
      <w:numFmt w:val="lowerLetter"/>
      <w:start w:val="1"/>
    </w:lvl>
  </w:abstractNum>
  <w:abstractNum w:abstractNumId="26">
    <w:nsid w:val="419AC241"/>
    <w:multiLevelType w:val="hybridMultilevel"/>
    <w:lvl w:ilvl="0">
      <w:lvlJc w:val="left"/>
      <w:lvlText w:val="(%1)"/>
      <w:numFmt w:val="lowerLetter"/>
      <w:start w:val="6"/>
    </w:lvl>
  </w:abstractNum>
  <w:abstractNum w:abstractNumId="27">
    <w:nsid w:val="5577F8E1"/>
    <w:multiLevelType w:val="hybridMultilevel"/>
    <w:lvl w:ilvl="0">
      <w:lvlJc w:val="left"/>
      <w:lvlText w:val="(%1)"/>
      <w:numFmt w:val="lowerLetter"/>
      <w:start w:val="10"/>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1."/>
      <w:numFmt w:val="decimal"/>
      <w:start w:val="7"/>
    </w:lvl>
    <w:lvl w:ilvl="1">
      <w:lvlJc w:val="left"/>
      <w:lvlText w:val="(%2)"/>
      <w:numFmt w:val="lowerLetter"/>
      <w:start w:val="2"/>
    </w:lvl>
  </w:abstractNum>
  <w:abstractNum w:abstractNumId="30">
    <w:nsid w:val="3804823E"/>
    <w:multiLevelType w:val="hybridMultilevel"/>
    <w:lvl w:ilvl="0">
      <w:lvlJc w:val="left"/>
      <w:lvlText w:val="(%1)"/>
      <w:numFmt w:val="lowerLetter"/>
      <w:start w:val="3"/>
    </w:lvl>
  </w:abstractNum>
  <w:abstractNum w:abstractNumId="31">
    <w:nsid w:val="77465F01"/>
    <w:multiLevelType w:val="hybridMultilevel"/>
    <w:lvl w:ilvl="0">
      <w:lvlJc w:val="left"/>
      <w:lvlText w:val="(%1)"/>
      <w:numFmt w:val="lowerLetter"/>
      <w:start w:val="4"/>
    </w:lvl>
  </w:abstractNum>
  <w:abstractNum w:abstractNumId="32">
    <w:nsid w:val="7724C67E"/>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6"/>
    </w:lvl>
  </w:abstractNum>
  <w:abstractNum w:abstractNumId="33">
    <w:nsid w:val="5C482A97"/>
    <w:multiLevelType w:val="hybridMultilevel"/>
    <w:lvl w:ilvl="0">
      <w:lvlJc w:val="left"/>
      <w:lvlText w:val="%1"/>
      <w:numFmt w:val="lowerRoman"/>
      <w:start w:val="1"/>
    </w:lvl>
    <w:lvl w:ilvl="1">
      <w:lvlJc w:val="left"/>
      <w:lvlText w:val="%2."/>
      <w:numFmt w:val="decimal"/>
      <w:start w:val="9"/>
    </w:lvl>
    <w:lvl w:ilvl="2">
      <w:lvlJc w:val="left"/>
      <w:lvlText w:val="%3"/>
      <w:numFmt w:val="lowerLetter"/>
      <w:start w:val="1"/>
    </w:lvl>
  </w:abstractNum>
  <w:abstractNum w:abstractNumId="34">
    <w:nsid w:val="2463B9EA"/>
    <w:multiLevelType w:val="hybridMultilevel"/>
    <w:lvl w:ilvl="0">
      <w:lvlJc w:val="left"/>
      <w:lvlText w:val="(%1)"/>
      <w:numFmt w:val="lowerRoman"/>
      <w:start w:val="4"/>
    </w:lvl>
    <w:lvl w:ilvl="1">
      <w:lvlJc w:val="left"/>
      <w:lvlText w:val="%2."/>
      <w:numFmt w:val="decimal"/>
      <w:start w:val="10"/>
    </w:lvl>
    <w:lvl w:ilvl="2">
      <w:lvlJc w:val="left"/>
      <w:lvlText w:val="%3"/>
      <w:numFmt w:val="lowerLetter"/>
      <w:start w:val="1"/>
    </w:lvl>
  </w:abstractNum>
  <w:abstractNum w:abstractNumId="35">
    <w:nsid w:val="5E884ADC"/>
    <w:multiLevelType w:val="hybridMultilevel"/>
    <w:lvl w:ilvl="0">
      <w:lvlJc w:val="left"/>
      <w:lvlText w:val="%1."/>
      <w:numFmt w:val="decimal"/>
      <w:start w:val="11"/>
    </w:lvl>
    <w:lvl w:ilvl="1">
      <w:lvlJc w:val="left"/>
      <w:lvlText w:val="(%2)"/>
      <w:numFmt w:val="lowerLetter"/>
      <w:start w:val="2"/>
    </w:lvl>
  </w:abstractNum>
  <w:abstractNum w:abstractNumId="36">
    <w:nsid w:val="51EAD36B"/>
    <w:multiLevelType w:val="hybridMultilevel"/>
    <w:lvl w:ilvl="0">
      <w:lvlJc w:val="left"/>
      <w:lvlText w:val="%1"/>
      <w:numFmt w:val="decimal"/>
      <w:start w:val="1"/>
    </w:lvl>
    <w:lvl w:ilvl="1">
      <w:lvlJc w:val="left"/>
      <w:lvlText w:val="(%2)"/>
      <w:numFmt w:val="lowerLetter"/>
      <w:start w:val="1"/>
    </w:lvl>
  </w:abstractNum>
  <w:abstractNum w:abstractNumId="37">
    <w:nsid w:val="2D517796"/>
    <w:multiLevelType w:val="hybridMultilevel"/>
    <w:lvl w:ilvl="0">
      <w:lvlJc w:val="left"/>
      <w:lvlText w:val="%1."/>
      <w:numFmt w:val="decimal"/>
      <w:start w:val="13"/>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lowerLetter"/>
      <w:start w:val="1"/>
    </w:lvl>
    <w:lvl w:ilvl="1">
      <w:lvlJc w:val="left"/>
      <w:lvlText w:val="(%2)"/>
      <w:numFmt w:val="lowerLetter"/>
      <w:start w:val="1"/>
    </w:lvl>
  </w:abstractNum>
  <w:abstractNum w:abstractNumId="40">
    <w:nsid w:val="3855585C"/>
    <w:multiLevelType w:val="hybridMultilevel"/>
    <w:lvl w:ilvl="0">
      <w:lvlJc w:val="left"/>
      <w:lvlText w:val="(%1)"/>
      <w:numFmt w:val="lowerLetter"/>
      <w:start w:val="35"/>
    </w:lvl>
    <w:lvl w:ilvl="1">
      <w:lvlJc w:val="left"/>
      <w:lvlText w:val="%2"/>
      <w:numFmt w:val="lowerLetter"/>
      <w:start w:val="1"/>
    </w:lvl>
  </w:abstractNum>
  <w:abstractNum w:abstractNumId="41">
    <w:nsid w:val="70A64E2A"/>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2024-06-14T15:11:34Z</dcterms:created>
  <dcterms:modified xsi:type="dcterms:W3CDTF">2024-06-14T15:11:34Z</dcterms:modified>
</cp:coreProperties>
</file>