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0000947871-23-001137</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OrbiMed Private Investments VIII, LP</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Themis Trading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10 Townsquare</w:t>
      </w:r>
    </w:p>
    <w:p>
      <w:pPr>
        <w:ind w:left="2500"/>
        <w:spacing w:after="0"/>
        <w:rPr>
          <w:sz w:val="20"/>
          <w:szCs w:val="20"/>
          <w:color w:val="auto"/>
        </w:rPr>
      </w:pPr>
      <w:r>
        <w:rPr>
          <w:rFonts w:ascii="Times New Roman" w:cs="Times New Roman" w:eastAsia="Times New Roman" w:hAnsi="Times New Roman"/>
          <w:sz w:val="22"/>
          <w:szCs w:val="22"/>
          <w:color w:val="auto"/>
        </w:rPr>
        <w:t>Chatham  NJ  07928</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1585 Broadway</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487360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29748454.00</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487360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29748454.00</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487360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12/29/2022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OrbiMed Capital GP VIII LLC is the general partner of OrbiMed Private Investments VIII, LP. OrbiMed Advisors LLC is the managing member of OrbiMed Capital GP VIII LLC. This amended Form 144 is being filed to add Morgan Stanley as an additional broker.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VIII,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2023-12-15T17:13:29Z</dcterms:created>
  <dcterms:modified xsi:type="dcterms:W3CDTF">2023-12-15T17:13:29Z</dcterms:modified>
</cp:coreProperties>
</file>