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26, 2026</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220345</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DISC MEDICINE, INC.</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10520"/>
          </w:cols>
          <w:pgMar w:left="660" w:top="223" w:right="719" w:bottom="103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7" w:lineRule="exact"/>
        <w:rPr>
          <w:sz w:val="24"/>
          <w:szCs w:val="24"/>
          <w:color w:val="auto"/>
        </w:rPr>
      </w:pPr>
    </w:p>
    <w:p>
      <w:pPr>
        <w:sectPr>
          <w:pgSz w:w="11900" w:h="16838" w:orient="portrait"/>
          <w:cols w:equalWidth="0" w:num="2">
            <w:col w:w="6860" w:space="720"/>
            <w:col w:w="2940"/>
          </w:cols>
          <w:pgMar w:left="660" w:top="223" w:right="719" w:bottom="1035"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840"/>
        <w:spacing w:after="0"/>
        <w:rPr>
          <w:sz w:val="20"/>
          <w:szCs w:val="20"/>
          <w:color w:val="auto"/>
        </w:rPr>
      </w:pPr>
      <w:r>
        <w:rPr>
          <w:rFonts w:ascii="Times New Roman" w:cs="Times New Roman" w:eastAsia="Times New Roman" w:hAnsi="Times New Roman"/>
          <w:sz w:val="13"/>
          <w:szCs w:val="13"/>
          <w:b w:val="1"/>
          <w:bCs w:val="1"/>
          <w:color w:val="auto"/>
        </w:rPr>
        <w:t>Identification Number)</w:t>
      </w:r>
    </w:p>
    <w:p>
      <w:pPr>
        <w:spacing w:after="0" w:line="199" w:lineRule="exact"/>
        <w:rPr>
          <w:sz w:val="24"/>
          <w:szCs w:val="24"/>
          <w:color w:val="auto"/>
        </w:rPr>
      </w:pPr>
    </w:p>
    <w:p>
      <w:pPr>
        <w:sectPr>
          <w:pgSz w:w="11900" w:h="16838" w:orient="portrait"/>
          <w:cols w:equalWidth="0" w:num="2">
            <w:col w:w="6600" w:space="720"/>
            <w:col w:w="3200"/>
          </w:cols>
          <w:pgMar w:left="660" w:top="223" w:right="719" w:bottom="1035"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Watertown, MA 02472</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(617) 674-9274</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ectPr>
          <w:pgSz w:w="11900" w:h="16838" w:orient="portrait"/>
          <w:cols w:equalWidth="0" w:num="1">
            <w:col w:w="10520"/>
          </w:cols>
          <w:pgMar w:left="660" w:top="223" w:right="719" w:bottom="1035" w:gutter="0" w:footer="0" w:header="0"/>
          <w:type w:val="continuous"/>
        </w:sectPr>
      </w:pPr>
    </w:p>
    <w:p>
      <w:pPr>
        <w:spacing w:after="0" w:line="1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Disc Medicine, Inc. Amended and Restated 2021 Stock Option and Incentive Plan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Disc Medicine, Inc. Amended and Restated 2021 Employee Stock Purchase Plan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Stock Option Inducement Awards</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Restricted Stock Unit Inducement Awards</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214630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John Quisel, J.D., Ph.D.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Disc Medicine, Inc.</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Watertown, MA 02472</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(617) 674-9274</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206375</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tbl>
      <w:tblPr>
        <w:tblLayout w:type="fixed"/>
        <w:tblInd w:w="1780" w:type="dxa"/>
        <w:tblCellMar>
          <w:top w:w="0" w:type="dxa"/>
          <w:left w:w="0" w:type="dxa"/>
          <w:bottom w:w="0" w:type="dxa"/>
          <w:right w:w="0" w:type="dxa"/>
        </w:tblCellMar>
      </w:tblPr>
      <w:tr>
        <w:trPr>
          <w:trHeight w:val="230"/>
        </w:trPr>
        <w:tc>
          <w:tcPr>
            <w:tcW w:w="2460" w:type="dxa"/>
            <w:vAlign w:val="bottom"/>
          </w:tcPr>
          <w:p>
            <w:pPr>
              <w:spacing w:after="0"/>
              <w:rPr>
                <w:sz w:val="19"/>
                <w:szCs w:val="19"/>
                <w:color w:val="auto"/>
              </w:rPr>
            </w:pPr>
          </w:p>
        </w:tc>
        <w:tc>
          <w:tcPr>
            <w:tcW w:w="4820" w:type="dxa"/>
            <w:vAlign w:val="bottom"/>
          </w:tcPr>
          <w:p>
            <w:pPr>
              <w:ind w:left="68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303"/>
        </w:trPr>
        <w:tc>
          <w:tcPr>
            <w:tcW w:w="246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William D. Collins, Esq.</w:t>
            </w:r>
          </w:p>
        </w:tc>
        <w:tc>
          <w:tcPr>
            <w:tcW w:w="4820" w:type="dxa"/>
            <w:vAlign w:val="bottom"/>
          </w:tcPr>
          <w:p>
            <w:pPr>
              <w:jc w:val="center"/>
              <w:ind w:left="2634"/>
              <w:spacing w:after="0"/>
              <w:rPr>
                <w:sz w:val="20"/>
                <w:szCs w:val="20"/>
                <w:color w:val="auto"/>
              </w:rPr>
            </w:pPr>
            <w:r>
              <w:rPr>
                <w:rFonts w:ascii="Times New Roman" w:cs="Times New Roman" w:eastAsia="Times New Roman" w:hAnsi="Times New Roman"/>
                <w:sz w:val="17"/>
                <w:szCs w:val="17"/>
                <w:b w:val="1"/>
                <w:bCs w:val="1"/>
                <w:color w:val="auto"/>
              </w:rPr>
              <w:t>Rahul Khara</w:t>
            </w:r>
          </w:p>
        </w:tc>
      </w:tr>
      <w:tr>
        <w:trPr>
          <w:trHeight w:val="207"/>
        </w:trPr>
        <w:tc>
          <w:tcPr>
            <w:tcW w:w="246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Adam Johnson, Esq.</w:t>
            </w:r>
          </w:p>
        </w:tc>
        <w:tc>
          <w:tcPr>
            <w:tcW w:w="4820" w:type="dxa"/>
            <w:vAlign w:val="bottom"/>
          </w:tcPr>
          <w:p>
            <w:pPr>
              <w:jc w:val="center"/>
              <w:ind w:left="2614"/>
              <w:spacing w:after="0"/>
              <w:rPr>
                <w:sz w:val="20"/>
                <w:szCs w:val="20"/>
                <w:color w:val="auto"/>
              </w:rPr>
            </w:pPr>
            <w:r>
              <w:rPr>
                <w:rFonts w:ascii="Times New Roman" w:cs="Times New Roman" w:eastAsia="Times New Roman" w:hAnsi="Times New Roman"/>
                <w:sz w:val="17"/>
                <w:szCs w:val="17"/>
                <w:b w:val="1"/>
                <w:bCs w:val="1"/>
                <w:color w:val="auto"/>
              </w:rPr>
              <w:t>Chief Legal Officer</w:t>
            </w:r>
          </w:p>
        </w:tc>
      </w:tr>
      <w:tr>
        <w:trPr>
          <w:trHeight w:val="207"/>
        </w:trPr>
        <w:tc>
          <w:tcPr>
            <w:tcW w:w="246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Alicia Tschirhart, Esq.</w:t>
            </w:r>
          </w:p>
        </w:tc>
        <w:tc>
          <w:tcPr>
            <w:tcW w:w="4820" w:type="dxa"/>
            <w:vAlign w:val="bottom"/>
          </w:tcPr>
          <w:p>
            <w:pPr>
              <w:jc w:val="center"/>
              <w:ind w:left="2614"/>
              <w:spacing w:after="0"/>
              <w:rPr>
                <w:sz w:val="20"/>
                <w:szCs w:val="20"/>
                <w:color w:val="auto"/>
              </w:rPr>
            </w:pPr>
            <w:r>
              <w:rPr>
                <w:rFonts w:ascii="Times New Roman" w:cs="Times New Roman" w:eastAsia="Times New Roman" w:hAnsi="Times New Roman"/>
                <w:sz w:val="17"/>
                <w:szCs w:val="17"/>
                <w:b w:val="1"/>
                <w:bCs w:val="1"/>
                <w:color w:val="auto"/>
              </w:rPr>
              <w:t>Disc Medicine, Inc.</w:t>
            </w:r>
          </w:p>
        </w:tc>
      </w:tr>
      <w:tr>
        <w:trPr>
          <w:trHeight w:val="207"/>
        </w:trPr>
        <w:tc>
          <w:tcPr>
            <w:tcW w:w="246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Goodwin Procter LLP</w:t>
            </w:r>
          </w:p>
        </w:tc>
        <w:tc>
          <w:tcPr>
            <w:tcW w:w="4820" w:type="dxa"/>
            <w:vAlign w:val="bottom"/>
          </w:tcPr>
          <w:p>
            <w:pPr>
              <w:jc w:val="center"/>
              <w:ind w:left="2614"/>
              <w:spacing w:after="0"/>
              <w:rPr>
                <w:sz w:val="20"/>
                <w:szCs w:val="20"/>
                <w:color w:val="auto"/>
              </w:rPr>
            </w:pPr>
            <w:r>
              <w:rPr>
                <w:rFonts w:ascii="Times New Roman" w:cs="Times New Roman" w:eastAsia="Times New Roman" w:hAnsi="Times New Roman"/>
                <w:sz w:val="17"/>
                <w:szCs w:val="17"/>
                <w:b w:val="1"/>
                <w:bCs w:val="1"/>
                <w:color w:val="auto"/>
              </w:rPr>
              <w:t>321 Arsenal Street, Suite 101</w:t>
            </w:r>
          </w:p>
        </w:tc>
      </w:tr>
      <w:tr>
        <w:trPr>
          <w:trHeight w:val="207"/>
        </w:trPr>
        <w:tc>
          <w:tcPr>
            <w:tcW w:w="246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100 Northern Avenue</w:t>
            </w:r>
          </w:p>
        </w:tc>
        <w:tc>
          <w:tcPr>
            <w:tcW w:w="4820" w:type="dxa"/>
            <w:vAlign w:val="bottom"/>
          </w:tcPr>
          <w:p>
            <w:pPr>
              <w:jc w:val="center"/>
              <w:ind w:left="2614"/>
              <w:spacing w:after="0"/>
              <w:rPr>
                <w:sz w:val="20"/>
                <w:szCs w:val="20"/>
                <w:color w:val="auto"/>
              </w:rPr>
            </w:pPr>
            <w:r>
              <w:rPr>
                <w:rFonts w:ascii="Times New Roman" w:cs="Times New Roman" w:eastAsia="Times New Roman" w:hAnsi="Times New Roman"/>
                <w:sz w:val="17"/>
                <w:szCs w:val="17"/>
                <w:b w:val="1"/>
                <w:bCs w:val="1"/>
                <w:color w:val="auto"/>
              </w:rPr>
              <w:t>Watertown, MA 02472</w:t>
            </w:r>
          </w:p>
        </w:tc>
      </w:tr>
      <w:tr>
        <w:trPr>
          <w:trHeight w:val="207"/>
        </w:trPr>
        <w:tc>
          <w:tcPr>
            <w:tcW w:w="246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Boston, MA 02210</w:t>
            </w:r>
          </w:p>
        </w:tc>
        <w:tc>
          <w:tcPr>
            <w:tcW w:w="4820" w:type="dxa"/>
            <w:vAlign w:val="bottom"/>
          </w:tcPr>
          <w:p>
            <w:pPr>
              <w:jc w:val="center"/>
              <w:ind w:left="2614"/>
              <w:spacing w:after="0"/>
              <w:rPr>
                <w:sz w:val="20"/>
                <w:szCs w:val="20"/>
                <w:color w:val="auto"/>
              </w:rPr>
            </w:pPr>
            <w:r>
              <w:rPr>
                <w:rFonts w:ascii="Times New Roman" w:cs="Times New Roman" w:eastAsia="Times New Roman" w:hAnsi="Times New Roman"/>
                <w:sz w:val="17"/>
                <w:szCs w:val="17"/>
                <w:b w:val="1"/>
                <w:bCs w:val="1"/>
                <w:color w:val="auto"/>
              </w:rPr>
              <w:t>(617) 674-9274</w:t>
            </w:r>
          </w:p>
        </w:tc>
      </w:tr>
      <w:tr>
        <w:trPr>
          <w:trHeight w:val="228"/>
        </w:trPr>
        <w:tc>
          <w:tcPr>
            <w:tcW w:w="246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(617) 570-1000</w:t>
            </w:r>
          </w:p>
        </w:tc>
        <w:tc>
          <w:tcPr>
            <w:tcW w:w="48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221615</wp:posOffset>
            </wp:positionV>
            <wp:extent cx="141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173355</wp:posOffset>
            </wp:positionV>
            <wp:extent cx="6710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20"/>
          </w:cols>
          <w:pgMar w:left="660" w:top="223" w:right="719" w:bottom="1035"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EXPLANATORY NOTE</w:t>
      </w: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This Registration Statement on Form S-8 registers (i) additional shares of common stock, $0.0001 par value per share (“Common Stock”), of Disc Medicine, Inc. (the “Registrant”) under the Registrant’s Amended and Restated 2021 Stock Option and Incentive Plan (the “2021 Plan”), (ii) additional shares of Common Stock under the Registrant’s Amended and Restated 2021 Employee Stock Purchase Plan (the “2021 ESPP”) and (iii) shares of Common Stock pursuant to the inducement awards described herein.</w:t>
      </w:r>
    </w:p>
    <w:p>
      <w:pPr>
        <w:spacing w:after="0" w:line="16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The number of shares of Common Stock reserved and available for issuance under the 2021 Plan is subject to an automatic annual increase on each January 1, by an amount equal to the lesser of: (i) four percent (4%) of the number of shares of Common Stock issued and outstanding on the immediately preceding December 31 or (ii) such lesser number of shares of Common Stock as determined by the Registrant’s board of directors or the compensation committee of the Registrant’s board of directors. Accordingly, on January 1, 2026, the number of shares of Common Stock reserved and available for issuance under the 2021 Plan increased by 1,515,624 shares.</w:t>
      </w:r>
    </w:p>
    <w:p>
      <w:pPr>
        <w:spacing w:after="0" w:line="1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number of shares of Common Stock reserved and available for issuance under the 2021 ESPP is subject to an automatic increase on each January 1, through January 1, 2031, by the least of (i) 1% of the outstanding number of shares of Common Stock on the immediately preceding December 31, (ii) 43,055 shares of Common Stock, or (iii) such number of shares of Common Stock as determined by the administrator of the 2021 ESPP. Accordingly, on January 1, 2026, the number of shares of Common Stock reserved and available for issuance under the 2021 ESPP increased by 43,055 shares.</w:t>
      </w:r>
    </w:p>
    <w:p>
      <w:pPr>
        <w:spacing w:after="0" w:line="169"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17"/>
          <w:szCs w:val="17"/>
          <w:color w:val="auto"/>
        </w:rPr>
        <w:t>This Registration Statement also registers shares of Common Stock issuable pursuant to an inducement award, as described below. To induce the individual listed below to accept employment with the Registrant, the Registrant granted the following equity awards to such individual (the “Inducement Award”) on the date listed below:</w:t>
      </w:r>
    </w:p>
    <w:p>
      <w:pPr>
        <w:spacing w:after="0" w:line="71" w:lineRule="exact"/>
        <w:rPr>
          <w:sz w:val="20"/>
          <w:szCs w:val="20"/>
          <w:color w:val="auto"/>
        </w:rPr>
      </w:pPr>
    </w:p>
    <w:p>
      <w:pPr>
        <w:ind w:left="940" w:right="440" w:hanging="422"/>
        <w:spacing w:after="0" w:line="273" w:lineRule="auto"/>
        <w:tabs>
          <w:tab w:leader="none" w:pos="9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to purchase 37,500 shares of Common Stock and 29,000 restricted stock units granted to induce the recipient to accept employment as the Registrant’s Chief Human Resources Officer, such grant approved on December 10, 2025, and effective as of the commencement of the recipient’s employment with the Registrant on January 12, 2026.</w:t>
      </w:r>
    </w:p>
    <w:p>
      <w:pPr>
        <w:spacing w:after="0" w:line="162"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7"/>
          <w:szCs w:val="17"/>
          <w:color w:val="auto"/>
        </w:rPr>
        <w:t>The Inducement Award was approved by the Registrant’s independent compensation committee of the board of directors, in compliance with and in reliance on Nasdaq Listing Rule 5635(c)(4). The Inducement Award was granted outside of the 2021 Plan.</w:t>
      </w:r>
    </w:p>
    <w:p>
      <w:pPr>
        <w:spacing w:after="0" w:line="148" w:lineRule="exact"/>
        <w:rPr>
          <w:sz w:val="20"/>
          <w:szCs w:val="20"/>
          <w:color w:val="auto"/>
        </w:rPr>
      </w:pPr>
    </w:p>
    <w:p>
      <w:pPr>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additional shares reserved and available for future issuance under the 2021 Plan and 2021 ESPP are of the same class as other securities relating to the 2021 Plan and 2021 ESPP for which the Registrant’s Registration Statements filed on Form S-8 filed with the Securities and Exchange Commission on </w:t>
      </w:r>
      <w:hyperlink r:id="rId19">
        <w:r>
          <w:rPr>
            <w:rFonts w:ascii="Times New Roman" w:cs="Times New Roman" w:eastAsia="Times New Roman" w:hAnsi="Times New Roman"/>
            <w:sz w:val="17"/>
            <w:szCs w:val="17"/>
            <w:u w:val="single" w:color="auto"/>
            <w:color w:val="0000EE"/>
          </w:rPr>
          <w:t>April 13, 2021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333-255194), </w:t>
      </w:r>
      <w:hyperlink r:id="rId20">
        <w:r>
          <w:rPr>
            <w:rFonts w:ascii="Times New Roman" w:cs="Times New Roman" w:eastAsia="Times New Roman" w:hAnsi="Times New Roman"/>
            <w:sz w:val="17"/>
            <w:szCs w:val="17"/>
            <w:u w:val="single" w:color="auto"/>
            <w:color w:val="0000EE"/>
          </w:rPr>
          <w:t>October 14, 2021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333-260243), </w:t>
      </w:r>
      <w:hyperlink r:id="rId21">
        <w:r>
          <w:rPr>
            <w:rFonts w:ascii="Times New Roman" w:cs="Times New Roman" w:eastAsia="Times New Roman" w:hAnsi="Times New Roman"/>
            <w:sz w:val="17"/>
            <w:szCs w:val="17"/>
            <w:u w:val="single" w:color="auto"/>
            <w:color w:val="0000EE"/>
          </w:rPr>
          <w:t>March 10, 2022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333-263410), </w:t>
      </w:r>
      <w:hyperlink r:id="rId22">
        <w:r>
          <w:rPr>
            <w:rFonts w:ascii="Times New Roman" w:cs="Times New Roman" w:eastAsia="Times New Roman" w:hAnsi="Times New Roman"/>
            <w:sz w:val="17"/>
            <w:szCs w:val="17"/>
            <w:u w:val="single" w:color="auto"/>
            <w:color w:val="0000EE"/>
          </w:rPr>
          <w:t>January 17, 2023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333-269271), </w:t>
      </w:r>
      <w:hyperlink r:id="rId23">
        <w:r>
          <w:rPr>
            <w:rFonts w:ascii="Times New Roman" w:cs="Times New Roman" w:eastAsia="Times New Roman" w:hAnsi="Times New Roman"/>
            <w:sz w:val="17"/>
            <w:szCs w:val="17"/>
            <w:u w:val="single" w:color="auto"/>
            <w:color w:val="0000EE"/>
          </w:rPr>
          <w:t>March 21,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333-278129) and </w:t>
      </w:r>
      <w:hyperlink r:id="rId24">
        <w:r>
          <w:rPr>
            <w:rFonts w:ascii="Times New Roman" w:cs="Times New Roman" w:eastAsia="Times New Roman" w:hAnsi="Times New Roman"/>
            <w:sz w:val="17"/>
            <w:szCs w:val="17"/>
            <w:u w:val="single" w:color="auto"/>
            <w:color w:val="0000EE"/>
          </w:rPr>
          <w:t>February 27,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333-285312) are effective. The information contained in the Registrant’s Registration Statements on Form S-8 (Registration No. 333-255194, 333-260243, 333-263410, 333-269271, 333-278129 and 333-285312) is hereby incorporated by reference pursuant to General Instruction E.</w:t>
      </w:r>
    </w:p>
    <w:p>
      <w:pPr>
        <w:sectPr>
          <w:pgSz w:w="11900" w:h="16838" w:orient="portrait"/>
          <w:cols w:equalWidth="0" w:num="1">
            <w:col w:w="10520"/>
          </w:cols>
          <w:pgMar w:left="660" w:top="262" w:right="71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w:t>
      </w:r>
    </w:p>
    <w:p>
      <w:pPr>
        <w:spacing w:after="0" w:line="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information specified in Part I of Form S-8 is omitted from this filing in accordance with the provisions of Rule 428 under the Securities Act of 1933, as amended (the “Securities Act”) and the introductory note to Part I of the Form S-8 instructions. The documents containing the information specified in Part I will be delivered to the person to whom the Inducement Award has been granted as required by Rule 428(b)(1) under the Securities Act.</w:t>
      </w:r>
    </w:p>
    <w:p>
      <w:pPr>
        <w:sectPr>
          <w:pgSz w:w="11900" w:h="16838" w:orient="portrait"/>
          <w:cols w:equalWidth="0" w:num="1">
            <w:col w:w="10340"/>
          </w:cols>
          <w:pgMar w:left="660" w:top="262" w:right="8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hereby incorporates by reference into this Registration Statement the following documents filed with the Commission:</w:t>
      </w:r>
    </w:p>
    <w:p>
      <w:pPr>
        <w:spacing w:after="0" w:line="128" w:lineRule="exact"/>
        <w:rPr>
          <w:sz w:val="20"/>
          <w:szCs w:val="20"/>
          <w:color w:val="auto"/>
        </w:rPr>
      </w:pPr>
    </w:p>
    <w:p>
      <w:pPr>
        <w:ind w:left="940" w:right="360" w:hanging="422"/>
        <w:spacing w:after="0" w:line="273"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Annual Report on Form 10-K for the fiscal year ended </w:t>
      </w:r>
      <w:hyperlink r:id="rId27">
        <w:r>
          <w:rPr>
            <w:rFonts w:ascii="Times New Roman" w:cs="Times New Roman" w:eastAsia="Times New Roman" w:hAnsi="Times New Roman"/>
            <w:sz w:val="17"/>
            <w:szCs w:val="17"/>
            <w:u w:val="single" w:color="auto"/>
            <w:color w:val="0000EE"/>
          </w:rPr>
          <w:t>December 31, 2025</w:t>
        </w:r>
      </w:hyperlink>
      <w:r>
        <w:rPr>
          <w:rFonts w:ascii="Times New Roman" w:cs="Times New Roman" w:eastAsia="Times New Roman" w:hAnsi="Times New Roman"/>
          <w:sz w:val="17"/>
          <w:szCs w:val="17"/>
          <w:color w:val="auto"/>
        </w:rPr>
        <w:t>, filed with the SEC on February 26, 2026 (including the information specifically incorporated by reference therein from the Registrant’s definitive proxy statement relating to the 2025 annual meeting of stockholders (other than information furnished rather than filed));</w:t>
      </w:r>
    </w:p>
    <w:p>
      <w:pPr>
        <w:spacing w:after="0" w:line="71" w:lineRule="exact"/>
        <w:rPr>
          <w:rFonts w:ascii="Times New Roman" w:cs="Times New Roman" w:eastAsia="Times New Roman" w:hAnsi="Times New Roman"/>
          <w:sz w:val="17"/>
          <w:szCs w:val="17"/>
          <w:color w:val="auto"/>
        </w:rPr>
      </w:pPr>
    </w:p>
    <w:p>
      <w:pPr>
        <w:ind w:left="940" w:right="40" w:hanging="422"/>
        <w:spacing w:after="0" w:line="291"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Current Reports on Form 8-K filed with the SEC on </w:t>
      </w:r>
      <w:hyperlink r:id="rId28">
        <w:r>
          <w:rPr>
            <w:rFonts w:ascii="Times New Roman" w:cs="Times New Roman" w:eastAsia="Times New Roman" w:hAnsi="Times New Roman"/>
            <w:sz w:val="17"/>
            <w:szCs w:val="17"/>
            <w:u w:val="single" w:color="auto"/>
            <w:color w:val="0000EE"/>
          </w:rPr>
          <w:t>January 12,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29">
        <w:r>
          <w:rPr>
            <w:rFonts w:ascii="Times New Roman" w:cs="Times New Roman" w:eastAsia="Times New Roman" w:hAnsi="Times New Roman"/>
            <w:sz w:val="17"/>
            <w:szCs w:val="17"/>
            <w:u w:val="single" w:color="auto"/>
            <w:color w:val="0000EE"/>
          </w:rPr>
          <w:t>February 13,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(excluding information furnished pursuant to Item 7.01, or corresponding information furnished under Item 9.01 or included as an exhibit); and</w:t>
      </w:r>
    </w:p>
    <w:p>
      <w:pPr>
        <w:spacing w:after="0" w:line="56" w:lineRule="exact"/>
        <w:rPr>
          <w:rFonts w:ascii="Times New Roman" w:cs="Times New Roman" w:eastAsia="Times New Roman" w:hAnsi="Times New Roman"/>
          <w:sz w:val="17"/>
          <w:szCs w:val="17"/>
          <w:color w:val="auto"/>
        </w:rPr>
      </w:pPr>
    </w:p>
    <w:p>
      <w:pPr>
        <w:ind w:left="940" w:hanging="422"/>
        <w:spacing w:after="0" w:line="263"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the Registration Statement on </w:t>
      </w:r>
      <w:hyperlink r:id="rId30">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with the SEC on August 10, 2020, and as set forth by the description of the Registrant’s Common Stock set forth in </w:t>
      </w:r>
      <w:hyperlink r:id="rId31">
        <w:r>
          <w:rPr>
            <w:rFonts w:ascii="Times New Roman" w:cs="Times New Roman" w:eastAsia="Times New Roman" w:hAnsi="Times New Roman"/>
            <w:sz w:val="17"/>
            <w:szCs w:val="17"/>
            <w:u w:val="single" w:color="auto"/>
            <w:color w:val="0000EE"/>
          </w:rPr>
          <w:t>Exhibit 4.4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Registrant’s Annual Report on Form 10-K for the year ended December 31, 2021, filed with the SEC on March 10, 2022, and as further supplemented by the description of the Registrant’s common stock set forth in the Registrant’s Registration Statement on </w:t>
      </w:r>
      <w:hyperlink r:id="rId32">
        <w:r>
          <w:rPr>
            <w:rFonts w:ascii="Times New Roman" w:cs="Times New Roman" w:eastAsia="Times New Roman" w:hAnsi="Times New Roman"/>
            <w:sz w:val="17"/>
            <w:szCs w:val="17"/>
            <w:u w:val="single" w:color="auto"/>
            <w:color w:val="0000EE"/>
          </w:rPr>
          <w:t>Form S-4/A</w:t>
        </w:r>
      </w:hyperlink>
      <w:r>
        <w:rPr>
          <w:rFonts w:ascii="Times New Roman" w:cs="Times New Roman" w:eastAsia="Times New Roman" w:hAnsi="Times New Roman"/>
          <w:sz w:val="17"/>
          <w:szCs w:val="17"/>
          <w:color w:val="auto"/>
        </w:rPr>
        <w:t>, filed with the SEC on December 1, 2022, including any amendments or reports filed for the purpose of updating such description.</w:t>
      </w:r>
    </w:p>
    <w:p>
      <w:pPr>
        <w:spacing w:after="0" w:line="172" w:lineRule="exact"/>
        <w:rPr>
          <w:rFonts w:ascii="Times New Roman" w:cs="Times New Roman" w:eastAsia="Times New Roman" w:hAnsi="Times New Roman"/>
          <w:sz w:val="17"/>
          <w:szCs w:val="17"/>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69" w:lineRule="exact"/>
        <w:rPr>
          <w:rFonts w:ascii="Times New Roman" w:cs="Times New Roman" w:eastAsia="Times New Roman" w:hAnsi="Times New Roman"/>
          <w:sz w:val="17"/>
          <w:szCs w:val="17"/>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9" w:lineRule="exact"/>
        <w:rPr>
          <w:rFonts w:ascii="Times New Roman" w:cs="Times New Roman" w:eastAsia="Times New Roman" w:hAnsi="Times New Roman"/>
          <w:sz w:val="17"/>
          <w:szCs w:val="17"/>
          <w:color w:val="auto"/>
        </w:rPr>
      </w:pPr>
    </w:p>
    <w:p>
      <w:pPr>
        <w:ind w:right="320"/>
        <w:spacing w:after="0" w:line="291" w:lineRule="auto"/>
        <w:rPr>
          <w:sz w:val="20"/>
          <w:szCs w:val="20"/>
          <w:color w:val="auto"/>
        </w:rPr>
      </w:pPr>
      <w:r>
        <w:rPr>
          <w:rFonts w:ascii="Times New Roman" w:cs="Times New Roman" w:eastAsia="Times New Roman" w:hAnsi="Times New Roman"/>
          <w:sz w:val="17"/>
          <w:szCs w:val="17"/>
          <w:color w:val="auto"/>
        </w:rPr>
        <w:t>Under no circumstances will any information filed under current Items 2.02 or 7.01 of Form 8-K be deemed incorporated herein by reference unless such Form 8-K expressly provides to the contrary.</w:t>
      </w:r>
    </w:p>
    <w:p>
      <w:pPr>
        <w:spacing w:after="0" w:line="24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11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1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17" w:lineRule="exact"/>
        <w:rPr>
          <w:rFonts w:ascii="Times New Roman" w:cs="Times New Roman" w:eastAsia="Times New Roman" w:hAnsi="Times New Roman"/>
          <w:sz w:val="17"/>
          <w:szCs w:val="17"/>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ectPr>
          <w:pgSz w:w="11900" w:h="16838" w:orient="portrait"/>
          <w:cols w:equalWidth="0" w:num="1">
            <w:col w:w="10540"/>
          </w:cols>
          <w:pgMar w:left="660" w:top="262" w:right="699" w:bottom="1440" w:gutter="0" w:footer="0" w:header="0"/>
        </w:sectPr>
      </w:pPr>
    </w:p>
    <w:bookmarkStart w:id="4" w:name="page5"/>
    <w:bookmarkEnd w:id="4"/>
    <w:p>
      <w:pPr>
        <w:ind w:right="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The Registrant has adopted provisions in the Registrant’s certificate of incorporation and bylaws that limit or eliminate the personal liability of the Registrant’s directors to the fullest extent permitted by the DGCL, as it now exists or may in the future be amended. Consequently, a director will not be personally liable to the Registrant or its stockholders for monetary damages or breach of fiduciary duty as a director, except for liability for:</w:t>
      </w:r>
    </w:p>
    <w:p>
      <w:pPr>
        <w:spacing w:after="0" w:line="71" w:lineRule="exact"/>
        <w:rPr>
          <w:sz w:val="20"/>
          <w:szCs w:val="20"/>
          <w:color w:val="auto"/>
        </w:rPr>
      </w:pPr>
    </w:p>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the Registrant or its stockholders;</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unlawful payments related to dividends or unlawful stock purchases, redemptions or other distributions; or</w:t>
      </w:r>
    </w:p>
    <w:p>
      <w:pPr>
        <w:spacing w:after="0" w:line="128" w:lineRule="exact"/>
        <w:rPr>
          <w:rFonts w:ascii="Times New Roman" w:cs="Times New Roman" w:eastAsia="Times New Roman" w:hAnsi="Times New Roman"/>
          <w:sz w:val="17"/>
          <w:szCs w:val="17"/>
          <w:color w:val="auto"/>
        </w:rPr>
      </w:pPr>
    </w:p>
    <w:p>
      <w:pPr>
        <w:ind w:left="940" w:hanging="422"/>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19"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color w:val="auto"/>
        </w:rPr>
        <w:t>These limitations of liability do not alter director liability under the federal securities laws and do not affect the availability of equitable remedies such as an injunction or rescission.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the Registrant’s bylaws provide that:</w:t>
      </w:r>
    </w:p>
    <w:p>
      <w:pPr>
        <w:spacing w:after="0" w:line="128" w:lineRule="exact"/>
        <w:rPr>
          <w:sz w:val="20"/>
          <w:szCs w:val="20"/>
          <w:color w:val="auto"/>
        </w:rPr>
      </w:pPr>
    </w:p>
    <w:p>
      <w:pPr>
        <w:ind w:left="940" w:right="280" w:hanging="422"/>
        <w:spacing w:after="0" w:line="291"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will indemnify its directors, officers and, in the discretion of its board of directors, certain employees to the fullest extent permitted by the DGCL, as it now exists or may in the future be amended; and</w:t>
      </w:r>
    </w:p>
    <w:p>
      <w:pPr>
        <w:spacing w:after="0" w:line="56" w:lineRule="exact"/>
        <w:rPr>
          <w:rFonts w:ascii="Times New Roman" w:cs="Times New Roman" w:eastAsia="Times New Roman" w:hAnsi="Times New Roman"/>
          <w:sz w:val="17"/>
          <w:szCs w:val="17"/>
          <w:color w:val="auto"/>
        </w:rPr>
      </w:pPr>
    </w:p>
    <w:p>
      <w:pPr>
        <w:ind w:left="940" w:right="60" w:hanging="422"/>
        <w:spacing w:after="0" w:line="273"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will advance expenses, including attorneys’ fees, to its directors and, in the discretion of its board of directors, to its officers and certain employees, in connection with legal proceedings relating to their service for or on behalf of the registrant, subject to limited exceptions.</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7"/>
          <w:szCs w:val="17"/>
          <w:color w:val="auto"/>
        </w:rPr>
        <w:t>The Registrant has entered into indemnification agreements with several of its directors and executive officers. These agreements provide that the Registrant will indemnify each of its directors and executive officers to the fullest extent permitted by Delaware law. The Registrant will advance expenses, including attorneys’ fees (but excluding judgments, fines and settlement amounts), to each indemnified director or executive officer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Registrant has agreed in the indemnification agreements that the Registrant’s obligations to those same directors are primary and any obligation of such affiliates or other third parties to advance expenses or to provide indemnification for the expenses or liabilities incurred by those directors are secondary.</w:t>
      </w:r>
    </w:p>
    <w:p>
      <w:pPr>
        <w:spacing w:after="0" w:line="17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560"/>
          </w:cols>
          <w:pgMar w:left="660" w:top="264"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Item 8.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780" w:type="dxa"/>
            <w:vAlign w:val="bottom"/>
          </w:tcPr>
          <w:p>
            <w:pPr>
              <w:ind w:left="384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351"/>
        </w:trPr>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780" w:type="dxa"/>
            <w:vAlign w:val="bottom"/>
            <w:vMerge w:val="restart"/>
          </w:tcPr>
          <w:p>
            <w:pPr>
              <w:ind w:left="4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00" w:type="dxa"/>
            <w:vAlign w:val="bottom"/>
          </w:tcPr>
          <w:p>
            <w:pPr>
              <w:spacing w:after="0"/>
              <w:rPr>
                <w:sz w:val="14"/>
                <w:szCs w:val="14"/>
                <w:color w:val="auto"/>
              </w:rPr>
            </w:pPr>
          </w:p>
        </w:tc>
        <w:tc>
          <w:tcPr>
            <w:tcW w:w="9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80" w:hanging="80"/>
        <w:spacing w:after="0"/>
        <w:tabs>
          <w:tab w:leader="none" w:pos="80"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5"/>
          <w:szCs w:val="15"/>
          <w:color w:val="auto"/>
        </w:rPr>
        <w:t>  4.1</w:t>
      </w:r>
      <w:hyperlink r:id="rId35">
        <w:r>
          <w:rPr>
            <w:rFonts w:ascii="Times New Roman" w:cs="Times New Roman" w:eastAsia="Times New Roman" w:hAnsi="Times New Roman"/>
            <w:sz w:val="17"/>
            <w:szCs w:val="17"/>
            <w:u w:val="single" w:color="auto"/>
            <w:color w:val="0000EE"/>
          </w:rPr>
          <w:t>Form of Specimen Common Stock Certificate (incorporated by reference to Exhibit 4.1 to Form S-4/A filed on January 19, 2021).</w:t>
        </w:r>
      </w:hyperlink>
    </w:p>
    <w:p>
      <w:pPr>
        <w:spacing w:after="0" w:line="115" w:lineRule="exact"/>
        <w:rPr>
          <w:rFonts w:ascii="Times New Roman" w:cs="Times New Roman" w:eastAsia="Times New Roman" w:hAnsi="Times New Roman"/>
          <w:sz w:val="17"/>
          <w:szCs w:val="17"/>
          <w:u w:val="single" w:color="auto"/>
          <w:color w:val="0000EE"/>
        </w:rPr>
      </w:pPr>
    </w:p>
    <w:p>
      <w:pPr>
        <w:ind w:left="780" w:right="340" w:hanging="780"/>
        <w:spacing w:after="0" w:line="291"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4.2</w:t>
      </w:r>
      <w:hyperlink r:id="rId36">
        <w:r>
          <w:rPr>
            <w:rFonts w:ascii="Times New Roman" w:cs="Times New Roman" w:eastAsia="Times New Roman" w:hAnsi="Times New Roman"/>
            <w:sz w:val="17"/>
            <w:szCs w:val="17"/>
            <w:u w:val="single" w:color="auto"/>
            <w:color w:val="0000EE"/>
          </w:rPr>
          <w:t>Second Amended and Restated Articles of Incorporation of the Registrant (incorporated by reference to Exhibit 3.1 to Current Report on</w:t>
        </w:r>
      </w:hyperlink>
      <w:r>
        <w:rPr>
          <w:rFonts w:ascii="Times New Roman" w:cs="Times New Roman" w:eastAsia="Times New Roman" w:hAnsi="Times New Roman"/>
          <w:sz w:val="17"/>
          <w:szCs w:val="17"/>
          <w:u w:val="single" w:color="auto"/>
          <w:color w:val="0000EE"/>
        </w:rPr>
        <w:t xml:space="preserve"> </w:t>
      </w:r>
      <w:hyperlink r:id="rId36">
        <w:r>
          <w:rPr>
            <w:rFonts w:ascii="Times New Roman" w:cs="Times New Roman" w:eastAsia="Times New Roman" w:hAnsi="Times New Roman"/>
            <w:sz w:val="17"/>
            <w:szCs w:val="17"/>
            <w:u w:val="single" w:color="auto"/>
            <w:color w:val="0000EE"/>
          </w:rPr>
          <w:t>Form 8-K filed on February 11, 2021).</w:t>
        </w:r>
      </w:hyperlink>
    </w:p>
    <w:p>
      <w:pPr>
        <w:spacing w:after="0" w:line="43" w:lineRule="exact"/>
        <w:rPr>
          <w:rFonts w:ascii="Times New Roman" w:cs="Times New Roman" w:eastAsia="Times New Roman" w:hAnsi="Times New Roman"/>
          <w:sz w:val="17"/>
          <w:szCs w:val="17"/>
          <w:u w:val="single" w:color="auto"/>
          <w:color w:val="0000EE"/>
        </w:rPr>
      </w:pPr>
    </w:p>
    <w:p>
      <w:pPr>
        <w:ind w:left="780" w:right="860" w:hanging="780"/>
        <w:spacing w:after="0" w:line="291"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4.3</w:t>
      </w:r>
      <w:hyperlink r:id="rId37">
        <w:r>
          <w:rPr>
            <w:rFonts w:ascii="Times New Roman" w:cs="Times New Roman" w:eastAsia="Times New Roman" w:hAnsi="Times New Roman"/>
            <w:sz w:val="17"/>
            <w:szCs w:val="17"/>
            <w:u w:val="single" w:color="auto"/>
            <w:color w:val="0000EE"/>
          </w:rPr>
          <w:t>Certificate of Amendment to the Amended and Restated Certificate of Incorporation of the Registrant, dated December 28, 2022</w:t>
        </w:r>
      </w:hyperlink>
      <w:r>
        <w:rPr>
          <w:rFonts w:ascii="Times New Roman" w:cs="Times New Roman" w:eastAsia="Times New Roman" w:hAnsi="Times New Roman"/>
          <w:sz w:val="17"/>
          <w:szCs w:val="17"/>
          <w:u w:val="single" w:color="auto"/>
          <w:color w:val="0000EE"/>
        </w:rPr>
        <w:t xml:space="preserve"> </w:t>
      </w:r>
      <w:hyperlink r:id="rId37">
        <w:r>
          <w:rPr>
            <w:rFonts w:ascii="Times New Roman" w:cs="Times New Roman" w:eastAsia="Times New Roman" w:hAnsi="Times New Roman"/>
            <w:sz w:val="17"/>
            <w:szCs w:val="17"/>
            <w:u w:val="single" w:color="auto"/>
            <w:color w:val="0000EE"/>
          </w:rPr>
          <w:t>(incorporated by reference to Exhibit 3.1 to Current Report on Form 8-K filed on December 29, 2022).</w:t>
        </w:r>
      </w:hyperlink>
    </w:p>
    <w:p>
      <w:pPr>
        <w:spacing w:after="0" w:line="43" w:lineRule="exact"/>
        <w:rPr>
          <w:rFonts w:ascii="Times New Roman" w:cs="Times New Roman" w:eastAsia="Times New Roman" w:hAnsi="Times New Roman"/>
          <w:sz w:val="17"/>
          <w:szCs w:val="17"/>
          <w:u w:val="single" w:color="auto"/>
          <w:color w:val="0000EE"/>
        </w:rPr>
      </w:pPr>
    </w:p>
    <w:p>
      <w:pPr>
        <w:ind w:left="780" w:right="860" w:hanging="780"/>
        <w:spacing w:after="0" w:line="291"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4.4</w:t>
      </w:r>
      <w:hyperlink r:id="rId38">
        <w:r>
          <w:rPr>
            <w:rFonts w:ascii="Times New Roman" w:cs="Times New Roman" w:eastAsia="Times New Roman" w:hAnsi="Times New Roman"/>
            <w:sz w:val="17"/>
            <w:szCs w:val="17"/>
            <w:u w:val="single" w:color="auto"/>
            <w:color w:val="0000EE"/>
          </w:rPr>
          <w:t>Certificate of Amendment to the Amended and Restated Certificate of Incorporation of the Registrant, dated December 29, 2022</w:t>
        </w:r>
      </w:hyperlink>
      <w:r>
        <w:rPr>
          <w:rFonts w:ascii="Times New Roman" w:cs="Times New Roman" w:eastAsia="Times New Roman" w:hAnsi="Times New Roman"/>
          <w:sz w:val="17"/>
          <w:szCs w:val="17"/>
          <w:u w:val="single" w:color="auto"/>
          <w:color w:val="0000EE"/>
        </w:rPr>
        <w:t xml:space="preserve"> </w:t>
      </w:r>
      <w:hyperlink r:id="rId38">
        <w:r>
          <w:rPr>
            <w:rFonts w:ascii="Times New Roman" w:cs="Times New Roman" w:eastAsia="Times New Roman" w:hAnsi="Times New Roman"/>
            <w:sz w:val="17"/>
            <w:szCs w:val="17"/>
            <w:u w:val="single" w:color="auto"/>
            <w:color w:val="0000EE"/>
          </w:rPr>
          <w:t>(incorporated by reference to Exhibit 3.2 to Current Report on Form 8-K filed on December 29, 2022).</w:t>
        </w:r>
      </w:hyperlink>
    </w:p>
    <w:p>
      <w:pPr>
        <w:spacing w:after="0" w:line="43" w:lineRule="exact"/>
        <w:rPr>
          <w:rFonts w:ascii="Times New Roman" w:cs="Times New Roman" w:eastAsia="Times New Roman" w:hAnsi="Times New Roman"/>
          <w:sz w:val="17"/>
          <w:szCs w:val="17"/>
          <w:u w:val="single" w:color="auto"/>
          <w:color w:val="0000EE"/>
        </w:rPr>
      </w:pPr>
    </w:p>
    <w:p>
      <w:pPr>
        <w:ind w:left="780" w:hanging="780"/>
        <w:spacing w:after="0" w:line="291"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4.5</w:t>
      </w:r>
      <w:hyperlink r:id="rId39">
        <w:r>
          <w:rPr>
            <w:rFonts w:ascii="Times New Roman" w:cs="Times New Roman" w:eastAsia="Times New Roman" w:hAnsi="Times New Roman"/>
            <w:sz w:val="17"/>
            <w:szCs w:val="17"/>
            <w:u w:val="single" w:color="auto"/>
            <w:color w:val="0000EE"/>
          </w:rPr>
          <w:t>Amended and Restated By-laws of the Registrant (incorporated by reference to Annex C to Registrant’s Proxy Statement/Prospectus on Form</w:t>
        </w:r>
      </w:hyperlink>
      <w:r>
        <w:rPr>
          <w:rFonts w:ascii="Times New Roman" w:cs="Times New Roman" w:eastAsia="Times New Roman" w:hAnsi="Times New Roman"/>
          <w:sz w:val="17"/>
          <w:szCs w:val="17"/>
          <w:u w:val="single" w:color="auto"/>
          <w:color w:val="0000EE"/>
        </w:rPr>
        <w:t xml:space="preserve"> </w:t>
      </w:r>
      <w:hyperlink r:id="rId39">
        <w:r>
          <w:rPr>
            <w:rFonts w:ascii="Times New Roman" w:cs="Times New Roman" w:eastAsia="Times New Roman" w:hAnsi="Times New Roman"/>
            <w:sz w:val="17"/>
            <w:szCs w:val="17"/>
            <w:u w:val="single" w:color="auto"/>
            <w:color w:val="0000EE"/>
          </w:rPr>
          <w:t>S-4/A (Registration No. 333-249785)).</w:t>
        </w:r>
      </w:hyperlink>
    </w:p>
    <w:p>
      <w:pPr>
        <w:spacing w:after="0" w:line="43" w:lineRule="exact"/>
        <w:rPr>
          <w:rFonts w:ascii="Times New Roman" w:cs="Times New Roman" w:eastAsia="Times New Roman" w:hAnsi="Times New Roman"/>
          <w:sz w:val="17"/>
          <w:szCs w:val="17"/>
          <w:u w:val="single" w:color="auto"/>
          <w:color w:val="0000EE"/>
        </w:rPr>
      </w:pPr>
    </w:p>
    <w:p>
      <w:pPr>
        <w:ind w:left="80" w:hanging="80"/>
        <w:spacing w:after="0"/>
        <w:tabs>
          <w:tab w:leader="none" w:pos="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5.1*    </w:t>
      </w:r>
      <w:r>
        <w:rPr>
          <w:rFonts w:ascii="Times New Roman" w:cs="Times New Roman" w:eastAsia="Times New Roman" w:hAnsi="Times New Roman"/>
          <w:sz w:val="15"/>
          <w:szCs w:val="15"/>
          <w:u w:val="single" w:color="auto"/>
          <w:color w:val="0000EE"/>
        </w:rPr>
        <w:t>Opinion of Goodwin Procter LLP.</w:t>
      </w:r>
    </w:p>
    <w:p>
      <w:pPr>
        <w:spacing w:after="0" w:line="138" w:lineRule="exact"/>
        <w:rPr>
          <w:rFonts w:ascii="Times New Roman" w:cs="Times New Roman" w:eastAsia="Times New Roman" w:hAnsi="Times New Roman"/>
          <w:sz w:val="15"/>
          <w:szCs w:val="15"/>
          <w:color w:val="auto"/>
        </w:rPr>
      </w:pPr>
    </w:p>
    <w:p>
      <w:pPr>
        <w:ind w:left="80" w:hanging="80"/>
        <w:spacing w:after="0"/>
        <w:tabs>
          <w:tab w:leader="none" w:pos="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23.1*    </w:t>
      </w:r>
      <w:r>
        <w:rPr>
          <w:rFonts w:ascii="Times New Roman" w:cs="Times New Roman" w:eastAsia="Times New Roman" w:hAnsi="Times New Roman"/>
          <w:sz w:val="15"/>
          <w:szCs w:val="15"/>
          <w:u w:val="single" w:color="auto"/>
          <w:color w:val="0000EE"/>
        </w:rPr>
        <w:t>Consent of Ernst &amp; Young LLP, independent registered accounting firm.</w:t>
      </w:r>
    </w:p>
    <w:p>
      <w:pPr>
        <w:spacing w:after="0" w:line="138" w:lineRule="exact"/>
        <w:rPr>
          <w:rFonts w:ascii="Times New Roman" w:cs="Times New Roman" w:eastAsia="Times New Roman" w:hAnsi="Times New Roman"/>
          <w:sz w:val="15"/>
          <w:szCs w:val="15"/>
          <w:color w:val="auto"/>
        </w:rPr>
      </w:pPr>
    </w:p>
    <w:p>
      <w:pPr>
        <w:ind w:left="80" w:hanging="80"/>
        <w:spacing w:after="0"/>
        <w:tabs>
          <w:tab w:leader="none" w:pos="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23.2*    </w:t>
      </w:r>
      <w:r>
        <w:rPr>
          <w:rFonts w:ascii="Times New Roman" w:cs="Times New Roman" w:eastAsia="Times New Roman" w:hAnsi="Times New Roman"/>
          <w:sz w:val="15"/>
          <w:szCs w:val="15"/>
          <w:u w:val="single" w:color="auto"/>
          <w:color w:val="0000EE"/>
        </w:rPr>
        <w:t>Consent of Goodwin Procter LLP (included as part of Exhibit 5.1).</w:t>
      </w:r>
    </w:p>
    <w:p>
      <w:pPr>
        <w:spacing w:after="0" w:line="138" w:lineRule="exact"/>
        <w:rPr>
          <w:rFonts w:ascii="Times New Roman" w:cs="Times New Roman" w:eastAsia="Times New Roman" w:hAnsi="Times New Roman"/>
          <w:sz w:val="15"/>
          <w:szCs w:val="15"/>
          <w:color w:val="auto"/>
        </w:rPr>
      </w:pPr>
    </w:p>
    <w:p>
      <w:pPr>
        <w:ind w:left="80" w:hanging="80"/>
        <w:spacing w:after="0"/>
        <w:tabs>
          <w:tab w:leader="none" w:pos="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24.1*    </w:t>
      </w:r>
      <w:r>
        <w:rPr>
          <w:rFonts w:ascii="Times New Roman" w:cs="Times New Roman" w:eastAsia="Times New Roman" w:hAnsi="Times New Roman"/>
          <w:sz w:val="15"/>
          <w:szCs w:val="15"/>
          <w:u w:val="single" w:color="auto"/>
          <w:color w:val="0000EE"/>
        </w:rPr>
        <w:t>Power of Attorney (included on signature page).</w:t>
      </w:r>
    </w:p>
    <w:p>
      <w:pPr>
        <w:spacing w:after="0" w:line="138" w:lineRule="exact"/>
        <w:rPr>
          <w:rFonts w:ascii="Times New Roman" w:cs="Times New Roman" w:eastAsia="Times New Roman" w:hAnsi="Times New Roman"/>
          <w:sz w:val="15"/>
          <w:szCs w:val="15"/>
          <w:color w:val="auto"/>
        </w:rPr>
      </w:pPr>
    </w:p>
    <w:p>
      <w:pPr>
        <w:ind w:left="780" w:right="720" w:hanging="780"/>
        <w:spacing w:after="0" w:line="291"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99.1</w:t>
      </w:r>
      <w:hyperlink r:id="rId40">
        <w:r>
          <w:rPr>
            <w:rFonts w:ascii="Times New Roman" w:cs="Times New Roman" w:eastAsia="Times New Roman" w:hAnsi="Times New Roman"/>
            <w:sz w:val="17"/>
            <w:szCs w:val="17"/>
            <w:u w:val="single" w:color="auto"/>
            <w:color w:val="0000EE"/>
          </w:rPr>
          <w:t>Disc Medicine, Inc. Amended and Restated 2021 Stock Option and Incentive Plan (incorporated by reference to Exhibit 99.1 to the</w:t>
        </w:r>
      </w:hyperlink>
      <w:r>
        <w:rPr>
          <w:rFonts w:ascii="Times New Roman" w:cs="Times New Roman" w:eastAsia="Times New Roman" w:hAnsi="Times New Roman"/>
          <w:sz w:val="17"/>
          <w:szCs w:val="17"/>
          <w:u w:val="single" w:color="auto"/>
          <w:color w:val="0000EE"/>
        </w:rPr>
        <w:t xml:space="preserve"> </w:t>
      </w:r>
      <w:hyperlink r:id="rId40">
        <w:r>
          <w:rPr>
            <w:rFonts w:ascii="Times New Roman" w:cs="Times New Roman" w:eastAsia="Times New Roman" w:hAnsi="Times New Roman"/>
            <w:sz w:val="17"/>
            <w:szCs w:val="17"/>
            <w:u w:val="single" w:color="auto"/>
            <w:color w:val="0000EE"/>
          </w:rPr>
          <w:t>Registrant’s Registration Statement on Form S-8 (File No. 333-269271) filed on January 17, 2023).</w:t>
        </w:r>
      </w:hyperlink>
    </w:p>
    <w:p>
      <w:pPr>
        <w:spacing w:after="0" w:line="43" w:lineRule="exact"/>
        <w:rPr>
          <w:rFonts w:ascii="Times New Roman" w:cs="Times New Roman" w:eastAsia="Times New Roman" w:hAnsi="Times New Roman"/>
          <w:sz w:val="17"/>
          <w:szCs w:val="17"/>
          <w:u w:val="single" w:color="auto"/>
          <w:color w:val="0000EE"/>
        </w:rPr>
      </w:pPr>
    </w:p>
    <w:p>
      <w:pPr>
        <w:ind w:left="780" w:right="180" w:hanging="780"/>
        <w:spacing w:after="0" w:line="291"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99.2</w:t>
      </w:r>
      <w:hyperlink r:id="rId41">
        <w:r>
          <w:rPr>
            <w:rFonts w:ascii="Times New Roman" w:cs="Times New Roman" w:eastAsia="Times New Roman" w:hAnsi="Times New Roman"/>
            <w:sz w:val="17"/>
            <w:szCs w:val="17"/>
            <w:u w:val="single" w:color="auto"/>
            <w:color w:val="0000EE"/>
          </w:rPr>
          <w:t>Forms of Award Agreements under the Disc Medicine, Inc. Amended and Restated 2021 Stock Option and Incentive Plan (incorporated by</w:t>
        </w:r>
      </w:hyperlink>
      <w:r>
        <w:rPr>
          <w:rFonts w:ascii="Times New Roman" w:cs="Times New Roman" w:eastAsia="Times New Roman" w:hAnsi="Times New Roman"/>
          <w:sz w:val="17"/>
          <w:szCs w:val="17"/>
          <w:u w:val="single" w:color="auto"/>
          <w:color w:val="0000EE"/>
        </w:rPr>
        <w:t xml:space="preserve"> </w:t>
      </w:r>
      <w:hyperlink r:id="rId41">
        <w:r>
          <w:rPr>
            <w:rFonts w:ascii="Times New Roman" w:cs="Times New Roman" w:eastAsia="Times New Roman" w:hAnsi="Times New Roman"/>
            <w:sz w:val="17"/>
            <w:szCs w:val="17"/>
            <w:u w:val="single" w:color="auto"/>
            <w:color w:val="0000EE"/>
          </w:rPr>
          <w:t>reference to Exhibit 99.2 to the Registrant’s Registration Statement on Form S-8 (File No. 333-269271) filed on January 17, 2023).</w:t>
        </w:r>
      </w:hyperlink>
    </w:p>
    <w:p>
      <w:pPr>
        <w:spacing w:after="0" w:line="43" w:lineRule="exact"/>
        <w:rPr>
          <w:rFonts w:ascii="Times New Roman" w:cs="Times New Roman" w:eastAsia="Times New Roman" w:hAnsi="Times New Roman"/>
          <w:sz w:val="17"/>
          <w:szCs w:val="17"/>
          <w:u w:val="single" w:color="auto"/>
          <w:color w:val="0000EE"/>
        </w:rPr>
      </w:pPr>
    </w:p>
    <w:p>
      <w:pPr>
        <w:ind w:left="780" w:right="820" w:hanging="780"/>
        <w:spacing w:after="0" w:line="291"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99.3</w:t>
      </w:r>
      <w:hyperlink r:id="rId42">
        <w:r>
          <w:rPr>
            <w:rFonts w:ascii="Times New Roman" w:cs="Times New Roman" w:eastAsia="Times New Roman" w:hAnsi="Times New Roman"/>
            <w:sz w:val="17"/>
            <w:szCs w:val="17"/>
            <w:u w:val="single" w:color="auto"/>
            <w:color w:val="0000EE"/>
          </w:rPr>
          <w:t>Disc Medicine, Inc. Amended and Restated 2021 Employee Stock Purchase Plan (incorporated by reference to Exhibit 99.3 to the</w:t>
        </w:r>
      </w:hyperlink>
      <w:r>
        <w:rPr>
          <w:rFonts w:ascii="Times New Roman" w:cs="Times New Roman" w:eastAsia="Times New Roman" w:hAnsi="Times New Roman"/>
          <w:sz w:val="17"/>
          <w:szCs w:val="17"/>
          <w:u w:val="single" w:color="auto"/>
          <w:color w:val="0000EE"/>
        </w:rPr>
        <w:t xml:space="preserve"> </w:t>
      </w:r>
      <w:hyperlink r:id="rId42">
        <w:r>
          <w:rPr>
            <w:rFonts w:ascii="Times New Roman" w:cs="Times New Roman" w:eastAsia="Times New Roman" w:hAnsi="Times New Roman"/>
            <w:sz w:val="17"/>
            <w:szCs w:val="17"/>
            <w:u w:val="single" w:color="auto"/>
            <w:color w:val="0000EE"/>
          </w:rPr>
          <w:t>Registrant’s Registration Statement on Form S-8 (File No. 333-269271) filed on January 17, 2023).</w:t>
        </w:r>
      </w:hyperlink>
    </w:p>
    <w:p>
      <w:pPr>
        <w:spacing w:after="0" w:line="43" w:lineRule="exact"/>
        <w:rPr>
          <w:rFonts w:ascii="Times New Roman" w:cs="Times New Roman" w:eastAsia="Times New Roman" w:hAnsi="Times New Roman"/>
          <w:sz w:val="17"/>
          <w:szCs w:val="17"/>
          <w:u w:val="single" w:color="auto"/>
          <w:color w:val="0000EE"/>
        </w:rPr>
      </w:pPr>
    </w:p>
    <w:p>
      <w:pPr>
        <w:ind w:left="780" w:right="240" w:hanging="780"/>
        <w:spacing w:after="0" w:line="291"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99.4</w:t>
      </w:r>
      <w:hyperlink r:id="rId43">
        <w:r>
          <w:rPr>
            <w:rFonts w:ascii="Times New Roman" w:cs="Times New Roman" w:eastAsia="Times New Roman" w:hAnsi="Times New Roman"/>
            <w:sz w:val="17"/>
            <w:szCs w:val="17"/>
            <w:u w:val="single" w:color="auto"/>
            <w:color w:val="0000EE"/>
          </w:rPr>
          <w:t>2017 Stock Option and Grant Plan of Disc Medicine, Inc., and form of award agreements thereunder (incorporated by reference to Exhibit</w:t>
        </w:r>
      </w:hyperlink>
      <w:r>
        <w:rPr>
          <w:rFonts w:ascii="Times New Roman" w:cs="Times New Roman" w:eastAsia="Times New Roman" w:hAnsi="Times New Roman"/>
          <w:sz w:val="17"/>
          <w:szCs w:val="17"/>
          <w:u w:val="single" w:color="auto"/>
          <w:color w:val="0000EE"/>
        </w:rPr>
        <w:t xml:space="preserve"> </w:t>
      </w:r>
      <w:hyperlink r:id="rId43">
        <w:r>
          <w:rPr>
            <w:rFonts w:ascii="Times New Roman" w:cs="Times New Roman" w:eastAsia="Times New Roman" w:hAnsi="Times New Roman"/>
            <w:sz w:val="17"/>
            <w:szCs w:val="17"/>
            <w:u w:val="single" w:color="auto"/>
            <w:color w:val="0000EE"/>
          </w:rPr>
          <w:t>10.9 to Current Report on Form 8-K filed on December 29, 2022).</w:t>
        </w:r>
      </w:hyperlink>
    </w:p>
    <w:p>
      <w:pPr>
        <w:spacing w:after="0" w:line="43" w:lineRule="exact"/>
        <w:rPr>
          <w:rFonts w:ascii="Times New Roman" w:cs="Times New Roman" w:eastAsia="Times New Roman" w:hAnsi="Times New Roman"/>
          <w:sz w:val="17"/>
          <w:szCs w:val="17"/>
          <w:u w:val="single" w:color="auto"/>
          <w:color w:val="0000EE"/>
        </w:rPr>
      </w:pPr>
    </w:p>
    <w:p>
      <w:pPr>
        <w:ind w:left="780" w:hanging="780"/>
        <w:spacing w:after="0" w:line="273"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99.5</w:t>
      </w:r>
      <w:hyperlink r:id="rId44">
        <w:r>
          <w:rPr>
            <w:rFonts w:ascii="Times New Roman" w:cs="Times New Roman" w:eastAsia="Times New Roman" w:hAnsi="Times New Roman"/>
            <w:sz w:val="17"/>
            <w:szCs w:val="17"/>
            <w:u w:val="single" w:color="auto"/>
            <w:color w:val="0000EE"/>
          </w:rPr>
          <w:t>Form of Non-Qualified Stock Option Agreement Non-Plan Inducement Grant Restricted Stock Unit Award Agreement Non-Plan Inducement</w:t>
        </w:r>
      </w:hyperlink>
      <w:r>
        <w:rPr>
          <w:rFonts w:ascii="Times New Roman" w:cs="Times New Roman" w:eastAsia="Times New Roman" w:hAnsi="Times New Roman"/>
          <w:sz w:val="17"/>
          <w:szCs w:val="17"/>
          <w:u w:val="single" w:color="auto"/>
          <w:color w:val="0000EE"/>
        </w:rPr>
        <w:t xml:space="preserve"> </w:t>
      </w:r>
      <w:hyperlink r:id="rId44">
        <w:r>
          <w:rPr>
            <w:rFonts w:ascii="Times New Roman" w:cs="Times New Roman" w:eastAsia="Times New Roman" w:hAnsi="Times New Roman"/>
            <w:sz w:val="17"/>
            <w:szCs w:val="17"/>
            <w:u w:val="single" w:color="auto"/>
            <w:color w:val="0000EE"/>
          </w:rPr>
          <w:t>Grant (incorporated by reference to Exhibit 99.5 to the Registrant’s Registration Statement on Form S-8 (File No 333-278129) filed on</w:t>
        </w:r>
      </w:hyperlink>
      <w:r>
        <w:rPr>
          <w:rFonts w:ascii="Times New Roman" w:cs="Times New Roman" w:eastAsia="Times New Roman" w:hAnsi="Times New Roman"/>
          <w:sz w:val="17"/>
          <w:szCs w:val="17"/>
          <w:u w:val="single" w:color="auto"/>
          <w:color w:val="0000EE"/>
        </w:rPr>
        <w:t xml:space="preserve"> </w:t>
      </w:r>
      <w:hyperlink r:id="rId44">
        <w:r>
          <w:rPr>
            <w:rFonts w:ascii="Times New Roman" w:cs="Times New Roman" w:eastAsia="Times New Roman" w:hAnsi="Times New Roman"/>
            <w:sz w:val="17"/>
            <w:szCs w:val="17"/>
            <w:u w:val="single" w:color="auto"/>
            <w:color w:val="0000EE"/>
          </w:rPr>
          <w:t>March 21, 2024).</w:t>
        </w:r>
      </w:hyperlink>
    </w:p>
    <w:p>
      <w:pPr>
        <w:spacing w:after="0" w:line="58" w:lineRule="exact"/>
        <w:rPr>
          <w:rFonts w:ascii="Times New Roman" w:cs="Times New Roman" w:eastAsia="Times New Roman" w:hAnsi="Times New Roman"/>
          <w:sz w:val="17"/>
          <w:szCs w:val="17"/>
          <w:u w:val="single" w:color="auto"/>
          <w:color w:val="0000EE"/>
        </w:rPr>
      </w:pPr>
    </w:p>
    <w:p>
      <w:pPr>
        <w:ind w:left="780" w:right="140" w:hanging="780"/>
        <w:spacing w:after="0" w:line="291" w:lineRule="auto"/>
        <w:tabs>
          <w:tab w:leader="none" w:pos="89" w:val="left"/>
        </w:tabs>
        <w:numPr>
          <w:ilvl w:val="0"/>
          <w:numId w:val="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99.6</w:t>
      </w:r>
      <w:hyperlink r:id="rId45">
        <w:r>
          <w:rPr>
            <w:rFonts w:ascii="Times New Roman" w:cs="Times New Roman" w:eastAsia="Times New Roman" w:hAnsi="Times New Roman"/>
            <w:sz w:val="17"/>
            <w:szCs w:val="17"/>
            <w:u w:val="single" w:color="auto"/>
            <w:color w:val="0000EE"/>
          </w:rPr>
          <w:t>Form of Restricted Stock Unit Award Agreement Non-Plan Inducement Grant (incorporated by reference to Exhibit 99.6 to the Registrant’s</w:t>
        </w:r>
      </w:hyperlink>
      <w:r>
        <w:rPr>
          <w:rFonts w:ascii="Times New Roman" w:cs="Times New Roman" w:eastAsia="Times New Roman" w:hAnsi="Times New Roman"/>
          <w:sz w:val="17"/>
          <w:szCs w:val="17"/>
          <w:u w:val="single" w:color="auto"/>
          <w:color w:val="0000EE"/>
        </w:rPr>
        <w:t xml:space="preserve"> </w:t>
      </w:r>
      <w:hyperlink r:id="rId45">
        <w:r>
          <w:rPr>
            <w:rFonts w:ascii="Times New Roman" w:cs="Times New Roman" w:eastAsia="Times New Roman" w:hAnsi="Times New Roman"/>
            <w:sz w:val="17"/>
            <w:szCs w:val="17"/>
            <w:u w:val="single" w:color="auto"/>
            <w:color w:val="0000EE"/>
          </w:rPr>
          <w:t>Registration Statement on Form S-8 (File No 333-278129) filed on March 21, 2024).</w:t>
        </w:r>
      </w:hyperlink>
    </w:p>
    <w:p>
      <w:pPr>
        <w:spacing w:after="0" w:line="44" w:lineRule="exact"/>
        <w:rPr>
          <w:rFonts w:ascii="Times New Roman" w:cs="Times New Roman" w:eastAsia="Times New Roman" w:hAnsi="Times New Roman"/>
          <w:sz w:val="17"/>
          <w:szCs w:val="17"/>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color w:val="auto"/>
        </w:rPr>
        <w:t>107*</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404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173"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ectPr>
          <w:pgSz w:w="11900" w:h="16838" w:orient="portrait"/>
          <w:cols w:equalWidth="0" w:num="1">
            <w:col w:w="10560"/>
          </w:cols>
          <w:pgMar w:left="660" w:top="262"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Item 9. Undertakings.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The Registrant hereby undertakes:</w:t>
      </w:r>
    </w:p>
    <w:p>
      <w:pPr>
        <w:spacing w:after="0" w:line="115" w:lineRule="exact"/>
        <w:rPr>
          <w:sz w:val="20"/>
          <w:szCs w:val="20"/>
          <w:color w:val="auto"/>
        </w:rPr>
      </w:pPr>
    </w:p>
    <w:p>
      <w:pPr>
        <w:ind w:left="240" w:hanging="240"/>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1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To include any prospectus required by Section 10(a)(3) of the Securities Act.</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5" w:lineRule="exact"/>
        <w:rPr>
          <w:sz w:val="20"/>
          <w:szCs w:val="20"/>
          <w:color w:val="auto"/>
        </w:rPr>
      </w:pPr>
    </w:p>
    <w:p>
      <w:pPr>
        <w:ind w:right="220"/>
        <w:spacing w:after="0" w:line="291" w:lineRule="auto"/>
        <w:tabs>
          <w:tab w:leader="none" w:pos="30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6"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(a)(1)(i) and (a)(1)(ii) herein do not apply if the information required to be included in a post-effective amendment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161" w:lineRule="exact"/>
        <w:rPr>
          <w:sz w:val="20"/>
          <w:szCs w:val="20"/>
          <w:color w:val="auto"/>
        </w:rPr>
      </w:pPr>
    </w:p>
    <w:p>
      <w:pPr>
        <w:ind w:right="60"/>
        <w:spacing w:after="0" w:line="273" w:lineRule="auto"/>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17"/>
          <w:szCs w:val="17"/>
          <w:color w:val="auto"/>
        </w:rPr>
      </w:pPr>
    </w:p>
    <w:p>
      <w:pPr>
        <w:spacing w:after="0" w:line="291" w:lineRule="auto"/>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48" w:lineRule="exact"/>
        <w:rPr>
          <w:sz w:val="20"/>
          <w:szCs w:val="20"/>
          <w:color w:val="auto"/>
        </w:rPr>
      </w:pPr>
    </w:p>
    <w:p>
      <w:pPr>
        <w:ind w:right="60"/>
        <w:spacing w:after="0" w:line="263" w:lineRule="auto"/>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Times New Roman" w:cs="Times New Roman" w:eastAsia="Times New Roman" w:hAnsi="Times New Roman"/>
          <w:sz w:val="17"/>
          <w:szCs w:val="17"/>
          <w:color w:val="auto"/>
        </w:rPr>
      </w:pPr>
    </w:p>
    <w:p>
      <w:pPr>
        <w:ind w:right="220"/>
        <w:spacing w:after="0" w:line="259" w:lineRule="auto"/>
        <w:tabs>
          <w:tab w:leader="none" w:pos="2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60"/>
          </w:cols>
          <w:pgMar w:left="660" w:top="262" w:right="679"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Watertown, State of Massachusetts, on February 26,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 MEDICINE,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John Quisel</w:t>
            </w:r>
          </w:p>
        </w:tc>
      </w:tr>
      <w:tr>
        <w:trPr>
          <w:trHeight w:val="182"/>
        </w:trPr>
        <w:tc>
          <w:tcPr>
            <w:tcW w:w="5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Name:</w:t>
            </w:r>
          </w:p>
        </w:tc>
        <w:tc>
          <w:tcPr>
            <w:tcW w:w="3680" w:type="dxa"/>
            <w:vAlign w:val="bottom"/>
          </w:tcPr>
          <w:p>
            <w:pPr>
              <w:ind w:left="60"/>
              <w:spacing w:after="0" w:line="182" w:lineRule="exact"/>
              <w:rPr>
                <w:sz w:val="20"/>
                <w:szCs w:val="20"/>
                <w:color w:val="auto"/>
              </w:rPr>
            </w:pPr>
            <w:r>
              <w:rPr>
                <w:rFonts w:ascii="Times New Roman" w:cs="Times New Roman" w:eastAsia="Times New Roman" w:hAnsi="Times New Roman"/>
                <w:sz w:val="17"/>
                <w:szCs w:val="17"/>
                <w:color w:val="auto"/>
              </w:rPr>
              <w:t>John Quisel, J.D., Ph.D.</w:t>
            </w:r>
          </w:p>
        </w:tc>
      </w:tr>
      <w:tr>
        <w:trPr>
          <w:trHeight w:val="226"/>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0380"/>
          </w:cols>
          <w:pgMar w:left="660" w:top="262" w:right="8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POWER OF ATTORNEY AND SIGNATURES</w:t>
      </w:r>
    </w:p>
    <w:p>
      <w:pPr>
        <w:spacing w:after="0" w:line="22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John Quisel, J.D., Ph.D., Jean Franchi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77"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in the capacities and on the dated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5"/>
                <w:szCs w:val="15"/>
                <w:color w:val="auto"/>
              </w:rPr>
            </w:pP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94"/>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John Quisel</w:t>
            </w:r>
          </w:p>
        </w:tc>
        <w:tc>
          <w:tcPr>
            <w:tcW w:w="120" w:type="dxa"/>
            <w:vAlign w:val="bottom"/>
          </w:tcPr>
          <w:p>
            <w:pPr>
              <w:spacing w:after="0"/>
              <w:rPr>
                <w:sz w:val="24"/>
                <w:szCs w:val="24"/>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John Quisel, J.D., Ph.D.</w:t>
            </w:r>
          </w:p>
        </w:tc>
        <w:tc>
          <w:tcPr>
            <w:tcW w:w="12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Jean Franchi</w:t>
            </w:r>
          </w:p>
        </w:tc>
        <w:tc>
          <w:tcPr>
            <w:tcW w:w="120" w:type="dxa"/>
            <w:vAlign w:val="bottom"/>
          </w:tcPr>
          <w:p>
            <w:pPr>
              <w:spacing w:after="0"/>
              <w:rPr>
                <w:sz w:val="24"/>
                <w:szCs w:val="24"/>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Jean Franchi</w:t>
            </w:r>
          </w:p>
        </w:tc>
        <w:tc>
          <w:tcPr>
            <w:tcW w:w="120" w:type="dxa"/>
            <w:vAlign w:val="bottom"/>
          </w:tcPr>
          <w:p>
            <w:pPr>
              <w:spacing w:after="0"/>
              <w:rPr>
                <w:sz w:val="19"/>
                <w:szCs w:val="19"/>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Nadim Ahmed</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Nadim Ahmed</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Kevin Bitterman</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Kevin Bitterman, Ph.D.</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Mark Chin</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Mark Chin, MS, MBA</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Georges Gemayel</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Georges Gemayel</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Donald Nicholson</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Donald Nicholson, Ph.D.</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Liam Ratcliffe</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Liam Ratcliffe, M.D., Ph.D.</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William White</w:t>
            </w:r>
          </w:p>
        </w:tc>
        <w:tc>
          <w:tcPr>
            <w:tcW w:w="120" w:type="dxa"/>
            <w:vAlign w:val="bottom"/>
          </w:tcPr>
          <w:p>
            <w:pPr>
              <w:spacing w:after="0"/>
              <w:rPr>
                <w:sz w:val="24"/>
                <w:szCs w:val="24"/>
                <w:color w:val="auto"/>
              </w:rPr>
            </w:pPr>
          </w:p>
        </w:tc>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26, 2026</w:t>
            </w:r>
          </w:p>
        </w:tc>
      </w:tr>
      <w:tr>
        <w:trPr>
          <w:trHeight w:val="219"/>
        </w:trPr>
        <w:tc>
          <w:tcPr>
            <w:tcW w:w="4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William White, MPP, J.D.</w:t>
            </w:r>
          </w:p>
        </w:tc>
        <w:tc>
          <w:tcPr>
            <w:tcW w:w="1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ectPr>
          <w:pgSz w:w="11900" w:h="16838" w:orient="portrait"/>
          <w:cols w:equalWidth="0" w:num="1">
            <w:col w:w="10560"/>
          </w:cols>
          <w:pgMar w:left="660" w:top="262" w:right="679" w:bottom="1440" w:gutter="0" w:footer="0" w:header="0"/>
        </w:sectPr>
      </w:pPr>
    </w:p>
    <w:bookmarkStart w:id="9" w:name="page10"/>
    <w:bookmarkEnd w:id="9"/>
    <w:p>
      <w:pPr>
        <w:ind w:left="976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669415" cy="370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1669415" cy="370205"/>
                    </a:xfrm>
                    <a:prstGeom prst="rect">
                      <a:avLst/>
                    </a:prstGeom>
                    <a:noFill/>
                  </pic:spPr>
                </pic:pic>
              </a:graphicData>
            </a:graphic>
          </wp:anchor>
        </w:drawing>
      </w:r>
    </w:p>
    <w:p>
      <w:pPr>
        <w:spacing w:after="0" w:line="1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color w:val="auto"/>
        </w:rPr>
        <w:t>100 Northern Avenue</w:t>
      </w:r>
    </w:p>
    <w:p>
      <w:pPr>
        <w:spacing w:after="0" w:line="1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color w:val="auto"/>
        </w:rPr>
        <w:t>Boston, MA 02210</w:t>
      </w:r>
    </w:p>
    <w:p>
      <w:pPr>
        <w:spacing w:after="0" w:line="1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color w:val="auto"/>
        </w:rPr>
        <w:t>goodwinlaw.com</w:t>
      </w:r>
    </w:p>
    <w:p>
      <w:pPr>
        <w:spacing w:after="0" w:line="3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color w:val="auto"/>
        </w:rPr>
        <w:t>+1 617 570 1000</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February 26,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 Medicine,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321 Arsenal Street, Suite 101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Watertown, MA 02472</w:t>
      </w: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2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have acted as your counsel in connection with your filing of a Registration Statement on Form S-8 (the “Registration Statement”) pursuant to the Securities Act of 1933, as amended (the “Securities Act”), on or about the date hereof relating to (i) an aggregate of 1,558,679 shares (the “Plan Shares”) of Common Stock, $0.0001 par value per share (“Common Stock”), of Disc Medicine, Inc., a Delaware corporation (the “Company”), that may be issued pursuant to the Company’s 2021 Stock Option and Incentive Plan and 2021 Employee Stock Purchase Plan (collectively, the “Plans”) and</w:t>
      </w:r>
    </w:p>
    <w:p>
      <w:pPr>
        <w:ind w:right="220"/>
        <w:spacing w:after="0" w:line="259" w:lineRule="auto"/>
        <w:tabs>
          <w:tab w:leader="none" w:pos="25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aggregate of 66,500 shares (the “Inducement Shares” and, together with the Plan Shares, the “Shares”) of Common Stock that may be issued pursuant to non-qualified option grant agreements and restricted stock unit award agreements providing for employee inducement grants between the Company and certain employees, which were entered into in connection with the commencement of such employees’ employment with the Company pursuant to Nasdaq Listing Rule 5635(c)(4) (collectively, the “Inducement Award Agreements”).</w:t>
      </w:r>
    </w:p>
    <w:p>
      <w:pPr>
        <w:spacing w:after="0" w:line="17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6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opinion set forth below is limited to the Delaware General Corporation Law.</w:t>
      </w:r>
    </w:p>
    <w:p>
      <w:pPr>
        <w:spacing w:after="0" w:line="219"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color w:val="auto"/>
        </w:rPr>
        <w:t>Based on the foregoing, we are of the opinion that the Shares have been duly authorized and, when delivered against payment therefor in accordance with the terms of the Plans or the Inducement Award Agreements, as applicable, will be validly issued, fully paid and nonassessable.</w:t>
      </w:r>
    </w:p>
    <w:p>
      <w:pPr>
        <w:sectPr>
          <w:pgSz w:w="11900" w:h="16838" w:orient="portrait"/>
          <w:cols w:equalWidth="0" w:num="1">
            <w:col w:w="10560"/>
          </w:cols>
          <w:pgMar w:left="660" w:top="119"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Disc Medicine,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24"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7"/>
          <w:szCs w:val="17"/>
          <w:i w:val="1"/>
          <w:iCs w:val="1"/>
          <w:color w:val="auto"/>
        </w:rPr>
        <w:t>Business Lawyer</w:t>
      </w:r>
      <w:r>
        <w:rPr>
          <w:rFonts w:ascii="Times New Roman" w:cs="Times New Roman" w:eastAsia="Times New Roman" w:hAnsi="Times New Roman"/>
          <w:sz w:val="17"/>
          <w:szCs w:val="17"/>
          <w:color w:val="auto"/>
        </w:rPr>
        <w:t xml:space="preserve"> 815 (Summer 2019).</w:t>
      </w:r>
    </w:p>
    <w:p>
      <w:pPr>
        <w:spacing w:after="0" w:line="14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7"/>
          <w:szCs w:val="17"/>
          <w:color w:val="auto"/>
        </w:rPr>
        <w:t>/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4"/>
          <w:szCs w:val="14"/>
          <w:color w:val="auto"/>
        </w:rPr>
        <w:t>ROCTER LLP</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500"/>
          </w:cols>
          <w:pgMar w:left="660" w:top="264" w:right="7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2021 Stock Option and Incentive Plan, as amended and restated, the 2021 Employee Stock Purchase Plan, as amended and restated, the Stock Option Inducement Awards, and the Restricted Stock Unit Inducement Awards of Disc Medicine, Inc. of our reports dated February 26, 2026, with respect to the consolidated financial statements of Disc Medicine, Inc. and the effectiveness of internal control over financial reporting of Disc Medicine, Inc. included in its Annual Report (Form 10-K) for the year ended December 31, 2025, filed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2026</w:t>
      </w:r>
    </w:p>
    <w:p>
      <w:pPr>
        <w:sectPr>
          <w:pgSz w:w="11900" w:h="16838" w:orient="portrait"/>
          <w:cols w:equalWidth="0" w:num="1">
            <w:col w:w="10560"/>
          </w:cols>
          <w:pgMar w:left="660" w:top="119" w:right="679" w:bottom="1440" w:gutter="0" w:footer="0" w:header="0"/>
        </w:sectPr>
      </w:pPr>
    </w:p>
    <w:bookmarkStart w:id="12" w:name="page13"/>
    <w:bookmarkEnd w:id="12"/>
    <w:p>
      <w:pPr>
        <w:ind w:left="242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472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160"/>
        <w:spacing w:after="0"/>
        <w:rPr>
          <w:sz w:val="20"/>
          <w:szCs w:val="20"/>
          <w:color w:val="auto"/>
        </w:rPr>
      </w:pPr>
      <w:r>
        <w:rPr>
          <w:rFonts w:ascii="Arial" w:cs="Arial" w:eastAsia="Arial" w:hAnsi="Arial"/>
          <w:sz w:val="35"/>
          <w:szCs w:val="35"/>
          <w:b w:val="1"/>
          <w:bCs w:val="1"/>
          <w:color w:val="auto"/>
        </w:rPr>
        <w:t>Disc Medicine,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0" w:type="dxa"/>
            <w:vAlign w:val="bottom"/>
            <w:tcBorders>
              <w:left w:val="single" w:sz="8" w:color="auto"/>
            </w:tcBorders>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0"/>
                <w:szCs w:val="10"/>
                <w:color w:val="auto"/>
              </w:rPr>
            </w:pPr>
          </w:p>
        </w:tc>
        <w:tc>
          <w:tcPr>
            <w:tcW w:w="9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shd w:val="clear" w:color="auto" w:fill="9ADAF6"/>
          </w:tcPr>
          <w:p>
            <w:pPr>
              <w:jc w:val="right"/>
              <w:ind w:right="56"/>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0"/>
                <w:szCs w:val="1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0"/>
                <w:szCs w:val="10"/>
                <w:color w:val="auto"/>
              </w:rPr>
            </w:pPr>
          </w:p>
        </w:tc>
        <w:tc>
          <w:tcPr>
            <w:tcW w:w="15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vMerge w:val="continue"/>
            <w:shd w:val="clear" w:color="auto" w:fill="9ADAF6"/>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18"/>
                <w:szCs w:val="18"/>
                <w:color w:val="auto"/>
              </w:rPr>
            </w:pPr>
          </w:p>
        </w:tc>
        <w:tc>
          <w:tcPr>
            <w:tcW w:w="15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0" w:type="dxa"/>
            <w:vAlign w:val="bottom"/>
            <w:tcBorders>
              <w:left w:val="single" w:sz="8" w:color="auto"/>
            </w:tcBorders>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shd w:val="clear" w:color="auto" w:fill="9ADAF6"/>
          </w:tcPr>
          <w:p>
            <w:pPr>
              <w:jc w:val="center"/>
              <w:spacing w:after="0" w:line="182" w:lineRule="exact"/>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15"/>
                <w:szCs w:val="15"/>
                <w:color w:val="auto"/>
              </w:rPr>
            </w:pPr>
          </w:p>
        </w:tc>
        <w:tc>
          <w:tcPr>
            <w:tcW w:w="1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1,515,624</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$ 61.77</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w w:val="98"/>
              </w:rPr>
              <w:t>$ 93,620,094.48</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$ 12,928.94</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43,055</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$ 52.51</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$ 2,260,818.05</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$ 312.22</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3</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66,500</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$ 61.77</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$ 4,107,705.00</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$ 567.27</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$ 99,988,617.53</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$ 13,808.43</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$ 13,808.43</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260" w:right="80" w:hanging="214"/>
        <w:spacing w:after="0" w:line="230" w:lineRule="auto"/>
        <w:tabs>
          <w:tab w:leader="none" w:pos="260" w:val="left"/>
        </w:tabs>
        <w:numPr>
          <w:ilvl w:val="0"/>
          <w:numId w:val="11"/>
        </w:numPr>
        <w:rPr>
          <w:rFonts w:ascii="Arial" w:cs="Arial" w:eastAsia="Arial" w:hAnsi="Arial"/>
          <w:sz w:val="26"/>
          <w:szCs w:val="26"/>
          <w:color w:val="auto"/>
          <w:vertAlign w:val="superscript"/>
        </w:rPr>
      </w:pPr>
      <w:r>
        <w:rPr>
          <w:rFonts w:ascii="Arial" w:cs="Arial" w:eastAsia="Arial" w:hAnsi="Arial"/>
          <w:sz w:val="21"/>
          <w:szCs w:val="21"/>
          <w:color w:val="auto"/>
        </w:rPr>
        <w:t>(1) Pursuant to Rule 416 under the Securities Act of 1933, as amended (the "Securities Act"), this Registration Statement shall also cover any additional shares of Common Stock, par value $0.0001 per share (the "Common Stock") which become issuable under the Registrant's Amended and Restated 2021 Stock Option and Incentive Plan (the "2021 Plan") and the Registrant's Amended and Restated 2021 Employee Stock Purchase Plan (the "2021 ESPP") by reason of any stock dividend, stock split, recapitalization or any other similar transaction effected without the receipt of consideration which results in an increase in the number of outstanding shares of Common Stock. (2) Represents an increase of 1,515,624 shares of Common Stock to the number of shares reserved for issuance under the 2021 Plan, as a result of an automatic increase effective January 1, 2026. Shares available for issuance under the 2021 Plan were previously registered on Registration Statements on Form S-8 filed with the United States Securities and Exchange Commission ("SEC") on April 12, 2021 (File No. 333-255194), March 10, 2022 (File No. 333-263410), January 17, 2023 (File No. 333-269271), March 21, 2024 (File No. 333-278129) and February 27, 2025 (File No. 333-285312). (3) Estimated solely for the purpose of calculating the registration fee pursuant to Rule 457(c) and (h) of the Securities Act, and based on $61.77, the average of the high and low sale prices of the Common Stock as reported on Nasdaq on February 20, 2026 (such date being within five business days of the date that this Registration Statement was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85725</wp:posOffset>
            </wp:positionV>
            <wp:extent cx="6398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90" w:lineRule="exact"/>
        <w:rPr>
          <w:sz w:val="20"/>
          <w:szCs w:val="20"/>
          <w:color w:val="auto"/>
        </w:rPr>
      </w:pPr>
    </w:p>
    <w:p>
      <w:pPr>
        <w:ind w:left="260" w:right="80" w:hanging="214"/>
        <w:spacing w:after="0" w:line="242" w:lineRule="auto"/>
        <w:tabs>
          <w:tab w:leader="none" w:pos="260" w:val="left"/>
        </w:tabs>
        <w:numPr>
          <w:ilvl w:val="0"/>
          <w:numId w:val="12"/>
        </w:numPr>
        <w:rPr>
          <w:rFonts w:ascii="Arial" w:cs="Arial" w:eastAsia="Arial" w:hAnsi="Arial"/>
          <w:sz w:val="25"/>
          <w:szCs w:val="25"/>
          <w:color w:val="auto"/>
          <w:vertAlign w:val="superscript"/>
        </w:rPr>
      </w:pPr>
      <w:r>
        <w:rPr>
          <w:rFonts w:ascii="Arial" w:cs="Arial" w:eastAsia="Arial" w:hAnsi="Arial"/>
          <w:sz w:val="20"/>
          <w:szCs w:val="20"/>
          <w:color w:val="auto"/>
        </w:rPr>
        <w:t>(1) Pursuant to Rule 416 under the Securities Act of 1933, as amended (the "Securities Act"), this Registration Statement shall also cover any additional shares of Common Stock, par value $0.0001 per share (the "Common Stock") which become issuable under the Registrant's Amended and Restated 2021 Stock Option and Incentive Plan (the "2021 Plan") and the Registrant's Amended and Restated 2021 Employee Stock Purchase Plan (the "2021 ESPP") by reason of any stock dividend, stock split, recapitalization or any other similar transaction effected without the receipt of consideration which results in an increase in the number of outstanding shares of Common Stock. (4) Represents an increase of 43,055 shares of Common Stock to the number of shares reserved for issuance under the 2021 ESPP, as a result of an automatic increase effective January 1, 2026. Shares available for issuance under the 2021 ESPP were previously registered on Registration Statements on Form S-8 filed with the SEC on October 14, 2022 (File No. 333-260243), January 17, 2023 (File No. 333-269271), March 21, 2024 (File No. 333-278129) and February 27, 2025 (File No. 333-285312). (5) Estimated solely for the purpose of calculating the registration fee pursuant to Rule 457(c) and (h) of the Securities Act, and based on $52.51, which is 85% of the average of the high and low sale prices of the Common Stock as reported on Nasdaq on February 20, 2026 (such date being within five business days of the date that this Registration Statement was filed with the Commission). Pursuant to the 2021 ESPP, the purchase price of the shares of Common</w:t>
      </w:r>
    </w:p>
    <w:p>
      <w:pPr>
        <w:sectPr>
          <w:pgSz w:w="11900" w:h="16838" w:orient="portrait"/>
          <w:cols w:equalWidth="0" w:num="1">
            <w:col w:w="10140"/>
          </w:cols>
          <w:pgMar w:left="880" w:top="141" w:right="879" w:bottom="0" w:gutter="0" w:footer="0" w:header="0"/>
        </w:sectPr>
      </w:pPr>
    </w:p>
    <w:bookmarkStart w:id="13" w:name="page14"/>
    <w:bookmarkEnd w:id="13"/>
    <w:p>
      <w:pPr>
        <w:ind w:left="820" w:right="940"/>
        <w:spacing w:after="0" w:line="263" w:lineRule="auto"/>
        <w:rPr>
          <w:sz w:val="20"/>
          <w:szCs w:val="20"/>
          <w:color w:val="auto"/>
        </w:rPr>
      </w:pPr>
      <w:r>
        <w:rPr>
          <w:rFonts w:ascii="Arial" w:cs="Arial" w:eastAsia="Arial" w:hAnsi="Arial"/>
          <w:sz w:val="21"/>
          <w:szCs w:val="21"/>
          <w:color w:val="auto"/>
        </w:rPr>
        <w:t>Stock reserved for issuance thereunder will be 85% of the fair market value of a share of Common Stock on the first trading day of the offering period or on the exercise date,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62230</wp:posOffset>
            </wp:positionV>
            <wp:extent cx="6398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53" w:lineRule="exact"/>
        <w:rPr>
          <w:sz w:val="20"/>
          <w:szCs w:val="20"/>
          <w:color w:val="auto"/>
        </w:rPr>
      </w:pPr>
    </w:p>
    <w:p>
      <w:pPr>
        <w:ind w:left="820" w:right="720" w:hanging="214"/>
        <w:spacing w:after="0" w:line="230" w:lineRule="auto"/>
        <w:tabs>
          <w:tab w:leader="none" w:pos="820" w:val="left"/>
        </w:tabs>
        <w:numPr>
          <w:ilvl w:val="0"/>
          <w:numId w:val="13"/>
        </w:numPr>
        <w:rPr>
          <w:rFonts w:ascii="Arial" w:cs="Arial" w:eastAsia="Arial" w:hAnsi="Arial"/>
          <w:sz w:val="26"/>
          <w:szCs w:val="26"/>
          <w:color w:val="auto"/>
          <w:vertAlign w:val="superscript"/>
        </w:rPr>
      </w:pPr>
      <w:r>
        <w:rPr>
          <w:rFonts w:ascii="Arial" w:cs="Arial" w:eastAsia="Arial" w:hAnsi="Arial"/>
          <w:sz w:val="21"/>
          <w:szCs w:val="21"/>
          <w:color w:val="auto"/>
        </w:rPr>
        <w:t>(1) Pursuant to Rule 416 under the Securities Act of 1933, as amended (the "Securities Act"), this Registration Statement shall also cover any additional shares of Common Stock, par value $0.0001 per share (the "Common Stock") which become issuable under the Registrant's Amended and Restated 2021 Stock Option and Incentive Plan (the "2021 Plan") and the Registrant's Amended and Restated 2021 Employee Stock Purchase Plan (the "2021 ESPP") by reason of any stock dividend, stock split, recapitalization or any other similar transaction effected without the receipt of consideration which results in an increase in the number of outstanding shares of Common Stock. (3) Estimated solely for the purpose of calculating the registration fee pursuant to Rule 457(c) and (h) of the Securities Act, and based on $61.77, the average of the high and low sale prices of the Common Stock as reported on Nasdaq on February 20, 2026 (such date being within five business days of the date that this Registration Statement was filed with the Commission). (6) Represents the aggregate number of shares of the Registrant's Common Stock issuable upon the exercise of stock options and the vesting of restricted stock units granted to the Registrant's Chief Human Resources Officer, as an inducement material to entry into employment with the Registrant under Nasdaq Listing Rule 5635(c)(4).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82550</wp:posOffset>
            </wp:positionV>
            <wp:extent cx="6398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vMerge w:val="restart"/>
            <w:shd w:val="clear" w:color="auto" w:fill="9ADAF6"/>
          </w:tcPr>
          <w:p>
            <w:pPr>
              <w:jc w:val="right"/>
              <w:ind w:right="141"/>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or Filer</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2"/>
                <w:szCs w:val="12"/>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12"/>
                <w:szCs w:val="12"/>
                <w:color w:val="auto"/>
              </w:rPr>
            </w:pPr>
          </w:p>
        </w:tc>
        <w:tc>
          <w:tcPr>
            <w:tcW w:w="58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12"/>
                <w:szCs w:val="12"/>
                <w:color w:val="auto"/>
              </w:rPr>
            </w:pPr>
          </w:p>
        </w:tc>
        <w:tc>
          <w:tcPr>
            <w:tcW w:w="840" w:type="dxa"/>
            <w:vAlign w:val="bottom"/>
            <w:shd w:val="clear" w:color="auto" w:fill="9ADAF6"/>
          </w:tcPr>
          <w:p>
            <w:pPr>
              <w:ind w:left="120"/>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12"/>
                <w:szCs w:val="12"/>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2"/>
                <w:szCs w:val="12"/>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9ADAF6"/>
          </w:tcPr>
          <w:p>
            <w:pPr>
              <w:jc w:val="right"/>
              <w:spacing w:after="0" w:line="208"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vMerge w:val="continue"/>
            <w:shd w:val="clear" w:color="auto" w:fill="9ADAF6"/>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Roman"/>
      <w:start w:val="3"/>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2"/>
      <w:numFmt w:val="bullet"/>
      <w:start w:val="1"/>
    </w:lvl>
  </w:abstractNum>
  <w:abstractNum w:abstractNumId="12">
    <w:nsid w:val="3352255A"/>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46"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jpe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19" Type="http://schemas.openxmlformats.org/officeDocument/2006/relationships/hyperlink" Target="http://www.sec.gov/Archives/edgar/data/1816736/000121390021021222/ea139346-s8_gemini.htm" TargetMode="External"/><Relationship Id="rId20" Type="http://schemas.openxmlformats.org/officeDocument/2006/relationships/hyperlink" Target="http://www.sec.gov/Archives/edgar/data/1816736/000119312521298746/d242333ds8.htm" TargetMode="External"/><Relationship Id="rId21" Type="http://schemas.openxmlformats.org/officeDocument/2006/relationships/hyperlink" Target="http://www.sec.gov/Archives/edgar/data/1816736/000119312522071297/d200548ds8.htm" TargetMode="External"/><Relationship Id="rId22" Type="http://schemas.openxmlformats.org/officeDocument/2006/relationships/hyperlink" Target="http://www.sec.gov/Archives/edgar/data/1816736/000119312523009656/d435326ds8.htm" TargetMode="External"/><Relationship Id="rId23" Type="http://schemas.openxmlformats.org/officeDocument/2006/relationships/hyperlink" Target="http://www.sec.gov/Archives/edgar/data/1816736/000119312524073358/d804404ds8.htm" TargetMode="External"/><Relationship Id="rId24" Type="http://schemas.openxmlformats.org/officeDocument/2006/relationships/hyperlink" Target="http://www.sec.gov/Archives/edgar/data/1816736/000119312525037840/d882994ds8.htm" TargetMode="External"/><Relationship Id="rId27" Type="http://schemas.openxmlformats.org/officeDocument/2006/relationships/hyperlink" Target="http://www.sec.gov/ix?doc=/Archives/edgar/data/1816736/000119312526073602/iron-20251231.htm" TargetMode="External"/><Relationship Id="rId28" Type="http://schemas.openxmlformats.org/officeDocument/2006/relationships/hyperlink" Target="http://www.sec.gov/ix?doc=/Archives/edgar/data/1816736/000119312526009871/iron-20260112.htm" TargetMode="External"/><Relationship Id="rId29" Type="http://schemas.openxmlformats.org/officeDocument/2006/relationships/hyperlink" Target="http://www.sec.gov/ix?doc=/Archives/edgar/data/1816736/000119312526051504/iron-20260213.htm" TargetMode="External"/><Relationship Id="rId30" Type="http://schemas.openxmlformats.org/officeDocument/2006/relationships/hyperlink" Target="http://www.sec.gov/Archives/edgar/data/1816736/000121390020021145/ea125295-8a12b_fsdevelop.htm" TargetMode="External"/><Relationship Id="rId31" Type="http://schemas.openxmlformats.org/officeDocument/2006/relationships/hyperlink" Target="http://www.sec.gov/Archives/edgar/data/1816736/000095017022003288/gmtx-ex4_4.htm" TargetMode="External"/><Relationship Id="rId32" Type="http://schemas.openxmlformats.org/officeDocument/2006/relationships/hyperlink" Target="http://www.sec.gov/Archives/edgar/data/1816736/000114036122043943/ny20005172x8_s4a.htm" TargetMode="External"/><Relationship Id="rId35" Type="http://schemas.openxmlformats.org/officeDocument/2006/relationships/hyperlink" Target="http://www.sec.gov/Archives/edgar/data/1816736/000121390021002636/fs42021a5ex4-1_fsdevelop.htm" TargetMode="External"/><Relationship Id="rId36" Type="http://schemas.openxmlformats.org/officeDocument/2006/relationships/hyperlink" Target="http://www.sec.gov/Archives/edgar/data/1816736/000121390021008478/ea135023ex3-1_gemini.htm" TargetMode="External"/><Relationship Id="rId37" Type="http://schemas.openxmlformats.org/officeDocument/2006/relationships/hyperlink" Target="http://www.sec.gov/Archives/edgar/data/1816736/000114036122047453/brhc10045896_ex3-1.htm" TargetMode="External"/><Relationship Id="rId38" Type="http://schemas.openxmlformats.org/officeDocument/2006/relationships/hyperlink" Target="http://www.sec.gov/Archives/edgar/data/1816736/000114036122047453/brhc10045896_ex3-2.htm" TargetMode="External"/><Relationship Id="rId39" Type="http://schemas.openxmlformats.org/officeDocument/2006/relationships/hyperlink" Target="http://www.sec.gov/Archives/edgar/data/1816736/000121390021002636/fs42021a5_fsdevelopment.htm" TargetMode="External"/><Relationship Id="rId40" Type="http://schemas.openxmlformats.org/officeDocument/2006/relationships/hyperlink" Target="http://www.sec.gov/Archives/edgar/data/1816736/000119312523009656/d435326dex991.htm" TargetMode="External"/><Relationship Id="rId41" Type="http://schemas.openxmlformats.org/officeDocument/2006/relationships/hyperlink" Target="http://www.sec.gov/Archives/edgar/data/1816736/000119312523009656/d435326dex992.htm" TargetMode="External"/><Relationship Id="rId42" Type="http://schemas.openxmlformats.org/officeDocument/2006/relationships/hyperlink" Target="http://www.sec.gov/Archives/edgar/data/1816736/000119312523009656/d435326dex993.htm" TargetMode="External"/><Relationship Id="rId43" Type="http://schemas.openxmlformats.org/officeDocument/2006/relationships/hyperlink" Target="http://www.sec.gov/Archives/edgar/data/1816736/000114036122047453/brhc10045896_ex10-9.htm" TargetMode="External"/><Relationship Id="rId44" Type="http://schemas.openxmlformats.org/officeDocument/2006/relationships/hyperlink" Target="http://www.sec.gov/Archives/edgar/data/1816736/000119312524073358/d804404dex995.htm" TargetMode="External"/><Relationship Id="rId45" Type="http://schemas.openxmlformats.org/officeDocument/2006/relationships/hyperlink" Target="http://www.sec.gov/Archives/edgar/data/1816736/000119312524073358/d804404d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2026-02-26T08:29:53Z</dcterms:created>
  <dcterms:modified xsi:type="dcterms:W3CDTF">2026-02-26T08:29:53Z</dcterms:modified>
</cp:coreProperties>
</file>