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212026_091002.xml.htm"/>
      <w:bookmarkStart w:id="1" w:name="ksform410212026_09100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Bitterman Kevin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DISC MEDICINE,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321 ARSENAL STREET, SUITE 101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WATERTOWN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02472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Disc Medicine, Inc.</w:t>
              </w:r>
            </w:hyperlink>
            <w:r>
              <w:rPr/>
              <w:t xml:space="preserve"> [ </w:t>
            </w:r>
            <w:r>
              <w:rPr>
                <w:rFonts w:ascii="Times;serif" w:hAnsi="Times;serif"/>
                <w:color w:val="0000FF"/>
                <w:sz w:val="24"/>
                <w:shd w:fill="FFFFFF" w:val="clear"/>
              </w:rPr>
              <w:t>IRON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77"/>
        <w:gridCol w:w="901"/>
        <w:gridCol w:w="772"/>
        <w:gridCol w:w="598"/>
        <w:gridCol w:w="344"/>
        <w:gridCol w:w="920"/>
        <w:gridCol w:w="444"/>
        <w:gridCol w:w="792"/>
        <w:gridCol w:w="1145"/>
        <w:gridCol w:w="984"/>
        <w:gridCol w:w="10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7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7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7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10/19/2026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5,937</w:t>
            </w:r>
          </w:p>
        </w:tc>
        <w:tc>
          <w:tcPr>
            <w:tcW w:w="4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79.97</w:t>
            </w:r>
            <w:r>
              <w:rPr>
                <w:rFonts w:ascii="Times;serif" w:hAnsi="Times;serif"/>
                <w:color w:val="008000"/>
                <w:position w:val="7"/>
                <w:sz w:val="16"/>
                <w:sz w:val="20"/>
                <w:shd w:fill="FFFFFF" w:val="clear"/>
              </w:rPr>
              <w:t>(2)</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312,929</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27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10/19/2026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4,942</w:t>
            </w:r>
          </w:p>
        </w:tc>
        <w:tc>
          <w:tcPr>
            <w:tcW w:w="4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79.97</w:t>
            </w:r>
            <w:r>
              <w:rPr>
                <w:rFonts w:ascii="Times;serif" w:hAnsi="Times;serif"/>
                <w:color w:val="008000"/>
                <w:position w:val="7"/>
                <w:sz w:val="16"/>
                <w:sz w:val="20"/>
                <w:shd w:fill="FFFFFF" w:val="clear"/>
              </w:rPr>
              <w:t>(2)</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307,288</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p>
        </w:tc>
      </w:tr>
      <w:tr>
        <w:trPr/>
        <w:tc>
          <w:tcPr>
            <w:tcW w:w="227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10/19/2026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w:t>
            </w:r>
          </w:p>
        </w:tc>
        <w:tc>
          <w:tcPr>
            <w:tcW w:w="4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79.97</w:t>
            </w:r>
            <w:r>
              <w:rPr>
                <w:rFonts w:ascii="Times;serif" w:hAnsi="Times;serif"/>
                <w:color w:val="008000"/>
                <w:position w:val="7"/>
                <w:sz w:val="16"/>
                <w:sz w:val="20"/>
                <w:shd w:fill="FFFFFF" w:val="clear"/>
              </w:rPr>
              <w:t>(2)</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13,312</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(5)</w:t>
            </w:r>
          </w:p>
        </w:tc>
      </w:tr>
      <w:tr>
        <w:trPr/>
        <w:tc>
          <w:tcPr>
            <w:tcW w:w="227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10/20/2026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2,869</w:t>
            </w:r>
          </w:p>
        </w:tc>
        <w:tc>
          <w:tcPr>
            <w:tcW w:w="4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79.95</w:t>
            </w:r>
            <w:r>
              <w:rPr>
                <w:rFonts w:ascii="Times;serif" w:hAnsi="Times;serif"/>
                <w:color w:val="008000"/>
                <w:position w:val="7"/>
                <w:sz w:val="16"/>
                <w:sz w:val="20"/>
                <w:shd w:fill="FFFFFF" w:val="clear"/>
              </w:rPr>
              <w:t>(6)</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310,060</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27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10/20/2026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2,388</w:t>
            </w:r>
          </w:p>
        </w:tc>
        <w:tc>
          <w:tcPr>
            <w:tcW w:w="4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79.95</w:t>
            </w:r>
            <w:r>
              <w:rPr>
                <w:rFonts w:ascii="Times;serif" w:hAnsi="Times;serif"/>
                <w:color w:val="008000"/>
                <w:position w:val="7"/>
                <w:sz w:val="16"/>
                <w:sz w:val="20"/>
                <w:shd w:fill="FFFFFF" w:val="clear"/>
              </w:rPr>
              <w:t>(6)</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304,900</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p>
        </w:tc>
      </w:tr>
      <w:tr>
        <w:trPr/>
        <w:tc>
          <w:tcPr>
            <w:tcW w:w="227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10/20/2026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w:t>
            </w:r>
          </w:p>
        </w:tc>
        <w:tc>
          <w:tcPr>
            <w:tcW w:w="4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79.95</w:t>
            </w:r>
            <w:r>
              <w:rPr>
                <w:rFonts w:ascii="Times;serif" w:hAnsi="Times;serif"/>
                <w:color w:val="008000"/>
                <w:position w:val="7"/>
                <w:sz w:val="16"/>
                <w:sz w:val="20"/>
                <w:shd w:fill="FFFFFF" w:val="clear"/>
              </w:rPr>
              <w:t>(6)</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13,257</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(5)</w:t>
            </w:r>
          </w:p>
        </w:tc>
      </w:tr>
      <w:tr>
        <w:trPr/>
        <w:tc>
          <w:tcPr>
            <w:tcW w:w="227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13,783</w:t>
            </w:r>
          </w:p>
        </w:tc>
        <w:tc>
          <w:tcPr>
            <w:tcW w:w="4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80.23</w:t>
            </w:r>
            <w:r>
              <w:rPr>
                <w:rFonts w:ascii="Times;serif" w:hAnsi="Times;serif"/>
                <w:color w:val="008000"/>
                <w:position w:val="7"/>
                <w:sz w:val="16"/>
                <w:sz w:val="20"/>
                <w:shd w:fill="FFFFFF" w:val="clear"/>
              </w:rPr>
              <w:t>(7)</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296,277</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27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11,470</w:t>
            </w:r>
          </w:p>
        </w:tc>
        <w:tc>
          <w:tcPr>
            <w:tcW w:w="4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80.23</w:t>
            </w:r>
            <w:r>
              <w:rPr>
                <w:rFonts w:ascii="Times;serif" w:hAnsi="Times;serif"/>
                <w:color w:val="008000"/>
                <w:position w:val="7"/>
                <w:sz w:val="16"/>
                <w:sz w:val="20"/>
                <w:shd w:fill="FFFFFF" w:val="clear"/>
              </w:rPr>
              <w:t>(7)</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293,430</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p>
        </w:tc>
      </w:tr>
      <w:tr>
        <w:trPr/>
        <w:tc>
          <w:tcPr>
            <w:tcW w:w="227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266</w:t>
            </w:r>
          </w:p>
        </w:tc>
        <w:tc>
          <w:tcPr>
            <w:tcW w:w="4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80.23</w:t>
            </w:r>
            <w:r>
              <w:rPr>
                <w:rFonts w:ascii="Times;serif" w:hAnsi="Times;serif"/>
                <w:color w:val="008000"/>
                <w:position w:val="7"/>
                <w:sz w:val="16"/>
                <w:sz w:val="20"/>
                <w:shd w:fill="FFFFFF" w:val="clear"/>
              </w:rPr>
              <w:t>(7)</w:t>
            </w:r>
          </w:p>
        </w:tc>
        <w:tc>
          <w:tcPr>
            <w:tcW w:w="11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12,991</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(5)</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were sold pursuant to a Rule 10b5-1 trading plan adopted on July 30,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$79.95 to $80.2476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are held by Atlas Venture Opportunity Fund I, L.P. ("Opportunity I"). The general partner of Opportunity I is Atlas Venture Associates Opportunity I, L.P. ("Associates I"). Atlas Venture Associates Opportunity I, LLC ("Associates I LLC") is the general partner of Associates I. The Reporting Person is a member of Associates I LLC and disclaims beneficial ownership of such securities held by Opportunity I, except to the extent of his pecuniary interest therein, if 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shares are held by Atlas Venture Opportunity Fund II, L.P. ("Opportunity II"). The general partner of Opportunity II is Atlas Venture Associates Opportunity II, L.P. ("Associates II"). Atlas Venture Associates Opportunity II, LLC ("Associates II LLC") is the general partner of Associates II. The Reporting Person is a member of Associates II LLC and disclaims beneficial ownership of such securities held by Opportunity II, except to the extent of his pecuniary interest therein, if 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shares are held by Atlas Venture Fund XII, L.P. ("Atlas XII"). The general partner of Atlas XII is Atlas Venture Associates XII, L.P. ("Associates XII"). Atlas Venture Associates XII, LLC ("Associates XII LLC") is the general partner of Associates XII. The Reporting Person is a member of Associates XII LLC and disclaims beneficial ownership of such securities held by Atlas XII, except to the extent of his pecuniary interest therein, if 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These shares were sold in multiple transactions at prices ranging from $79.95 to $80.00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These shares were sold in multiple transactions at prices ranging from $79.95 to $80.70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Ommer Chohan,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591747" TargetMode="External"/><Relationship Id="rId5" Type="http://schemas.openxmlformats.org/officeDocument/2006/relationships/hyperlink" Target="http://www.sec.gov/cgi-bin/browse-edgar?action=getcompany&amp;CIK=000181673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1117</Words>
  <Characters>5986</Characters>
  <CharactersWithSpaces>6957</CharactersWithSpaces>
  <Paragraphs>174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