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71637d424b5.htm"/>
        <w:bookmarkStart w:id="1" w:name="ksd271637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Nos. 333-281359 and 333-269270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August 8, 2024 and to prospectus dated January 24, 2023) </w:t>
      </w:r>
    </w:p>
    <w:p>
      <w:pPr>
        <w:pStyle w:val="TextBody"/>
        <w:bidi w:val="0"/>
        <w:spacing w:before="0" w:after="0"/>
        <w:jc w:val="left"/>
        <w:rPr/>
      </w:pPr>
      <w:r>
        <w:rPr/>
        <w:t> </w:t>
      </w:r>
    </w:p>
    <w:p>
      <w:pPr>
        <w:pStyle w:val="TextBody"/>
        <w:bidi w:val="0"/>
        <w:spacing w:before="0" w:after="0"/>
        <w:jc w:val="center"/>
        <w:rPr/>
      </w:pPr>
      <w:r>
        <w:rPr/>
        <w:drawing>
          <wp:inline distT="0" distB="0" distL="0" distR="0">
            <wp:extent cx="4309110" cy="6845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09110" cy="6845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2,916,668 Shares of 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Pre-Funded Warrants to Purchase 59,523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sz w:val="18"/>
        </w:rPr>
        <w:t xml:space="preserve">We are offering 2,619,049 shares of our common stock and, in lieu of common stock to certain investors that so choose, pre-funded warrants to purchase 59,523 shares of common stock in this offering. The selling stockholder identified in this prospectus supplement (the “selling stockholder”) is offering 297,619 shares of our common stock. We will not receive any proceeds from the sale of our common stock by the selling stockholder. </w:t>
      </w:r>
    </w:p>
    <w:p>
      <w:pPr>
        <w:pStyle w:val="TextBody"/>
        <w:bidi w:val="0"/>
        <w:spacing w:before="240" w:after="0"/>
        <w:jc w:val="left"/>
        <w:rPr>
          <w:rFonts w:ascii="Times New Roman" w:hAnsi="Times New Roman"/>
          <w:sz w:val="18"/>
        </w:rPr>
      </w:pPr>
      <w:r>
        <w:rPr>
          <w:rFonts w:ascii="Times New Roman" w:hAnsi="Times New Roman"/>
          <w:sz w:val="18"/>
        </w:rPr>
        <w:t xml:space="preserve">Our common stock is listed on the Nasdaq Global Market under the symbol “IRON.” On October 20, 2025, the closing sale price of our common stock on the Nasdaq Global Market was $87.17 per share. </w:t>
      </w:r>
    </w:p>
    <w:p>
      <w:pPr>
        <w:pStyle w:val="TextBody"/>
        <w:bidi w:val="0"/>
        <w:spacing w:before="240" w:after="0"/>
        <w:jc w:val="left"/>
        <w:rPr>
          <w:rFonts w:ascii="Times New Roman" w:hAnsi="Times New Roman"/>
          <w:sz w:val="18"/>
        </w:rPr>
      </w:pPr>
      <w:r>
        <w:rPr>
          <w:rFonts w:ascii="Times New Roman" w:hAnsi="Times New Roman"/>
          <w:sz w:val="18"/>
        </w:rPr>
        <w:t xml:space="preserve">The purchase price of each pre-funded warrant will equal the price per share at which shares of our common stock are being sold to the public in this offering, minus $0.0001, which is the exercise price of each pre-funded warrant. The pre-funded warrants do not expire, and each pre-funded warrant will be exercisable at any time after the date of issuance, subject to an ownership limitation and in some cases clearance under the Hart-Scott-Rodino Antitrust Improvements Act of 1976, as amended, or the HSR Act. This prospectus supplement also relates to the offering of the shares of common stock issuable upon exercise of such pre-funded warrants. </w:t>
      </w:r>
    </w:p>
    <w:p>
      <w:pPr>
        <w:pStyle w:val="TextBody"/>
        <w:bidi w:val="0"/>
        <w:spacing w:before="240" w:after="0"/>
        <w:jc w:val="left"/>
        <w:rPr>
          <w:rFonts w:ascii="Times New Roman" w:hAnsi="Times New Roman"/>
          <w:sz w:val="18"/>
        </w:rPr>
      </w:pPr>
      <w:r>
        <w:rPr>
          <w:rFonts w:ascii="Times New Roman" w:hAnsi="Times New Roman"/>
          <w:sz w:val="18"/>
        </w:rPr>
        <w:t xml:space="preserve">There is no established public trading market for the pre-funded warrants, and we do not expect a market to develop. We do not intend to list the pre-funded warrants on the Nasdaq Global Market or any other national securities exchange or nationally recognized trading system.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2"/>
        </w:rPr>
        <w:t>Investing in our securities involves a high degree of risk. Please read “</w:t>
      </w:r>
      <w:hyperlink w:anchor="supptx271637_4">
        <w:r>
          <w:rPr>
            <w:rStyle w:val="InternetLink"/>
            <w:rFonts w:ascii="Times New Roman" w:hAnsi="Times New Roman"/>
            <w:b/>
            <w:sz w:val="22"/>
          </w:rPr>
          <w:t>Risk Factors</w:t>
        </w:r>
      </w:hyperlink>
      <w:r>
        <w:rPr>
          <w:rFonts w:ascii="Times New Roman" w:hAnsi="Times New Roman"/>
          <w:b/>
          <w:sz w:val="22"/>
        </w:rPr>
        <w:t xml:space="preserve">” beginning on page S-7 of this prospectus supplement, page 10 and page 7 in the accompanying prospectuses, and under similar headings in the documents that are incorporated by reference into this prospectus supplement concerning factors you should carefully consider before investing in our securities.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97"/>
        <w:gridCol w:w="344"/>
        <w:gridCol w:w="154"/>
        <w:gridCol w:w="616"/>
        <w:gridCol w:w="60"/>
        <w:gridCol w:w="344"/>
        <w:gridCol w:w="187"/>
        <w:gridCol w:w="1140"/>
        <w:gridCol w:w="60"/>
        <w:gridCol w:w="344"/>
        <w:gridCol w:w="154"/>
        <w:gridCol w:w="1305"/>
        <w:gridCol w:w="67"/>
      </w:tblGrid>
      <w:tr>
        <w:trPr/>
        <w:tc>
          <w:tcPr>
            <w:tcW w:w="3797"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797"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Pre-Funded</w:t>
              <w:br/>
              <w:t>Warrant</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379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Public offering price</w:t>
            </w:r>
          </w:p>
        </w:tc>
        <w:tc>
          <w:tcPr>
            <w:tcW w:w="34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16" w:type="dxa"/>
            <w:tcBorders/>
            <w:shd w:fill="CCEEFF" w:val="clear"/>
            <w:vAlign w:val="bottom"/>
          </w:tcPr>
          <w:p>
            <w:pPr>
              <w:pStyle w:val="TableContents"/>
              <w:bidi w:val="0"/>
              <w:spacing w:before="0" w:after="283"/>
              <w:jc w:val="right"/>
              <w:rPr/>
            </w:pPr>
            <w:r>
              <w:rPr/>
              <w:t>84.00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83.9999</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305" w:type="dxa"/>
            <w:tcBorders/>
            <w:shd w:fill="CCEEFF" w:val="clear"/>
            <w:vAlign w:val="bottom"/>
          </w:tcPr>
          <w:p>
            <w:pPr>
              <w:pStyle w:val="TableContents"/>
              <w:bidi w:val="0"/>
              <w:spacing w:before="0" w:after="283"/>
              <w:jc w:val="right"/>
              <w:rPr/>
            </w:pPr>
            <w:r>
              <w:rPr/>
              <w:t>250,000,038</w:t>
            </w:r>
          </w:p>
        </w:tc>
        <w:tc>
          <w:tcPr>
            <w:tcW w:w="67" w:type="dxa"/>
            <w:tcBorders/>
            <w:shd w:fill="CCEEFF" w:val="clear"/>
            <w:vAlign w:val="bottom"/>
          </w:tcPr>
          <w:p>
            <w:pPr>
              <w:pStyle w:val="TableContents"/>
              <w:bidi w:val="0"/>
              <w:spacing w:before="0" w:after="283"/>
              <w:jc w:val="left"/>
              <w:rPr/>
            </w:pPr>
            <w:r>
              <w:rPr/>
              <w:t> </w:t>
            </w:r>
          </w:p>
        </w:tc>
      </w:tr>
      <w:tr>
        <w:trPr/>
        <w:tc>
          <w:tcPr>
            <w:tcW w:w="3797" w:type="dxa"/>
            <w:tcBorders/>
          </w:tcPr>
          <w:p>
            <w:pPr>
              <w:pStyle w:val="TableContents"/>
              <w:bidi w:val="0"/>
              <w:spacing w:before="0" w:after="0"/>
              <w:jc w:val="left"/>
              <w:rPr>
                <w:rFonts w:ascii="Times New Roman" w:hAnsi="Times New Roman"/>
                <w:sz w:val="18"/>
              </w:rPr>
            </w:pPr>
            <w:r>
              <w:rPr>
                <w:rFonts w:ascii="Times New Roman" w:hAnsi="Times New Roman"/>
                <w:sz w:val="18"/>
              </w:rPr>
              <w:t>Underwriting discounts and commissions (1)</w:t>
            </w:r>
          </w:p>
        </w:tc>
        <w:tc>
          <w:tcPr>
            <w:tcW w:w="34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6" w:type="dxa"/>
            <w:tcBorders/>
            <w:vAlign w:val="bottom"/>
          </w:tcPr>
          <w:p>
            <w:pPr>
              <w:pStyle w:val="TableContents"/>
              <w:bidi w:val="0"/>
              <w:spacing w:before="0" w:after="283"/>
              <w:jc w:val="right"/>
              <w:rPr/>
            </w:pPr>
            <w:r>
              <w:rPr/>
              <w:t>5.04</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140" w:type="dxa"/>
            <w:tcBorders/>
            <w:vAlign w:val="bottom"/>
          </w:tcPr>
          <w:p>
            <w:pPr>
              <w:pStyle w:val="TableContents"/>
              <w:bidi w:val="0"/>
              <w:spacing w:before="0" w:after="283"/>
              <w:jc w:val="right"/>
              <w:rPr/>
            </w:pPr>
            <w:r>
              <w:rPr/>
              <w:t>5.0400</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15,000,003</w:t>
            </w:r>
          </w:p>
        </w:tc>
        <w:tc>
          <w:tcPr>
            <w:tcW w:w="67" w:type="dxa"/>
            <w:tcBorders/>
            <w:vAlign w:val="bottom"/>
          </w:tcPr>
          <w:p>
            <w:pPr>
              <w:pStyle w:val="TableContents"/>
              <w:bidi w:val="0"/>
              <w:spacing w:before="0" w:after="283"/>
              <w:jc w:val="left"/>
              <w:rPr/>
            </w:pPr>
            <w:r>
              <w:rPr/>
              <w:t> </w:t>
            </w:r>
          </w:p>
        </w:tc>
      </w:tr>
      <w:tr>
        <w:trPr/>
        <w:tc>
          <w:tcPr>
            <w:tcW w:w="379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before expenses, to us</w:t>
            </w:r>
          </w:p>
        </w:tc>
        <w:tc>
          <w:tcPr>
            <w:tcW w:w="34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16" w:type="dxa"/>
            <w:tcBorders/>
            <w:shd w:fill="CCEEFF" w:val="clear"/>
            <w:vAlign w:val="bottom"/>
          </w:tcPr>
          <w:p>
            <w:pPr>
              <w:pStyle w:val="TableContents"/>
              <w:bidi w:val="0"/>
              <w:spacing w:before="0" w:after="283"/>
              <w:jc w:val="right"/>
              <w:rPr/>
            </w:pPr>
            <w:r>
              <w:rPr/>
              <w:t>78.96</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78.9599</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305" w:type="dxa"/>
            <w:tcBorders/>
            <w:shd w:fill="CCEEFF" w:val="clear"/>
            <w:vAlign w:val="bottom"/>
          </w:tcPr>
          <w:p>
            <w:pPr>
              <w:pStyle w:val="TableContents"/>
              <w:bidi w:val="0"/>
              <w:spacing w:before="0" w:after="283"/>
              <w:jc w:val="right"/>
              <w:rPr/>
            </w:pPr>
            <w:r>
              <w:rPr/>
              <w:t>211,500,039</w:t>
            </w:r>
          </w:p>
        </w:tc>
        <w:tc>
          <w:tcPr>
            <w:tcW w:w="67" w:type="dxa"/>
            <w:tcBorders/>
            <w:shd w:fill="CCEEFF" w:val="clear"/>
            <w:vAlign w:val="bottom"/>
          </w:tcPr>
          <w:p>
            <w:pPr>
              <w:pStyle w:val="TableContents"/>
              <w:bidi w:val="0"/>
              <w:spacing w:before="0" w:after="283"/>
              <w:jc w:val="left"/>
              <w:rPr/>
            </w:pPr>
            <w:r>
              <w:rPr/>
              <w:t> </w:t>
            </w:r>
          </w:p>
        </w:tc>
      </w:tr>
      <w:tr>
        <w:trPr/>
        <w:tc>
          <w:tcPr>
            <w:tcW w:w="3797" w:type="dxa"/>
            <w:tcBorders/>
          </w:tcPr>
          <w:p>
            <w:pPr>
              <w:pStyle w:val="TableContents"/>
              <w:bidi w:val="0"/>
              <w:spacing w:before="0" w:after="0"/>
              <w:jc w:val="left"/>
              <w:rPr>
                <w:rFonts w:ascii="Times New Roman" w:hAnsi="Times New Roman"/>
                <w:sz w:val="18"/>
              </w:rPr>
            </w:pPr>
            <w:r>
              <w:rPr>
                <w:rFonts w:ascii="Times New Roman" w:hAnsi="Times New Roman"/>
                <w:sz w:val="18"/>
              </w:rPr>
              <w:t>Proceeds, before expenses, to the selling stockholder</w:t>
            </w:r>
          </w:p>
        </w:tc>
        <w:tc>
          <w:tcPr>
            <w:tcW w:w="34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6" w:type="dxa"/>
            <w:tcBorders/>
            <w:vAlign w:val="bottom"/>
          </w:tcPr>
          <w:p>
            <w:pPr>
              <w:pStyle w:val="TableContents"/>
              <w:bidi w:val="0"/>
              <w:spacing w:before="0" w:after="283"/>
              <w:jc w:val="right"/>
              <w:rPr/>
            </w:pPr>
            <w:r>
              <w:rPr/>
              <w:t>78.96</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140" w:type="dxa"/>
            <w:tcBorders/>
            <w:vAlign w:val="bottom"/>
          </w:tcPr>
          <w:p>
            <w:pPr>
              <w:pStyle w:val="TableContents"/>
              <w:bidi w:val="0"/>
              <w:spacing w:before="0" w:after="283"/>
              <w:jc w:val="right"/>
              <w:rPr/>
            </w:pPr>
            <w:r>
              <w:rPr/>
              <w:t> — 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23,499,996</w:t>
            </w:r>
          </w:p>
        </w:tc>
        <w:tc>
          <w:tcPr>
            <w:tcW w:w="67"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See the section titled “Underwriting” beginning on page S-27 for a description of the compensation payable to the underwriters. </w:t>
            </w:r>
          </w:p>
        </w:tc>
      </w:tr>
    </w:tbl>
    <w:p>
      <w:pPr>
        <w:pStyle w:val="TextBody"/>
        <w:bidi w:val="0"/>
        <w:spacing w:before="240" w:after="0"/>
        <w:jc w:val="left"/>
        <w:rPr>
          <w:rFonts w:ascii="Times New Roman" w:hAnsi="Times New Roman"/>
          <w:sz w:val="18"/>
        </w:rPr>
      </w:pPr>
      <w:r>
        <w:rPr>
          <w:rFonts w:ascii="Times New Roman" w:hAnsi="Times New Roman"/>
          <w:sz w:val="18"/>
        </w:rPr>
        <w:t xml:space="preserve">The selling stockholder has granted the underwriters an option for a period of 30 days to purchase up to an additional 446,428 shares of our common stock at the public offering price, less the underwriting discounts and commissions. We will not receive any proceeds from the sale of our common stock by the selling stockholder. See “Selling Stockholder” beginning on page S-16. </w:t>
      </w:r>
    </w:p>
    <w:p>
      <w:pPr>
        <w:pStyle w:val="TextBody"/>
        <w:bidi w:val="0"/>
        <w:spacing w:before="240" w:after="0"/>
        <w:jc w:val="left"/>
        <w:rPr>
          <w:rFonts w:ascii="Times New Roman" w:hAnsi="Times New Roman"/>
          <w:sz w:val="18"/>
        </w:rPr>
      </w:pPr>
      <w:r>
        <w:rPr>
          <w:rFonts w:ascii="Times New Roman" w:hAnsi="Times New Roman"/>
          <w:b/>
          <w:i/>
          <w:sz w:val="18"/>
        </w:rPr>
        <w:t>Neither the Securities and Exchange Commission nor any state securities commission has approved or disapproved of these securities, or passed upon the adequacy or accuracy of this prospectus supplement or the accompanying prospectuses. Any representation to the contrary is a criminal offense.</w:t>
      </w:r>
      <w:r>
        <w:rPr>
          <w:rFonts w:ascii="Times New Roman" w:hAnsi="Times New Roman"/>
          <w:sz w:val="18"/>
        </w:rPr>
        <w:t xml:space="preserve"> </w:t>
      </w:r>
    </w:p>
    <w:p>
      <w:pPr>
        <w:pStyle w:val="TextBody"/>
        <w:bidi w:val="0"/>
        <w:spacing w:before="240" w:after="0"/>
        <w:jc w:val="left"/>
        <w:rPr>
          <w:rFonts w:ascii="Times New Roman" w:hAnsi="Times New Roman"/>
          <w:sz w:val="18"/>
        </w:rPr>
      </w:pPr>
      <w:r>
        <w:rPr>
          <w:rFonts w:ascii="Times New Roman" w:hAnsi="Times New Roman"/>
          <w:sz w:val="18"/>
        </w:rPr>
        <w:t xml:space="preserve">The underwriters expect to deliver the shares of common stock and pre-funded warrants against payment therefor on or about October 22, 2025.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i/>
          <w:sz w:val="20"/>
        </w:rPr>
        <w:t>Joint Book-Running Managers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8"/>
        <w:gridCol w:w="101"/>
        <w:gridCol w:w="2552"/>
        <w:gridCol w:w="101"/>
        <w:gridCol w:w="2552"/>
        <w:gridCol w:w="101"/>
        <w:gridCol w:w="2450"/>
      </w:tblGrid>
      <w:tr>
        <w:trPr/>
        <w:tc>
          <w:tcPr>
            <w:tcW w:w="234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348" w:type="dxa"/>
            <w:tcBorders/>
          </w:tcPr>
          <w:p>
            <w:pPr>
              <w:pStyle w:val="TableContents"/>
              <w:bidi w:val="0"/>
              <w:spacing w:before="0" w:after="283"/>
              <w:jc w:val="left"/>
              <w:rPr>
                <w:b/>
              </w:rPr>
            </w:pPr>
            <w:r>
              <w:rPr>
                <w:b/>
              </w:rPr>
              <w:t>Jefferies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Leerink Partners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Morgan Stanley</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right"/>
              <w:rPr>
                <w:b/>
              </w:rPr>
            </w:pPr>
            <w:r>
              <w:rPr>
                <w:b/>
              </w:rPr>
              <w:t>Cantor</w:t>
            </w:r>
          </w:p>
        </w:tc>
      </w:tr>
    </w:tbl>
    <w:p>
      <w:pPr>
        <w:pStyle w:val="TextBody"/>
        <w:bidi w:val="0"/>
        <w:spacing w:before="240" w:after="0"/>
        <w:jc w:val="center"/>
        <w:rPr>
          <w:rFonts w:ascii="Times New Roman" w:hAnsi="Times New Roman"/>
          <w:sz w:val="20"/>
        </w:rPr>
      </w:pPr>
      <w:r>
        <w:rPr>
          <w:rFonts w:ascii="Times New Roman" w:hAnsi="Times New Roman"/>
          <w:i/>
          <w:sz w:val="20"/>
        </w:rPr>
        <w:t>Co-Managers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2"/>
        <w:gridCol w:w="101"/>
        <w:gridCol w:w="5002"/>
      </w:tblGrid>
      <w:tr>
        <w:trPr/>
        <w:tc>
          <w:tcPr>
            <w:tcW w:w="510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center"/>
              <w:rPr>
                <w:b/>
              </w:rPr>
            </w:pPr>
            <w:r>
              <w:rPr>
                <w:b/>
              </w:rPr>
              <w:t>Wedbush PacGrow</w:t>
            </w:r>
          </w:p>
        </w:tc>
        <w:tc>
          <w:tcPr>
            <w:tcW w:w="101"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283"/>
              <w:jc w:val="center"/>
              <w:rPr>
                <w:b/>
              </w:rPr>
            </w:pPr>
            <w:r>
              <w:rPr>
                <w:b/>
              </w:rPr>
              <w:t>H.C. Wainwright &amp; Co.</w:t>
            </w:r>
          </w:p>
        </w:tc>
      </w:tr>
    </w:tbl>
    <w:p>
      <w:pPr>
        <w:pStyle w:val="TextBody"/>
        <w:bidi w:val="0"/>
        <w:spacing w:before="240" w:after="0"/>
        <w:jc w:val="center"/>
        <w:rPr>
          <w:rFonts w:ascii="Times New Roman" w:hAnsi="Times New Roman"/>
          <w:b/>
          <w:sz w:val="18"/>
        </w:rPr>
      </w:pPr>
      <w:r>
        <w:rPr>
          <w:rFonts w:ascii="Times New Roman" w:hAnsi="Times New Roman"/>
          <w:b/>
          <w:sz w:val="18"/>
        </w:rPr>
        <w:t xml:space="preserve">October 20,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vAlign w:val="bottom"/>
          </w:tcPr>
          <w:p>
            <w:pPr>
              <w:pStyle w:val="TableContents"/>
              <w:bidi w:val="0"/>
              <w:spacing w:before="0" w:after="283"/>
              <w:jc w:val="center"/>
              <w:rPr>
                <w:b/>
                <w:u w:val="single"/>
              </w:rPr>
            </w:pPr>
            <w:r>
              <w:rPr>
                <w:b/>
                <w:u w:val="single"/>
              </w:rPr>
              <w:t>Page</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271637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271637_2">
              <w:r>
                <w:rPr>
                  <w:rStyle w:val="InternetLink"/>
                  <w:rFonts w:ascii="Times New Roman" w:hAnsi="Times New Roman"/>
                  <w:sz w:val="20"/>
                </w:rPr>
                <w:t>Cautionary Statement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S-iv</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271637_3">
              <w:r>
                <w:rPr>
                  <w:rStyle w:val="InternetLink"/>
                  <w:rFonts w:ascii="Times New Roman" w:hAnsi="Times New Roman"/>
                  <w:sz w:val="20"/>
                </w:rPr>
                <w:t>Prospectus Supplement 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271637_4">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271637_5">
              <w:r>
                <w:rPr>
                  <w:rStyle w:val="InternetLink"/>
                  <w:rFonts w:ascii="Times New Roman" w:hAnsi="Times New Roman"/>
                  <w:sz w:val="20"/>
                </w:rPr>
                <w:t>Dividend Policy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271637_6">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271637_7">
              <w:r>
                <w:rPr>
                  <w:rStyle w:val="InternetLink"/>
                  <w:rFonts w:ascii="Times New Roman" w:hAnsi="Times New Roman"/>
                  <w:sz w:val="20"/>
                </w:rPr>
                <w:t>Dilution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271637_8">
              <w:r>
                <w:rPr>
                  <w:rStyle w:val="InternetLink"/>
                  <w:rFonts w:ascii="Times New Roman" w:hAnsi="Times New Roman"/>
                  <w:sz w:val="20"/>
                </w:rPr>
                <w:t>Selling Stockholder</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271637_9">
              <w:r>
                <w:rPr>
                  <w:rStyle w:val="InternetLink"/>
                  <w:rFonts w:ascii="Times New Roman" w:hAnsi="Times New Roman"/>
                  <w:sz w:val="20"/>
                </w:rPr>
                <w:t>Description of Pre-Funded Warrants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271637_10">
              <w:r>
                <w:rPr>
                  <w:rStyle w:val="InternetLink"/>
                  <w:rFonts w:ascii="Times New Roman" w:hAnsi="Times New Roman"/>
                  <w:sz w:val="20"/>
                </w:rPr>
                <w:t>Material U.S. Federal Income Tax Consequences for Investors in Common Stock</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271637_11">
              <w:r>
                <w:rPr>
                  <w:rStyle w:val="InternetLink"/>
                  <w:rFonts w:ascii="Times New Roman" w:hAnsi="Times New Roman"/>
                  <w:sz w:val="20"/>
                </w:rPr>
                <w:t>Underwriting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271637_12">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S-38</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271637_13">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S-38</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271637_14">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S-38</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271637_15">
              <w:r>
                <w:rPr>
                  <w:rStyle w:val="InternetLink"/>
                  <w:rFonts w:ascii="Times New Roman" w:hAnsi="Times New Roman"/>
                  <w:sz w:val="20"/>
                </w:rPr>
                <w:t>Incorporation of Certain Information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S-39</w:t>
            </w:r>
          </w:p>
        </w:tc>
        <w:tc>
          <w:tcPr>
            <w:tcW w:w="62" w:type="dxa"/>
            <w:tcBorders/>
            <w:vAlign w:val="bottom"/>
          </w:tcPr>
          <w:p>
            <w:pPr>
              <w:pStyle w:val="TableContents"/>
              <w:bidi w:val="0"/>
              <w:spacing w:before="0" w:after="283"/>
              <w:jc w:val="left"/>
              <w:rPr/>
            </w:pPr>
            <w:r>
              <w:rPr/>
              <w:t> </w:t>
            </w:r>
          </w:p>
        </w:tc>
      </w:tr>
    </w:tbl>
    <w:p>
      <w:pPr>
        <w:pStyle w:val="TextBody"/>
        <w:bidi w:val="0"/>
        <w:spacing w:before="400" w:after="0"/>
        <w:jc w:val="center"/>
        <w:rPr>
          <w:rFonts w:ascii="Times New Roman" w:hAnsi="Times New Roman"/>
          <w:b/>
          <w:sz w:val="20"/>
        </w:rPr>
      </w:pPr>
      <w:r>
        <w:rPr>
          <w:rFonts w:ascii="Times New Roman" w:hAnsi="Times New Roman"/>
          <w:b/>
          <w:sz w:val="20"/>
        </w:rPr>
        <w:t xml:space="preserve">PROSPECTUS DATED AUGUST 8,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1637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1637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1637_3">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1637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1637_5">
              <w:r>
                <w:rPr>
                  <w:rStyle w:val="InternetLink"/>
                  <w:rFonts w:ascii="Times New Roman" w:hAnsi="Times New Roman"/>
                  <w:sz w:val="20"/>
                </w:rPr>
                <w:t>ABOUT 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1637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1637_8">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1637_9">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1637_10">
              <w:r>
                <w:rPr>
                  <w:rStyle w:val="InternetLink"/>
                  <w:rFonts w:ascii="Times New Roman" w:hAnsi="Times New Roman"/>
                  <w:sz w:val="20"/>
                </w:rPr>
                <w:t>GENERAL DESCRIPTION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1637_11">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1637_12">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1637_13">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1637_14">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1637_15">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1637_16">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1637_17">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bl>
    <w:p>
      <w:pPr>
        <w:pStyle w:val="TextBody"/>
        <w:bidi w:val="0"/>
        <w:spacing w:before="400" w:after="0"/>
        <w:jc w:val="center"/>
        <w:rPr>
          <w:rFonts w:ascii="Times New Roman" w:hAnsi="Times New Roman"/>
          <w:b/>
          <w:sz w:val="20"/>
        </w:rPr>
      </w:pPr>
      <w:r>
        <w:rPr>
          <w:rFonts w:ascii="Times New Roman" w:hAnsi="Times New Roman"/>
          <w:b/>
          <w:sz w:val="20"/>
        </w:rPr>
        <w:t xml:space="preserve">PROSPECTUS DATED JANUARY 24,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86"/>
        <w:gridCol w:w="128"/>
        <w:gridCol w:w="60"/>
        <w:gridCol w:w="269"/>
        <w:gridCol w:w="62"/>
      </w:tblGrid>
      <w:tr>
        <w:trPr/>
        <w:tc>
          <w:tcPr>
            <w:tcW w:w="9686"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86" w:type="dxa"/>
            <w:tcBorders/>
            <w:vAlign w:val="bottom"/>
          </w:tcPr>
          <w:p>
            <w:pPr>
              <w:pStyle w:val="TableContents"/>
              <w:bidi w:val="0"/>
              <w:spacing w:before="0" w:after="0"/>
              <w:jc w:val="left"/>
              <w:rPr/>
            </w:pPr>
            <w:hyperlink w:anchor="toc2271637_1">
              <w:r>
                <w:rPr>
                  <w:rStyle w:val="InternetLink"/>
                  <w:rFonts w:ascii="Times New Roman" w:hAnsi="Times New Roman"/>
                  <w:sz w:val="20"/>
                </w:rPr>
                <w:t>ABOUT THIS PROSPECTUS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2">
              <w:r>
                <w:rPr>
                  <w:rStyle w:val="InternetLink"/>
                  <w:rFonts w:ascii="Times New Roman" w:hAnsi="Times New Roman"/>
                  <w:sz w:val="20"/>
                </w:rPr>
                <w:t>CAUTIONARY STATEMENT REGARDING FORWARD-LOOKING STATEMENTS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3">
              <w:r>
                <w:rPr>
                  <w:rStyle w:val="InternetLink"/>
                  <w:rFonts w:ascii="Times New Roman" w:hAnsi="Times New Roman"/>
                  <w:sz w:val="20"/>
                </w:rPr>
                <w:t>THE COMPANY</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4">
              <w:r>
                <w:rPr>
                  <w:rStyle w:val="InternetLink"/>
                  <w:rFonts w:ascii="Times New Roman" w:hAnsi="Times New Roman"/>
                  <w:sz w:val="20"/>
                </w:rPr>
                <w:t>THE OFFERING</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5">
              <w:r>
                <w:rPr>
                  <w:rStyle w:val="InternetLink"/>
                  <w:rFonts w:ascii="Times New Roman" w:hAnsi="Times New Roman"/>
                  <w:sz w:val="20"/>
                </w:rPr>
                <w:t>RISK FACTORS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6">
              <w:r>
                <w:rPr>
                  <w:rStyle w:val="InternetLink"/>
                  <w:rFonts w:ascii="Times New Roman" w:hAnsi="Times New Roman"/>
                  <w:sz w:val="20"/>
                </w:rPr>
                <w:t>SELECTED FINANCIAL DATA</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7">
              <w:r>
                <w:rPr>
                  <w:rStyle w:val="InternetLink"/>
                  <w:rFonts w:ascii="Times New Roman" w:hAnsi="Times New Roman"/>
                  <w:sz w:val="20"/>
                </w:rPr>
                <w:t>USE OF PROCEEDS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8">
              <w:r>
                <w:rPr>
                  <w:rStyle w:val="InternetLink"/>
                  <w:rFonts w:ascii="Times New Roman" w:hAnsi="Times New Roman"/>
                  <w:sz w:val="20"/>
                </w:rPr>
                <w:t>DESCRIPTION OF CAPITAL STOCK</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9">
              <w:r>
                <w:rPr>
                  <w:rStyle w:val="InternetLink"/>
                  <w:rFonts w:ascii="Times New Roman" w:hAnsi="Times New Roman"/>
                  <w:sz w:val="20"/>
                </w:rPr>
                <w:t>SELLING STOCKHOLDERS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10">
              <w:r>
                <w:rPr>
                  <w:rStyle w:val="InternetLink"/>
                  <w:rFonts w:ascii="Times New Roman" w:hAnsi="Times New Roman"/>
                  <w:sz w:val="20"/>
                </w:rPr>
                <w:t>PLAN OF DISTRIBUTION</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11">
              <w:r>
                <w:rPr>
                  <w:rStyle w:val="InternetLink"/>
                  <w:rFonts w:ascii="Times New Roman" w:hAnsi="Times New Roman"/>
                  <w:sz w:val="20"/>
                </w:rPr>
                <w:t>LEGAL MATTERS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12">
              <w:r>
                <w:rPr>
                  <w:rStyle w:val="InternetLink"/>
                  <w:rFonts w:ascii="Times New Roman" w:hAnsi="Times New Roman"/>
                  <w:sz w:val="20"/>
                </w:rPr>
                <w:t>EXPERTS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13">
              <w:r>
                <w:rPr>
                  <w:rStyle w:val="InternetLink"/>
                  <w:rFonts w:ascii="Times New Roman" w:hAnsi="Times New Roman"/>
                  <w:sz w:val="20"/>
                </w:rPr>
                <w:t>WHERE YOU CAN FIND MORE INFORMATION; INCORPORATION BY REFERENCE</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271637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an automatic shelf registration statement on Form S-3 (File No. 333-281359) that we filed with the Securities and Exchange Commission, or SEC, on August 8, 2024 as a “well-known seasoned issuer” as defined in Rule 405 of the Securities Act and part of a resale registration statement on Form S-3 (File No. 333-269270) that we filed with the SEC on January 17, 2023 covering the shares being offered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of common stock and pre-funded warrants. The second part is the accompanying prospectuses, which provide more general information, some of which may not apply to this offering. The information included or incorporated by reference in this prospectus supplement also adds to, updates and changes information contained or incorporated by reference in the accompanying prospectuses. If information included or incorporated by reference in this prospectus supplement is inconsistent with the accompanying prospectuses or the information incorporated by reference therein, then this prospectus supplement or the information incorporated by reference in this prospectus supplement will apply and will supersede the information in the accompanying prospectuses and the documents incorporated by reference therein. However, if any statement in one of these documents is inconsistent with a statement in another document with a later date that is incorporated by reference herein, the statement in the document having the later date modifies and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Before buying any of the shares of common stock or pre-funded warrants offered hereby, we urge you to read carefully this prospectus supplement and the accompanying prospectuses, together with the information incorporated herein by reference as described below under the heading “Incorporation of Certain Information by Reference,” as well as the additional information described in this prospectus supplement under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None of us, the selling stockholder or the underwriters have authorized anyone to provide you with information other than the information that we have provided or incorporated by reference in this prospectus supplement and the accompanying prospectuses and your reliance on any unauthorized information or representation is at your own risk.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and pre-funded warrants. Our business, financial condition and results of operations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common stock and pre-funded warrants only in jurisdictions where offers and sales are permitted. The distribution of this prospectus supplement and the accompanying prospectuses and the offering of the common stock and pre-funded warrants in certain jurisdictions may be restricted by law. No action is being taken in any jurisdiction outside the United States to permit a public offering of the securities or possession or distribution of this prospectus supplement or the accompanying prospectuses in that jurisdiction. Persons outside the United States who come into possession of this prospectus supplement and the accompanying prospectuses must inform themselves about, and observe any restrictions relating to, the offering of the common stock and pre-funded warrants and the distribution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prospectus supplement and the accompanying prospectuses outside the United States. This prospectus supplement and the accompanying prospectuses do not constitute, and may not be used in connection with, an offer to sell, or a solicitation of an offer to buy, any securities offered by this prospectus supplement and the accompanying prospectuses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On December 29, 2022, we acquired Disc Medicine Opco, Inc. (formerly Disc Medicine, Inc.), or Private Disc, pursuant to an agreement and plan of merger, or the Merger, and we changed our name to Disc Medicine, Inc. on December 29, 2022. As used in this prospectus supplement,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prospectus supplement and the accompanying prospectuses to our consolidated financial statements include the related notes thereto. </w:t>
      </w:r>
    </w:p>
    <w:p>
      <w:pPr>
        <w:pStyle w:val="TextBody"/>
        <w:bidi w:val="0"/>
        <w:spacing w:before="240" w:after="0"/>
        <w:jc w:val="left"/>
        <w:rPr>
          <w:rFonts w:ascii="Times New Roman" w:hAnsi="Times New Roman"/>
          <w:sz w:val="20"/>
        </w:rPr>
      </w:pPr>
      <w:r>
        <w:rPr>
          <w:rFonts w:ascii="Times New Roman" w:hAnsi="Times New Roman"/>
          <w:sz w:val="20"/>
        </w:rPr>
        <w:t xml:space="preserve">Disc Medicine, Inc., the Disc logo and our other registered or common law trademarks, trade names or service marks appearing in this prospectus supplement are owned by us. All other trademarks or trade names referred to in this prospectus supplement are the property of their respective owners. Solely for convenience, the trademarks and trade names in this prospectus supplement are referred to without the symbols® and,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271637_2"/>
      <w:bookmarkEnd w:id="4"/>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prospectuses and the documents that we incorporate by reference, contain “forward-looking statements” within the meaning of Section 27A of the Securities Act and Section 21E of the Exchange Act. All statements, other than statements of historical facts, included in this prospectus supplement and the accompanying prospectuses,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results, and cost of our research and development programs and our current and future preclinical studies and clinical trials, including our ongoing APOLLO clinical trial of bitopertin, our ongoing and planned clinical trials of DISC-0974 and our ongoing and planned clinical trials of DISC-3405, and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efficiently discover and develop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the potential to successfully manufacture our drug substances and product candidates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necessary to complete further development and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seek and obtain approval for bitopertin under the U.S. Food and Drug Administration’s, or FDA’s, Accelerated Approval Program, including the FDA’s acceptance of the APOLLO clinical study as a post-marketing confirmatory trial, whether the FDA will accept our NDA submission for filing, and whether the NDA submission will meet the standards for accelerated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the FDA Commissioner’s National Priority Voucher, or CNPV, with respect to our NDA submission, including the timeline for FDA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our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revenues,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collaboration agreements, our ability to enter into strategic collaborations or arrangements,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commercialization of product candidates and any other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remediate the material weakness in our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produce our products or product candidates with advantages in turnaround times or manufacturing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global economic and political developments on our business, including rising inflation and capital market disruptions, geopolitical conflicts, including the conflicts between Russia and Ukraine and in the Middle East, economic sanctions and economic slowdowns or recessions that may result from such developments which could harm our research and development efforts as well as the value of our common stock and our ability to access capital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listed under the caption “Risk Factors;”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use of the proceeds from this offering and any other financing transaction we may undertake.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You should therefore not rely on these forward-looking statements as representing our views as of any date subsequent to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supplement or the accompanying prospectuses, their estimates, in particular, as they relate to projections, involve numerous assumptions, are subject to risks and uncertainties and are subject to change based on various factors. You should read this prospectus supplement, the accompanying prospectuses and the documents that we reference herein and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those discussed in our Quarterly Report on Form 10-Q for the quarter ended June 30, 2025 filed with the SEC on August 7, 2025, which is incorporated by reference into this prospectus supplement and the accompanying prospectuses, and the section of this prospectus supplement and the accompanying prospectuses entitled “Risk Factors”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into which we may enter.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x271637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about us and this offering and does not contain all of the information that you should consider before investing in our common stock or pre-funded warrants. You should read this prospectus supplement, the accompanying prospectuses and the documents incorporated by reference herein and therein carefully, especially those associated with the risks of investing in our common stock or pre-funded warrants discussed under “Risk Factors” beginning on page S-7 of this prospectus supplement and in the section entitled “Risk Factors” of our quarterly report on Form 10-Q for the quarter ended June 30, 2025, filed with the SEC on August 7, 2025, and any subsequent reports we file with the SEC after the date of this prospectus supplement,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anemia of inflammatory bowl disease, or IBD, and anemia of chronic kidney disease, or CKD; and DISC-3405 for the treatment of polycythemia vera, or PV, sickle cell disease, or SCD, and other hematologic disorders. In addition, our preclinical programs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 In June and December 2023, we presented interim data from BEACON, a Phase 2 open-label, parallel-dose clinical trial of bitopertin in EPP and XLP patients conducted at sites in Australia. In April 2024, we presented topline data from AURORA, a Phase 2, randomized, double-blind, placebo-controlled clinical trial of bitopertin in EPP patients conducted at sites in the United States. Additional analyses of the BEACON and AURORA trials were presented in June 2024 and in December 2024. In both trials, bitopertin significantly reduced the toxic metabolite, protoporphyrin IX, or PPIX, and was associated with improvements in measures of time spent in sunlight and quality of life, demonstrating a clear association between PPIX reduction and clinical endpoints. In addition, bitopertin was generally well-tolerated. All participants who complete AURORA or BEACON are eligible to participate in HELIOS, an ongoing open-label, long-term extension study of bitopertin in EPP and XLP. In June 2025, we presented interim data from HELIOS, in which longer term treatment of bitopertin was associated with sustained reductions in PPIX, as well as improvements in quality of life, and improved liver biomarkers. In our end-of-Phase 2 meeting, the U.S. Food &amp; Drug Administration, or the FDA, agreed with the potential for reduction of PPIX to serve as a surrogate endpoint to support a potential accelerated approval of bitopertin in EPP and XLP. In our Type C meeting with the FDA in December 2024, we aligned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FDA on the design of APOLLO, a randomized, double-blind, placebo-controlled, clinical trial of bitopertin in EPP and XLP patients that in the setting of an accelerated approval would serve as a post-marketing confirmatory clinical trial. APOLLO is also intended to serve as a registrational trial with respect to any potential future marketing applications for bitopertin in EPP and XLP in jurisdictions outside the United States. We initiated the APOLLO trial in May 2025, and on September 29, 2025 we submitted an NDA for accelerated approval of bitopertin in EPP and XLP in the United States based on our existing data. We have also entered into a collaborative research and development agreement with the National Institutes of Health to conduct a clinical trial of bitopertin in DBA, which began in July 2023. We are planning additional trials of bitopertin in other indications.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DISC-0974 is the lead product candidate in our iron homeostasis portfolio and was licensed from AbbVie Deutschland GmbH &amp; Co. KG, or AbbVie. DISC-0974 is designed to suppress hepcidin production and increase serum iron levels. We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as well as additional interim data for anemia of MF in June 2024 and for non-dialysis dependent CKD and anemia in October 2024. This additional interim data included safety data and changes in hepcidin, iron, and hemoglobin levels for additional patients, as well as longer follow-up. In December 2024, we presented additional analyses of the Phase 1b study in anemia of MF, and in June 2025 we presented longer term data from the continuation phase of this study. We initiated RALLY-MF, the open-label Phase 2 portion of this clinical trial, in December 2024 and we expect to report initial data from this Phase 2 trial by the end of 2025. Topline data from this trial is expected in 2026, which, if positive, is expected to support discussion with regulatory agencies on the potential regulatory path for DISC-0974 in anemia of MF. We also expect to report data from the multiple dose portion of the Phase 1b trial in patients with non-dialysis dependent CKD and anemia at the American Society of Nephrology (ASN) Kidney Week in November 2025. We are also planning additional trials of DISC-0974 in other anemias of inflammation. In addition, we are developing a preclinical anti-hemojuvelin monoclonal antibody, DISC-0998, which also targets hepcidin suppression and was licensed from AbbVie. DISC-0998 is designed to increase serum iron levels and has an extended serum half-life as compared to DISC-0974. We believe this profile may be desirable in certain subsets of patients with anemia associated with inflammatory diseases.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We initiated a Phase 1 clinical trial of DISC-3405 in healthy adult volunteers in October 2023 and presented interim data from the single-ascending dose, or SAD, portion of this clinical trial in June 2024. We presented data from the multiple-ascending dose, or MAD, portion of this Phase 1 healthy volunteer study of DISC-3405 in December 2024, and presented updated data from both the SAD and MAD portions of this clinical trial in June 2025. We are developing DISC-3405 for the treatment of PV, SCD and other hematologic disorders and initiated a Phase 2 clinical trial of DISC-3405 in PV in the first half of 2025, with topline data expected in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Bitopertin: GlyT1 Inhibitor (Heme Synthesis Modulator)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October 16, 2025, we announced that we received a Commissioner’s National Priority Voucher, or CNPV, from the FDA for bitopertin in EPP and XLP. The CNPV program, announced in June 2025, is designed to accelerate the development and review of certain drugs aligned with US national health priorities by offering the opportunity to reduce drug application review times to one to two months. The voucher entitles the recipient to certain benefits, including enhanced communications and rolling review to allow for shortened review time. We plan to accelerate activities to support a potential US approval and launch of bitopertin for EPP and XLP in late 2025 or early 2026 based on the accelerated review timeline associated with receipt of the CNPV.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DISC-0974: Anti-hemojuvelin Antibody (Hepcidin Suppression)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October 20, 2025, we announced that our recently completed Phase 1b, double-blind, placebo-controlled study of DISC-0974 demonstrated engagement of mechanism in non-dialysis dependent CKD and anemia with variable effects on hemoglobin. In this trial, DISC-0974 was generally well-tolerated and associated with substantial decreases in hepcidin, increases in iron, and improvements in markers of erythropoiesis. Meaningful hemoglobin increases observed in only a subset of patients were in part driven by those with higher baseline erythropoietin levels. We expect to report full data at ASN Kidney Week in November 2025, and we are assessing options for our DISC-0974 non-dialysis dependent CKD and anemia program based on full analysis of this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on October 20, 2025, we announced that we plan to initiate a Phase 2 clinical trial of DISC- 0974 in patients with IBD and anemia in the first quarter of 2026, and that we are planning exploratory studies in additional patient populations with anemia of chronic disease.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DISC-3405: Anti-TMPRRS6 Antibody (Hepcidin Induction)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October 20, 2025, we announced that we plan to initiate a Phase 1b clinical trial of DISC-3405 in patients with SCD by year end and plan to explore the role of therapeutic iron restriction in other indications.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Preliminary Unaudited Financial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Based upon preliminary estimates and information available to us as of the date of this prospectus supplement, as of September 30, 2025, we had approximately $615.9 million in cash, cash equivalents and marketable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estimate as of September 30, 2025 is preliminary. We are in the process of finalizing the actual results of operations as of and for the nine months ended September 30, 2025 and therefore final results are not yet available. This preliminary estimate is based solely upon information available to us as of the date of this prospectus supplement and our actual results may differ from this estimate due to the completion of our financial statement closing procedures, final adjustments, and developments that may arise between now and the time our financial results as of and for the nine months ended September 30, 2025 are finalized. Additionally, our independent registered public accounting firm has not yet completed its review of our condensed consolidated financial statements as of and for the nine months ended September 30, 2025. Additional information and disclosure would be required for a more complete understanding of our financial position and results of operations as of and for the nine months ended September 30, 2025. Investors should refer to the actual results and the unaudited condensed consolidated financial statements as of and for the nine months ended September 30, 2025 once they become available upon filing of our Quarterly Report on Form 10-Q.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independent registered public accounting firm has not audited, reviewed or performed any procedures with respect to these preliminary estimates and, accordingly, does not express an opinion or any other form of assurance about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CORPORATE HISTORY AND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Disc Medicine, Inc. was originally incorporated under the laws of the state of Delaware in October 2017, and changed its name to Disc Medicine Opco, Inc., or Disc Opco, in December 2022. On December 29, 2022, we completed our business combination with Gemini Therapeutics, Inc., or Gemini, in accordance with the terms of the Agreement and Plan of Merger and Reorganization, dated as of August 9, 2022, or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321 Arsenal Street, Suite 101, Watertown, MA 02472, and our telephone number is (617) 674-9274. We maintain an Internet website at the following address: www.discmedicine.com. Information contained on our website is not incorporated by reference into this prospectus supplement or the accompanying prospectuses, and you should not consider any information on, or that can be accessed from, our website as part of this prospectus supplement or the accompanying prospectuses.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Disc Medicine,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Selling stockholder </w:t>
            </w:r>
          </w:p>
        </w:tc>
        <w:tc>
          <w:tcPr>
            <w:tcW w:w="6326" w:type="dxa"/>
            <w:tcBorders/>
          </w:tcPr>
          <w:p>
            <w:pPr>
              <w:pStyle w:val="TableContents"/>
              <w:bidi w:val="0"/>
              <w:spacing w:before="0" w:after="283"/>
              <w:jc w:val="left"/>
              <w:rPr/>
            </w:pPr>
            <w:r>
              <w:rPr/>
              <w:t xml:space="preserve">AI DMI LLC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7" w:type="dxa"/>
            <w:tcBorders/>
          </w:tcPr>
          <w:p>
            <w:pPr>
              <w:pStyle w:val="TableContents"/>
              <w:bidi w:val="0"/>
              <w:spacing w:before="0" w:after="283"/>
              <w:jc w:val="left"/>
              <w:rPr/>
            </w:pPr>
            <w:r>
              <w:rPr/>
              <w:t xml:space="preserve">2,619,049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 </w:t>
            </w:r>
          </w:p>
        </w:tc>
        <w:tc>
          <w:tcPr>
            <w:tcW w:w="6328" w:type="dxa"/>
            <w:tcBorders/>
          </w:tcPr>
          <w:p>
            <w:pPr>
              <w:pStyle w:val="TableContents"/>
              <w:bidi w:val="0"/>
              <w:spacing w:before="0" w:after="283"/>
              <w:jc w:val="left"/>
              <w:rPr/>
            </w:pPr>
            <w:r>
              <w:rPr/>
              <w:t xml:space="preserve">297,619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Pre-funded warrants offered by us </w:t>
            </w:r>
          </w:p>
        </w:tc>
        <w:tc>
          <w:tcPr>
            <w:tcW w:w="6328" w:type="dxa"/>
            <w:tcBorders/>
          </w:tcPr>
          <w:p>
            <w:pPr>
              <w:pStyle w:val="TableContents"/>
              <w:bidi w:val="0"/>
              <w:spacing w:before="0" w:after="283"/>
              <w:jc w:val="left"/>
              <w:rPr/>
            </w:pPr>
            <w:r>
              <w:rPr/>
              <w:t xml:space="preserve">We are also offering, in lieu of common stock to certain investors that so choose, pre-funded warrants to purchase 59,523 shares of our common stock. Each pre-funded warrant is exercisable for one share of our common stock. The purchase price of each pre-funded warrant will equal the price per share at which shares of common stock are being sold to the public in this offering, less $0.0001, which is the exercise price of each pre-funded warrant. The pre-funded warrants do not expire, and each pre-funded warrant will be exercisable at any time after the date of issuance, subject to an ownership limitation and in some cases clearance under the HSR Act. See “Description of Pre-Funded Warrants.” This prospectus supplement also relates to the offering of the shares of our common stock issuable upon exercise of the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immediately after this offering </w:t>
            </w:r>
          </w:p>
        </w:tc>
        <w:tc>
          <w:tcPr>
            <w:tcW w:w="6329" w:type="dxa"/>
            <w:tcBorders/>
          </w:tcPr>
          <w:p>
            <w:pPr>
              <w:pStyle w:val="TableContents"/>
              <w:bidi w:val="0"/>
              <w:spacing w:before="0" w:after="283"/>
              <w:jc w:val="left"/>
              <w:rPr/>
            </w:pPr>
            <w:r>
              <w:rPr/>
              <w:t xml:space="preserve">37,313,931 shares (assuming no exercise of any pre-funded warrants offered and sold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 to purchase additional shares </w:t>
            </w:r>
          </w:p>
        </w:tc>
        <w:tc>
          <w:tcPr>
            <w:tcW w:w="6327" w:type="dxa"/>
            <w:tcBorders/>
          </w:tcPr>
          <w:p>
            <w:pPr>
              <w:pStyle w:val="TableContents"/>
              <w:bidi w:val="0"/>
              <w:spacing w:before="0" w:after="283"/>
              <w:jc w:val="left"/>
              <w:rPr/>
            </w:pPr>
            <w:r>
              <w:rPr/>
              <w:t xml:space="preserve">The selling stockholder has granted the underwriters a 30-day option to purchase up to 446,428 additional shares of our common stock from the selling stockholder at the public offering price less the underwriting discounts and commissions.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currently intend to use the net proceeds from this offering, together with our existing cash, cash equivalents and marketable securities, to support the potential commercialization of bitopertin for EPP and XLP, to fund research and clinical development of our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We will not receive any proceeds from the sale of shares of our common stock by the selling stockholder. See “Use of Proceeds” on page S-13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Your investment involves a high degree of risk. You should read the “Risk Factors” section of this prospectus supplement beginning on page S-7 and in our Quarterly Report on Form 10-Q for the quarter ended June 30, 2025, as well as the other documents incorporated by reference in this prospectus supplement and the accompanying prospectuses for a discussion of factors to consider carefully before deciding to invest in our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Market symbol </w:t>
            </w:r>
          </w:p>
        </w:tc>
        <w:tc>
          <w:tcPr>
            <w:tcW w:w="6329" w:type="dxa"/>
            <w:tcBorders/>
          </w:tcPr>
          <w:p>
            <w:pPr>
              <w:pStyle w:val="TableContents"/>
              <w:bidi w:val="0"/>
              <w:spacing w:before="0" w:after="283"/>
              <w:jc w:val="left"/>
              <w:rPr/>
            </w:pPr>
            <w:r>
              <w:rPr/>
              <w:t>“</w:t>
            </w:r>
            <w:r>
              <w:rPr/>
              <w:t xml:space="preserve">IRON”.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There is no established public trading market for the pre-funded warrants, and we do not expect a market to develop. We do not intend to list the pre-funded warrants on the Nasdaq Global Market or any other national securities exchange or nationally recognized trading system.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that will be outstanding immediately after this offering as shown above is based on 34,694,882 shares outstanding as of June 30, 2025. The number of shares outstanding as of June 30, 2025 as used throughout this prospectus supplement,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3,452,796 shares of common stock issuable upon the exercise of stock options outstanding as of June 30, 2025, at a weighted average exercise price of $33.92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170,483 shares of common stock issuable upon the exercise of stock options granted subsequent to June 30, 2025, at a weighted average exercise price of $61.83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997,737 shares of common stock issuable upon the vesting of restricted stock units outstanding as of June 30,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136,152 shares of common stock issuable upon the vesting of restricted stock units granted subsequent to June 30,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1,527,300 shares of common stock available for issuance under our Amended and Restated 2021 Stock Option and Incentive Plan as of June 30,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290,167 shares of common stock available for future issuance under our Amended and Restated 2021 Employee Stock Purchase Plan as of June 30, 2025;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385,899 shares of common stock issuable upon the exercise of pre-funded warrants outstanding as of June 30, 2025.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this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exercise of the underwriters’ option to purchase up to 446,428 additional shares of common stock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exercise of the outstanding stock options or pre-funded warrants or vesting of restricted stock units as described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exercise of the pre-funded warrants that we are offering in this offering in lieu of common stock to certain investors;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reflect the potential issuance of up to $189.9 million of common stock that remains available for sale as of the date of this prospectus supplement under our Controlled Equity OfferingSM Sales Agreement, or Sales Agreement, with Cantor Fitzgerald &amp; Co. dated November 15,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271637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Your investment in our common stock or pre-funded warrants involves a high degree of risk. Before deciding whether to invest in our common stock or pre-funded warrants, you should carefully consider the risks discussed under the section captioned “Risk Factors” contained in our Quarterly Report on Form 10-Q for the quarter ended June 30, 2025 which is incorporated by reference in this prospectus supplement and the accompanying prospectuses in its entirety, together with other information in this prospectus supplement, the accompanying prospectuses and in our other filings with the SEC that we have incorporated by reference herein and therein. If any of these risks actually occurs, our business, financial condition, results of operations or cash flow could be seriously harmed. This could cause the trading price of our common stock to decline, resulting in a loss of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shares of our common stock or pre-funded warrants sold in this offering, you will experience immediate and substantial dilution. In addition, we may issue additional equity or convertible securities in the future, which may result in additional dilution to you. </w:t>
      </w:r>
    </w:p>
    <w:p>
      <w:pPr>
        <w:pStyle w:val="TextBody"/>
        <w:bidi w:val="0"/>
        <w:spacing w:before="120" w:after="0"/>
        <w:jc w:val="left"/>
        <w:rPr>
          <w:rFonts w:ascii="Times New Roman" w:hAnsi="Times New Roman"/>
          <w:sz w:val="20"/>
        </w:rPr>
      </w:pPr>
      <w:r>
        <w:rPr>
          <w:rFonts w:ascii="Times New Roman" w:hAnsi="Times New Roman"/>
          <w:sz w:val="20"/>
        </w:rPr>
        <w:t xml:space="preserve">Since the price per share of our common stock being offered is higher than the net tangible book value per share of our common stock, you will suffer dilution with respect to the net tangible book value of the shares of common stock or pre-funded warrants you purchase in this offering. Based on the public offering price of $84.00 per share of our common stock and $83.9999 per pre-funded warrant and our net tangible book value as of June 30, 2025, if you purchase shares of common stock or pre-funded warrants in this offering, you will suffer immediate dilution of $61.89 per share with respect to the net tangible book value of the common stock. For a more detailed discussion of the foregoing, see the section entitled “Dilution” below. To the extent outstanding stock options or pre-funded warrants are exercised, or restricted stock units vest and settle, there will be further dilution to investors. In addition, to the extent we need to raise additional capital in the future, under our Sales Agreement with Cantor Fitzgerald &amp; Co. or otherwise, and we issue additional shares of common stock or securities convertible or exchangeable for our common stock, our then existing stockholders may experience dilution and the new securities may have rights senior to those of our common stock offered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may use them in ways that you and other stockholders may not approve. </w:t>
      </w:r>
    </w:p>
    <w:p>
      <w:pPr>
        <w:pStyle w:val="TextBody"/>
        <w:bidi w:val="0"/>
        <w:spacing w:before="120" w:after="0"/>
        <w:jc w:val="left"/>
        <w:rPr>
          <w:rFonts w:ascii="Times New Roman" w:hAnsi="Times New Roman"/>
          <w:sz w:val="20"/>
        </w:rPr>
      </w:pPr>
      <w:r>
        <w:rPr>
          <w:rFonts w:ascii="Times New Roman" w:hAnsi="Times New Roman"/>
          <w:sz w:val="20"/>
        </w:rPr>
        <w:t xml:space="preserve">We currently expect to use the net proceeds of this offering to support the potential commercialization of bitopertin for EPP and XLP, to fund research and clinical development of our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We will not receive any proceeds from the sale of shares of our common stock by the selling stockholder. See “Use of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Further, the exercise of pre-funded warrants sold in this offering will result in further dilution to the holders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a substantial number of shares of our common stock in the public market after this offering could cause our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We had 34,694,882 shares of common stock outstanding as of June 30, 2025. We filed an automatic registration statement on Form S-3 (Registration No. 333-281359) that became automatically effective on August 8, 2024, and which registers the offer and sale from time to time of a variety of securities, including common stock, preferred stock, debt securities, warrants or units pursuant to one or more offerings at prices and terms to be determined at the time of sale. In addition, we filed a registration statement on Form S-3 (Registration No. 333-269270) that became effective on January 24, 2023, and which registers the offer and sale from time to time of our common stock by certain of our stockholders, including the selling stockholder, pursuant to one or more offerings at prices and terms to be determined at the time of sale. To the extent shares are sold into the market pursuant to these registration statements on Form S-3, under Rule 144 of the Securities Act or otherwise, particularly in substantial quantities, the market price of our common stock could decline.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pre-funded warrants, or the perception that such sales may occur, could adversely affect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may raise money through additional public or private offerings of our equity securities or equity-linked securities. For example, in November 2024, we entered into the Sales Agreement pursuant to which we may offer and sell, from time to time to or through Cantor Fitzgerald &amp; Co., acting as our sales agent, shares of common stock having an aggregate offering price of up to $200.0 million. As of the date of this prospectus supplement, we may issue and sell shares of our common stock having an aggregate offering price of up to $189.9 million under our “at-the-market” offering program. Any sales of our equity or equity-linked securities could have a material adverse effect on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we, our directors and executive officers and the selling stockholder have entered into lock-up agreements covering some or all of their equity ownership for a period of 45 days following this offering. The lock-up agreements are subject to various exceptions, and we, our directors and executive officers and the selling stockholder may be released from the lock-up agreements prior to the expiration of the lock-up period at the sole discretion of Jefferies LLC, Leerink Partners LLC and Morgan Stanley &amp; Co. LLC. See the section entitled “Underwriting.” Upon expiration or earlier release of the lock-up agreements, we and our directors and executive officers and the selling stockholder may sell previously locked-up shares into the market, which could adversely affect the market price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also expect that significant additional capital may be needed in the future to continue our planned operations. To raise capital, we may sell common stock, convertible securities or other equity securities in one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 transactions at prices and in a manner we determine from time to time. These sales, or the perception in the market that the holders of a large number of shares intend to sell shares, could reduce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a significant number of stock options and restricted stock units outstanding and our board of directors intends to grant additional stock options, and may also choose to issue additional restricted stock units, common stock, or securities convertible into or exchangeable for common stock, in the future in connection with a financing, an acquisition, employee arrangements or otherwise. In the event that the outstanding options are exercised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 of the shares of our common stock could be highly volatile, and purchasers of our common stock could incur substantial losses. </w:t>
      </w:r>
    </w:p>
    <w:p>
      <w:pPr>
        <w:pStyle w:val="TextBody"/>
        <w:bidi w:val="0"/>
        <w:spacing w:before="120" w:after="0"/>
        <w:jc w:val="left"/>
        <w:rPr>
          <w:rFonts w:ascii="Times New Roman" w:hAnsi="Times New Roman"/>
          <w:sz w:val="20"/>
        </w:rPr>
      </w:pPr>
      <w:r>
        <w:rPr>
          <w:rFonts w:ascii="Times New Roman" w:hAnsi="Times New Roman"/>
          <w:sz w:val="20"/>
        </w:rPr>
        <w:t xml:space="preserve">The volatility of our common stock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those described in the sections captioned “Risk Factors” in this prospectus supplement, the accompanying prospectuses and the documents incorporated by reference herein and therein. </w:t>
      </w:r>
    </w:p>
    <w:p>
      <w:pPr>
        <w:pStyle w:val="TextBody"/>
        <w:bidi w:val="0"/>
        <w:spacing w:before="240" w:after="0"/>
        <w:jc w:val="left"/>
        <w:rPr>
          <w:rFonts w:ascii="Times New Roman" w:hAnsi="Times New Roman"/>
          <w:sz w:val="20"/>
        </w:rPr>
      </w:pPr>
      <w:r>
        <w:rPr>
          <w:rFonts w:ascii="Times New Roman" w:hAnsi="Times New Roman"/>
          <w:sz w:val="20"/>
        </w:rPr>
        <w:t xml:space="preserve">As a result, you may not be able to sell your shares of common stock at or above the price at which you purchase them. In addition, the stock market in general, and the Nasdaq Global Market and the stock of biotechnology and emerging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stock market in general and the market for pharmaceutical and biotechnology companies in particular have experienced extreme volatility that has often been unrelated to the operating performance of particular companies. The market price for our common stock may be influenced by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new equity securities pursuant to a future offering, including issuances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developments, including announcements by competitors of new products or services or significant contracts, acquisitions, strategic partnerships,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quarterly operating results or those of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depth and liquidity of the market for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 perceptions of our company and the pharmaceutical and biotechnology industries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degree of success of competitive products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and preclinical studies, of our product candidates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U.S.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or failure to obtain, regulatory approvals, including approvals of NDAs from the FDA and our ability to use and benefit from accelerated regulatory pathways, including the CNPV program;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patent applications, issued patents,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our corporate strategy and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expenses related to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our efforts to discover, develop, acquire, or in-license additional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estimates as to financial results, development timelines, or recommendations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rumors or announcements regarding transactions involving our company 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and other national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described in this “Risk Factors” section.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the pre-funded warrants being offered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public trading market for the pre-funded warrants being offered in this offering, and we do not expect a market to develop. In addition, we do not intend to list the pre-funded warrants on the Nasdaq Global Market or any other national securities exchange or nationally recognized trading system. Without an active trading market, the liquidity of the pre-funded warrants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not receive a significant amount or any additional funds upon the exercise of the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is exercisable for $0.0001 per share of common stock underlying such pre-funded warrant, which may be paid by way of a cashless exercise, in which the holder would receive upon such exercise the net number of shares of common stock determined according to the formula set forth in the pre-funded warrant. Accordingly, we will not receive a significant amount of additional funds (if any) upon the exercise of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Except for the right to participate in certain dividends and distributions, holders of the pre-funded warrants will have no rights as stockholders until such holders exercise their pre-funded warrants and acquire shares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the pre-funded warrants exercise their pre-funded warrants and acquire shares of our common stock, such holders will have no rights with respect to the shares of common stock underlying such pre-funded warrants, except that the holder of a pre-funded warrant shall be entitled to participate in certain distributions, including cash dividends, if any, to all holders of our common stock for no consideration, subject to certain ownership limitations and in some cases clearance under the HSR Act. Upon exercise of the pre-funded warrants, the holders will be entitled to exercise the rights of a holder of common stock only as to matters for which the record date occurs after the exercise date. See “Description of Pre-Funded Warrants—No Rights as a Stockholder.”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holders or beneficial holders of our common stock may not be permitted to exercise pre-funded warrants that they hold. </w:t>
      </w:r>
    </w:p>
    <w:p>
      <w:pPr>
        <w:pStyle w:val="TextBody"/>
        <w:bidi w:val="0"/>
        <w:spacing w:before="120" w:after="0"/>
        <w:jc w:val="left"/>
        <w:rPr>
          <w:rFonts w:ascii="Times New Roman" w:hAnsi="Times New Roman"/>
          <w:sz w:val="20"/>
        </w:rPr>
      </w:pPr>
      <w:r>
        <w:rPr>
          <w:rFonts w:ascii="Times New Roman" w:hAnsi="Times New Roman"/>
          <w:sz w:val="20"/>
        </w:rPr>
        <w:t xml:space="preserve">A holder of a pre-funded warrant will not be entitled to exercise any portion of any pre-funded warrant which, upon giving effect to such exercise, would cause the aggregate number of shares of our common stock beneficially owned by the holder (together with its affiliates and other attribution parties, as defined under “Description of Pre-Funded Warrants—Exercise Limitations”) to exceed 24.99%, or if the purchaser elected prior to the issuance of pre-funded warrants to have the initial exercise limitation set at any of 4.99%, 9.99%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19.99% of our outstanding common stock, such lower threshold, of the number of shares of our common stock that would be outstanding immediately after giving effect to the exercise. However, subject to certain limitations, any holder may increase or decrease such percentage to any other percentage not in excess of 24.99% upon at least 61 days’ prior notice from the holder to us. In addition, where a holder notifies us that a filing under the HSR Act is required, we may not effect the exercise of any portion of any pre-funded warrant, and a holder will not be entitled to exercise any portion of any pre-funded warrant, which, upon giving effect to such exercise, would cause the aggregate number of shares of our common stock beneficially owned by the holder (together with its attribution parties) to equal or exceed the HSR Threshold (as defined below), until the applicable waiting period under the HSR Act has expired.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received a Commissioner’s National Priority Voucher for bitopertin. We may not be able to fully realize the benefits of such a voucher, including a potentially accelerated timeline for review of our NDA submission for bitopertin in EPP and XLP by the FDA. </w:t>
      </w:r>
    </w:p>
    <w:p>
      <w:pPr>
        <w:pStyle w:val="TextBody"/>
        <w:bidi w:val="0"/>
        <w:spacing w:before="120" w:after="0"/>
        <w:jc w:val="left"/>
        <w:rPr>
          <w:rFonts w:ascii="Times New Roman" w:hAnsi="Times New Roman"/>
          <w:sz w:val="20"/>
        </w:rPr>
      </w:pPr>
      <w:r>
        <w:rPr>
          <w:rFonts w:ascii="Times New Roman" w:hAnsi="Times New Roman"/>
          <w:sz w:val="20"/>
        </w:rPr>
        <w:t xml:space="preserve">In June 2025, the FDA announced the creation of a new program, the Commissioner’s National Priority Voucher, or CNPV, program, to expedite the development and approval of drug products with potential to address a major national priority, such as addressing a large unmet medical need, reducing downstream health care utilization, addressing a public health crisis, boosting domestic manufacturing, or increasing medication affordability. The FDA has stated that voucher recipients will receive a decision with respect to a drug application on an accelerated basis, as well as enhanced communication with review staff throughout the development process prior to final submission of the application and during the review period. </w:t>
      </w:r>
    </w:p>
    <w:p>
      <w:pPr>
        <w:pStyle w:val="TextBody"/>
        <w:bidi w:val="0"/>
        <w:spacing w:before="240" w:after="0"/>
        <w:jc w:val="left"/>
        <w:rPr>
          <w:rFonts w:ascii="Times New Roman" w:hAnsi="Times New Roman"/>
          <w:sz w:val="20"/>
        </w:rPr>
      </w:pPr>
      <w:r>
        <w:rPr>
          <w:rFonts w:ascii="Times New Roman" w:hAnsi="Times New Roman"/>
          <w:sz w:val="20"/>
        </w:rPr>
        <w:t xml:space="preserve">The FDA expects the CNPV program to accelerate the standard application review timeline from 10-12 months to 1-2 months by convening a multidisciplinary team of physicians and scientists for a team-based review, interacting frequently with the sponsor to clarify questions, and completing review of the application concurrently. Following completion of these steps, the multidisciplinary team will convene for a one-day “tumor board style” decision meeting. </w:t>
      </w:r>
    </w:p>
    <w:p>
      <w:pPr>
        <w:pStyle w:val="TextBody"/>
        <w:bidi w:val="0"/>
        <w:spacing w:before="240" w:after="0"/>
        <w:jc w:val="left"/>
        <w:rPr>
          <w:rFonts w:ascii="Times New Roman" w:hAnsi="Times New Roman"/>
          <w:sz w:val="20"/>
        </w:rPr>
      </w:pPr>
      <w:r>
        <w:rPr>
          <w:rFonts w:ascii="Times New Roman" w:hAnsi="Times New Roman"/>
          <w:sz w:val="20"/>
        </w:rPr>
        <w:t xml:space="preserve">On October 16, 2025, the FDA announced that bitopertin for porphyria was one of the first nine recipients of a CNPV. As a result, the NDA for bitopertin for EPP and XLP is eligible for the benefits of this program. We therefore plan to accelerate activities to support a potential US approval and launch of bitopertin in late 2025 or early 2026 based on the accelerated review timeline associated with receipt of the CNPV. However, receipt of the CNPV does not guarantee that the NDA will be approved on an expedited basis or at all. The FDA has stated that the review time for an application of a CNPV recipient may be extended, including because the application is incomplete, there are manufacturing violations, or for other reasons deemed appropriate by the FDA. The CNPV program is in pilot stage, so its implementation, operation, and ultimate impact are subject to uncertainty. In addition, even if the CNPV program does result in a faster approval process, there is no guarantee that we will be able to begin commercialization of our product at the time of such approval or that we will be otherwise able to maintain such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271637_5"/>
      <w:bookmarkEnd w:id="7"/>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is restricted by the terms of our loan and security agreement with Hercules Capital, Inc., and may be restricted by the terms of any of our future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271637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sale of the shares of common stock and pre-funded warrants to purchase shares of common stock that we are offering will be approximately $210.9 million after deducting underwriting discounts and commissions and estimated offering expenses payable by us. We will receive nominal proceeds, if any, from the exercise of the pre-funded warrants. We will not receive any proceeds from the sale of shares of our common stock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this offering, together with our existing cash, cash equivalents and marketable securities, to support the potential commercialization of bitopertin for EPP and XLP, to fund research and clinical development of our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w:t>
      </w:r>
    </w:p>
    <w:p>
      <w:pPr>
        <w:pStyle w:val="TextBody"/>
        <w:bidi w:val="0"/>
        <w:spacing w:before="240" w:after="0"/>
        <w:jc w:val="left"/>
        <w:rPr>
          <w:rFonts w:ascii="Times New Roman" w:hAnsi="Times New Roman"/>
          <w:sz w:val="20"/>
        </w:rPr>
      </w:pPr>
      <w:r>
        <w:rPr>
          <w:rFonts w:ascii="Times New Roman" w:hAnsi="Times New Roman"/>
          <w:sz w:val="20"/>
        </w:rPr>
        <w:t xml:space="preserve">The expected use of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feedback from regulatory authorities, the status of and results from clinical trials, as well as any collaborations that we may enter into with third parties for our product candidates, and any unforeseen cash needs.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 Pending use of the proceeds as described above, we intend to invest the proceeds in a variety of capital preservation instruments, including high quality, investment grade instruments, certificates of deposit or direct or guaranteed obligations of the U.S. government, or may hold such proceeds as cash, until they are used for their stated purpose. </w:t>
      </w:r>
    </w:p>
    <w:p>
      <w:pPr>
        <w:pStyle w:val="TextBody"/>
        <w:bidi w:val="0"/>
        <w:spacing w:before="240" w:after="0"/>
        <w:jc w:val="left"/>
        <w:rPr>
          <w:rFonts w:ascii="Times New Roman" w:hAnsi="Times New Roman"/>
          <w:sz w:val="20"/>
        </w:rPr>
      </w:pPr>
      <w:r>
        <w:rPr>
          <w:rFonts w:ascii="Times New Roman" w:hAnsi="Times New Roman"/>
          <w:sz w:val="20"/>
        </w:rPr>
        <w:t xml:space="preserve">After the completion of this offering, assuming net proceeds to us, after deducting underwriting discounts and commissions and estimated offering expenses payable by us, of approximately $210.9 million, we expect that our cash, cash equivalents and marketable securities, will be sufficient to fund our current operating and capital expenditure plans into 2029. Without the proceeds of this offering, we anticipate that our existing cash, cash equivalents and marketable securities will be sufficient to fund our operating and capital expenditure plans into 2028. These expectations do not take into account any potential net cash inflows from bitopertin or any other marketed product, if approved during such period. Our future capital requirements will depend on many factors, including those discussed in “Liquidity and Capital Resources” of our Quarterly Report on Form 10-Q for the quarter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We have based our estimates on assumptions that may prove to be wrong. In addition, we could use our available capital resources sooner than we currently expect, in which case we would need to obtain additional funding, which may not be available to us on acceptable terms, or at all. See the “Risk Factors” section of this prospectus supplement and the documents incorporated by reference for a discussion of the risks affecting our business that could have an adverse effect on our available capital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271637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purchase shares of our common stock or pre-funded warrants in this offering, your ownership interest will be diluted to the extent of the difference between the price per share of our common stock or pre-funded warrant you pay in this offering and the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June 30, 2025 was approximately $614.2 million, or $17.70 per share of common stock, based upon 34,694,882 shares outstanding as of that date. Net tangible book value per share is equal to our total tangible assets, less our total liabilities, divided by the total number of shares outstanding.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our issuance and sale of shares of our common stock and pre-funded warrants at the public offering price of $84.00 per share and $83.9999 per pre-funded warrant (which equals the $84.00 per share price at which shares of our common stock are being sold to the public in this offering, less the $0.0001 per share exercise price of each such pre-funded warrant) (excluding shares of common stock issuable upon exercise of the pre-funded warrants, any proceeds which may be received upon exercise of the pre-funded warrants or any resulting accounting associated with the exercise of the pre-funded warrants), after deducting underwriting discounts and commissions and estimated offering expenses payable by us, our adjusted net tangible book value as of June 30, 2025 would have been $825.1 million, or $22.11 per share. This represents an immediate increase in net tangible book value of $4.41 per share to our existing stockholders, and an immediate dilution of $61.89 per share to investors purchasing shares of common stock or pre-funded warrants in the offering. Dilution per share to investors purchasing securities in this offering is determined by subtracting as adjusted net tangible book value per share after this offering from the public offering price per share of common stock (or pre-funded warrant) paid by investors.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calculation on a per share basis: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55"/>
        <w:gridCol w:w="382"/>
        <w:gridCol w:w="141"/>
        <w:gridCol w:w="565"/>
        <w:gridCol w:w="60"/>
        <w:gridCol w:w="382"/>
        <w:gridCol w:w="141"/>
        <w:gridCol w:w="565"/>
        <w:gridCol w:w="64"/>
      </w:tblGrid>
      <w:tr>
        <w:trPr/>
        <w:tc>
          <w:tcPr>
            <w:tcW w:w="5455"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84.00</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June 30, 2025</w:t>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17.70</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investors purchasing shares of common stock or pre-funded warrants in this offering</w:t>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4.41</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455"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June 30, 2025 after giving effect to this offering</w:t>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22.11</w:t>
            </w:r>
          </w:p>
        </w:tc>
        <w:tc>
          <w:tcPr>
            <w:tcW w:w="64" w:type="dxa"/>
            <w:tcBorders/>
            <w:vAlign w:val="bottom"/>
          </w:tcPr>
          <w:p>
            <w:pPr>
              <w:pStyle w:val="TableContents"/>
              <w:bidi w:val="0"/>
              <w:spacing w:before="0" w:after="283"/>
              <w:jc w:val="left"/>
              <w:rPr/>
            </w:pPr>
            <w:r>
              <w:rPr/>
              <w:t> </w:t>
            </w:r>
          </w:p>
        </w:tc>
      </w:tr>
      <w:tr>
        <w:trPr/>
        <w:tc>
          <w:tcPr>
            <w:tcW w:w="5455"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in as adjusted net tangible book value per share to investors in this offering</w:t>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61.89</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holders of pre-funded warrants exercise the pre-funded warrants offered hereby, the as adjusted net tangible book value per share of our common stock after giving effect to this offering would be $22.08 per share, and the dilution in net tangible book value per share to investors purchasing common stock in this offering would be $61.92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tables and calculations are based on 34,694,882 shares of common stock outstanding as of June 30, 2025,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3,452,796 shares of common stock issuable upon the exercise of stock options outstanding as of June 30, 2025, at a weighted average exercise price of $33.92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170,483 shares of common stock issuable upon the exercise of stock options granted subsequent to June 30, 2025, at a weighted average exercise price of $61.83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997,737 shares of common stock issuable upon the vesting of restricted stock units outstanding as of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136,152 shares of common stock issuable upon the vesting of restricted stock units granted subsequent to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1,527,300 shares of common stock available for issuance under our Amended and Restated 2021 Stock Option and Incentive Plan as of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290,167 shares of common stock available for future issuance under our Amended and Restated 2021 Employee Stock Purchase Plan as of June 30,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385,899 shares of common stock issuable upon the exercise of pre-funded warrants outstanding as of June 30,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or pre-funded warrants are exercised, new options or other securities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271637_8"/>
      <w:bookmarkEnd w:id="10"/>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information regarding the selling stockholder and the shares that such selling stockholder is offering under this prospectus supplement. Unless otherwise indicated, beneficial ownership is calculated based on 34,694,882 shares of our common stock outstanding as of June 30, 2025. The number of shares in the column “Shares of Common Stock Offered By This Prospectus Supplement” represents all of the shares that the selling stockholder is offering under this prospectus supplement. The column “Shares of Common Stock Beneficially Owned After Offering” reflects the beneficial ownership of the selling stockholder after giving effect to this offering.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our relationships with the selling stockholder and its affiliates, see “Certain Relationships and Related-Party Transactions” in our Definitive Proxy Statement on Schedule 14A, filed with the SEC on April 24, 2025, which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selling stockholder is c/o Access Industries Management, LLC, 40 West 57th Street, 28th Floor, New York, NY 10019. </w:t>
      </w:r>
    </w:p>
    <w:p>
      <w:pPr>
        <w:pStyle w:val="TextBody"/>
        <w:bidi w:val="0"/>
        <w:spacing w:before="0" w:after="0"/>
        <w:jc w:val="left"/>
        <w:rPr/>
      </w:pPr>
      <w:r>
        <w:rPr/>
        <w:t> </w:t>
      </w:r>
    </w:p>
    <w:tbl>
      <w:tblPr>
        <w:tblW w:w="13491" w:type="dxa"/>
        <w:jc w:val="center"/>
        <w:tblInd w:w="0" w:type="dxa"/>
        <w:tblLayout w:type="fixed"/>
        <w:tblCellMar>
          <w:top w:w="0" w:type="dxa"/>
          <w:left w:w="0" w:type="dxa"/>
          <w:bottom w:w="0" w:type="dxa"/>
          <w:right w:w="0" w:type="dxa"/>
        </w:tblCellMar>
      </w:tblPr>
      <w:tblGrid>
        <w:gridCol w:w="1115"/>
        <w:gridCol w:w="60"/>
        <w:gridCol w:w="82"/>
        <w:gridCol w:w="1348"/>
        <w:gridCol w:w="82"/>
        <w:gridCol w:w="82"/>
        <w:gridCol w:w="82"/>
        <w:gridCol w:w="774"/>
        <w:gridCol w:w="275"/>
        <w:gridCol w:w="60"/>
        <w:gridCol w:w="142"/>
        <w:gridCol w:w="1903"/>
        <w:gridCol w:w="95"/>
        <w:gridCol w:w="95"/>
        <w:gridCol w:w="95"/>
        <w:gridCol w:w="1555"/>
        <w:gridCol w:w="95"/>
        <w:gridCol w:w="95"/>
        <w:gridCol w:w="95"/>
        <w:gridCol w:w="701"/>
        <w:gridCol w:w="275"/>
        <w:gridCol w:w="60"/>
        <w:gridCol w:w="142"/>
        <w:gridCol w:w="1903"/>
        <w:gridCol w:w="60"/>
        <w:gridCol w:w="60"/>
        <w:gridCol w:w="60"/>
        <w:gridCol w:w="980"/>
        <w:gridCol w:w="60"/>
        <w:gridCol w:w="60"/>
        <w:gridCol w:w="87"/>
        <w:gridCol w:w="638"/>
        <w:gridCol w:w="27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0" w:type="dxa"/>
            <w:gridSpan w:val="6"/>
            <w:tcBorders>
              <w:bottom w:val="single" w:sz="8" w:space="0" w:color="000000"/>
            </w:tcBorders>
            <w:tcMar>
              <w:bottom w:w="28" w:type="dxa"/>
            </w:tcMar>
            <w:vAlign w:val="bottom"/>
          </w:tcPr>
          <w:p>
            <w:pPr>
              <w:pStyle w:val="TableContents"/>
              <w:bidi w:val="0"/>
              <w:spacing w:before="0" w:after="283"/>
              <w:jc w:val="center"/>
              <w:rPr/>
            </w:pPr>
            <w:r>
              <w:rPr/>
              <w:t>Shares of Common Stock</w:t>
              <w:br/>
              <w:t>Beneficially Owned</w:t>
              <w:br/>
              <w:t>Prior to 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1" w:type="dxa"/>
            <w:gridSpan w:val="10"/>
            <w:tcBorders>
              <w:bottom w:val="single" w:sz="8" w:space="0" w:color="000000"/>
            </w:tcBorders>
            <w:tcMar>
              <w:bottom w:w="28" w:type="dxa"/>
            </w:tcMar>
            <w:vAlign w:val="bottom"/>
          </w:tcPr>
          <w:p>
            <w:pPr>
              <w:pStyle w:val="TableContents"/>
              <w:bidi w:val="0"/>
              <w:spacing w:before="0" w:after="283"/>
              <w:jc w:val="center"/>
              <w:rPr/>
            </w:pPr>
            <w:r>
              <w:rPr/>
              <w:t>Assuming No Exercise of the Underwriters’</w:t>
              <w:br/>
              <w:t>Option to Purchase Additional Shares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0" w:type="dxa"/>
            <w:gridSpan w:val="10"/>
            <w:tcBorders>
              <w:bottom w:val="single" w:sz="8" w:space="0" w:color="000000"/>
            </w:tcBorders>
            <w:tcMar>
              <w:bottom w:w="28" w:type="dxa"/>
            </w:tcMar>
            <w:vAlign w:val="bottom"/>
          </w:tcPr>
          <w:p>
            <w:pPr>
              <w:pStyle w:val="TableContents"/>
              <w:bidi w:val="0"/>
              <w:spacing w:before="0" w:after="283"/>
              <w:jc w:val="center"/>
              <w:rPr/>
            </w:pPr>
            <w:r>
              <w:rPr/>
              <w:t>Assuming Exercise of the Underwriters’</w:t>
              <w:br/>
              <w:t>Option to Purchase Additional Shares</w:t>
            </w:r>
          </w:p>
        </w:tc>
        <w:tc>
          <w:tcPr>
            <w:tcW w:w="275"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gridSpan w:val="2"/>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856"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4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t>Shares of Common</w:t>
              <w:br/>
              <w:t>Stock Offered by this</w:t>
              <w:br/>
              <w:t>Prospectus</w:t>
              <w:br/>
              <w:t>Supplement</w:t>
            </w:r>
          </w:p>
        </w:tc>
        <w:tc>
          <w:tcPr>
            <w:tcW w:w="95" w:type="dxa"/>
            <w:vMerge w:val="restart"/>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636" w:type="dxa"/>
            <w:gridSpan w:val="6"/>
            <w:tcBorders>
              <w:bottom w:val="single" w:sz="8" w:space="0" w:color="000000"/>
            </w:tcBorders>
            <w:tcMar>
              <w:bottom w:w="28" w:type="dxa"/>
            </w:tcMar>
            <w:vAlign w:val="bottom"/>
          </w:tcPr>
          <w:p>
            <w:pPr>
              <w:pStyle w:val="TableContents"/>
              <w:bidi w:val="0"/>
              <w:spacing w:before="0" w:after="283"/>
              <w:jc w:val="center"/>
              <w:rPr/>
            </w:pPr>
            <w:r>
              <w:rPr/>
              <w:t>Shares of Common</w:t>
              <w:br/>
              <w:t>Stock Beneficially</w:t>
              <w:br/>
              <w:t>Owned After</w:t>
              <w:br/>
              <w:t>Offering</w:t>
            </w:r>
          </w:p>
        </w:tc>
        <w:tc>
          <w:tcPr>
            <w:tcW w:w="2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4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t>Shares of Common</w:t>
              <w:br/>
              <w:t>Stock Offered by this</w:t>
              <w:br/>
              <w:t>Prospectus</w:t>
              <w:br/>
              <w:t>Supplement</w:t>
            </w:r>
          </w:p>
        </w:tc>
        <w:tc>
          <w:tcPr>
            <w:tcW w:w="6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5" w:type="dxa"/>
            <w:gridSpan w:val="6"/>
            <w:tcBorders>
              <w:bottom w:val="single" w:sz="8" w:space="0" w:color="000000"/>
            </w:tcBorders>
            <w:tcMar>
              <w:bottom w:w="28" w:type="dxa"/>
            </w:tcMar>
            <w:vAlign w:val="bottom"/>
          </w:tcPr>
          <w:p>
            <w:pPr>
              <w:pStyle w:val="TableContents"/>
              <w:bidi w:val="0"/>
              <w:spacing w:before="0" w:after="283"/>
              <w:jc w:val="center"/>
              <w:rPr/>
            </w:pPr>
            <w:r>
              <w:rPr/>
              <w:t>Shares of Common</w:t>
              <w:br/>
              <w:t>Stock Beneficially</w:t>
              <w:br/>
              <w:t>Owned After</w:t>
              <w:br/>
              <w:t>Offering</w:t>
            </w:r>
          </w:p>
        </w:tc>
        <w:tc>
          <w:tcPr>
            <w:tcW w:w="275"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pPr>
            <w:r>
              <w:rPr/>
              <w:t>Selling stockholder</w:t>
            </w:r>
          </w:p>
        </w:tc>
        <w:tc>
          <w:tcPr>
            <w:tcW w:w="60"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t>Number </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85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t>Percent </w:t>
            </w:r>
          </w:p>
        </w:tc>
        <w:tc>
          <w:tcPr>
            <w:tcW w:w="27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2045" w:type="dxa"/>
            <w:gridSpan w:val="2"/>
            <w:vMerge w:val="continue"/>
            <w:tcBorders>
              <w:bottom w:val="single" w:sz="8" w:space="0" w:color="000000"/>
            </w:tcBorders>
            <w:tcMar>
              <w:bottom w:w="28" w:type="dxa"/>
            </w:tcMar>
            <w:vAlign w:val="bottom"/>
          </w:tcPr>
          <w:p>
            <w:pPr>
              <w:pStyle w:val="Normal"/>
              <w:bidi w:val="0"/>
              <w:jc w:val="left"/>
              <w:rPr/>
            </w:pPr>
            <w:r>
              <w:rPr/>
            </w:r>
          </w:p>
        </w:tc>
        <w:tc>
          <w:tcPr>
            <w:tcW w:w="95" w:type="dxa"/>
            <w:vMerge w:val="continue"/>
            <w:tcBorders/>
            <w:vAlign w:val="bottom"/>
          </w:tcPr>
          <w:p>
            <w:pPr>
              <w:pStyle w:val="Normal"/>
              <w:bidi w:val="0"/>
              <w:jc w:val="left"/>
              <w:rPr/>
            </w:pPr>
            <w:r>
              <w:rPr/>
            </w:r>
          </w:p>
        </w:tc>
        <w:tc>
          <w:tcPr>
            <w:tcW w:w="95" w:type="dxa"/>
            <w:tcBorders/>
            <w:vAlign w:val="bottom"/>
          </w:tcPr>
          <w:p>
            <w:pPr>
              <w:pStyle w:val="TableContents"/>
              <w:bidi w:val="0"/>
              <w:spacing w:before="0" w:after="283"/>
              <w:jc w:val="left"/>
              <w:rPr/>
            </w:pPr>
            <w:r>
              <w:rPr/>
              <w:t> </w:t>
            </w:r>
          </w:p>
        </w:tc>
        <w:tc>
          <w:tcPr>
            <w:tcW w:w="1650" w:type="dxa"/>
            <w:gridSpan w:val="2"/>
            <w:tcBorders>
              <w:bottom w:val="single" w:sz="8" w:space="0" w:color="000000"/>
            </w:tcBorders>
            <w:tcMar>
              <w:bottom w:w="28" w:type="dxa"/>
            </w:tcMar>
            <w:vAlign w:val="bottom"/>
          </w:tcPr>
          <w:p>
            <w:pPr>
              <w:pStyle w:val="TableContents"/>
              <w:bidi w:val="0"/>
              <w:spacing w:before="0" w:after="283"/>
              <w:jc w:val="center"/>
              <w:rPr/>
            </w:pPr>
            <w:r>
              <w:rPr/>
              <w:t>Number</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96" w:type="dxa"/>
            <w:gridSpan w:val="2"/>
            <w:tcBorders>
              <w:bottom w:val="single" w:sz="8" w:space="0" w:color="000000"/>
            </w:tcBorders>
            <w:tcMar>
              <w:bottom w:w="28" w:type="dxa"/>
            </w:tcMar>
            <w:vAlign w:val="bottom"/>
          </w:tcPr>
          <w:p>
            <w:pPr>
              <w:pStyle w:val="TableContents"/>
              <w:bidi w:val="0"/>
              <w:spacing w:before="0" w:after="283"/>
              <w:jc w:val="center"/>
              <w:rPr/>
            </w:pPr>
            <w:r>
              <w:rPr/>
              <w:t>Percent</w:t>
            </w:r>
          </w:p>
        </w:tc>
        <w:tc>
          <w:tcPr>
            <w:tcW w:w="27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204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t>Percent</w:t>
            </w:r>
          </w:p>
        </w:tc>
        <w:tc>
          <w:tcPr>
            <w:tcW w:w="27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 DMI LLC(1)</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3,762,507</w:t>
            </w:r>
          </w:p>
        </w:tc>
        <w:tc>
          <w:tcPr>
            <w:tcW w:w="8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10.78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3" w:type="dxa"/>
            <w:tcBorders/>
            <w:shd w:fill="CCEEFF" w:val="clear"/>
            <w:vAlign w:val="bottom"/>
          </w:tcPr>
          <w:p>
            <w:pPr>
              <w:pStyle w:val="TableContents"/>
              <w:bidi w:val="0"/>
              <w:spacing w:before="0" w:after="283"/>
              <w:jc w:val="right"/>
              <w:rPr/>
            </w:pPr>
            <w:r>
              <w:rPr/>
              <w:t>297,619</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55" w:type="dxa"/>
            <w:tcBorders/>
            <w:shd w:fill="CCEEFF" w:val="clear"/>
            <w:vAlign w:val="bottom"/>
          </w:tcPr>
          <w:p>
            <w:pPr>
              <w:pStyle w:val="TableContents"/>
              <w:bidi w:val="0"/>
              <w:spacing w:before="0" w:after="283"/>
              <w:jc w:val="right"/>
              <w:rPr/>
            </w:pPr>
            <w:r>
              <w:rPr/>
              <w:t>3,464,888</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9.24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3" w:type="dxa"/>
            <w:tcBorders/>
            <w:shd w:fill="CCEEFF" w:val="clear"/>
            <w:vAlign w:val="bottom"/>
          </w:tcPr>
          <w:p>
            <w:pPr>
              <w:pStyle w:val="TableContents"/>
              <w:bidi w:val="0"/>
              <w:spacing w:before="0" w:after="283"/>
              <w:jc w:val="right"/>
              <w:rPr/>
            </w:pPr>
            <w:r>
              <w:rPr/>
              <w:t>744,047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3,018,460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8.05</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3,558,426 shares of common stock and pre-funded warrants to purchase 204,081 shares of common stock at $0.0001 per share, held by AI DMI LLC. The shares of common stock and pre-funded warrants held by AI DMI LLC may be deemed to be beneficially owned by Access Industries Holdings LLC, or AIH, Access Industries Management, LLC, or AIM, and Len Blavatnik because (i) Mr. Blavatnik controls AIM and holds a majority of the outstanding voting interests in AIH, (ii) AIM controls AIH and (iii) AIH indirectly controls all of the outstanding voting interests in AI DMI LLC. Liam Ratcliffe, a member of our board of directors, is Head of Biotechnology at Access Industries, Inc., which is an affiliate of AI DMI LLC. Each of AIM, AIH, Mr. Blavatnik and Dr. Ratcliffe, and each of their affiliated entities (other than AI DMI LLC) and the officers, partners, members and managers thereof, disclaims beneficial ownership of the shares of common stock and pre-funded warrants held by AI DMI LLC. The address of AI DMI LLC is c/o Access Industries Management, LLC, 40 West 57th Street, 28th Floor, New York, NY 10019. The information set forth above is based on our review of Amendment No. 5 to Schedule 13D filed with the SEC by AI DMI LLC on March 3, 2025 regarding its beneficial ownership of our common stock and the pre-funded warrants as of February 27,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271637_9"/>
      <w:bookmarkEnd w:id="11"/>
      <w:r>
        <w:rPr>
          <w:rFonts w:ascii="Times New Roman" w:hAnsi="Times New Roman"/>
          <w:b/>
          <w:sz w:val="20"/>
        </w:rPr>
        <w:t xml:space="preserve">DESCRIPTION OF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brief summary of certain terms and conditions of the pre-funded warrants being offered by this prospectus supplement. The following description is subject in all respects to the provisions contained in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be issued as individual warrant agreements to the investors. The form of pre-funded warrant will be filed as an exhibit to our Current Report on Form 8-K that we expect to file with the SEC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do not expire. </w:t>
      </w:r>
    </w:p>
    <w:p>
      <w:pPr>
        <w:pStyle w:val="TextBody"/>
        <w:bidi w:val="0"/>
        <w:spacing w:before="360" w:after="0"/>
        <w:jc w:val="left"/>
        <w:rPr>
          <w:rFonts w:ascii="Times New Roman" w:hAnsi="Times New Roman"/>
          <w:b/>
          <w:sz w:val="20"/>
        </w:rPr>
      </w:pPr>
      <w:r>
        <w:rPr>
          <w:rFonts w:ascii="Times New Roman" w:hAnsi="Times New Roman"/>
          <w:b/>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described below in “—Exercise Limitations,” 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common stock purchased upon such exercise. As an alternative to payment in immediately available funds, the holder may elect to exercise the pre-funded warrant through a cashless exercise, in which the holder would receive upon such exercise the net number of shares of common stock determined according to the formula set forth in the pre-funded warrant. No fractional shares of common stock will be issued in connection with the exercise of a pre-funded warrant. In lieu of any fractional shares that would otherwise be issuable, we will pay in cash to an exercising holder the fair market value, determined according to the terms of the pre-funded warrant, for any such fractional shares.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pre-funded warrants, we may not effect the exercise of any portion of any pre-funded warrant, and a holder will not be entitled to exercise any portion of any pre-funded warrant, which, upon giving effect to such exercise, would cause the aggregate number of shares of our common stock beneficially owned by the holder (together with its attribution parties (as defined below)) to exceed 24.99% of the number of shares of our common stock that would be outstanding immediately after giving effect to the exercise. Purchasers in this offering may also elect prior to the issuance of pre-funded warrants to have the initial exercise limitation set at any of 4.99%, 9.99% or 19.99% of our outstanding common stock. However, any holder may increase or decrease such percentage to any other percentage not in excess of 24.99%, which increase or decrease shall not become effective until 61 days after notice from the holder to us. Notwithstanding the prior sentence, purchasers in this offering that select an exercise limitation of 19.99% or less will only be allowed to increase the exercise limitation above 19.99% if such increase would not result in a change of control under Nasdaq rules. For purposes of the foregoing, “attribution parties” means, collectively, the following persons and entities with respect to any holder: (i) its direct or indirect affiliates, (ii) any person acting or who could be deemed to be acting as a Section 13(d) “group” together with the holder or any attribution parties and (iii) any other persons whose beneficial ownership of our common stock would or could be aggregated with the holder and/or any other attribution parties for purposes of Section 13(d) or Section 16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exercise of a pre-funded warrant would result in a holder of pre-funded warrants (together with its attribution parties) acquiring beneficial ownership of our common stock (together with all other equity owned by such holder at such time) equal to or in excess of the notification threshold applicable to the holder under the HSR Act as of the date of delivery of the applicable exercise notice, which we refer to as the HSR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Threshold, and no exemption to filing a notice and report form under the HSR Act is applicable, then only such portion of the pre-funded warrants held by such holder, which when exercised does not exceed the HSR Threshold, shall be exercisable and the applicable exercise notice shall be deemed to relate only to such portion of the pre-funded warrants, and the remaining portion of the pre-funded warrants in excess of the HSR Threshold shall not be exercisable until the expiration or early termination of the applicable waiting period under the HSR Act or receipt of applicable approval. For certain holders of pre-funded warrants, upon expiration or early termination of the applicable waiting period under the HSR Act or receipt of applicable approval, such holder shall no longer be subject to any of the limitations on exercise described in this section.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per whole share of our common stock purchasable upon the exercise of the pre-funded warrants is $0.0001 per share of common stock.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Charges, Taxes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Issuance and delivery of shares of common stock upon exercise of a pre-funded warrant will be made without charge to the holder thereof for any issue or transfer tax, transfer agent fee or other incidental tax or expense (excluding any applicable stamp duties) in respect of the issuance thereof, all of which taxes and expenses shall be paid by us. However, we are not required to pay any tax that may be payable in respect of any transfer involved in the registration of any warrant shares or pre-funded warrants in a name other than that of the holder or an affiliate thereof. The holder shall be responsible for all other tax liability that may arise as a result of holding or transferring its pre-funded warrants or receiving shares upon exercise thereof. </w:t>
      </w:r>
    </w:p>
    <w:p>
      <w:pPr>
        <w:pStyle w:val="TextBody"/>
        <w:bidi w:val="0"/>
        <w:spacing w:before="360" w:after="0"/>
        <w:jc w:val="left"/>
        <w:rPr>
          <w:rFonts w:ascii="Times New Roman" w:hAnsi="Times New Roman"/>
          <w:b/>
          <w:sz w:val="20"/>
        </w:rPr>
      </w:pPr>
      <w:r>
        <w:rPr>
          <w:rFonts w:ascii="Times New Roman" w:hAnsi="Times New Roman"/>
          <w:b/>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pre-funded warrants may be assigned by the holder without our consent. The ownership of the pre-funded warrants and any transfers of the pre-funded warrants will be registered in a warrant register maintained by the warrant agent. We will initially act as warrant agent.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We do not plan on applying to list the pre-funded warrants on the Nasdaq Global Market, any other national securities exchange or any other nationally recognized trading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“fundamental transaction” (as described in the pre-funded warrants and generally including but not limited to certain reclassifications of our common stock, the sale, transfer or other disposition of all or substantially all of our properties or assets, our consolidation or merger with or into another person, the tender and acceptance for payment of shares representing more than 50% of the voting power of our capital stock pursuant to any tender or exchange offer (whether by us or another person), and the acquisition by another person of more than 50% of the voting power of our capital stock pursuant to a stock purchase agreement or other business combination, including a reorganization, recapitalization or spin-off (except for any such transaction in which our stockholders immediately prior to such transaction maintain, in substantially the same proportions, voting power of us immediately after the transaction)), upon consummation of such a fundamental transaction, the holders of the pre-funded warrants will be entitled to receive upon exercise of the pre-funded warrants the kind and amount of securities, cash or other property that the holders would have received had they exercised the pre-funded warrants in full immediately prior to such fundamental transaction without regard to any limitations on exercise contained in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such holder’s ownership of shares of our common stock, the holder of a pre-funded warrant does not have the rights or privileges of a holder of our common stock, including any voting rights, until the holder exercises the pre-funded warrant. In the event of certain distributions, including cash dividends, if any, to all holders of our common stock for no consideration, the holder of a pre-funded warrant shall be entitled to participate in such distributions to the same extent as if such holder held the number of shares of our common stock acquirable upon complete exercise of its pre-funded warrant (without regard to any limitations on exercise). If such distribution would result in such holder and the other attribution parties exceeding the exercise limitations described above, a portion of such distribution shall be held in abeyance for the benefit of such holder until such time as the ownership limitations would not be exceeded.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271637_10"/>
      <w:bookmarkEnd w:id="12"/>
      <w:r>
        <w:rPr>
          <w:rFonts w:ascii="Times New Roman" w:hAnsi="Times New Roman"/>
          <w:b/>
          <w:sz w:val="20"/>
        </w:rPr>
        <w:t xml:space="preserve">MATERIAL U.S. FEDERAL INCOME TAX CONSIDERATIONS FOR INVESTORS IN OUR COMMON STOCK AND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describes the material U.S. federal income tax considerations of the acquisition, ownership and disposition of our common stock and pre-funded warrants acquired in this offering. This discussion does not address all aspects of U.S. federal income taxes, does not discuss the potential application of the alternative minimum tax or Medicare Contribution tax and does not deal with state or local taxes, U.S. federal gift and estate tax laws or any non-U.S. tax consequences that may be relevant to investors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Special rules different from those described below may apply to certain investors that are subject to special treatment under the Internal Revenue Code of 1986, as amended, or the Code,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banks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(including private foundations) and 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governments and international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and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Non-U.S. Holders (as defined below) that own or are deemed to own (directly, indirectly or by attribution) more than 5% of our common stock or more than 5% of our pre-funded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required for U.S. federal income tax purposes to conform the timing of income accruals to their financial statements under Section 451(b)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our common stock or pre-funded warrants as part of a “straddle,” “hedge,” “conversion transaction,” “synthetic security” or integrated investment or other risk reduction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whose functional currency for U.S.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do not hold our common stock or pre-funded warrants as “capital assets” within the meaning of Section 1221 of the Code (generally, for investment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or pre-funded warrants under the constructive sale provisions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or pre-funded warrants pursuant to the exercise of any employee stock option or otherwise as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investors are urged to consult their own tax advisors to determine the U.S. federal, state, local and other tax consequences that may be relevant to them.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this discussion does not address the tax treatment of partnerships or other pass-through entities or persons who hold our common stock or pre-funded warrants through partnerships or other entities which are pass-through entities for U.S. federal income tax purposes. If a partnership or other pass-through entity holds our common stock or pre-funded warrants, the tax treatment of a partner will generally depend upon the status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 and the activities of the partnership or other pass-through entity. A partner in a partnership or other pass-through entity that will hold our common stock or pre-funded warrants should consult his, her or its own tax advisor regarding the tax consequences of the ownership and disposition of our common stock or pre-funded warrants through a partnership or other pass-through entity,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discussion, a “U.S. Holder” means a beneficial owner of our common stock or pre-funded warrants, other than a partnership or other pass-through entity, that is, for U.S. federal income tax purposes, (a) an individual who is a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means a beneficial owner of our common stock or pre-funded warrants, other than a partnership or other pass-through entity, that, for U.S. federal income tax purposes, is (i) a foreign corporation, (ii) nonresident alien individual, or (iii) a foreign estate or trust that in each case is not subject to U.S. federal income tax on a net-income basis on income or gain from common stock or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An individual non-U.S. citizen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w:t>
      </w:r>
    </w:p>
    <w:p>
      <w:pPr>
        <w:pStyle w:val="TextBody"/>
        <w:bidi w:val="0"/>
        <w:spacing w:before="240" w:after="0"/>
        <w:jc w:val="left"/>
        <w:rPr>
          <w:rFonts w:ascii="Times New Roman" w:hAnsi="Times New Roman"/>
          <w:sz w:val="20"/>
        </w:rPr>
      </w:pPr>
      <w:r>
        <w:rPr>
          <w:rFonts w:ascii="Times New Roman" w:hAnsi="Times New Roman"/>
          <w:sz w:val="20"/>
        </w:rPr>
        <w:t xml:space="preserve">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 or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PERSONS CONSIDERING THE PURCHASE OF OUR COMMON STOCK OR PRE-FUNDED WARRANTS PURSUANT TO THIS OFFERING SHOULD CONSULT THEIR OWN TAX ADVISORS CONCERNING THE U.S. FEDERAL INCOME TAX CONSEQUENCES OF ACQUIRING, OWNING AND DISPOSING OF OUR COMMON STOCK OR PRE-FUNDED WARRANTS IN LIGHT OF THEIR PARTICULAR SITUATIONS AS WELL AS ANY CONSEQUENCES ARISING UNDER THE LAWS OF ANY OTHER TAXING JURISDICTION, INCLUDING ANY STATE, LOCAL OR NON-U.S. TAX CONSEQUENCES OR ANY U.S. FEDERAL NON-INCOME TAX CONSEQUENCES, AND THE POSSIBLE APPLICATION OF TAX TREATIES. </w:t>
      </w:r>
    </w:p>
    <w:p>
      <w:pPr>
        <w:pStyle w:val="TextBody"/>
        <w:bidi w:val="0"/>
        <w:spacing w:before="360" w:after="0"/>
        <w:jc w:val="left"/>
        <w:rPr>
          <w:rFonts w:ascii="Times New Roman" w:hAnsi="Times New Roman"/>
          <w:b/>
          <w:sz w:val="20"/>
        </w:rPr>
      </w:pPr>
      <w:r>
        <w:rPr>
          <w:rFonts w:ascii="Times New Roman" w:hAnsi="Times New Roman"/>
          <w:b/>
          <w:sz w:val="20"/>
        </w:rPr>
        <w:t xml:space="preserve">Characterization of the Pre-Funded Warrants for Tax Purposes </w:t>
      </w:r>
    </w:p>
    <w:p>
      <w:pPr>
        <w:pStyle w:val="TextBody"/>
        <w:bidi w:val="0"/>
        <w:spacing w:before="120" w:after="0"/>
        <w:jc w:val="left"/>
        <w:rPr>
          <w:rFonts w:ascii="Times New Roman" w:hAnsi="Times New Roman"/>
          <w:sz w:val="20"/>
        </w:rPr>
      </w:pPr>
      <w:r>
        <w:rPr>
          <w:rFonts w:ascii="Times New Roman" w:hAnsi="Times New Roman"/>
          <w:sz w:val="20"/>
        </w:rPr>
        <w:t xml:space="preserve">Although the characterization of the pre-funded warrants for U.S. federal income tax purposes is not entirely clear, because the exercise price of the pre-funded warrants is a nominal amount, we intend to treat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pre-funded warrants as our common stock for U.S. federal income tax purposes and a holder of pre-funded warrants should generally expect to be taxed in the same manner as a holder of common stock as described below. Accordingly, for U.S. federal income tax purposes, no gain or loss should be recognized upon the exercise of a pre-funded warrant (except to the extent of cash received in lieu of a fractional share), and upon exercise, the holding period of the share of common stock received should include the holding period of the pre-funded warrant. Similarly, the tax basis of a share of common stock received upon exercise of a pre-funded warrant should include the tax basis of the pre-funded warrant increased by the exercise price of $0.0001 per share. The balance of this discussion generally assumes that the characterization described above is respected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Our position with respect to the characterization of pre-funded warrants is not binding on the IRS and the IRS may treat the pre-funded warrants as warrants to acquire our common stock and, if so, the amount and character of a holder’s gain with respect to an investment in our pre-funded warrants could change. Each holder should consult its tax advisor regarding the characterization of pre-funded warrants for U.S. federal income tax purposes, and the consequences of an investment in the pre-funded warrants based on such holder’s own particular facts and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Common Stock and Pre-funded Warrants </w:t>
      </w:r>
    </w:p>
    <w:p>
      <w:pPr>
        <w:pStyle w:val="TextBody"/>
        <w:bidi w:val="0"/>
        <w:spacing w:before="120" w:after="0"/>
        <w:jc w:val="left"/>
        <w:rPr>
          <w:rFonts w:ascii="Times New Roman" w:hAnsi="Times New Roman"/>
          <w:sz w:val="20"/>
        </w:rPr>
      </w:pPr>
      <w:r>
        <w:rPr>
          <w:rFonts w:ascii="Times New Roman" w:hAnsi="Times New Roman"/>
          <w:sz w:val="20"/>
        </w:rPr>
        <w:t>As stated under “</w:t>
      </w:r>
      <w:r>
        <w:rPr>
          <w:rFonts w:ascii="Times New Roman" w:hAnsi="Times New Roman"/>
          <w:i/>
          <w:sz w:val="20"/>
        </w:rPr>
        <w:t>Dividend Policy</w:t>
      </w:r>
      <w:r>
        <w:rPr>
          <w:rFonts w:ascii="Times New Roman" w:hAnsi="Times New Roman"/>
          <w:sz w:val="20"/>
        </w:rPr>
        <w:t>,” we do not expect to make distributions on our common stock (or pre-funded warrants) in the foreseeable future. In the event that we do make distributions of cash or other property, distributions paid on common stock (or pre-funded warrants) will be treated as a dividend to the extent paid out of our current or accumulated earnings and profits (as determined under U.S. federal income tax principles), and will be includible in your income as ordinary income when received. However, with respect to dividends received by individuals, such dividends are generally taxed at the lower applicable qualified dividends rate, provided certain holding period requirements are satisfied. Distributions in excess of our current and accumulated earnings and profits will be treated as a return of capital to the extent of a U.S. Holder’s tax basis in the common stock (or pre-funded warrants) and thereafter as capital gain from the sale or exchange of such common stock (or pre-funded warrants). The tax treatment of such gain is further described in “—</w:t>
      </w:r>
      <w:r>
        <w:rPr>
          <w:rFonts w:ascii="Times New Roman" w:hAnsi="Times New Roman"/>
          <w:i/>
          <w:sz w:val="20"/>
        </w:rPr>
        <w:t>Sale or Other</w:t>
      </w:r>
      <w:r>
        <w:rPr>
          <w:rFonts w:ascii="Times New Roman" w:hAnsi="Times New Roman"/>
          <w:sz w:val="20"/>
        </w:rPr>
        <w:t xml:space="preserve"> </w:t>
      </w:r>
      <w:r>
        <w:rPr>
          <w:rFonts w:ascii="Times New Roman" w:hAnsi="Times New Roman"/>
          <w:i/>
          <w:sz w:val="20"/>
        </w:rPr>
        <w:t>Disposition of Common Stock or Pre-funded Warrants</w:t>
      </w:r>
      <w:r>
        <w:rPr>
          <w:rFonts w:ascii="Times New Roman" w:hAnsi="Times New Roman"/>
          <w:sz w:val="20"/>
        </w:rPr>
        <w:t>” below. Dividends received by a corporation may be eligible for a dividends received deduction, subject to applicable limitations. Any such distributions will also be subject to the discussions below under the section titled “—</w:t>
      </w:r>
      <w:r>
        <w:rPr>
          <w:rFonts w:ascii="Times New Roman" w:hAnsi="Times New Roman"/>
          <w:i/>
          <w:sz w:val="20"/>
        </w:rPr>
        <w:t>Information Reporting and Backup Withholding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U.S. Holder of a pre-funded warrant is entitled to receive certain distributions paid with respect to common stock prior to the exercise of the pre-funded warrant and, in such case, would be taxed in the same manner as a U.S. Holder of common stock that receives such a distribution. However, under certain circumstances, it is possible for the distributions to be held in abeyance for the U.S. Holder until a pre-funded warrant is exercised or the ownership limitations (described under “</w:t>
      </w:r>
      <w:r>
        <w:rPr>
          <w:rFonts w:ascii="Times New Roman" w:hAnsi="Times New Roman"/>
          <w:i/>
          <w:sz w:val="20"/>
        </w:rPr>
        <w:t>Description of Pre-Funded Warrants</w:t>
      </w:r>
      <w:r>
        <w:rPr>
          <w:rFonts w:ascii="Times New Roman" w:hAnsi="Times New Roman"/>
          <w:sz w:val="20"/>
        </w:rPr>
        <w:t xml:space="preserve">”) would not be exceeded, at which time such U.S. Holder shall be entitled to receive distributions. It is possible that such entitlement to distributions could cause the declaration of a distribution on our common stock to be currently taxable to U.S. Holders of pre-funded warrants, including under the principles governing Section 305 of the Code, even though the holders will not receive such distributions until a future date. Additionally, it is possible that other adjustments to the terms of the pre-funded warrants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 and the tax treatment of any other adjustments to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Disposition of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For U.S. federal income tax purposes, gain or loss realized on the sale or other disposition of common stock or pre-funded warrants by a U.S. Holder will be capital gain or loss, and will be long-term capital gain or loss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U.S. Holder has held the common stock or pre-funded warrants for more than one year. The amount of the gain or loss will equal the difference between the U.S. holder’s adjusted tax basis in the common stock or pre-funded warrants disposed of and the amount realized on the disposition. Long-term capital gains recognized by non-corporate U.S. Holders will be subject to reduced tax rates. The deductibility of capital losses is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requirements generally will apply to any payments of distributions on our common stock and pre-funded warrants, constructive distributions on our pre-funded warrants, and gross proceeds on the sale or other disposition of our common stock and pre-funded warrants, unless the U.S. Holder is an exempt recipient (such as a corporation), regardless of whether any tax was actually withheld.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U.S. federal income tax liability provided the required information is furnished timely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Common Stock and Pre-funded Warrants </w:t>
      </w:r>
    </w:p>
    <w:p>
      <w:pPr>
        <w:pStyle w:val="TextBody"/>
        <w:bidi w:val="0"/>
        <w:spacing w:before="120" w:after="0"/>
        <w:jc w:val="left"/>
        <w:rPr>
          <w:rFonts w:ascii="Times New Roman" w:hAnsi="Times New Roman"/>
          <w:sz w:val="20"/>
        </w:rPr>
      </w:pPr>
      <w:r>
        <w:rPr>
          <w:rFonts w:ascii="Times New Roman" w:hAnsi="Times New Roman"/>
          <w:sz w:val="20"/>
        </w:rPr>
        <w:t>As stated under “</w:t>
      </w:r>
      <w:r>
        <w:rPr>
          <w:rFonts w:ascii="Times New Roman" w:hAnsi="Times New Roman"/>
          <w:i/>
          <w:sz w:val="20"/>
        </w:rPr>
        <w:t>Dividend Policy</w:t>
      </w:r>
      <w:r>
        <w:rPr>
          <w:rFonts w:ascii="Times New Roman" w:hAnsi="Times New Roman"/>
          <w:sz w:val="20"/>
        </w:rPr>
        <w:t>,” we do not expect to make any distributions on our common stock (or pre-funded warrants) in the foreseeable future. If we do make distributions on our common stock (or pre-funded warrants),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(or pre-funded warrants). Any remaining excess will be treated as gain realized as described below under the section titled “—</w:t>
      </w:r>
      <w:r>
        <w:rPr>
          <w:rFonts w:ascii="Times New Roman" w:hAnsi="Times New Roman"/>
          <w:i/>
          <w:sz w:val="20"/>
        </w:rPr>
        <w:t>Sale or Other Disposition of Common Stock and Pre-funded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distribution on our common stock (or pre-funded warrants)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A Non-U.S. holder that is eligible for a reduced rate of U.S. withholding tax under an income tax treaty should consult with its own tax advisor to determine if such holder is able to obtain a refund or credit of any excess amounts withheld by timely filing an appropriate claim for a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We (or any applicable withholding agent) generally are not required to withhold tax on dividends paid (or constructive dividends deemed paid) to a Non-U.S. Holder that are effectively connected with the holder’s 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us (or, if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our common stock are held through a financial institution or other agent, to the applicable withholding agent). In general, such effectively connected dividends will be subject to U.S. federal income tax on a net income basis at the regular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w:t>
      </w:r>
    </w:p>
    <w:p>
      <w:pPr>
        <w:pStyle w:val="TextBody"/>
        <w:bidi w:val="0"/>
        <w:spacing w:before="240" w:after="0"/>
        <w:jc w:val="left"/>
        <w:rPr>
          <w:rFonts w:ascii="Times New Roman" w:hAnsi="Times New Roman"/>
          <w:sz w:val="20"/>
        </w:rPr>
      </w:pPr>
      <w:r>
        <w:rPr>
          <w:rFonts w:ascii="Times New Roman" w:hAnsi="Times New Roman"/>
          <w:sz w:val="20"/>
        </w:rPr>
        <w:t>A Non-U.S. Holder of a pre-funded warrant is entitled to receive certain distributions paid with respect to common stock prior to the exercise of the pre-funded warrant and, in such case, would be taxed in the same manner as a Non-U.S. Holder of common stock that receives such a distribution. However, under certain circumstances, it is possible for the distribution to be held in abeyance for a Non-U.S. Holder until a pre-funded warrant is exercised or the ownership limitations (described under “</w:t>
      </w:r>
      <w:r>
        <w:rPr>
          <w:rFonts w:ascii="Times New Roman" w:hAnsi="Times New Roman"/>
          <w:i/>
          <w:sz w:val="20"/>
        </w:rPr>
        <w:t>Description of Pre-Funded Warrants</w:t>
      </w:r>
      <w:r>
        <w:rPr>
          <w:rFonts w:ascii="Times New Roman" w:hAnsi="Times New Roman"/>
          <w:sz w:val="20"/>
        </w:rPr>
        <w:t xml:space="preserve">”) would not be exceeded, at which time the Non-U.S. Holder shall be entitled to receive distributions. It is possible that such entitlement to distributions could cause the declaration of a distribution on our common stock to be currently taxable to Non-U.S. Holders of pre-funded warrants, including under the principles governing Section 305 of the Code, even though such holders will not receive the distributions until a future date. Additionally, it is possible that other adjustments to the terms of the pre-funded warrants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 and the tax treatment of any other adjustments to the pre-funded warrants. </w:t>
      </w:r>
    </w:p>
    <w:p>
      <w:pPr>
        <w:pStyle w:val="TextBody"/>
        <w:bidi w:val="0"/>
        <w:spacing w:before="240" w:after="0"/>
        <w:jc w:val="left"/>
        <w:rPr>
          <w:rFonts w:ascii="Times New Roman" w:hAnsi="Times New Roman"/>
          <w:sz w:val="20"/>
        </w:rPr>
      </w:pPr>
      <w:r>
        <w:rPr>
          <w:rFonts w:ascii="Times New Roman" w:hAnsi="Times New Roman"/>
          <w:sz w:val="20"/>
        </w:rPr>
        <w:t>See also the section below titled “—</w:t>
      </w:r>
      <w:r>
        <w:rPr>
          <w:rFonts w:ascii="Times New Roman" w:hAnsi="Times New Roman"/>
          <w:i/>
          <w:sz w:val="20"/>
        </w:rPr>
        <w:t>Foreign Accounts</w:t>
      </w:r>
      <w:r>
        <w:rPr>
          <w:rFonts w:ascii="Times New Roman" w:hAnsi="Times New Roman"/>
          <w:sz w:val="20"/>
        </w:rPr>
        <w:t xml:space="preserve">” for additional withholding rules that may apply to dividends paid to certain foreign financial institutions or non-financial foreign entities.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Disposition of Common Stock and Pre-funded Warrants </w:t>
      </w:r>
    </w:p>
    <w:p>
      <w:pPr>
        <w:pStyle w:val="TextBody"/>
        <w:bidi w:val="0"/>
        <w:spacing w:before="120" w:after="0"/>
        <w:jc w:val="left"/>
        <w:rPr>
          <w:rFonts w:ascii="Times New Roman" w:hAnsi="Times New Roman"/>
          <w:sz w:val="20"/>
        </w:rPr>
      </w:pPr>
      <w:r>
        <w:rPr>
          <w:rFonts w:ascii="Times New Roman" w:hAnsi="Times New Roman"/>
          <w:sz w:val="20"/>
        </w:rPr>
        <w:t>Subject to the discussion below under the sections titled “—</w:t>
      </w:r>
      <w:r>
        <w:rPr>
          <w:rFonts w:ascii="Times New Roman" w:hAnsi="Times New Roman"/>
          <w:i/>
          <w:sz w:val="20"/>
        </w:rPr>
        <w:t>Information Reporting and Backup Withholding</w:t>
      </w:r>
      <w:r>
        <w:rPr>
          <w:rFonts w:ascii="Times New Roman" w:hAnsi="Times New Roman"/>
          <w:sz w:val="20"/>
        </w:rPr>
        <w:t>” and “—</w:t>
      </w:r>
      <w:r>
        <w:rPr>
          <w:rFonts w:ascii="Times New Roman" w:hAnsi="Times New Roman"/>
          <w:i/>
          <w:sz w:val="20"/>
        </w:rPr>
        <w:t>Foreign Accounts</w:t>
      </w:r>
      <w:r>
        <w:rPr>
          <w:rFonts w:ascii="Times New Roman" w:hAnsi="Times New Roman"/>
          <w:sz w:val="20"/>
        </w:rPr>
        <w:t xml:space="preserve">,” a Non-U.S. Holder generally will not be subject to U.S. federal income or withholding tax with respect to gain realized on a sale or other disposition of our common stock or pre-funded warrants unless (a) the gain is effectively connected with a trade or business of the holder in the United States (and, if required by an applicable income tax treaty, is attributable to a permanent establishment or fixed base that the holder maintains in the United States), (b) the Non-U.S. Holder is a nonresident alien individual and is present in the United States for a period or periods aggregating 183 or more days in the taxable year of the disposition and certain other conditions are met, or (c) we are or have been a “United States real property holding corporation” within the meaning of Code Section 897(c)(2), unless any class of our stock is regularly traded on an established securities market and the Non-U.S. Holder disposes of such class of stock and holds no more than 5% of such class of stock, directly or indirectly, actually or constructively, during the shorter of the 5-year period ending on the date of the disposition or the period that the Non-U.S. Holder held such class of stock. </w:t>
      </w:r>
    </w:p>
    <w:p>
      <w:pPr>
        <w:pStyle w:val="TextBody"/>
        <w:bidi w:val="0"/>
        <w:spacing w:before="240" w:after="0"/>
        <w:jc w:val="left"/>
        <w:rPr>
          <w:rFonts w:ascii="Times New Roman" w:hAnsi="Times New Roman"/>
          <w:sz w:val="20"/>
        </w:rPr>
      </w:pPr>
      <w:r>
        <w:rPr>
          <w:rFonts w:ascii="Times New Roman" w:hAnsi="Times New Roman"/>
          <w:sz w:val="20"/>
        </w:rPr>
        <w:t xml:space="preserve">If you are a Non-U.S. Holder described in (a) above, you will be required to pay tax on the net gain derived from the sale at the regular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An individual Non-U.S. Holder described in (b) above will be required to pay a flat 30% tax on the gain derived from the sale, which gain may be offset by certain U.S. source capital losses (even though such holder is not considered a resident of the United States), provided such holder has timely filed U.S. federal income tax returns with respect to such losses. With respect to (c) above, in general, we would be a U.S. real property holding corporation if interests in U.S. real estate comprised (by fair market value) at least half of our worldwide real property interests plus our other assets used or held for use in a trade or business. We believe that we are not, and do not anticipate becoming, a U.S. real property holding corporation. However, there can be no assurance that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not become a U.S. real property holding corporation in the future. Special rules may apply to holders of pre-funded warrants. Non-U.S. Holders of pre-funded warrants should consult their own tax advisors regarding the application of these rules to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Generally, we or certain financial middlemen must report information to the IRS with respect to any distributions we pay on our common stock or pre-funded warrants and any constructive distributions deemed paid on pre-funded warrants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 </w:t>
      </w:r>
    </w:p>
    <w:p>
      <w:pPr>
        <w:pStyle w:val="TextBody"/>
        <w:bidi w:val="0"/>
        <w:spacing w:before="240" w:after="0"/>
        <w:jc w:val="left"/>
        <w:rPr>
          <w:rFonts w:ascii="Times New Roman" w:hAnsi="Times New Roman"/>
          <w:sz w:val="20"/>
        </w:rPr>
      </w:pPr>
      <w:r>
        <w:rPr>
          <w:rFonts w:ascii="Times New Roman" w:hAnsi="Times New Roman"/>
          <w:sz w:val="20"/>
        </w:rPr>
        <w:t xml:space="preserve">Under current U.S. federal income tax law, U.S. information reporting and backup withholding requirements generally will apply to the proceeds of a disposition of our common stock or pre-funded warrants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If backup withholding is applied to a Non-U.S. Holder, such Non-U.S. holder should consult with its own tax advisor to determine whether such Non-U.S. Holder has overpaid U.S. federal income tax, and whether such Non-U.S. holder is able to obtain a tax refund or credit of the overpaid amount.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and separately from the withholding rules described above, U.S. federal withholding taxes may apply under the Foreign Account Tax Compliance Act, or FATCA, on certain types of payments, including dividends to non-U.S. financial institutions and certain other non-U.S. entities. Specifically, a 30% withholding tax may be imposed on dividends paid in respect of our common stock or pre-funded warrants, constructive distributions deemed paid with respect to pre-funded warrants and the gross proceeds of the disposition of our common stock or pre-funded warrants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The Treasury Secretary has issued proposed regulations providing that the withholding provisions under FATCA do not apply with respect to payment of gross proceeds from a sale or other disposition, which may be relied upon by taxpayers until final regulations are issued. Prospective investors should consult their tax advisors regarding the potential application of withholding under FATCA to their investment in our common stock or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EACH PROSPECTIVE INVESTOR SHOULD CONSULT ITS OWN TAX ADVISOR REGARDING THE TAX CONSEQUENCES OF PURCHASING, HOLDING AND DISPOSING OF OUR COMMON STOCK AND PRE-FUNDED WARRANTS, INCLUDING THE CONSEQUENCES OF ANY PROPOSED CHANGE IN APPLICABLE LAW, AS WELL AS TAX CONSEQUENCES ARISING UNDER ANY STATE, LOCAL, NON-U.S. OR U.S. FEDERAL NON-INCOME TAX LAWS SUCH AS ESTATE AND GIFT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271637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the shares of common stock and pre-funded warrants, and the selling stockholder is offering shares of common stock, described in this prospectus supplement through a number of underwriters. Jefferies LLC, Leerink Partners LLC, Morgan Stanley &amp; Co. LLC and Cantor Fitzgerald &amp; Co. are acting as joint book-running managers of the offering and as representatives of the underwriters. We and the selling stockholder intend to enter into an underwriting agreement with the underwriters. Subject to the terms and conditions of the underwriting agreement, we and the selling stockholder have agreed to sell to the underwriters, and each underwriter has severally agreed to purchase, at the public offering price less the underwriting discounts and commissions set forth on the cover page of this prospectus supplement, the number of shares of common stock and pre-funded warrants listed next to its name in the following table: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98"/>
        <w:gridCol w:w="356"/>
        <w:gridCol w:w="60"/>
        <w:gridCol w:w="1005"/>
        <w:gridCol w:w="60"/>
        <w:gridCol w:w="356"/>
        <w:gridCol w:w="101"/>
        <w:gridCol w:w="1156"/>
        <w:gridCol w:w="63"/>
      </w:tblGrid>
      <w:tr>
        <w:trPr/>
        <w:tc>
          <w:tcPr>
            <w:tcW w:w="4598"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5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356"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2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Pre-Funded</w:t>
              <w:br/>
              <w:t>Warrants</w:t>
            </w:r>
          </w:p>
        </w:tc>
        <w:tc>
          <w:tcPr>
            <w:tcW w:w="63" w:type="dxa"/>
            <w:tcBorders/>
            <w:vAlign w:val="bottom"/>
          </w:tcPr>
          <w:p>
            <w:pPr>
              <w:pStyle w:val="TableContents"/>
              <w:bidi w:val="0"/>
              <w:spacing w:before="0" w:after="283"/>
              <w:jc w:val="left"/>
              <w:rPr/>
            </w:pPr>
            <w:r>
              <w:rPr/>
              <w:t> </w:t>
            </w:r>
          </w:p>
        </w:tc>
      </w:tr>
      <w:tr>
        <w:trPr/>
        <w:tc>
          <w:tcPr>
            <w:tcW w:w="4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947,918</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19,345</w:t>
            </w:r>
          </w:p>
        </w:tc>
        <w:tc>
          <w:tcPr>
            <w:tcW w:w="63" w:type="dxa"/>
            <w:tcBorders/>
            <w:shd w:fill="CCEEFF" w:val="clear"/>
            <w:vAlign w:val="bottom"/>
          </w:tcPr>
          <w:p>
            <w:pPr>
              <w:pStyle w:val="TableContents"/>
              <w:bidi w:val="0"/>
              <w:spacing w:before="0" w:after="283"/>
              <w:jc w:val="left"/>
              <w:rPr/>
            </w:pPr>
            <w:r>
              <w:rPr/>
              <w:t> </w:t>
            </w:r>
          </w:p>
        </w:tc>
      </w:tr>
      <w:tr>
        <w:trPr/>
        <w:tc>
          <w:tcPr>
            <w:tcW w:w="4598"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802,084</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16,369</w:t>
            </w:r>
          </w:p>
        </w:tc>
        <w:tc>
          <w:tcPr>
            <w:tcW w:w="63" w:type="dxa"/>
            <w:tcBorders/>
            <w:vAlign w:val="bottom"/>
          </w:tcPr>
          <w:p>
            <w:pPr>
              <w:pStyle w:val="TableContents"/>
              <w:bidi w:val="0"/>
              <w:spacing w:before="0" w:after="283"/>
              <w:jc w:val="left"/>
              <w:rPr/>
            </w:pPr>
            <w:r>
              <w:rPr/>
              <w:t> </w:t>
            </w:r>
          </w:p>
        </w:tc>
      </w:tr>
      <w:tr>
        <w:trPr/>
        <w:tc>
          <w:tcPr>
            <w:tcW w:w="4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656,251</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13,393</w:t>
            </w:r>
          </w:p>
        </w:tc>
        <w:tc>
          <w:tcPr>
            <w:tcW w:w="63" w:type="dxa"/>
            <w:tcBorders/>
            <w:shd w:fill="CCEEFF" w:val="clear"/>
            <w:vAlign w:val="bottom"/>
          </w:tcPr>
          <w:p>
            <w:pPr>
              <w:pStyle w:val="TableContents"/>
              <w:bidi w:val="0"/>
              <w:spacing w:before="0" w:after="283"/>
              <w:jc w:val="left"/>
              <w:rPr/>
            </w:pPr>
            <w:r>
              <w:rPr/>
              <w:t> </w:t>
            </w:r>
          </w:p>
        </w:tc>
      </w:tr>
      <w:tr>
        <w:trPr/>
        <w:tc>
          <w:tcPr>
            <w:tcW w:w="4598" w:type="dxa"/>
            <w:tcBorders/>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379,166</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7,738</w:t>
            </w:r>
          </w:p>
        </w:tc>
        <w:tc>
          <w:tcPr>
            <w:tcW w:w="63" w:type="dxa"/>
            <w:tcBorders/>
            <w:vAlign w:val="bottom"/>
          </w:tcPr>
          <w:p>
            <w:pPr>
              <w:pStyle w:val="TableContents"/>
              <w:bidi w:val="0"/>
              <w:spacing w:before="0" w:after="283"/>
              <w:jc w:val="left"/>
              <w:rPr/>
            </w:pPr>
            <w:r>
              <w:rPr/>
              <w:t> </w:t>
            </w:r>
          </w:p>
        </w:tc>
      </w:tr>
      <w:tr>
        <w:trPr/>
        <w:tc>
          <w:tcPr>
            <w:tcW w:w="4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Wedbush Securities Inc.</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72,916</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1,488</w:t>
            </w:r>
          </w:p>
        </w:tc>
        <w:tc>
          <w:tcPr>
            <w:tcW w:w="63" w:type="dxa"/>
            <w:tcBorders/>
            <w:shd w:fill="CCEEFF" w:val="clear"/>
            <w:vAlign w:val="bottom"/>
          </w:tcPr>
          <w:p>
            <w:pPr>
              <w:pStyle w:val="TableContents"/>
              <w:bidi w:val="0"/>
              <w:spacing w:before="0" w:after="283"/>
              <w:jc w:val="left"/>
              <w:rPr/>
            </w:pPr>
            <w:r>
              <w:rPr/>
              <w:t> </w:t>
            </w:r>
          </w:p>
        </w:tc>
      </w:tr>
      <w:tr>
        <w:trPr/>
        <w:tc>
          <w:tcPr>
            <w:tcW w:w="4598" w:type="dxa"/>
            <w:tcBorders/>
          </w:tcPr>
          <w:p>
            <w:pPr>
              <w:pStyle w:val="TableContents"/>
              <w:bidi w:val="0"/>
              <w:spacing w:before="0" w:after="0"/>
              <w:jc w:val="left"/>
              <w:rPr>
                <w:rFonts w:ascii="Times New Roman" w:hAnsi="Times New Roman"/>
                <w:sz w:val="20"/>
              </w:rPr>
            </w:pPr>
            <w:r>
              <w:rPr>
                <w:rFonts w:ascii="Times New Roman" w:hAnsi="Times New Roman"/>
                <w:sz w:val="20"/>
              </w:rPr>
              <w:t>H.C. Wainwright &amp; Co., LLC</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58,333</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1,190</w:t>
            </w:r>
          </w:p>
        </w:tc>
        <w:tc>
          <w:tcPr>
            <w:tcW w:w="63" w:type="dxa"/>
            <w:tcBorders/>
            <w:vAlign w:val="bottom"/>
          </w:tcPr>
          <w:p>
            <w:pPr>
              <w:pStyle w:val="TableContents"/>
              <w:bidi w:val="0"/>
              <w:spacing w:before="0" w:after="283"/>
              <w:jc w:val="left"/>
              <w:rPr/>
            </w:pPr>
            <w:r>
              <w:rPr/>
              <w:t> </w:t>
            </w:r>
          </w:p>
        </w:tc>
      </w:tr>
      <w:tr>
        <w:trPr/>
        <w:tc>
          <w:tcPr>
            <w:tcW w:w="4598"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2,916,668</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59,523</w:t>
            </w:r>
          </w:p>
        </w:tc>
        <w:tc>
          <w:tcPr>
            <w:tcW w:w="63" w:type="dxa"/>
            <w:tcBorders/>
            <w:shd w:fill="CCEEFF" w:val="clear"/>
            <w:vAlign w:val="bottom"/>
          </w:tcPr>
          <w:p>
            <w:pPr>
              <w:pStyle w:val="TableContents"/>
              <w:bidi w:val="0"/>
              <w:spacing w:before="0" w:after="283"/>
              <w:jc w:val="left"/>
              <w:rPr/>
            </w:pPr>
            <w:r>
              <w:rPr/>
              <w:t> </w:t>
            </w:r>
          </w:p>
        </w:tc>
      </w:tr>
      <w:tr>
        <w:trPr/>
        <w:tc>
          <w:tcPr>
            <w:tcW w:w="4598"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purchase all the shares of common stock and pre-funded warrants offered by us if they purchase any shares or pre-funded warrants. The underwriting agreement also provides that if an underwriter defaults, the purchase commitments of non-defaulting underwriters may also be increased or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the shares of common stock and pre-funded warrants directly to the public at the public offering price set forth on the cover page of this prospectus supplement and to certain dealers at that price less a concession not in excess of $3.0240 per share. After the initial offering of the shares to the public, if all of the shares are not sold at the public offering price, the underwriters may change the offering price and the other selling terms. Sales of any shares made outside of the United States may be made by affiliates of the underwriters. The offering of the shares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has granted to the underwriters an option, exercisable for 30 days from the date of this prospectus supplement, to purchase, from time to time, in whole or in part, up to an aggregate of 446,428 shares of our common stock from the selling stockholder at the public offering price set forth on the cover page of this prospectus supplement, less underwriting discounts and commissions. If the underwriters exercise this option, each underwriter will be obligated, subject to specified conditions, to purchase a number of additional shares of common stock proportionate to that underwriter’s initial purchase commitment as indicated in the table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underwriting fee is equal to the public offering price per share of common stock less the amount paid by the underwriters to us per share of common stock, or the offering price per pre-funded warrant less the amount paid by the underwriters to us per pre-funded warrant, as the case may be. The underwriting fee is $5.04 per share and per pre-funded warrant. The following table shows the per share, per pre-funded warrant and total underwriting discounts and commissions to be paid to the underwriters, assuming both no exercise and full exercise of the underwriters’ option to purchase additional shares.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32"/>
        <w:gridCol w:w="245"/>
        <w:gridCol w:w="140"/>
        <w:gridCol w:w="560"/>
        <w:gridCol w:w="60"/>
        <w:gridCol w:w="245"/>
        <w:gridCol w:w="140"/>
        <w:gridCol w:w="817"/>
        <w:gridCol w:w="60"/>
        <w:gridCol w:w="245"/>
        <w:gridCol w:w="140"/>
        <w:gridCol w:w="1296"/>
        <w:gridCol w:w="60"/>
        <w:gridCol w:w="245"/>
        <w:gridCol w:w="140"/>
        <w:gridCol w:w="1296"/>
        <w:gridCol w:w="67"/>
      </w:tblGrid>
      <w:tr>
        <w:trPr/>
        <w:tc>
          <w:tcPr>
            <w:tcW w:w="3632"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63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5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177" w:type="dxa"/>
            <w:gridSpan w:val="6"/>
            <w:tcBorders/>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363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57" w:type="dxa"/>
            <w:gridSpan w:val="2"/>
            <w:tcBorders/>
            <w:vAlign w:val="bottom"/>
          </w:tcPr>
          <w:p>
            <w:pPr>
              <w:pStyle w:val="TableContents"/>
              <w:bidi w:val="0"/>
              <w:spacing w:before="0" w:after="283"/>
              <w:jc w:val="center"/>
              <w:rPr>
                <w:b/>
              </w:rPr>
            </w:pPr>
            <w:r>
              <w:rPr>
                <w:b/>
              </w:rPr>
              <w:t>Per Pre-</w:t>
              <w:br/>
              <w:t>Funded</w:t>
              <w:br/>
              <w:t>Warrant</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36" w:type="dxa"/>
            <w:gridSpan w:val="2"/>
            <w:tcBorders/>
            <w:vAlign w:val="bottom"/>
          </w:tcPr>
          <w:p>
            <w:pPr>
              <w:pStyle w:val="TableContents"/>
              <w:bidi w:val="0"/>
              <w:spacing w:before="0" w:after="283"/>
              <w:jc w:val="center"/>
              <w:rPr>
                <w:b/>
              </w:rPr>
            </w:pPr>
            <w:r>
              <w:rPr>
                <w:b/>
              </w:rPr>
              <w:t>Without</w:t>
              <w:br/>
              <w:t>option to</w:t>
              <w:br/>
              <w:t>purchase</w:t>
              <w:br/>
              <w:t>additional</w:t>
              <w:br/>
              <w:t>shares exercise</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36" w:type="dxa"/>
            <w:gridSpan w:val="2"/>
            <w:tcBorders/>
            <w:vAlign w:val="bottom"/>
          </w:tcPr>
          <w:p>
            <w:pPr>
              <w:pStyle w:val="TableContents"/>
              <w:bidi w:val="0"/>
              <w:spacing w:before="0" w:after="283"/>
              <w:jc w:val="center"/>
              <w:rPr>
                <w:b/>
              </w:rPr>
            </w:pPr>
            <w:r>
              <w:rPr>
                <w:b/>
              </w:rPr>
              <w:t>With full</w:t>
              <w:br/>
              <w:t>option to</w:t>
              <w:br/>
              <w:t>purchase</w:t>
              <w:br/>
              <w:t>additional</w:t>
              <w:br/>
              <w:t>shares exercise</w:t>
            </w:r>
          </w:p>
        </w:tc>
        <w:tc>
          <w:tcPr>
            <w:tcW w:w="67" w:type="dxa"/>
            <w:tcBorders/>
            <w:vAlign w:val="bottom"/>
          </w:tcPr>
          <w:p>
            <w:pPr>
              <w:pStyle w:val="TableContents"/>
              <w:bidi w:val="0"/>
              <w:spacing w:before="0" w:after="283"/>
              <w:jc w:val="left"/>
              <w:rPr/>
            </w:pPr>
            <w:r>
              <w:rPr/>
              <w:t> </w:t>
            </w:r>
          </w:p>
        </w:tc>
      </w:tr>
      <w:tr>
        <w:trPr/>
        <w:tc>
          <w:tcPr>
            <w:tcW w:w="3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84.00</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83.9999</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250,000,038</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287,499,990</w:t>
            </w:r>
          </w:p>
        </w:tc>
        <w:tc>
          <w:tcPr>
            <w:tcW w:w="67" w:type="dxa"/>
            <w:tcBorders/>
            <w:shd w:fill="CCEEFF" w:val="clear"/>
            <w:vAlign w:val="bottom"/>
          </w:tcPr>
          <w:p>
            <w:pPr>
              <w:pStyle w:val="TableContents"/>
              <w:bidi w:val="0"/>
              <w:spacing w:before="0" w:after="283"/>
              <w:jc w:val="left"/>
              <w:rPr/>
            </w:pPr>
            <w:r>
              <w:rPr/>
              <w:t> </w:t>
            </w:r>
          </w:p>
        </w:tc>
      </w:tr>
      <w:tr>
        <w:trPr/>
        <w:tc>
          <w:tcPr>
            <w:tcW w:w="3632"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 us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5.04</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5.0400</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6" w:type="dxa"/>
            <w:tcBorders/>
            <w:vAlign w:val="bottom"/>
          </w:tcPr>
          <w:p>
            <w:pPr>
              <w:pStyle w:val="TableContents"/>
              <w:bidi w:val="0"/>
              <w:spacing w:before="0" w:after="283"/>
              <w:jc w:val="right"/>
              <w:rPr/>
            </w:pPr>
            <w:r>
              <w:rPr/>
              <w:t>13,500,003</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6" w:type="dxa"/>
            <w:tcBorders/>
            <w:vAlign w:val="bottom"/>
          </w:tcPr>
          <w:p>
            <w:pPr>
              <w:pStyle w:val="TableContents"/>
              <w:bidi w:val="0"/>
              <w:spacing w:before="0" w:after="283"/>
              <w:jc w:val="right"/>
              <w:rPr/>
            </w:pPr>
            <w:r>
              <w:rPr/>
              <w:t>13,500,003</w:t>
            </w:r>
          </w:p>
        </w:tc>
        <w:tc>
          <w:tcPr>
            <w:tcW w:w="67" w:type="dxa"/>
            <w:tcBorders/>
            <w:vAlign w:val="bottom"/>
          </w:tcPr>
          <w:p>
            <w:pPr>
              <w:pStyle w:val="TableContents"/>
              <w:bidi w:val="0"/>
              <w:spacing w:before="0" w:after="283"/>
              <w:jc w:val="left"/>
              <w:rPr/>
            </w:pPr>
            <w:r>
              <w:rPr/>
              <w:t> </w:t>
            </w:r>
          </w:p>
        </w:tc>
      </w:tr>
      <w:tr>
        <w:trPr/>
        <w:tc>
          <w:tcPr>
            <w:tcW w:w="3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 the selling stockholder</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5.04</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1,500,000</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3,749,997</w:t>
            </w:r>
          </w:p>
        </w:tc>
        <w:tc>
          <w:tcPr>
            <w:tcW w:w="67" w:type="dxa"/>
            <w:tcBorders/>
            <w:shd w:fill="CCEEFF" w:val="clear"/>
            <w:vAlign w:val="bottom"/>
          </w:tcPr>
          <w:p>
            <w:pPr>
              <w:pStyle w:val="TableContents"/>
              <w:bidi w:val="0"/>
              <w:spacing w:before="0" w:after="283"/>
              <w:jc w:val="left"/>
              <w:rPr/>
            </w:pPr>
            <w:r>
              <w:rPr/>
              <w:t> </w:t>
            </w:r>
          </w:p>
        </w:tc>
      </w:tr>
      <w:tr>
        <w:trPr/>
        <w:tc>
          <w:tcPr>
            <w:tcW w:w="3632" w:type="dxa"/>
            <w:tcBorders/>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78.96</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78.9599</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6" w:type="dxa"/>
            <w:tcBorders/>
            <w:vAlign w:val="bottom"/>
          </w:tcPr>
          <w:p>
            <w:pPr>
              <w:pStyle w:val="TableContents"/>
              <w:bidi w:val="0"/>
              <w:spacing w:before="0" w:after="283"/>
              <w:jc w:val="right"/>
              <w:rPr/>
            </w:pPr>
            <w:r>
              <w:rPr/>
              <w:t>211,500,039</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6" w:type="dxa"/>
            <w:tcBorders/>
            <w:vAlign w:val="bottom"/>
          </w:tcPr>
          <w:p>
            <w:pPr>
              <w:pStyle w:val="TableContents"/>
              <w:bidi w:val="0"/>
              <w:spacing w:before="0" w:after="283"/>
              <w:jc w:val="right"/>
              <w:rPr/>
            </w:pPr>
            <w:r>
              <w:rPr/>
              <w:t>211,500,039</w:t>
            </w:r>
          </w:p>
        </w:tc>
        <w:tc>
          <w:tcPr>
            <w:tcW w:w="67" w:type="dxa"/>
            <w:tcBorders/>
            <w:vAlign w:val="bottom"/>
          </w:tcPr>
          <w:p>
            <w:pPr>
              <w:pStyle w:val="TableContents"/>
              <w:bidi w:val="0"/>
              <w:spacing w:before="0" w:after="283"/>
              <w:jc w:val="left"/>
              <w:rPr/>
            </w:pPr>
            <w:r>
              <w:rPr/>
              <w:t> </w:t>
            </w:r>
          </w:p>
        </w:tc>
      </w:tr>
      <w:tr>
        <w:trPr/>
        <w:tc>
          <w:tcPr>
            <w:tcW w:w="3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the selling stockholder</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78.96</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23,499,996</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58,749,951</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$0.6 million.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We and all of our directors and executive officers and the selling stockholder have agreed that, without the prior written consent of Jefferies LLC, Leerink Partners LLC and Morgan Stanley &amp; Co. LLC, we and they will not, and will not publicly disclose an intention to, during the period ending 45 days after the date of this prospectus supplement (the “restricted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subject to the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any registration statement with the SEC relating to the offering of any shares of common stock or any securities convertible into or exercisable or exchangeable for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or other arrangement that transfers to another, in whole or in part, any of the economic consequences of ownership of the common stock subject to the lock-up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whether any such transaction described above is to be settled by delivery of common stock or such other securities, in cash or otherwise. In addition, we and each such person agrees that, without the prior written consent of Jefferies LLC, Leerink Partners LLC and Morgan Stanley &amp; Co. LLC, we or such other person will not, during the restricted period, make any demand for, or exercise any right with respect to, the registration of any shares of common stock subject to the lock-up agreement or any security convertible into or exercisable or exchangeable for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relation to us and the selling stockholder, the restrictions described above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a)</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to be sold under the underwriting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by us of shares of common stock upon the exercise of an option or a warrant or the conversion of a security outstanding on the date of this prospectus supplement in the manner described in this prospectus supplement or the information incorporated by reference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by any person other than us relating to shares of common stock or other securities acquired in open market transactions after the completion of the offering of the shares; provided that no filing under Section 16(a) of the Securities Exchange Act of 1934, as amended (the “Exchange Act”), is required or voluntarily made in connection with subsequent sales of the common stock or other securities acquired in such open market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by us of registration statements on Form S-8 with respect to the employee benefit plans described in this prospectus supplement or the documents incorporated by reference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by us of shares of common stock or options to purchase shares of common stock to our employees, officers, directors, advisors or consultants pursuant to employee benefit plans described in this prospectus supplement or in the information incorporated by reference herein, provided that, prior to the issuance of any such shares or the grant of any such options to any director or executive officer elected or appointed following the date of this prospectus supplement and prior to the end of the Restricted Period, we shall cause each such recipient of such grant or issuance to execute and deliver a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or issuance of or entry into an agreement to sell or issue shares of common stock in connection with our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our common stock that we may sell or issue or agree to sell or issue may not exceed 5% of the total number of shares of our common stock issued and outstanding immediately following the completion of the transactions contemplated by the underwriting agreement and provided further that we cause each recipient of such shares to execute and a lock 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facilitating the establishment of a trading plan on behalf of a shareholder,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h)</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shares of Common Stock pursuant to a placement made under any “at-the-market” offering program described in the Time of Sale Prospectus and the Prospectus, provided that no shares may be offered or sold pursuant to such program during the period ending 30 days after the date of the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relation to our directors and executive officers and the selling stockholder, the restrictions described above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relating to shares of common stock or other securities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this offering or in such open market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of common stock or any security convertible into or exercisable or exchangeable for common stock as a bona fide gift or to a charitable organization or educational institution in a transfer not involving a disposition for value;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any security convertible into or exercisable or exchangeable for common stock to any immediate family member or any trust for the direct or indirect benefit of any immediate family member in a transaction not involving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of shares of common stock or any security convertible into common stock to general or limited partners, members, beneficiaries or other equityholders, direct or indirect affiliates (as defined in Rule 405 promulgated under the Securities Act) or to an investment fund or other entity that controls or manages, or is under common control with certain holders and their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any security convertible into or exercisable or exchangeable for common stock (i) by will, other testamentary document or intestate succession to the legal representative, heir, beneficiary or a member of their immediate family upon their death or (ii) by operation of law pursuant to orders of a court or regulatory agency, in connection with a negotiated divorce settlement or pursuant to a qualified domestic relations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any security convertible into or exercisable or exchangeable for common stock to us pursuant to any contractual arrangement in effect on the date of this agreement and disclosed to the underwriter in writing that provides for the repurchase of common stock or other securities by us or in connection with the termination of employment with or service to us; provided that (i) the repurchase price for any such shares or securities shall not exceed the original purchase price (subject to appropriate adjustment in the event of any stock dividend, stock split, combination or other similar recapitalization) paid and (ii) any filing under Section 16(a) of the Exchange Act reporting a reduction in beneficial ownership of shares of common stock shall indicate by footnote disclosure or otherwise the nature of the transfer or disposition);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other securities to us in connection with the conversion of any convertible security into, or the exercise of any option or warrant for, shares of common stock (including by way of “net” or “cashless” exercise solely to cover withholding tax obligations in connection with such exercise or transfer to us for the payment of taxes as a result of such exercise); provided that (i) such convertible security, option or warrant is described in the prospectus and is outstanding on the date thereof, (ii) any such shares of common stock received by the undersigned shall be subject to the terms of this agreement and (iii)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 in which case, the filing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other securities to us in connection with the vesting or settlement of restricted stock units, so long as such sale is effected pursuant to our sell to cover policy solely in an amount sufficient to cover withhold taxes, provided that (i) to the extent a filing under Section 16(a) of the Exchange Act shall be required, the filing shall clearly indicate in the footnotes thereto that the filing relates to the circumstances described herein and (ii) no other public announcement shall be required or shall be made voluntary in connection with such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i)</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a trading plan on behalf of a stockholder,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undersigned or us regarding the establishment of such plan, such announcement or filing shall include a statement to the effect that no transfer of common stock may be made under such plan during the restricted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j)</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of common stock (or any securities convertible into or exercisable or exchangeable for common stock) pursuant to a bona fide third-party tender offer for shares of our capital stock made to all holders of our securities, merger, consolidation or other similar transaction approved by our board of directors and occurring after the closing of this offering, the result of which is that any person (as defined in Section 13(d)(3) of the Exchange Act), or group of persons, other than us, becomes the beneficial owner (as defined in Rules 13d-3 and 13d-5 of the Exchange Act) of more than 50% of the total voting power of our voting stock; provided that in the event that such change of control transaction is not completed, the shares of common stock (or any security convertible into or exercisable or exchangeable for common stock) owned by the stockholder, officer or director shall remain subject to the restrictions contained in the lock-up agreement and title to the such shares shall remain with the applicable stockholder, officer or director;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k)</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or transfer of shares of common stock pursuant to a written trading plan pursuant to Rule 10b5-1 under the Exchange Act that has been entered into prior to the date of the lock-up agreement; provided that no amendments or other modifications are made to such plans during the restricted period and that, to the extent a public announcement or filing under the Exchange Act, if any, is required or voluntarily made regarding such sales or transfers, such announcement or filing shall include a statement to the effect that the sale or transfer was made pursuant to a trading plan pursuant to Rule 10b5-1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in the case of any transfer or distribution pursuant to clause (b), (c), (d) or (e), (i) each transferee, donee or distributee shall sign and deliver a lock-up agreement substantially in the form of the lock-up agreement signed by the transferor, donor or distributor and (ii) no filing under Section 16(a) of the Exchange Act, reporting a reduction in beneficial ownership of shares of common stock, shall be required or shall be voluntarily made during the restricted period (other than, with respect to clause (e) only, any Form 4 or Form 5 required to be filed under the Exchange Act if the undersigned is subject to Section 16 reporting under the Exchange Act due to their relationship with us, in which case any such filing will indicate by footnote disclosure or otherwise the nature of the transfer or disposition).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agreed to reimburse the selling stockholder for certain expenses incurred in connection with the offering. </w:t>
      </w:r>
    </w:p>
    <w:p>
      <w:pPr>
        <w:pStyle w:val="TextBody"/>
        <w:bidi w:val="0"/>
        <w:spacing w:before="240" w:after="0"/>
        <w:jc w:val="left"/>
        <w:rPr>
          <w:rFonts w:ascii="Times New Roman" w:hAnsi="Times New Roman"/>
          <w:sz w:val="20"/>
        </w:rPr>
      </w:pPr>
      <w:r>
        <w:rPr>
          <w:rFonts w:ascii="Times New Roman" w:hAnsi="Times New Roman"/>
          <w:sz w:val="20"/>
        </w:rPr>
        <w:t xml:space="preserve">Jefferies LLC, Leerink Partners LLC and Morgan Stanley &amp; Co. LLC, in their sole discretion, may release the securities subject to any of the lock-up agreements with the underwriters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 have agreed to indemnify the underwriters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quoted on the Nasdaq Global Market under the symbol “IRON”. We do not intend to list the pre-funded warrants on the Nasdaq Global Market, any other nationally recognized securities exchange or any other nationally recognized trading system.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engage in stabilizing transactions, which involve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this offering certain of the underwriters may engage in passive market making transactions in our common stock on The Nasdaq Stock Market prior to the pricing and completion of this offering. Passive market making consists of displaying bids on The Nasdaq Stock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or pre-funded warrants have been offered or will be offered pursuant to the offering to the public in that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 prior to the publication of a prospectus in relation to the shares or pre-funded warrants which has been approved by the competent authority in that Relevant State or, where appropriate, approved in another Relevant State and notified to the competent authority in that Relevant State, all in accordance with the Prospectus Regulation, except that offers of shares or pre-funded warrants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provided that no such offer of shares or pre-funded warrants shall require us or any underwriter to publish a prospectus pursuant to Article 3 of the Prospectus Regulation or supplement a prospectus pursuant to Article 23 of the Prospectus Regulation and each person who initially acquires any shares or pre-funded warrants or to whom any offer is made will be deemed to have represented, acknowledged and agreed to and with each of the underwriters and us that it is a “qualified investor” within the meaning of Article 2(e)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or pre-funded warrants being offered to a financial intermediary as that term is used in the Prospectus Regulation, each such financial intermediary will be deemed to have represented, acknowledged and agreed that the shares or pre-funded warrants acquired by it in the offer have not been acquired on a non-discretionary basis on behalf of, nor have they been acquired with a view to their offer or resale to, persons in circumstances which may give rise to an offer of any shares or pre-funded warrants to the public other than their offer or resale in a Relevant State to qualified investors as so defined or in circumstances in which the prior consent of the underwriters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in any Relevant State means the communication in any form and by any means of sufficient information on the terms of the offer and any shares or pre-funded warrants to be offered so as to enable an investor to decide to purchase or subscribe for any shares or pre-funded warrants, and the expression “Prospectus Regulation” means Regulation (EU) 2017/1129. </w:t>
      </w:r>
    </w:p>
    <w:p>
      <w:pPr>
        <w:pStyle w:val="TextBody"/>
        <w:bidi w:val="0"/>
        <w:spacing w:before="360" w:after="0"/>
        <w:jc w:val="left"/>
        <w:rPr>
          <w:rFonts w:ascii="Times New Roman" w:hAnsi="Times New Roman"/>
          <w:b/>
          <w:sz w:val="20"/>
        </w:rPr>
      </w:pPr>
      <w:r>
        <w:rPr>
          <w:rFonts w:ascii="Times New Roman" w:hAnsi="Times New Roman"/>
          <w:b/>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or pre-funded warrants have been offered or will be offered pursuant to the offering to the public in the United Kingdom prior to the publication of a prospectus in relation to the shares or pre-funded warrants which has been approved by the Financial Conduct Authority, except that the shares or pre-funded warrants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Financial Services and Markets Act 2000, as amended (FSMA);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shares or pre-funded warrants shall require us or any underwriter to publish a prospectus pursuant to Section 85 of the FSMA or supplement a prospectus pursuant to Article 23 of the U.K. Prospectus Regulation. For the purposes of this provision, the expression an “offer to the public” in relation to the shares or pre-funded warrants in the United Kingdom means the communication in any form and by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means of sufficient information on the terms of the offer and any shares or pre-funded warrants to be offered so as to enable an investor to decide to purchase or subscribe for any shares or pre-funded warrants and the expression “U.K. Prospectus Regulation” means Regulation (EU) 2017/1129 as it forms part of domestic law by virtue of the European Union (Withdrawal) Act 2018.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or pre-funded warrants in the United Kingdom within the meaning of the FSMA. In the United Kingdom, any investment or investment activity to which this document relates is only available to, and will be engaged in with, relevant persons. Any person in the UK who is not a relevant person must not act on or rely upon this document or any of its contents.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or pre-funded warrants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or pre-funded warrants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shares or pre-funded warrants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the pre-funded warrants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offering, the Company, the shares or pre-funded warrants have been or will be filed with or approved by any Swiss regulatory authority. In particular, this document will not be filed with, and the offer of shares or pre-funded warrants will not be supervised by, the Swiss Financial Market Supervisory Authority (FINMA), and the offer of shares has not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will not be authorized under the Swiss Federal Act on Collective Investment Schemes (CISA). The investor protection afforded to acquirers of interests in collective investment schemes under the CISA does not extend to acquirers of shares or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or pre-funded warrants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or pre-funded warrants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or pre-funded warrants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acknowledged that this prospectus supplement and the accompanying prospectuses have not been registered as a prospectus with the Monetary Authority of Singapore. Accordingly, the representatives have represented and agreed that it has not offered or sold any shares or pre-funded warrants or caused the shares or pre-funded warrants to be made the subject of an invitation for subscription or purchase and will not offer or sell any shares or pre-funded warrants or cause the shares or pre-funded warrants to be made the subject of an invitation for subscription or purchase, and has not circulated or distributed, nor will it circulate or distribute, this prospectus supplement and the accompanying prospectuses or any other document or material in connection with the offer or sale, or invitation for subscription or purchase, of the shares or pre-funded warrants,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a)</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the shares or pre-funded warrants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b)</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or pre-funded warrants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or pre-funded warrants have not been and will not be registered pursuant to Article 4, Paragraph 1 of the Financial Instruments and Exchange Act. Accordingly, none of the shares, pre-funded warrants,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shares or pre-funded warrants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the Dubai Financial Services Authority.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Israel </w:t>
      </w:r>
    </w:p>
    <w:p>
      <w:pPr>
        <w:pStyle w:val="TextBody"/>
        <w:bidi w:val="0"/>
        <w:spacing w:before="120" w:after="0"/>
        <w:jc w:val="left"/>
        <w:rPr>
          <w:rFonts w:ascii="Times New Roman" w:hAnsi="Times New Roman"/>
          <w:sz w:val="20"/>
        </w:rPr>
      </w:pPr>
      <w:r>
        <w:rPr>
          <w:rFonts w:ascii="Times New Roman" w:hAnsi="Times New Roman"/>
          <w:sz w:val="20"/>
        </w:rPr>
        <w:t xml:space="preserve">In the State of Israel this prospectus supplement shall not be regarded as an offer to the public to purchase shares of common stock or pre-funded warrants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supplement or make, distribute or direct an offer to subscribe for our common stock or pre-funded warrants to any person within the State of Israel, other than to Qualified Investors and up to 35 Addressed Investors. </w:t>
      </w:r>
    </w:p>
    <w:p>
      <w:pPr>
        <w:pStyle w:val="TextBody"/>
        <w:bidi w:val="0"/>
        <w:spacing w:before="240" w:after="0"/>
        <w:jc w:val="left"/>
        <w:rPr>
          <w:rFonts w:ascii="Times New Roman" w:hAnsi="Times New Roman"/>
          <w:sz w:val="20"/>
        </w:rPr>
      </w:pPr>
      <w:r>
        <w:rPr>
          <w:rFonts w:ascii="Times New Roman" w:hAnsi="Times New Roman"/>
          <w:sz w:val="20"/>
        </w:rPr>
        <w:t xml:space="preserve">Qualified Investors may have to submit written evidence that they meet the definitions set out in of the First Addendum to the Israeli Securities Law, 5728—1968. In particular, we may request, as a condition to be offered common stock or pre-funded warrants,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the offer to be issued common stock or pre-funded warrants; (iv) that the shares of common stock or pre-funded warrants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x271637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and pre-funded warrants offered hereby will be passed upon for us by Goodwin Procter LLP, Boston, Massachusetts. Wilmer Cutler Pickering Hale and Dorr LLP, New York, New York, is acting as counsel to the underwriters in connection with this offering. Certain legal matters in connection with this offering will be passed upon for the selling stockholder by Debevoise &amp; Plimpton LLP, New York, New York. </w:t>
      </w:r>
    </w:p>
    <w:p>
      <w:pPr>
        <w:pStyle w:val="TextBody"/>
        <w:bidi w:val="0"/>
        <w:spacing w:before="480" w:after="0"/>
        <w:jc w:val="center"/>
        <w:rPr>
          <w:rFonts w:ascii="Times New Roman" w:hAnsi="Times New Roman"/>
          <w:b/>
          <w:sz w:val="20"/>
        </w:rPr>
      </w:pPr>
      <w:bookmarkStart w:id="15" w:name="supptx271637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Disc Medicine, Inc. appearing in Disc Medicine, Inc.’s Annual Report (Form 10-K) for the year ended December 31, 2024, and the effectiveness of Disc Medicine Inc.’s internal control over financial reporting as of December 31, 2024 have been audited by Ernst &amp; Young LLP, independent registered public accounting firm, as set forth in its reports thereon, which conclude, among other things, that Disc Medicine, Inc. did not maintain effective internal control over financial reporting as of December 31, 2024, based on Internal Control - Integrated Framework issued by the Committee of Sponsoring Organizations of the Treadway Commission (2013 framework), because of the effects of the material weakness described therein, included therein, and incorporated herein by reference. Such financial statements have been incorporated herein by reference in reliance upon such reports given on the authority of such firm as experts in accounting and auditing. </w:t>
      </w:r>
    </w:p>
    <w:p>
      <w:pPr>
        <w:pStyle w:val="TextBody"/>
        <w:bidi w:val="0"/>
        <w:spacing w:before="480" w:after="0"/>
        <w:jc w:val="center"/>
        <w:rPr>
          <w:rFonts w:ascii="Times New Roman" w:hAnsi="Times New Roman"/>
          <w:b/>
          <w:sz w:val="20"/>
        </w:rPr>
      </w:pPr>
      <w:bookmarkStart w:id="16" w:name="supptx271637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and on our investor website at www.discmedicine.com. Information contained on our website is not incorporated by reference into this prospectus supplement or the accompanying prospectuses, and you should not consider any information on, or that can be accessed from, our website as part of this prospectus supplement or the accompanying prospectuses.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and the accompanying prospectuses as to the contents of any contract or other document are not necessarily complete, and in each instance we refer you to the copy of the contract or document filed as an exhibit to the registration statement, each such statement being qualified in all respects by such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tx271637_15"/>
      <w:bookmarkEnd w:id="1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and the accompanying prospectuses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except as to any portion of any future report or document that is not deemed filed under such provisions until the offering of the securities offered hereby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2024, filed with the SEC on February 27,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2024 from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24,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quarters ended March 31, 2025 and June 30, 2025, filed with the SEC on </w:t>
            </w:r>
            <w:hyperlink r:id="rId5">
              <w:r>
                <w:rPr>
                  <w:rStyle w:val="InternetLink"/>
                  <w:rFonts w:ascii="Times New Roman" w:hAnsi="Times New Roman"/>
                  <w:sz w:val="20"/>
                </w:rPr>
                <w:t>May  7, 2025</w:t>
              </w:r>
            </w:hyperlink>
            <w:r>
              <w:rPr>
                <w:rFonts w:ascii="Times New Roman" w:hAnsi="Times New Roman"/>
                <w:sz w:val="20"/>
              </w:rPr>
              <w:t xml:space="preserve"> and </w:t>
            </w:r>
            <w:hyperlink r:id="rId6">
              <w:r>
                <w:rPr>
                  <w:rStyle w:val="InternetLink"/>
                  <w:rFonts w:ascii="Times New Roman" w:hAnsi="Times New Roman"/>
                  <w:sz w:val="20"/>
                </w:rPr>
                <w:t>August 7, 2025</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7">
              <w:r>
                <w:rPr>
                  <w:rStyle w:val="InternetLink"/>
                  <w:rFonts w:ascii="Times New Roman" w:hAnsi="Times New Roman"/>
                  <w:sz w:val="20"/>
                </w:rPr>
                <w:t>January 10, 2025</w:t>
              </w:r>
            </w:hyperlink>
            <w:r>
              <w:rPr>
                <w:rFonts w:ascii="Times New Roman" w:hAnsi="Times New Roman"/>
                <w:sz w:val="20"/>
              </w:rPr>
              <w:t xml:space="preserve">, </w:t>
            </w:r>
            <w:hyperlink r:id="rId8">
              <w:r>
                <w:rPr>
                  <w:rStyle w:val="InternetLink"/>
                  <w:rFonts w:ascii="Times New Roman" w:hAnsi="Times New Roman"/>
                  <w:sz w:val="20"/>
                </w:rPr>
                <w:t>January  21, 2025</w:t>
              </w:r>
            </w:hyperlink>
            <w:r>
              <w:rPr>
                <w:rFonts w:ascii="Times New Roman" w:hAnsi="Times New Roman"/>
                <w:sz w:val="20"/>
              </w:rPr>
              <w:t xml:space="preserve">, </w:t>
            </w:r>
            <w:hyperlink r:id="rId9">
              <w:r>
                <w:rPr>
                  <w:rStyle w:val="InternetLink"/>
                  <w:rFonts w:ascii="Times New Roman" w:hAnsi="Times New Roman"/>
                  <w:sz w:val="20"/>
                </w:rPr>
                <w:t>January  24, 2025</w:t>
              </w:r>
            </w:hyperlink>
            <w:r>
              <w:rPr>
                <w:rFonts w:ascii="Times New Roman" w:hAnsi="Times New Roman"/>
                <w:sz w:val="20"/>
              </w:rPr>
              <w:t xml:space="preserve">, </w:t>
            </w:r>
            <w:hyperlink r:id="rId10">
              <w:r>
                <w:rPr>
                  <w:rStyle w:val="InternetLink"/>
                  <w:rFonts w:ascii="Times New Roman" w:hAnsi="Times New Roman"/>
                  <w:sz w:val="20"/>
                </w:rPr>
                <w:t>June  13, 2025</w:t>
              </w:r>
            </w:hyperlink>
            <w:r>
              <w:rPr>
                <w:rFonts w:ascii="Times New Roman" w:hAnsi="Times New Roman"/>
                <w:sz w:val="20"/>
              </w:rPr>
              <w:t xml:space="preserve">, </w:t>
            </w:r>
            <w:hyperlink r:id="rId11">
              <w:r>
                <w:rPr>
                  <w:rStyle w:val="InternetLink"/>
                  <w:rFonts w:ascii="Times New Roman" w:hAnsi="Times New Roman"/>
                  <w:sz w:val="20"/>
                </w:rPr>
                <w:t>July  14, 2025</w:t>
              </w:r>
            </w:hyperlink>
            <w:r>
              <w:rPr>
                <w:rFonts w:ascii="Times New Roman" w:hAnsi="Times New Roman"/>
                <w:sz w:val="20"/>
              </w:rPr>
              <w:t xml:space="preserve">, </w:t>
            </w:r>
            <w:hyperlink r:id="rId12">
              <w:r>
                <w:rPr>
                  <w:rStyle w:val="InternetLink"/>
                  <w:rFonts w:ascii="Times New Roman" w:hAnsi="Times New Roman"/>
                  <w:sz w:val="20"/>
                </w:rPr>
                <w:t>October  6, 2025</w:t>
              </w:r>
            </w:hyperlink>
            <w:r>
              <w:rPr>
                <w:rFonts w:ascii="Times New Roman" w:hAnsi="Times New Roman"/>
                <w:sz w:val="20"/>
              </w:rPr>
              <w:t xml:space="preserve">, </w:t>
            </w:r>
            <w:hyperlink r:id="rId13">
              <w:r>
                <w:rPr>
                  <w:rStyle w:val="InternetLink"/>
                  <w:rFonts w:ascii="Times New Roman" w:hAnsi="Times New Roman"/>
                  <w:sz w:val="20"/>
                </w:rPr>
                <w:t>October  17, 2025</w:t>
              </w:r>
            </w:hyperlink>
            <w:r>
              <w:rPr>
                <w:rFonts w:ascii="Times New Roman" w:hAnsi="Times New Roman"/>
                <w:sz w:val="20"/>
              </w:rPr>
              <w:t xml:space="preserve"> and </w:t>
            </w:r>
            <w:hyperlink r:id="rId14">
              <w:r>
                <w:rPr>
                  <w:rStyle w:val="InternetLink"/>
                  <w:rFonts w:ascii="Times New Roman" w:hAnsi="Times New Roman"/>
                  <w:sz w:val="20"/>
                </w:rPr>
                <w:t xml:space="preserve">October 20, 2025 </w:t>
              </w:r>
            </w:hyperlink>
            <w:r>
              <w:rPr>
                <w:rFonts w:ascii="Times New Roman" w:hAnsi="Times New Roman"/>
                <w:sz w:val="20"/>
              </w:rPr>
              <w:t xml:space="preserve">(in each case, excluding information furnished pursuant to Items 2.02 and 7.01);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5">
              <w:r>
                <w:rPr>
                  <w:rStyle w:val="InternetLink"/>
                  <w:rFonts w:ascii="Times New Roman" w:hAnsi="Times New Roman"/>
                  <w:sz w:val="20"/>
                </w:rPr>
                <w:t>Form 8-A</w:t>
              </w:r>
            </w:hyperlink>
            <w:r>
              <w:rPr>
                <w:rFonts w:ascii="Times New Roman" w:hAnsi="Times New Roman"/>
                <w:sz w:val="20"/>
              </w:rPr>
              <w:t xml:space="preserve"> filed with the SEC on August  10, 2020, and as set forth by the description of our common stock set forth in </w:t>
            </w:r>
            <w:hyperlink r:id="rId16">
              <w:r>
                <w:rPr>
                  <w:rStyle w:val="InternetLink"/>
                  <w:rFonts w:ascii="Times New Roman" w:hAnsi="Times New Roman"/>
                  <w:sz w:val="20"/>
                </w:rPr>
                <w:t>Exhibit 4.4</w:t>
              </w:r>
            </w:hyperlink>
            <w:r>
              <w:rPr>
                <w:rFonts w:ascii="Times New Roman" w:hAnsi="Times New Roman"/>
                <w:sz w:val="20"/>
              </w:rPr>
              <w:t xml:space="preserve"> to our Annual Report on Form 10-K for the year ended December 31, 2021, filed with the SEC on March  10, 2022, and as further supplemented by the description of our common stock set forth in our Registration Statement on </w:t>
            </w:r>
            <w:hyperlink r:id="rId17">
              <w:r>
                <w:rPr>
                  <w:rStyle w:val="InternetLink"/>
                  <w:rFonts w:ascii="Times New Roman" w:hAnsi="Times New Roman"/>
                  <w:sz w:val="20"/>
                </w:rPr>
                <w:t>Form S-4/A</w:t>
              </w:r>
            </w:hyperlink>
            <w:r>
              <w:rPr>
                <w:rFonts w:ascii="Times New Roman" w:hAnsi="Times New Roman"/>
                <w:sz w:val="20"/>
              </w:rPr>
              <w:t xml:space="preserve">, filed with the SEC on December 1, 2022,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Disc Medicine, Inc. </w:t>
      </w:r>
    </w:p>
    <w:p>
      <w:pPr>
        <w:pStyle w:val="TextBody"/>
        <w:bidi w:val="0"/>
        <w:spacing w:before="0" w:after="0"/>
        <w:jc w:val="center"/>
        <w:rPr>
          <w:rFonts w:ascii="Times New Roman" w:hAnsi="Times New Roman"/>
          <w:sz w:val="20"/>
        </w:rPr>
      </w:pPr>
      <w:r>
        <w:rPr>
          <w:rFonts w:ascii="Times New Roman" w:hAnsi="Times New Roman"/>
          <w:sz w:val="20"/>
        </w:rPr>
        <w:t xml:space="preserve">321 Arsenal Street, Suite 101 </w:t>
      </w:r>
    </w:p>
    <w:p>
      <w:pPr>
        <w:pStyle w:val="TextBody"/>
        <w:bidi w:val="0"/>
        <w:spacing w:before="0" w:after="0"/>
        <w:jc w:val="center"/>
        <w:rPr>
          <w:rFonts w:ascii="Times New Roman" w:hAnsi="Times New Roman"/>
          <w:sz w:val="20"/>
        </w:rPr>
      </w:pPr>
      <w:r>
        <w:rPr>
          <w:rFonts w:ascii="Times New Roman" w:hAnsi="Times New Roman"/>
          <w:sz w:val="20"/>
        </w:rPr>
        <w:t xml:space="preserve">Watertown, MA 02472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(617) 674-9274</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documents, free of charge on the SEC’s website at </w:t>
      </w:r>
      <w:r>
        <w:rPr>
          <w:rFonts w:ascii="Times New Roman" w:hAnsi="Times New Roman"/>
          <w:i/>
          <w:sz w:val="20"/>
        </w:rPr>
        <w:t>www.sec.gov</w:t>
      </w:r>
      <w:r>
        <w:rPr>
          <w:rFonts w:ascii="Times New Roman" w:hAnsi="Times New Roman"/>
          <w:sz w:val="20"/>
        </w:rPr>
        <w:t xml:space="preserve"> or on our website at </w:t>
      </w:r>
      <w:r>
        <w:rPr>
          <w:rFonts w:ascii="Times New Roman" w:hAnsi="Times New Roman"/>
          <w:i/>
          <w:sz w:val="20"/>
        </w:rPr>
        <w:t>www.discmedicine.com</w:t>
      </w:r>
      <w:r>
        <w:rPr>
          <w:rFonts w:ascii="Times New Roman" w:hAnsi="Times New Roman"/>
          <w:sz w:val="20"/>
        </w:rPr>
        <w:t xml:space="preserve">. Information contained on our website is not incorporated by reference into this prospectus supplement or the accompanying prospectuses, and you should not consider any information on, or that can be accessed from, our website as part of this prospectus supplement or the accompanying prospectuses.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accompanying prospectuses.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4162425"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4162425" cy="657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offer and sell, in one or more series or classes, our Common Stock, Preferred Stock, Debt Securities, Warrants or Units, in each case in one or more issuances and at prices and on terms that we will determine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“IRON.” On August 7, 2024, the closing price of our common stock, as reported on The Nasdaq Global Market, was $41.27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You should review carefully the risks and uncertainties described under the heading “</w:t>
      </w:r>
      <w:hyperlink w:anchor="tx271637_6">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on page 10 of this prospectus and under any similar heading in the documents that are incorporated by reference into this prospectus, as well as “</w:t>
      </w:r>
      <w:r>
        <w:rPr>
          <w:rFonts w:ascii="Times New Roman" w:hAnsi="Times New Roman"/>
          <w:b/>
          <w:i/>
          <w:sz w:val="24"/>
        </w:rPr>
        <w:t>Special Note Regarding Forward-Looking Statements</w:t>
      </w:r>
      <w:r>
        <w:rPr>
          <w:rFonts w:ascii="Times New Roman" w:hAnsi="Times New Roman"/>
          <w:sz w:val="24"/>
        </w:rPr>
        <w:t xml:space="preserve">” </w:t>
      </w:r>
      <w:r>
        <w:rPr>
          <w:rFonts w:ascii="Times New Roman" w:hAnsi="Times New Roman"/>
          <w:b/>
          <w:sz w:val="24"/>
        </w:rPr>
        <w:t xml:space="preserve">on page 4 of this prospectus. You should read the entire prospectus and any applicable prospectus supplement carefully before you make your investment decision. </w:t>
      </w:r>
    </w:p>
    <w:p>
      <w:pPr>
        <w:pStyle w:val="TextBody"/>
        <w:bidi w:val="0"/>
        <w:spacing w:before="240" w:after="0"/>
        <w:jc w:val="left"/>
        <w:rPr>
          <w:rFonts w:ascii="Times New Roman" w:hAnsi="Times New Roman"/>
          <w:sz w:val="20"/>
        </w:rPr>
      </w:pPr>
      <w:r>
        <w:rPr>
          <w:rFonts w:ascii="Times New Roman" w:hAnsi="Times New Roman"/>
          <w:sz w:val="20"/>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hAnsi="Times New Roman"/>
          <w:i/>
          <w:sz w:val="20"/>
        </w:rPr>
        <w:t>Plan of Distribution</w:t>
      </w:r>
      <w:r>
        <w:rPr>
          <w:rFonts w:ascii="Times New Roman" w:hAnsi="Times New Roman"/>
          <w:sz w:val="20"/>
        </w:rPr>
        <w:t xml:space="preserve">” in this prospectus. We will also describe in an applicable prospectus supplement the way(s) in which we expect to use the net proceeds we receive from any sale.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offer or sell any securities unless accompanied by a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8, 2024.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bookmarkStart w:id="18" w:name="toc1"/>
      <w:bookmarkEnd w:id="18"/>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10"/>
        <w:gridCol w:w="342"/>
        <w:gridCol w:w="90"/>
        <w:gridCol w:w="400"/>
        <w:gridCol w:w="63"/>
      </w:tblGrid>
      <w:tr>
        <w:trPr/>
        <w:tc>
          <w:tcPr>
            <w:tcW w:w="931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1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490" w:type="dxa"/>
            <w:gridSpan w:val="2"/>
            <w:tcBorders/>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71637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71637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71637_3">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71637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71637_5">
              <w:r>
                <w:rPr>
                  <w:rStyle w:val="InternetLink"/>
                  <w:rFonts w:ascii="Times New Roman" w:hAnsi="Times New Roman"/>
                  <w:sz w:val="20"/>
                </w:rPr>
                <w:t>ABOUT THE COMPANY</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71637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71637_7">
              <w:r>
                <w:rPr>
                  <w:rStyle w:val="InternetLink"/>
                  <w:rFonts w:ascii="Times New Roman" w:hAnsi="Times New Roman"/>
                  <w:sz w:val="20"/>
                </w:rPr>
                <w:t>SELECTED FINANCIAL DATA</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310" w:type="dxa"/>
            <w:tcBorders/>
          </w:tcPr>
          <w:p>
            <w:pPr>
              <w:pStyle w:val="TableContents"/>
              <w:bidi w:val="0"/>
              <w:spacing w:before="0" w:after="0"/>
              <w:jc w:val="left"/>
              <w:rPr/>
            </w:pPr>
            <w:hyperlink w:anchor="tx271637_8">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71637_9">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71637_10">
              <w:r>
                <w:rPr>
                  <w:rStyle w:val="InternetLink"/>
                  <w:rFonts w:ascii="Times New Roman" w:hAnsi="Times New Roman"/>
                  <w:sz w:val="20"/>
                </w:rPr>
                <w:t>GENERAL DESCRIPTION OF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71637_11">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71637_12">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71637_13">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71637_14">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71637_15">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71637_16">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271637_17">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 </w:t>
      </w:r>
    </w:p>
    <w:p>
      <w:pPr>
        <w:pStyle w:val="TextBody"/>
        <w:bidi w:val="0"/>
        <w:spacing w:before="240" w:after="0"/>
        <w:jc w:val="left"/>
        <w:rPr>
          <w:rFonts w:ascii="Times New Roman" w:hAnsi="Times New Roman"/>
          <w:b/>
          <w:sz w:val="20"/>
        </w:rPr>
      </w:pPr>
      <w:r>
        <w:rPr>
          <w:rFonts w:ascii="Times New Roman" w:hAnsi="Times New Roman"/>
          <w:b/>
          <w:sz w:val="20"/>
        </w:rPr>
        <w:t xml:space="preserve">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271637_1"/>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S-3 that we have filed with the Securities and Exchange Commission, or the SEC, as a “well-known seasoned issuer” as defined in Rule 405 of the Securities Act of 1933, as amended, or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this process, we may sell the securities described in this prospectus in one or more offerings.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hAnsi="Times New Roman"/>
          <w:i/>
          <w:sz w:val="20"/>
        </w:rPr>
        <w:t xml:space="preserve">Where You Can Find More Information” </w:t>
      </w:r>
      <w:r>
        <w:rPr>
          <w:rFonts w:ascii="Times New Roman" w:hAnsi="Times New Roman"/>
          <w:sz w:val="20"/>
        </w:rPr>
        <w:t>and “</w:t>
      </w:r>
      <w:r>
        <w:rPr>
          <w:rFonts w:ascii="Times New Roman" w:hAnsi="Times New Roman"/>
          <w:i/>
          <w:sz w:val="20"/>
        </w:rPr>
        <w:t>Incorporation of Certain Information by Reference</w:t>
      </w:r>
      <w:r>
        <w:rPr>
          <w:rFonts w:ascii="Times New Roman" w:hAnsi="Times New Roman"/>
          <w:sz w:val="20"/>
        </w:rPr>
        <w:t xml:space="preserve">” in both this prospectus and the applicable prospectus supplement, and in 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 </w:t>
      </w:r>
    </w:p>
    <w:p>
      <w:pPr>
        <w:pStyle w:val="TextBody"/>
        <w:bidi w:val="0"/>
        <w:spacing w:before="480" w:after="0"/>
        <w:jc w:val="center"/>
        <w:rPr>
          <w:rFonts w:ascii="Times New Roman" w:hAnsi="Times New Roman"/>
          <w:b/>
          <w:sz w:val="20"/>
        </w:rPr>
      </w:pPr>
      <w:bookmarkStart w:id="20" w:name="tx271637_2"/>
      <w:bookmarkEnd w:id="2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make these documents available on our website at </w:t>
      </w:r>
      <w:r>
        <w:rPr>
          <w:rFonts w:ascii="Times New Roman" w:hAnsi="Times New Roman"/>
          <w:i/>
          <w:sz w:val="20"/>
        </w:rPr>
        <w:t>www.discmedicine.com</w:t>
      </w:r>
      <w:r>
        <w:rPr>
          <w:rFonts w:ascii="Times New Roman" w:hAnsi="Times New Roman"/>
          <w:sz w:val="20"/>
        </w:rPr>
        <w:t xml:space="preserve">. Our website and the information contained or connected to our website is not incorporated by reference in this prospectus or any prospectus supplement, and you should not consider it part of this prospectus or any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271637_3"/>
      <w:bookmarkEnd w:id="21"/>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Annual Report on Form 10-K for the fiscal year ended December 31, 2023, filed with the SEC on </w:t>
            </w:r>
            <w:hyperlink r:id="rId19">
              <w:r>
                <w:rPr>
                  <w:rStyle w:val="InternetLink"/>
                  <w:rFonts w:ascii="Times New Roman" w:hAnsi="Times New Roman"/>
                  <w:sz w:val="20"/>
                </w:rPr>
                <w:t>March 21,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Quarterly Reports on Form 10-Q for the quarters ended March 31, 2024 and June 30, 2024, filed with the SEC on </w:t>
            </w:r>
            <w:hyperlink r:id="rId20">
              <w:r>
                <w:rPr>
                  <w:rStyle w:val="InternetLink"/>
                  <w:rFonts w:ascii="Times New Roman" w:hAnsi="Times New Roman"/>
                  <w:sz w:val="20"/>
                </w:rPr>
                <w:t>May  9, 2024</w:t>
              </w:r>
            </w:hyperlink>
            <w:r>
              <w:rPr>
                <w:rFonts w:ascii="Times New Roman" w:hAnsi="Times New Roman"/>
                <w:sz w:val="20"/>
              </w:rPr>
              <w:t xml:space="preserve"> and </w:t>
            </w:r>
            <w:hyperlink r:id="rId21">
              <w:r>
                <w:rPr>
                  <w:rStyle w:val="InternetLink"/>
                  <w:rFonts w:ascii="Times New Roman" w:hAnsi="Times New Roman"/>
                  <w:sz w:val="20"/>
                </w:rPr>
                <w:t>August 8, 2024</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22">
              <w:r>
                <w:rPr>
                  <w:rStyle w:val="InternetLink"/>
                  <w:rFonts w:ascii="Times New Roman" w:hAnsi="Times New Roman"/>
                  <w:sz w:val="20"/>
                </w:rPr>
                <w:t>February 7, 2024</w:t>
              </w:r>
            </w:hyperlink>
            <w:r>
              <w:rPr>
                <w:rFonts w:ascii="Times New Roman" w:hAnsi="Times New Roman"/>
                <w:sz w:val="20"/>
              </w:rPr>
              <w:t xml:space="preserve">, </w:t>
            </w:r>
            <w:hyperlink r:id="rId23">
              <w:r>
                <w:rPr>
                  <w:rStyle w:val="InternetLink"/>
                  <w:rFonts w:ascii="Times New Roman" w:hAnsi="Times New Roman"/>
                  <w:sz w:val="20"/>
                </w:rPr>
                <w:t>April  2, 2024</w:t>
              </w:r>
            </w:hyperlink>
            <w:r>
              <w:rPr>
                <w:rFonts w:ascii="Times New Roman" w:hAnsi="Times New Roman"/>
                <w:sz w:val="20"/>
              </w:rPr>
              <w:t xml:space="preserve">, </w:t>
            </w:r>
            <w:hyperlink r:id="rId24">
              <w:r>
                <w:rPr>
                  <w:rStyle w:val="InternetLink"/>
                  <w:rFonts w:ascii="Times New Roman" w:hAnsi="Times New Roman"/>
                  <w:sz w:val="20"/>
                </w:rPr>
                <w:t>June  14, 2024</w:t>
              </w:r>
            </w:hyperlink>
            <w:r>
              <w:rPr>
                <w:rFonts w:ascii="Times New Roman" w:hAnsi="Times New Roman"/>
                <w:sz w:val="20"/>
              </w:rPr>
              <w:t xml:space="preserve">, </w:t>
            </w:r>
            <w:hyperlink r:id="rId25">
              <w:r>
                <w:rPr>
                  <w:rStyle w:val="InternetLink"/>
                  <w:rFonts w:ascii="Times New Roman" w:hAnsi="Times New Roman"/>
                  <w:sz w:val="20"/>
                </w:rPr>
                <w:t>June  14, 2024</w:t>
              </w:r>
            </w:hyperlink>
            <w:r>
              <w:rPr>
                <w:rFonts w:ascii="Times New Roman" w:hAnsi="Times New Roman"/>
                <w:sz w:val="20"/>
              </w:rPr>
              <w:t xml:space="preserve"> (in each case, excluding information furnished pursuant to Item 7.01) and </w:t>
            </w:r>
            <w:hyperlink r:id="rId26">
              <w:r>
                <w:rPr>
                  <w:rStyle w:val="InternetLink"/>
                  <w:rFonts w:ascii="Times New Roman" w:hAnsi="Times New Roman"/>
                  <w:sz w:val="20"/>
                </w:rPr>
                <w:t>June 14, 2024</w:t>
              </w:r>
            </w:hyperlink>
            <w:r>
              <w:rPr>
                <w:rFonts w:ascii="Times New Roman" w:hAnsi="Times New Roman"/>
                <w:sz w:val="20"/>
              </w:rPr>
              <w:t xml:space="preserve"> ;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8-A filed with the SEC on </w:t>
            </w:r>
            <w:hyperlink r:id="rId27">
              <w:r>
                <w:rPr>
                  <w:rStyle w:val="InternetLink"/>
                  <w:rFonts w:ascii="Times New Roman" w:hAnsi="Times New Roman"/>
                  <w:sz w:val="20"/>
                </w:rPr>
                <w:t>August 10, 2020</w:t>
              </w:r>
            </w:hyperlink>
            <w:r>
              <w:rPr>
                <w:rFonts w:ascii="Times New Roman" w:hAnsi="Times New Roman"/>
                <w:sz w:val="20"/>
              </w:rPr>
              <w:t xml:space="preserve">, and as set forth by the description of the Registrant’s common stock set forth in </w:t>
            </w:r>
            <w:hyperlink r:id="rId28">
              <w:r>
                <w:rPr>
                  <w:rStyle w:val="InternetLink"/>
                  <w:rFonts w:ascii="Times New Roman" w:hAnsi="Times New Roman"/>
                  <w:sz w:val="20"/>
                </w:rPr>
                <w:t>Exhibit 4.4</w:t>
              </w:r>
            </w:hyperlink>
            <w:r>
              <w:rPr>
                <w:rFonts w:ascii="Times New Roman" w:hAnsi="Times New Roman"/>
                <w:sz w:val="20"/>
              </w:rPr>
              <w:t xml:space="preserve"> to the Registrant’s Annual Report on Form 10-K for the year ended December 31, 2021, filed with the SEC on </w:t>
            </w:r>
            <w:hyperlink r:id="rId29">
              <w:r>
                <w:rPr>
                  <w:rStyle w:val="InternetLink"/>
                  <w:rFonts w:ascii="Times New Roman" w:hAnsi="Times New Roman"/>
                  <w:sz w:val="20"/>
                </w:rPr>
                <w:t>March 10, 2022</w:t>
              </w:r>
            </w:hyperlink>
            <w:r>
              <w:rPr>
                <w:rFonts w:ascii="Times New Roman" w:hAnsi="Times New Roman"/>
                <w:sz w:val="20"/>
              </w:rPr>
              <w:t xml:space="preserve">, and as further supplemented by the description of the Registrant’s common stock set forth in the Registrant’s Registration Statement on Form S-4/A, filed with the SEC on </w:t>
            </w:r>
            <w:hyperlink r:id="rId30">
              <w:r>
                <w:rPr>
                  <w:rStyle w:val="InternetLink"/>
                  <w:rFonts w:ascii="Times New Roman" w:hAnsi="Times New Roman"/>
                  <w:sz w:val="20"/>
                </w:rPr>
                <w:t>December 1, 2022</w:t>
              </w:r>
            </w:hyperlink>
            <w:r>
              <w:rPr>
                <w:rFonts w:ascii="Times New Roman" w:hAnsi="Times New Roman"/>
                <w:sz w:val="20"/>
              </w:rPr>
              <w:t xml:space="preserve">,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are available from us without charge, excluding all exhibits unless specifically incorporated by reference as an exhibit to this prospectus and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Prospective investors may obtain documents incorporated by reference in this prospectus and the applicable prospectus supplement at no cost by requesting them in writing or by telephone from us at our executive offices at: </w:t>
      </w:r>
    </w:p>
    <w:p>
      <w:pPr>
        <w:pStyle w:val="TextBody"/>
        <w:bidi w:val="0"/>
        <w:spacing w:before="120" w:after="0"/>
        <w:jc w:val="center"/>
        <w:rPr>
          <w:rFonts w:ascii="Times New Roman" w:hAnsi="Times New Roman"/>
          <w:sz w:val="20"/>
        </w:rPr>
      </w:pPr>
      <w:r>
        <w:rPr>
          <w:rFonts w:ascii="Times New Roman" w:hAnsi="Times New Roman"/>
          <w:sz w:val="20"/>
        </w:rPr>
        <w:t xml:space="preserve">Disc Medicine, Inc. </w:t>
      </w:r>
    </w:p>
    <w:p>
      <w:pPr>
        <w:pStyle w:val="TextBody"/>
        <w:bidi w:val="0"/>
        <w:spacing w:before="0" w:after="0"/>
        <w:jc w:val="center"/>
        <w:rPr>
          <w:rFonts w:ascii="Times New Roman" w:hAnsi="Times New Roman"/>
          <w:sz w:val="20"/>
        </w:rPr>
      </w:pPr>
      <w:r>
        <w:rPr>
          <w:rFonts w:ascii="Times New Roman" w:hAnsi="Times New Roman"/>
          <w:sz w:val="20"/>
        </w:rPr>
        <w:t xml:space="preserve">321 Arsenal Street, Suite 101 </w:t>
      </w:r>
    </w:p>
    <w:p>
      <w:pPr>
        <w:pStyle w:val="TextBody"/>
        <w:bidi w:val="0"/>
        <w:spacing w:before="0" w:after="0"/>
        <w:jc w:val="center"/>
        <w:rPr>
          <w:rFonts w:ascii="Times New Roman" w:hAnsi="Times New Roman"/>
          <w:sz w:val="20"/>
        </w:rPr>
      </w:pPr>
      <w:r>
        <w:rPr>
          <w:rFonts w:ascii="Times New Roman" w:hAnsi="Times New Roman"/>
          <w:sz w:val="20"/>
        </w:rPr>
        <w:t xml:space="preserve">Watertown, MA 02472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(617) 674-9274</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271637_4"/>
      <w:bookmarkEnd w:id="22"/>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hAnsi="Times New Roman"/>
          <w:i/>
          <w:sz w:val="20"/>
        </w:rPr>
        <w:t>Risk Factors</w:t>
      </w:r>
      <w:r>
        <w:rPr>
          <w:rFonts w:ascii="Times New Roman" w:hAnsi="Times New Roman"/>
          <w:sz w:val="20"/>
        </w:rPr>
        <w:t xml:space="preserve">” and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results, and cost of our research and development programs and our current and future preclinical studies and clinical trials, including our ongoing Phase 1b/2 clinical trials of DISC-0974 and our ongoing Phase 1 clinical trial of DISC-3405, and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efficiently discover and develop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the potential to successfully manufacture our drug substances and product candidates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necessary to complete further development and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our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revenues,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collaboration agreements, our ability to enter into strategic collaborations or arrangements,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commercialization of product candidates and any other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produce our products or product candidates with advantages in turnaround times or manufacturing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global economic and political developments on our business, including rising inflation and capital market disruptions, the current conflicts between Russia and Ukraine and between Israel and Hamas, economic sanctions and economic slowdowns or recessions that may result from such developments which could harm our research and development efforts as well as the value of our common stock and our ability to access capital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other risks and uncertainties, including those listed under the caption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hAnsi="Times New Roman"/>
          <w:i/>
          <w:sz w:val="20"/>
        </w:rPr>
        <w:t>Risk Factors</w:t>
      </w:r>
      <w:r>
        <w:rPr>
          <w:rFonts w:ascii="Times New Roman" w:hAnsi="Times New Roman"/>
          <w:sz w:val="20"/>
        </w:rPr>
        <w:t xml:space="preserve">” contained in this prospectus and any related prospectus supplement or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Market and Industry Data and Estimates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 </w:t>
      </w:r>
    </w:p>
    <w:p>
      <w:pPr>
        <w:pStyle w:val="TextBody"/>
        <w:bidi w:val="0"/>
        <w:spacing w:before="360" w:after="0"/>
        <w:jc w:val="left"/>
        <w:rPr>
          <w:rFonts w:ascii="Times New Roman" w:hAnsi="Times New Roman"/>
          <w:b/>
          <w:sz w:val="20"/>
        </w:rPr>
      </w:pPr>
      <w:r>
        <w:rPr>
          <w:rFonts w:ascii="Times New Roman" w:hAnsi="Times New Roman"/>
          <w:b/>
          <w:sz w:val="20"/>
        </w:rPr>
        <w:t xml:space="preserve">Trademarks </w:t>
      </w:r>
    </w:p>
    <w:p>
      <w:pPr>
        <w:pStyle w:val="TextBody"/>
        <w:bidi w:val="0"/>
        <w:spacing w:before="120" w:after="0"/>
        <w:jc w:val="left"/>
        <w:rPr>
          <w:rFonts w:ascii="Times New Roman" w:hAnsi="Times New Roman"/>
          <w:sz w:val="20"/>
        </w:rPr>
      </w:pPr>
      <w:r>
        <w:rPr>
          <w:rFonts w:ascii="Times New Roman" w:hAnsi="Times New Roman"/>
          <w:sz w:val="20"/>
        </w:rPr>
        <w:t xml:space="preserve">Disc Medicine, Inc., the Disc logo and our other registered or common law trademarks, trade names or service marks appearing in this prospectus are owned by us. This prospectus, any applicable prospectus supplement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information incorporated herein or therein may contain references to our trademarks and to trademarks belonging to other entities. Solely for convenience, trademarks and trade names referred to in this prospectus, including logos, artwork and other visual displays, generally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271637_5"/>
      <w:bookmarkEnd w:id="23"/>
      <w:r>
        <w:rPr>
          <w:rFonts w:ascii="Times New Roman" w:hAnsi="Times New Roman"/>
          <w:b/>
          <w:sz w:val="20"/>
        </w:rPr>
        <w:t xml:space="preserve">ABOUT THE COMPANY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 </w:t>
      </w:r>
    </w:p>
    <w:p>
      <w:pPr>
        <w:pStyle w:val="TextBody"/>
        <w:bidi w:val="0"/>
        <w:spacing w:before="240" w:after="0"/>
        <w:jc w:val="left"/>
        <w:rPr>
          <w:rFonts w:ascii="Times New Roman" w:hAnsi="Times New Roman"/>
          <w:sz w:val="20"/>
        </w:rPr>
      </w:pPr>
      <w:r>
        <w:rPr>
          <w:rFonts w:ascii="Times New Roman" w:hAnsi="Times New Roman"/>
          <w:sz w:val="20"/>
        </w:rPr>
        <w:t xml:space="preserve">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July 2022, we initiated BEACON, a Phase 2 open-label, parallel-dose clinical trial of bitopertin in EPP and XLP patients that is being conducted at sites in Australia. In October 2022, we initiated AURORA, a Phase 2, randomized, double-blind, placebo-controlled clinical trial of bitopertin in EPP patients that is being conducted at sites in the United States. We presented interim data from BEACON in June and December 2023, and we presented topline data from AURORA in April 2024. Additional analyses of the BEACON and AURORA trials were presented in June 2024. We expect to have regulatory interactions to define optimal registrational endpoints moving forward in EPP in the second half of 2024. We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 </w:t>
      </w:r>
    </w:p>
    <w:p>
      <w:pPr>
        <w:pStyle w:val="TextBody"/>
        <w:bidi w:val="0"/>
        <w:spacing w:before="240" w:after="0"/>
        <w:jc w:val="left"/>
        <w:rPr>
          <w:rFonts w:ascii="Times New Roman" w:hAnsi="Times New Roman"/>
          <w:sz w:val="20"/>
        </w:rPr>
      </w:pPr>
      <w:r>
        <w:rPr>
          <w:rFonts w:ascii="Times New Roman" w:hAnsi="Times New Roman"/>
          <w:sz w:val="20"/>
        </w:rPr>
        <w:t xml:space="preserve">DISC-0974 is the lead product candidate in our iron homeostasis portfolio and was in-licensed from AbbVie Deutschland GmbH &amp; Co. KG, or AbbVie.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and presented additional interim data for anemia of MF in June 2024, including safety and changes in hepcidin, iron, and hemoglobin levels for additional patients, as well as longer follow-up. We anticipate presenting additional interim data for non-dialysis dependent CKD and anemia in second half of 2024. In addition, we are developing a preclinical anti-hemojuvelin, or HJV, monoclonal antibody, DISC-0998, which also targets hepcidin suppression and was </w:t>
      </w:r>
    </w:p>
    <w:p>
      <w:pPr>
        <w:pStyle w:val="TextBody"/>
        <w:bidi w:val="0"/>
        <w:spacing w:before="0" w:after="0"/>
        <w:jc w:val="left"/>
        <w:rPr>
          <w:rFonts w:ascii="Times New Roman" w:hAnsi="Times New Roman"/>
          <w:sz w:val="20"/>
        </w:rPr>
      </w:pPr>
      <w:r>
        <w:rPr>
          <w:rFonts w:ascii="Times New Roman" w:hAnsi="Times New Roman"/>
          <w:sz w:val="20"/>
        </w:rPr>
        <w:t xml:space="preserve">in-licensed from AbbVie. DISC-0998 is designed to increase serum iron levels and has an extended serum half-life as compared to DISC-0974. We believe this profile may be desirable in certain subsets of patients with anemia associated with inflammatory diseases.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(SAD) portion of the Phase 1 clinical trial of DISC-3405 in healthy volunteers in June 2024. We anticipate presenting data from the multiple-ascending dose (MAD) portion of the Phase 1 healthy volunteer study of DISC-3405 in the fourth quarter of 2024. We expect to develop DISC-3405 for the treatment of PV and other hematologic disorders. </w:t>
      </w:r>
    </w:p>
    <w:p>
      <w:pPr>
        <w:pStyle w:val="TextBody"/>
        <w:bidi w:val="0"/>
        <w:spacing w:before="360" w:after="0"/>
        <w:jc w:val="left"/>
        <w:rPr>
          <w:rFonts w:ascii="Times New Roman" w:hAnsi="Times New Roman"/>
          <w:b/>
          <w:sz w:val="20"/>
        </w:rPr>
      </w:pPr>
      <w:r>
        <w:rPr>
          <w:rFonts w:ascii="Times New Roman" w:hAnsi="Times New Roman"/>
          <w:b/>
          <w:sz w:val="20"/>
        </w:rPr>
        <w:t xml:space="preserve">Merger with Gemini </w:t>
      </w:r>
    </w:p>
    <w:p>
      <w:pPr>
        <w:pStyle w:val="TextBody"/>
        <w:bidi w:val="0"/>
        <w:spacing w:before="120" w:after="0"/>
        <w:jc w:val="left"/>
        <w:rPr>
          <w:rFonts w:ascii="Times New Roman" w:hAnsi="Times New Roman"/>
          <w:sz w:val="20"/>
        </w:rPr>
      </w:pPr>
      <w:r>
        <w:rPr>
          <w:rFonts w:ascii="Times New Roman" w:hAnsi="Times New Roman"/>
          <w:sz w:val="20"/>
        </w:rPr>
        <w:t xml:space="preserve">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Disc Medicine, Inc. was originally incorporated under the laws of the state of Delaware in October 2017, and changed its name to Disc Medicine Opco, Inc., or Disc Opco, in December 2022. On December 29, 2022, we completed our business combination with Gemini, in accordance with the terms of the Merger Agreement,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 </w:t>
      </w:r>
    </w:p>
    <w:p>
      <w:pPr>
        <w:pStyle w:val="TextBody"/>
        <w:bidi w:val="0"/>
        <w:spacing w:before="240" w:after="0"/>
        <w:jc w:val="left"/>
        <w:rPr>
          <w:rFonts w:ascii="Times New Roman" w:hAnsi="Times New Roman"/>
          <w:sz w:val="20"/>
        </w:rPr>
      </w:pPr>
      <w:r>
        <w:rPr>
          <w:rFonts w:ascii="Times New Roman" w:hAnsi="Times New Roman"/>
          <w:sz w:val="20"/>
        </w:rPr>
        <w:t xml:space="preserve">Our Annual Reports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additional information about our Company, please refer to other documents we have filed with the SEC and that are incorporated by reference into this prospectus, as listed under the heading “</w:t>
      </w:r>
      <w:r>
        <w:rPr>
          <w:rFonts w:ascii="Times New Roman" w:hAnsi="Times New Roman"/>
          <w:i/>
          <w:sz w:val="20"/>
        </w:rPr>
        <w:t>Incorporation of Certain Information by Reference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Implications of Being an Emerging Growth Company and a Smaller Reporting Company </w:t>
      </w:r>
    </w:p>
    <w:p>
      <w:pPr>
        <w:pStyle w:val="TextBody"/>
        <w:bidi w:val="0"/>
        <w:spacing w:before="120" w:after="0"/>
        <w:jc w:val="left"/>
        <w:rPr>
          <w:rFonts w:ascii="Times New Roman" w:hAnsi="Times New Roman"/>
          <w:sz w:val="20"/>
        </w:rPr>
      </w:pPr>
      <w:r>
        <w:rPr>
          <w:rFonts w:ascii="Times New Roman" w:hAnsi="Times New Roman"/>
          <w:sz w:val="20"/>
        </w:rPr>
        <w:t xml:space="preserve">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permitted to only disclose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hold advisory votes on executive compensation or to obtain stockholder approval of any golden parachute arrangements not previously approved;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the auditor attestation requirement in the assessment of our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Subject to certain conditions, as an emerging growth company, we may rely on certain of these exemptions, including without limitation, omitting an auditor’s attestation report on our system of internal controls over financial reporting otherwise required by Section 404(b)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271637_6"/>
      <w:bookmarkEnd w:id="2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most recent Annual Report on Form 10-K, which is on file with the SEC and is incorporated herein by reference, as updated by our subsequent annual, quarterly and other reports we file with the SEC, as well as any amendments thereto, which are incorporated by reference into this prospectus. See “</w:t>
      </w:r>
      <w:r>
        <w:rPr>
          <w:rFonts w:ascii="Times New Roman" w:hAnsi="Times New Roman"/>
          <w:i/>
          <w:sz w:val="20"/>
        </w:rPr>
        <w:t>Where You Can Find More Information</w:t>
      </w:r>
      <w:r>
        <w:rPr>
          <w:rFonts w:ascii="Times New Roman" w:hAnsi="Times New Roman"/>
          <w:sz w:val="20"/>
        </w:rPr>
        <w:t xml:space="preserve">” for information about how to obtain a copy of these documents. You should also carefully consider the risks and other information that may be contained in, or incorporated by reference into, any prospectus supplement relating to specific offerings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271637_8"/>
      <w:bookmarkEnd w:id="2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271637_9"/>
      <w:bookmarkEnd w:id="26"/>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271637_10"/>
      <w:bookmarkEnd w:id="27"/>
      <w:r>
        <w:rPr>
          <w:rFonts w:ascii="Times New Roman" w:hAnsi="Times New Roman"/>
          <w:b/>
          <w:sz w:val="20"/>
        </w:rPr>
        <w:t xml:space="preserve">GENERAL 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dividends or other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exercise, exchange, settlement or sinking fund terms, including prices or rates, and any provisions for changes to or adjustments in such prices or rates and in the securities or other property receivable upon conversion, exercise, exchange or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listing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important U.S. federal income tax considerations.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 </w:t>
      </w:r>
    </w:p>
    <w:p>
      <w:pPr>
        <w:pStyle w:val="TextBody"/>
        <w:bidi w:val="0"/>
        <w:spacing w:before="240" w:after="0"/>
        <w:jc w:val="left"/>
        <w:rPr>
          <w:rFonts w:ascii="Times New Roman" w:hAnsi="Times New Roman"/>
          <w:sz w:val="20"/>
        </w:rPr>
      </w:pPr>
      <w:r>
        <w:rPr>
          <w:rFonts w:ascii="Times New Roman" w:hAnsi="Times New Roman"/>
          <w:sz w:val="20"/>
        </w:rPr>
        <w:t>We may sell the securities to or through underwriters, dealers or agents, directly to purchasers or through a combination of any of these methods of sale or as otherwise set forth under “</w:t>
      </w:r>
      <w:r>
        <w:rPr>
          <w:rFonts w:ascii="Times New Roman" w:hAnsi="Times New Roman"/>
          <w:i/>
          <w:sz w:val="20"/>
        </w:rPr>
        <w:t>Plan of Distribution</w:t>
      </w:r>
      <w:r>
        <w:rPr>
          <w:rFonts w:ascii="Times New Roman" w:hAnsi="Times New Roman"/>
          <w:sz w:val="20"/>
        </w:rPr>
        <w:t xml:space="preserve">”.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 </w:t>
      </w:r>
    </w:p>
    <w:p>
      <w:pPr>
        <w:pStyle w:val="TextBody"/>
        <w:bidi w:val="0"/>
        <w:spacing w:before="240" w:after="0"/>
        <w:jc w:val="left"/>
        <w:rPr>
          <w:rFonts w:ascii="Times New Roman" w:hAnsi="Times New Roman"/>
          <w:sz w:val="20"/>
        </w:rPr>
      </w:pPr>
      <w:r>
        <w:rPr>
          <w:rFonts w:ascii="Times New Roman" w:hAnsi="Times New Roman"/>
          <w:sz w:val="20"/>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271637_11"/>
      <w:bookmarkEnd w:id="28"/>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100,000,000 shares of common stock, par value $0.0001 per share, and 10,000,000 shares of preferred stock, par value $0.0001 per share, all of which preferred stock is undesignated. As of June 30, 2024, we had 29,707,997 shares of our common stock outstanding and no shares of preferred stock outstanding. Unless our board of directors determines otherwise, we will issue all shares of our capital stock in uncertificated form.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before="240" w:after="0"/>
        <w:jc w:val="left"/>
        <w:rPr>
          <w:rFonts w:ascii="Times New Roman" w:hAnsi="Times New Roman"/>
          <w:sz w:val="20"/>
        </w:rPr>
      </w:pPr>
      <w:r>
        <w:rPr>
          <w:rFonts w:ascii="Times New Roman" w:hAnsi="Times New Roman"/>
          <w:sz w:val="20"/>
        </w:rPr>
        <w:t>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be validly issued, fully paid and non-assessable.</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“IRON.” On August 7, 2024, the closing price for our common stock, as reported on The Nasdaq Global Market, was $41.27 per share. As of June 30, 2024, we had estimated approximately 19 stockholders of record.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Broadridge Corporate Issuer Solutions, LLC. The transfer agent and registrar’s address is 51 Mercedes Way, Edgewood, NY 11717.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our board of directors may fix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Series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authorized;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period and payment date,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and, if applicable, the conversion price, or how it will be calculated, and 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price, or how it will be calculated, and the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preemptive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series of preferred stock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we issue shares of preferred stock under this prospectus, the shares will fully be paid and nonassessable and will not be subject to any preemptive or similar rights.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an estimated 5.0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 registration rights agreement, or the 2022 Registration Rights Agreement, with certain holders of our capital stock, or the 2022 Investors, pursuant to which we (i) agreed to register for resale shares of our common stock issued to the 2022 Investors pursuant to the Merger Agreement, or the Registrable Securities, and (ii) granted certain other registration rights to the 2022 Investors.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2022 Registration Rights Agreement provides for the following registration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Shelf registration rights</w:t>
            </w:r>
            <w:r>
              <w:rPr>
                <w:rFonts w:ascii="Times New Roman" w:hAnsi="Times New Roman"/>
                <w:sz w:val="20"/>
              </w:rPr>
              <w:t xml:space="preserve">. Following the completion of the merger as contemplated by the Merger Agreement, we were required to file with the SEC, a shelf registration statement registering the resale of the Registrable Securities, and use our commercially reasonable efforts to have such registration statement declared effective by the SEC as promptly as possible.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Expenses and indemnification</w:t>
            </w:r>
            <w:r>
              <w:rPr>
                <w:rFonts w:ascii="Times New Roman" w:hAnsi="Times New Roman"/>
                <w:sz w:val="20"/>
              </w:rPr>
              <w:t xml:space="preserve">. The fees, costs and expenses of registrations pursuant to the registration rights granted to the 2022 Investors 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2021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a party to a registration rights agreement, or the 2021 Registration Rights Agreement, pursuant to which, among other things, certain holders of capital stock, including certain investors of FS Development Corporation, a Delaware corporation, or the FSDC Investors, certain entities affiliated with Atlas Ventures, entities affiliated with Lightstone Ventures, OrbiMed Private Investments VI, LP, and Wu Capital Investment LLC, or collectively, the Major Investors and together with the FSDC Investors, the Investors, were granted certain registration rights with respect to Registrable Securities, as defined in the 2021 Registration Rights Agreement, held by them, subject to certain conditions and limitations.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2021 Registration Rights Agreement provides for the following registration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Demand registration rights</w:t>
            </w:r>
            <w:r>
              <w:rPr>
                <w:rFonts w:ascii="Times New Roman" w:hAnsi="Times New Roman"/>
                <w:sz w:val="20"/>
              </w:rPr>
              <w:t xml:space="preserve">. We are required, upon the written request of either (i) FSDC Investors holding a majority of the Registrable 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Shelf registration rights</w:t>
            </w:r>
            <w:r>
              <w:rPr>
                <w:rFonts w:ascii="Times New Roman" w:hAnsi="Times New Roman"/>
                <w:sz w:val="20"/>
              </w:rPr>
              <w:t xml:space="preserve">. A shelf registration statement pursuant to Rule 415 of Securities Act, was filed on February 17, 2021 and became 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Limits on demand registration rights and shelf registration rights.</w:t>
            </w:r>
            <w:r>
              <w:rPr>
                <w:rFonts w:ascii="Times New Roman" w:hAnsi="Times New Roman"/>
                <w:sz w:val="20"/>
              </w:rPr>
              <w:t xml:space="preserve"> We shall not be obligated to effect: (a) more than one (1) demand 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Piggyback registration rights</w:t>
            </w:r>
            <w:r>
              <w:rPr>
                <w:rFonts w:ascii="Times New Roman" w:hAnsi="Times New Roman"/>
                <w:sz w:val="20"/>
              </w:rPr>
              <w:t xml:space="preserve">. At any time after the first anniversary of the closing date, if we propose to file a registration statement to 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Expenses and indemnification</w:t>
            </w:r>
            <w:r>
              <w:rPr>
                <w:rFonts w:ascii="Times New Roman" w:hAnsi="Times New Roman"/>
                <w:sz w:val="20"/>
              </w:rPr>
              <w:t xml:space="preserve">. All fees, costs and expenses of underwritten registrations will be borne by us and underwriting discounts and selling commissions will be borne by the holders of the shares 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Registrable securities</w:t>
            </w:r>
            <w:r>
              <w:rPr>
                <w:rFonts w:ascii="Times New Roman" w:hAnsi="Times New Roman"/>
                <w:sz w:val="20"/>
              </w:rPr>
              <w:t xml:space="preserve">. Securities of ours shall cease to be registrable securities upon the earlier of (i) tenth anniversary of February 5, 2021 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 as of immediately prior to the consummation of the business combination, the date when such Investor is permitted to sell the Registrable Securities under Rule 144 (or any similar provision) under the Securities Act without limitation on the amount of securities sold or the manner of sale.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Amended and Restated Certificate of Incorporation and Amended and Restated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not governed by Section 203 of the Delaware General Corporation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a special meeting of stockholders may be called at any time by our board of directors, but such special meetings may not be called by the stockholders or any other person or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contain advance notice procedures with respect to stockholder proposals and the nomination of candidates for election as directors, other than nominations made by or at the direction of our board of directors or a committee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does not allow stockholders to act by written consent without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election and removal of directors; filling vacancies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charter provisions or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may be amended or repealed by our board of directors or by the affirmative vote of the holders of not less than two-thirds of the voting power of all of the shares of the capital stock of our Company entitled to vote on such amendment or repeal, voting as one class; provided, however, that if our board of directors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our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271637_12"/>
      <w:bookmarkEnd w:id="2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will be qualified under the Trust Indenture Act of 1939, as amended, or the Trust Indenture Act. We use the term “trustee” to refer to either the trustee under the senior indenture or the trustee under the subordinated indenture,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or free writing prospectus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being offered, and if a series, the total amount authorized and the total amount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we will issue the series of debt securities in global form, and, if so, the terms and who the depository will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if any, we will pay additional amounts on any debt securities held by a person who is not a United States person for tax purposes, and whether we can redeem the debt securities if we have to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interest rate,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payments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after which, the conditions upon which, and the price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indenture will restrict our ability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additional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make distributions in respect of our capital stock or the capital stock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place restrictions on our subsidiaries’ ability to pay dividends, make distributions or transfer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or other restricted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otherwise dispose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sale-leaseback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transactions with stockholders or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or sell stock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a consolidation or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indenture will require us to maintain any interest coverage, fixed charge, cash flow-based, asset-based or other financial ratios;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material or special United States federal income tax considerations applicable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describing any book-entry features;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the provisions in the indenture on discharge;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to be offered at a price such that they will be deemed to be offered at an “original issue discount” as defined in paragraph (a) of Section 1273 of the Internal Revenue Code of 1986,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or free writing prospectus applicable to a particular series of debt securities, the following are events of default under the indentures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interest when due and payable and our failure continues for 90 days and the time for payment has not been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premium or sinking fund payment, if any, when due and payable at maturity, upon redemption or repurchase or otherwise, and the time for payment has not been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describe in each applicable prospectus supplement or free writing prospectus any additional events of default relating to the relevant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indentures or to appoint a receiver or trustee, or to seek other remedies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the indenture for any series of debt securities that we may issue, we and the trustee may change an indenture without the consent of any holders with respect to the following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fix any ambiguity, defect or inconsistency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to comply with the provisions described above under “</w:t>
            </w:r>
            <w:r>
              <w:rPr>
                <w:rFonts w:ascii="Times New Roman" w:hAnsi="Times New Roman"/>
                <w:i/>
                <w:sz w:val="20"/>
              </w:rPr>
              <w:t>Description of Debt Securities-Consolidation, Merger or</w:t>
            </w:r>
            <w:r>
              <w:rPr>
                <w:rFonts w:ascii="Times New Roman" w:hAnsi="Times New Roman"/>
                <w:sz w:val="20"/>
              </w:rPr>
              <w:t xml:space="preserve"> </w:t>
            </w:r>
            <w:r>
              <w:rPr>
                <w:rFonts w:ascii="Times New Roman" w:hAnsi="Times New Roman"/>
                <w:i/>
                <w:sz w:val="20"/>
              </w:rPr>
              <w:t>Sale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to provide for the issuance of and establish the form and terms and conditions of the debt securities of any series as provided under “</w:t>
            </w:r>
            <w:r>
              <w:rPr>
                <w:rFonts w:ascii="Times New Roman" w:hAnsi="Times New Roman"/>
                <w:i/>
                <w:sz w:val="20"/>
              </w:rPr>
              <w:t>Description of Debt Securities-General</w:t>
            </w:r>
            <w:r>
              <w:rPr>
                <w:rFonts w:ascii="Times New Roman" w:hAnsi="Times New Roman"/>
                <w:sz w:val="20"/>
              </w:rPr>
              <w:t xml:space="preserve">,”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hereunder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and to make all appropriate changes for such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anything that does not materially adversely affect the interests of any holder of debt securities of any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stated maturity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or repurchase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otherwise specify in the applicable prospectus supplement or free writing prospectus, in denominations of $1,000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that we will mail to the holder or by wire transfer to certain holders. Unless we otherwise indicate in the applicable prospectus supplement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is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Ranking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 </w:t>
      </w:r>
    </w:p>
    <w:p>
      <w:pPr>
        <w:pStyle w:val="TextBody"/>
        <w:bidi w:val="0"/>
        <w:spacing w:before="240" w:after="0"/>
        <w:jc w:val="left"/>
        <w:rPr>
          <w:rFonts w:ascii="Times New Roman" w:hAnsi="Times New Roman"/>
          <w:sz w:val="20"/>
        </w:rPr>
      </w:pPr>
      <w:r>
        <w:rPr>
          <w:rFonts w:ascii="Times New Roman" w:hAnsi="Times New Roman"/>
          <w:sz w:val="20"/>
        </w:rPr>
        <w:t xml:space="preserve">The senior debt securities will rank equally in right of payment to all our other senior unsecured debt. The senior indenture does not limit the amount of senior debt securities that we may issue. It also does not limit us from issuing any other secured or unsecured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271637_13"/>
      <w:bookmarkEnd w:id="30"/>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periods during which, and places at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271637_14"/>
      <w:bookmarkEnd w:id="31"/>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United States federal income tax considerations relating to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The provisions described in this section, as well as those described under “</w:t>
      </w:r>
      <w:r>
        <w:rPr>
          <w:rFonts w:ascii="Times New Roman" w:hAnsi="Times New Roman"/>
          <w:i/>
          <w:sz w:val="20"/>
        </w:rPr>
        <w:t>Description of Capital Stock</w:t>
      </w:r>
      <w:r>
        <w:rPr>
          <w:rFonts w:ascii="Times New Roman" w:hAnsi="Times New Roman"/>
          <w:sz w:val="20"/>
        </w:rPr>
        <w:t>,” “</w:t>
      </w:r>
      <w:r>
        <w:rPr>
          <w:rFonts w:ascii="Times New Roman" w:hAnsi="Times New Roman"/>
          <w:i/>
          <w:sz w:val="20"/>
        </w:rPr>
        <w:t>Description of Debt Securities”</w:t>
      </w:r>
      <w:r>
        <w:rPr>
          <w:rFonts w:ascii="Times New Roman" w:hAnsi="Times New Roman"/>
          <w:sz w:val="20"/>
        </w:rPr>
        <w:t xml:space="preserve"> and “</w:t>
      </w:r>
      <w:r>
        <w:rPr>
          <w:rFonts w:ascii="Times New Roman" w:hAnsi="Times New Roman"/>
          <w:i/>
          <w:sz w:val="20"/>
        </w:rPr>
        <w:t>Description of Warrants</w:t>
      </w:r>
      <w:r>
        <w:rPr>
          <w:rFonts w:ascii="Times New Roman" w:hAnsi="Times New Roman"/>
          <w:sz w:val="20"/>
        </w:rPr>
        <w:t xml:space="preserve">” will apply to the securities included in each unit, to the extent relevant and as may be updated in any prospectus supplements.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Unit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provisions will generally apply to all unit agreements unless otherwise stated in the applicable prospectus supplement: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Modification without Consent </w:t>
      </w:r>
    </w:p>
    <w:p>
      <w:pPr>
        <w:pStyle w:val="TextBody"/>
        <w:bidi w:val="0"/>
        <w:spacing w:before="120" w:after="0"/>
        <w:jc w:val="left"/>
        <w:rPr>
          <w:rFonts w:ascii="Times New Roman" w:hAnsi="Times New Roman"/>
          <w:sz w:val="20"/>
        </w:rPr>
      </w:pPr>
      <w:r>
        <w:rPr>
          <w:rFonts w:ascii="Times New Roman" w:hAnsi="Times New Roman"/>
          <w:sz w:val="20"/>
        </w:rPr>
        <w:t xml:space="preserve">We and the applicable unit agent may amend any unit or unit agreement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any provisions of the governing unit agreement that differ from those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correct or supplement any defective or inconsistent provision;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we believe is necessary or desirable and will not adversely affect the interests of the affected holders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 Consent </w:t>
      </w:r>
    </w:p>
    <w:p>
      <w:pPr>
        <w:pStyle w:val="TextBody"/>
        <w:bidi w:val="0"/>
        <w:spacing w:before="120" w:after="0"/>
        <w:jc w:val="left"/>
        <w:rPr>
          <w:rFonts w:ascii="Times New Roman" w:hAnsi="Times New Roman"/>
          <w:sz w:val="20"/>
        </w:rPr>
      </w:pPr>
      <w:r>
        <w:rPr>
          <w:rFonts w:ascii="Times New Roman" w:hAnsi="Times New Roman"/>
          <w:sz w:val="20"/>
        </w:rPr>
        <w:t xml:space="preserve">We may not amend any particular unit or a unit agreement with respect to any particular unit unless we obtain the consent of the holder of that unit, if the amendment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any right of the holder to exercise or enforce any right under a security included in the unit if the terms of that security require the consent of the holder to any changes that would impair the exercise or enforcement of that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outstanding units or any series or class the consent of whose holders is required to amend that series or class, or the applicable unit agreement with respect to that series or class,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other change to a particular unit agreement and the units issued under that agreement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units of a particular series issued under that agreement, the change must be approved by the holders of a majority of the outstanding units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regarding changes with majority approval also apply to changes affecting any securities issued under a unit agreement, as the governing document. </w:t>
      </w:r>
    </w:p>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 Agreements Will Not Be Qualified under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Mergers and Similar Transactions Permitted; No Restrictive Covenants or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will not restrict our ability to merge or consolidate with, or sell our assets to, another corporation or other entity or to engage in any other transactions. If at any time we merge or consolidate with,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 our assets substantially as an entirety to, another corporation or other entity, the successor entity will succeed to and assume our obligations under the unit agreements. We will then be relieved of any further obligation under these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unit agreements will not include any restrictions on our ability to put liens on our assets, nor will they restrict our ability to sell our assets. The unit agreements also will not provide for any events of default or remedies upon the occurrence of any events of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and the units will be governed by New York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each unit in global, i.e., book-entry,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and all securities comprising the unit will be issued in the same form. </w:t>
      </w:r>
    </w:p>
    <w:p>
      <w:pPr>
        <w:pStyle w:val="TextBody"/>
        <w:bidi w:val="0"/>
        <w:spacing w:before="240" w:after="0"/>
        <w:jc w:val="left"/>
        <w:rPr>
          <w:rFonts w:ascii="Times New Roman" w:hAnsi="Times New Roman"/>
          <w:sz w:val="20"/>
        </w:rPr>
      </w:pPr>
      <w:r>
        <w:rPr>
          <w:rFonts w:ascii="Times New Roman" w:hAnsi="Times New Roman"/>
          <w:sz w:val="20"/>
        </w:rPr>
        <w:t xml:space="preserve">If we issue any units in registered, non-global form, the following will apply to them. </w:t>
      </w:r>
    </w:p>
    <w:p>
      <w:pPr>
        <w:pStyle w:val="TextBody"/>
        <w:bidi w:val="0"/>
        <w:spacing w:before="240" w:after="0"/>
        <w:jc w:val="left"/>
        <w:rPr>
          <w:rFonts w:ascii="Times New Roman" w:hAnsi="Times New Roman"/>
          <w:sz w:val="20"/>
        </w:rPr>
      </w:pPr>
      <w:r>
        <w:rPr>
          <w:rFonts w:ascii="Times New Roman" w:hAnsi="Times New Roman"/>
          <w:sz w:val="20"/>
        </w:rPr>
        <w:t xml:space="preserve">The units will be issued in the denominations stated in the applicable prospectus supplement. Holders may exchange their units for units of smaller denominations or combined into fewer units of larger denominations, as long as the total amount is not changed.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may exchange or transfer their units at the office of the unit agent. Holders may also replace lost, stolen, destroyed or mutilated units at that office. We may appoint another entity to perform these functions or perform them ourselves.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the depositary will be entitled to transfer or exchange a unit in global form, since it will be the sole holder of the unit.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and Notices </w:t>
      </w:r>
    </w:p>
    <w:p>
      <w:pPr>
        <w:pStyle w:val="TextBody"/>
        <w:bidi w:val="0"/>
        <w:spacing w:before="120" w:after="0"/>
        <w:jc w:val="left"/>
        <w:rPr>
          <w:rFonts w:ascii="Times New Roman" w:hAnsi="Times New Roman"/>
          <w:sz w:val="20"/>
        </w:rPr>
      </w:pPr>
      <w:r>
        <w:rPr>
          <w:rFonts w:ascii="Times New Roman" w:hAnsi="Times New Roman"/>
          <w:sz w:val="20"/>
        </w:rPr>
        <w:t xml:space="preserve">In making payments and giving notices with respect to our units, we will follow the procedures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x271637_15"/>
      <w:bookmarkEnd w:id="3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or dealers are used in the sale, the securities will be acquired by the underwriters or dealers for their own account and may be resold from time to time in one or more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one or more transactions 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“at-the-market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those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following information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paid to agents.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securities, the underwriters may engage in transactions that stabilize, maintain or otherwise affect the price of the securities. Specifically, the underwriters may overallot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any securities are offered through dealers, we will sell the securities to them as principals. They may then resell those securities to the public at varying prices determined by the dealers at the time of resale. </w:t>
      </w:r>
    </w:p>
    <w:p>
      <w:pPr>
        <w:pStyle w:val="TextBody"/>
        <w:bidi w:val="0"/>
        <w:spacing w:before="360" w:after="0"/>
        <w:jc w:val="left"/>
        <w:rPr>
          <w:rFonts w:ascii="Times New Roman" w:hAnsi="Times New Roman"/>
          <w:b/>
          <w:sz w:val="20"/>
        </w:rPr>
      </w:pPr>
      <w:r>
        <w:rPr>
          <w:rFonts w:ascii="Times New Roman" w:hAnsi="Times New Roman"/>
          <w:b/>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 </w:t>
      </w:r>
    </w:p>
    <w:p>
      <w:pPr>
        <w:pStyle w:val="TextBody"/>
        <w:bidi w:val="0"/>
        <w:spacing w:before="360" w:after="0"/>
        <w:jc w:val="left"/>
        <w:rPr>
          <w:rFonts w:ascii="Times New Roman" w:hAnsi="Times New Roman"/>
          <w:b/>
          <w:sz w:val="20"/>
        </w:rPr>
      </w:pPr>
      <w:r>
        <w:rPr>
          <w:rFonts w:ascii="Times New Roman" w:hAnsi="Times New Roman"/>
          <w:b/>
          <w:sz w:val="20"/>
        </w:rPr>
        <w:t xml:space="preserve">At-the-Market Offerings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we make sales through one or more underwriters or agents in at-the-market offerings, we will do so pursuant to the terms of a sales agency financing agreement or other at-the-market offering arrangement between us, on the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Remarketing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x271637_16"/>
      <w:bookmarkEnd w:id="3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this offering will be passed upon for us by Goodwin Procter LLP, Boston, Massachusetts. Additional legal matters may be passed on for us, or any underwriters, dealers or agents by counsel we will name in the applicable prospectus supplement. </w:t>
      </w:r>
    </w:p>
    <w:p>
      <w:pPr>
        <w:pStyle w:val="TextBody"/>
        <w:bidi w:val="0"/>
        <w:spacing w:before="480" w:after="0"/>
        <w:jc w:val="center"/>
        <w:rPr>
          <w:rFonts w:ascii="Times New Roman" w:hAnsi="Times New Roman"/>
          <w:b/>
          <w:sz w:val="20"/>
        </w:rPr>
      </w:pPr>
      <w:bookmarkStart w:id="34" w:name="tx271637_17"/>
      <w:bookmarkEnd w:id="3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Disc Medicine, Inc. appearing in Disc Medicine,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12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4138930" cy="6419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1"/>
                    <a:stretch>
                      <a:fillRect/>
                    </a:stretch>
                  </pic:blipFill>
                  <pic:spPr bwMode="auto">
                    <a:xfrm>
                      <a:off x="0" y="0"/>
                      <a:ext cx="4138930" cy="6419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DISC MEDICINE, INC. </w:t>
      </w:r>
    </w:p>
    <w:p>
      <w:pPr>
        <w:pStyle w:val="TextBody"/>
        <w:bidi w:val="0"/>
        <w:spacing w:before="240" w:after="0"/>
        <w:jc w:val="center"/>
        <w:rPr>
          <w:rFonts w:ascii="Times New Roman" w:hAnsi="Times New Roman"/>
          <w:b/>
          <w:sz w:val="28"/>
        </w:rPr>
      </w:pPr>
      <w:r>
        <w:rPr>
          <w:rFonts w:ascii="Times New Roman" w:hAnsi="Times New Roman"/>
          <w:b/>
          <w:sz w:val="28"/>
        </w:rPr>
        <w:t xml:space="preserve">12,635,956 Shares of 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Offered by the Selling Stockholders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proposed resale or other disposition by the selling stockholders identified in this prospectus of up to an aggregate of 12,635,956 shares of common stock, par value $0.0001 per share, of Disc Medicine, Inc. </w:t>
      </w:r>
    </w:p>
    <w:p>
      <w:pPr>
        <w:pStyle w:val="TextBody"/>
        <w:bidi w:val="0"/>
        <w:spacing w:before="240" w:after="0"/>
        <w:jc w:val="left"/>
        <w:rPr>
          <w:rFonts w:ascii="Times New Roman" w:hAnsi="Times New Roman"/>
          <w:sz w:val="20"/>
        </w:rPr>
      </w:pPr>
      <w:r>
        <w:rPr>
          <w:rFonts w:ascii="Times New Roman" w:hAnsi="Times New Roman"/>
          <w:sz w:val="20"/>
        </w:rPr>
        <w:t>The registration of the shares of common stock covered by this prospectus does not mean that the selling stockholders will offer or sell all or any of the shares. Common stock offered hereby by the selling stockholders, or its pledgees, donees, transferees or other successors in interest, may be sold from time to time directly or indirectly through one or more underwriters, broker-dealers or agents, and in one or more public or private transactions.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If the shares of common stock are sold through underwriters, broker-dealers or agents, the selling stockholders will be responsible for underwriting discounts or commissions. The timing and amount of any sale is within the sole discretion of the selling stockholders, subject to certain restrictions. See the section entitled “</w:t>
      </w:r>
      <w:r>
        <w:rPr>
          <w:rFonts w:ascii="Times New Roman" w:hAnsi="Times New Roman"/>
          <w:i/>
          <w:sz w:val="20"/>
        </w:rPr>
        <w:t>Plan of Distribution</w:t>
      </w:r>
      <w:r>
        <w:rPr>
          <w:rFonts w:ascii="Times New Roman" w:hAnsi="Times New Roman"/>
          <w:sz w:val="20"/>
        </w:rPr>
        <w:t xml:space="preserve">”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any sale of common stock by the selling stockholders. We have agreed to bear the expenses in connection with the registration of the shares of common stock to be offered by this prospectus by the selling stockholders other than any underwriting discounts and commissions or transfer taxes relating to the sale of common stock, which will be borne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or Nasdaq, under the symbol “IRON.” On January 13, 2023, the closing price for our common stock, as reported on Nasdaq, was $19.25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0"/>
        </w:rPr>
        <w:t>Investing in our common stock involves a high degree of risk. Before making an investment decision, please read the information under the heading “</w:t>
      </w:r>
      <w:hyperlink w:anchor="toc2271637_5">
        <w:r>
          <w:rPr>
            <w:rStyle w:val="InternetLink"/>
            <w:rFonts w:ascii="Times New Roman" w:hAnsi="Times New Roman"/>
            <w:b/>
            <w:sz w:val="20"/>
          </w:rPr>
          <w:t>Risk Factors</w:t>
        </w:r>
      </w:hyperlink>
      <w:r>
        <w:rPr>
          <w:rFonts w:ascii="Times New Roman" w:hAnsi="Times New Roman"/>
          <w:b/>
          <w:sz w:val="20"/>
        </w:rPr>
        <w:t xml:space="preserve">” beginning on page 7 of this prospectus and in the documents incorporated by reference into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January 24,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toc2"/>
      <w:bookmarkEnd w:id="35"/>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86"/>
        <w:gridCol w:w="128"/>
        <w:gridCol w:w="60"/>
        <w:gridCol w:w="269"/>
        <w:gridCol w:w="62"/>
      </w:tblGrid>
      <w:tr>
        <w:trPr/>
        <w:tc>
          <w:tcPr>
            <w:tcW w:w="9686"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86" w:type="dxa"/>
            <w:tcBorders/>
            <w:vAlign w:val="bottom"/>
          </w:tcPr>
          <w:p>
            <w:pPr>
              <w:pStyle w:val="TableContents"/>
              <w:bidi w:val="0"/>
              <w:spacing w:before="0" w:after="0"/>
              <w:jc w:val="left"/>
              <w:rPr/>
            </w:pPr>
            <w:hyperlink w:anchor="toc2271637_1">
              <w:r>
                <w:rPr>
                  <w:rStyle w:val="InternetLink"/>
                  <w:rFonts w:ascii="Times New Roman" w:hAnsi="Times New Roman"/>
                  <w:sz w:val="20"/>
                </w:rPr>
                <w:t xml:space="preserve">ABOUT THIS PROSPECTUS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2">
              <w:r>
                <w:rPr>
                  <w:rStyle w:val="InternetLink"/>
                  <w:rFonts w:ascii="Times New Roman" w:hAnsi="Times New Roman"/>
                  <w:sz w:val="20"/>
                </w:rPr>
                <w:t>CAUTIONARY STATEMENT REGARDING FORWARD-LOOKING STATEMENTS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3">
              <w:r>
                <w:rPr>
                  <w:rStyle w:val="InternetLink"/>
                  <w:rFonts w:ascii="Times New Roman" w:hAnsi="Times New Roman"/>
                  <w:sz w:val="20"/>
                </w:rPr>
                <w:t>THE COMPANY</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4">
              <w:r>
                <w:rPr>
                  <w:rStyle w:val="InternetLink"/>
                  <w:rFonts w:ascii="Times New Roman" w:hAnsi="Times New Roman"/>
                  <w:sz w:val="20"/>
                </w:rPr>
                <w:t>THE OFFERING</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5">
              <w:r>
                <w:rPr>
                  <w:rStyle w:val="InternetLink"/>
                  <w:rFonts w:ascii="Times New Roman" w:hAnsi="Times New Roman"/>
                  <w:sz w:val="20"/>
                </w:rPr>
                <w:t>RISK FACTORS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6">
              <w:r>
                <w:rPr>
                  <w:rStyle w:val="InternetLink"/>
                  <w:rFonts w:ascii="Times New Roman" w:hAnsi="Times New Roman"/>
                  <w:sz w:val="20"/>
                </w:rPr>
                <w:t>SELECTED FINANCIAL DATA</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7">
              <w:r>
                <w:rPr>
                  <w:rStyle w:val="InternetLink"/>
                  <w:rFonts w:ascii="Times New Roman" w:hAnsi="Times New Roman"/>
                  <w:sz w:val="20"/>
                </w:rPr>
                <w:t>USE OF PROCEEDS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8">
              <w:r>
                <w:rPr>
                  <w:rStyle w:val="InternetLink"/>
                  <w:rFonts w:ascii="Times New Roman" w:hAnsi="Times New Roman"/>
                  <w:sz w:val="20"/>
                </w:rPr>
                <w:t>DESCRIPTION OF CAPITAL STOCK</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9">
              <w:r>
                <w:rPr>
                  <w:rStyle w:val="InternetLink"/>
                  <w:rFonts w:ascii="Times New Roman" w:hAnsi="Times New Roman"/>
                  <w:sz w:val="20"/>
                </w:rPr>
                <w:t>SELLING STOCKHOLDERS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10">
              <w:r>
                <w:rPr>
                  <w:rStyle w:val="InternetLink"/>
                  <w:rFonts w:ascii="Times New Roman" w:hAnsi="Times New Roman"/>
                  <w:sz w:val="20"/>
                </w:rPr>
                <w:t>PLAN OF DISTRIBUTION</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11">
              <w:r>
                <w:rPr>
                  <w:rStyle w:val="InternetLink"/>
                  <w:rFonts w:ascii="Times New Roman" w:hAnsi="Times New Roman"/>
                  <w:sz w:val="20"/>
                </w:rPr>
                <w:t>LEGAL MATTERS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12">
              <w:r>
                <w:rPr>
                  <w:rStyle w:val="InternetLink"/>
                  <w:rFonts w:ascii="Times New Roman" w:hAnsi="Times New Roman"/>
                  <w:sz w:val="20"/>
                </w:rPr>
                <w:t>EXPERTS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686" w:type="dxa"/>
            <w:tcBorders/>
            <w:vAlign w:val="bottom"/>
          </w:tcPr>
          <w:p>
            <w:pPr>
              <w:pStyle w:val="TableContents"/>
              <w:bidi w:val="0"/>
              <w:spacing w:before="0" w:after="0"/>
              <w:jc w:val="left"/>
              <w:rPr/>
            </w:pPr>
            <w:hyperlink w:anchor="toc2271637_13">
              <w:r>
                <w:rPr>
                  <w:rStyle w:val="InternetLink"/>
                  <w:rFonts w:ascii="Times New Roman" w:hAnsi="Times New Roman"/>
                  <w:sz w:val="20"/>
                </w:rPr>
                <w:t>WHERE YOU CAN FIND MORE INFORMATION; INCORPORATION BY REFERENCE</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toc2271637_1"/>
      <w:bookmarkEnd w:id="3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or the SEC, utilizing a “shelf” registration process. Under this shelf registration process, the selling stockholders may, from time to time, sell the shares of common stock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the term “securities” refers to the shares of our common stock offered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toc2271637_2"/>
      <w:bookmarkEnd w:id="37"/>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and/or incorporates by reference statements that are not historical facts and are considered forward-looking within the meaning of Section 27A of the Securities Act of 1933, as amended, or the Securities Act, and Section 21E of the Securities Exchange Act of 1934, as amended, or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recognize the benefits of the previously announced merger pursuant to the terms of the Agreement and Plan of Merger, dated August 9, 2022, by and among Gemini Therapeutics, Inc. (“Gemini”), Gemstone Merger Sub, Inc. and Disc Medicine Opco, Inc. (f/k/a Disc Medicine,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efficiently discover and develop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the potential to successfully manufacture our drug substances and product candidates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necessary to complete further development and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our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revenues,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collaboration agreements, our ability to enter into strategic collaborations or arrangements,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commercialization of product candidates and any other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produce our products or product candidates with advantages in turnaround times or manufacturing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ongoing COVID-19 pandemic, including mitigation efforts and economic effects, on any of the foregoing or other aspects of our business operations, including but not limited to our preclinical studies and clinical trials and any future studies or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listed under the caption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to us at the time of this prospectus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Some factors that could cause actual results to differ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maintain the listing of our common stock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our securities may be volatile due to a variety of factors, including the volatility in capital markets, changes in the competitive and highly regulated industries in which we operate, variations in performance across competitors, changes in laws and regulations affecting our business and changes in our capital 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downturns in the economy and the possibility of rapid change in the highly competitive industry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we will need to raise additional capital to execute our business plan, which may not be available on acceptable terms or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we experience difficulties in managing our growth and expanding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8" w:name="toc2271637_3"/>
      <w:bookmarkEnd w:id="38"/>
      <w:r>
        <w:rPr>
          <w:rFonts w:ascii="Times New Roman" w:hAnsi="Times New Roman"/>
          <w:b/>
          <w:sz w:val="20"/>
          <w:bdr w:val="single" w:sz="8" w:space="1" w:color="000000"/>
        </w:rPr>
        <w:t xml:space="preserve">THE COMPANY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including erythropoietic protoporphyria (“EPP”) and X-linked protoporphyria (“XLP”); and DISC-0974 for the treatment of anemia of myelofibrosis (“MF”) and anemia of chronic kidney disease (“CKD”). In addition, we have two programs in preclinical development: DISC-0998 for the treatment of anemia associated with inflammatory diseases; and a Matriptase-2 inhibitor for the treatment of polycythemia vera (“PV”) and diseases of iron overload. Our approach to product candidate development leverages well understood molecular mechanisms that have been validated in humans. We believe that each of our product candidates, if approved, has the potential to improve the lives of patients suffering from hematologic diseases.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Bitopertin is the lead product candidate in our heme biosynthesis modulation portfolio. Bitopertin was previously evaluated by Hoffmann-La Roche Inc. in a comprehensive clinical program in over 4,000 individuals in other indications which demonstrated the activity of bitopertin as a glycine transporter 1 (“GlyT1”) inhibitor and its effect on heme biosynthesis. We are planning to initially develop bitopertin for the treatment of erythropoietic porphyrias, including EPP and XLP. In July 2022, we received clearance of our investigational new drug application (“IND”) for “A Randomized, Double-blind, Placebo-Controlled Study of Bitopertin to Evaluate the Safety, Tolerability, Efficacy, and Protoporphyrin IX (“PPIX”) Concentrations in Participants with Erythropoietic Protoporphyria (“EPP”)” from the Food and Drug Administration. In July 2022, we initiated BEACON, a Phase 2 open-label, parallel-dose clinical trial designed to evaluate the safety, tolerability and effectiveness of bitopertin in EPP and XLP patients that is being conducted at sites in Australia. Separately, in October 2022, we initiated AURORA, a Phase 2, randomized, double-blind, placebo-controlled clinical trial designed to evaluate the safety, tolerability and efficacy of bitopertin in EPP patients that is being conducted at sites in the United States. We expect interim data from these two trials in 2023. We are planning additional studies in Diamond-Blackfan Anemia (“DBA”) and other indications.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DISC-0974 is the lead product candidate in our iron homeostasis portfolio. DISC-0974 is a monoclonal antibody that is designed to suppress hepcidin production and increase serum iron levels by inhibiting hemojuvelin (“HJV”). We submitted an IND for DISC-0974 in June 2021, received clearance in July 2021, and participants completed a Phase 1 clinical trial in healthy volunteers in the U.S. in June 2022 with results showing evidence of target engagement, iron mobilization and erythropoiesis. We initiated a Phase 1b/2 clinical trial in June 2022 to evaluate the safety, tolerability, pharmacokinetics and pharmacodynamics of DISC-0974 in patients with anemia of MF, and plan to initiate a separate Phase 1b/2 clinical trial in the first half of 2023 in patients with anemia of CKD. We expect interim data from these two trials in 2023. In addition, we are developing a preclinical anti- HJV monoclonal antibody, DISC-0998, which is designed to target hepcidin suppression and was in-licensed from AbbVie Deutschland GmbH &amp; Co. KG. DISC-0998 is designed to increase serum iron levels and has an extended serum half-life as compared to DISC-0974. We believe this profile may be desirable in certain subsets of patients with anemia associated with inflammatory diseases.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Lastly, we are developing a Matriptase-2 inhibitor as part of our iron homeostasis portfolio, which is designed to induce hepcidin production and reduce serum iron levels. Preclinical data has demonstrated positive results, and we are in the process of identifying and optimizing a development candidate in our Matriptase-2 inhibitor program. If successful, we expect to designate a lead candidate and commence IND-enabling studies.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Disc Medicine, Inc. was originally incorporated under the laws of the state of Delaware in October 2017, and changed its name to Disc Medicine Opco, Inc. (“Disc Opco”), in December 2022. On December 29, 2022, we completed our business combination with Gemini Therapeutics, Inc. (“Gemini”) in accordance with the terms of the Agreement and Plan of Merger and Reorganization, dated as of August 9, 2022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(the “Merger”). In connection with the closing of the Merger, Gemini changed its name to Disc Medicine,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9" w:name="toc2271637_4"/>
      <w:bookmarkEnd w:id="39"/>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Common stock Offered by the Selling Stockholders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12,635,956 shares of common stock</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Use of Proceeds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We will not receive any proceeds from the sale of the shares of common stock covered by this prospectus.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Nasdaq Symbol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IRON</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Offering Price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selling stockholders will offer the shares of common stock offered by this prospectus at the prevailing market prices or at privately negotiated prices.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Risk Factors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You should read the “Risk Factors” section of this prospectus for a discussion of factors to consider carefully before deciding to invest in shares of our common stock.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0" w:name="toc2271637_5"/>
      <w:bookmarkEnd w:id="4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An investment in our securities involves risks and uncertainties. You should carefully consider the risk factors incorporated by reference to our Current Report on Form 8-K filed on December 29, 2022, and all other information contained or incorporated by reference into this prospectus, as updated by our subsequent filings under the Exchange Act, and the risk factors and other information contained in any applicable prospectus supplement before making an investment decision. The risks described in these documents are not the only ones we face. Additional risks and uncertainties not presently known to us or that we currently deem immaterial also may impair our business operations.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materially adversely affected. This could cause the trading price of our securities to decline, resulting in a loss of all or part of your investment. Please also carefully read the section titled “</w:t>
      </w:r>
      <w:r>
        <w:rPr>
          <w:rFonts w:ascii="Times New Roman" w:hAnsi="Times New Roman"/>
          <w:i/>
          <w:sz w:val="20"/>
        </w:rPr>
        <w:t>Cautionary Note Regarding Forward-Looking Statement</w:t>
      </w:r>
      <w:r>
        <w:rPr>
          <w:rFonts w:ascii="Times New Roman" w:hAnsi="Times New Roman"/>
          <w:sz w:val="20"/>
        </w:rPr>
        <w:t xml:space="preser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1" w:name="toc2271637_6"/>
      <w:bookmarkEnd w:id="41"/>
      <w:r>
        <w:rPr>
          <w:rFonts w:ascii="Times New Roman" w:hAnsi="Times New Roman"/>
          <w:b/>
          <w:sz w:val="20"/>
        </w:rPr>
        <w:t xml:space="preserve">SELECTED FINANCIAL DATA </w:t>
      </w:r>
    </w:p>
    <w:p>
      <w:pPr>
        <w:pStyle w:val="TextBody"/>
        <w:bidi w:val="0"/>
        <w:spacing w:before="240" w:after="0"/>
        <w:jc w:val="left"/>
        <w:rPr>
          <w:rFonts w:ascii="Times New Roman" w:hAnsi="Times New Roman"/>
          <w:b/>
          <w:sz w:val="20"/>
        </w:rPr>
      </w:pPr>
      <w:r>
        <w:rPr>
          <w:rFonts w:ascii="Times New Roman" w:hAnsi="Times New Roman"/>
          <w:b/>
          <w:sz w:val="20"/>
        </w:rPr>
        <w:t xml:space="preserve">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On December 29, 2022, we effected a 1-for-10 reverse stock split of our common stock. The total number of authorized shares of capital stock was amended from 260,000,000 to 110,000,000. The par value per common share remained unchanged. The audited consolidated financial statements of Gemini Therapeutics, Inc. included in the Annual Report on Form 10-K for the year ended December 31, 2021, and the unaudited condensed consolidated financial statements included in our Quarterly Reports on Form 10-Q for the periods ended March 31, 2022, June 30, 2022, and September 30, 2022, that are incorporated by reference into this prospectus are presented without giving effect to the reverse stock split. Except where the context otherwise requires, share numbers in this prospectus reflect the 1-for-10 reverse stock split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selected financial data has been derived from our audited consolidated financial statements included in our Annual Report on Form 10-K filed with the SEC on March 10, 2022, and our unaudited condensed consolidated financial statements included in our Quarterly Reports on Form 10-Q filed with the SEC on May 6, 2022, August 11, 2022, and November 10, 2022, as adjusted to reflect the reverse stock split for all periods presented. Our historical results are not indicative of the results that may be expected in the future and results of interim periods are not indicative of the results for the entire year. In addition, the below presented historical results do not present the pro forma impact of the reverse merger, as presented in the unaudited pro forma financial statements and accompanying notes for the nine months ended September 30, 2022, and the fiscal year ended December 31, 2021, contained in the Company’s Proxy Statement/Prospectus on Form S-4/A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AS REPORTED (in thousands, except per share amounts):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42"/>
        <w:gridCol w:w="495"/>
        <w:gridCol w:w="140"/>
        <w:gridCol w:w="1110"/>
        <w:gridCol w:w="60"/>
        <w:gridCol w:w="495"/>
        <w:gridCol w:w="140"/>
        <w:gridCol w:w="1110"/>
        <w:gridCol w:w="63"/>
      </w:tblGrid>
      <w:tr>
        <w:trPr/>
        <w:tc>
          <w:tcPr>
            <w:tcW w:w="4142" w:type="dxa"/>
            <w:tcBorders/>
            <w:vAlign w:val="center"/>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42"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3055"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Years Ended</w:t>
            </w:r>
          </w:p>
          <w:p>
            <w:pPr>
              <w:pStyle w:val="TableContents"/>
              <w:bidi w:val="0"/>
              <w:spacing w:before="0" w:after="20"/>
              <w:jc w:val="center"/>
              <w:rPr>
                <w:rFonts w:ascii="Times New Roman" w:hAnsi="Times New Roman"/>
                <w:b/>
                <w:sz w:val="16"/>
              </w:rPr>
            </w:pPr>
            <w:r>
              <w:rPr>
                <w:rFonts w:ascii="Times New Roman" w:hAnsi="Times New Roman"/>
                <w:b/>
                <w:sz w:val="16"/>
              </w:rPr>
              <w:t>December 31,</w:t>
            </w:r>
          </w:p>
        </w:tc>
        <w:tc>
          <w:tcPr>
            <w:tcW w:w="63" w:type="dxa"/>
            <w:tcBorders/>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3" w:type="dxa"/>
            <w:tcBorders/>
            <w:vAlign w:val="bottom"/>
          </w:tcPr>
          <w:p>
            <w:pPr>
              <w:pStyle w:val="TableContents"/>
              <w:bidi w:val="0"/>
              <w:spacing w:before="0" w:after="283"/>
              <w:jc w:val="left"/>
              <w:rPr/>
            </w:pPr>
            <w:r>
              <w:rPr/>
              <w:t> </w:t>
            </w:r>
          </w:p>
        </w:tc>
      </w:tr>
      <w:tr>
        <w:trPr/>
        <w:tc>
          <w:tcPr>
            <w:tcW w:w="4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(71,869)</w:t>
            </w:r>
          </w:p>
        </w:tc>
        <w:tc>
          <w:tcPr>
            <w:tcW w:w="6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(40,837)</w:t>
            </w:r>
          </w:p>
        </w:tc>
        <w:tc>
          <w:tcPr>
            <w:tcW w:w="63" w:type="dxa"/>
            <w:tcBorders/>
            <w:shd w:fill="CCEEFF" w:val="clear"/>
            <w:vAlign w:val="bottom"/>
          </w:tcPr>
          <w:p>
            <w:pPr>
              <w:pStyle w:val="TableContents"/>
              <w:bidi w:val="0"/>
              <w:spacing w:before="0" w:after="283"/>
              <w:jc w:val="left"/>
              <w:rPr/>
            </w:pPr>
            <w:r>
              <w:rPr/>
              <w:t> </w:t>
            </w:r>
          </w:p>
        </w:tc>
      </w:tr>
      <w:tr>
        <w:trPr/>
        <w:tc>
          <w:tcPr>
            <w:tcW w:w="414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(1.78)</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(2.70)</w:t>
            </w:r>
          </w:p>
        </w:tc>
        <w:tc>
          <w:tcPr>
            <w:tcW w:w="63" w:type="dxa"/>
            <w:tcBorders/>
            <w:vAlign w:val="bottom"/>
          </w:tcPr>
          <w:p>
            <w:pPr>
              <w:pStyle w:val="TableContents"/>
              <w:bidi w:val="0"/>
              <w:spacing w:before="0" w:after="283"/>
              <w:jc w:val="left"/>
              <w:rPr/>
            </w:pPr>
            <w:r>
              <w:rPr/>
              <w:t> </w:t>
            </w:r>
          </w:p>
        </w:tc>
      </w:tr>
      <w:tr>
        <w:trPr/>
        <w:tc>
          <w:tcPr>
            <w:tcW w:w="4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40,362,303</w:t>
            </w:r>
          </w:p>
        </w:tc>
        <w:tc>
          <w:tcPr>
            <w:tcW w:w="6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15,115,129</w:t>
            </w:r>
          </w:p>
        </w:tc>
        <w:tc>
          <w:tcPr>
            <w:tcW w:w="63" w:type="dxa"/>
            <w:tcBorders/>
            <w:shd w:fill="CCEEFF" w:val="clear"/>
            <w:vAlign w:val="bottom"/>
          </w:tcPr>
          <w:p>
            <w:pPr>
              <w:pStyle w:val="TableContents"/>
              <w:bidi w:val="0"/>
              <w:spacing w:before="0" w:after="283"/>
              <w:jc w:val="left"/>
              <w:rPr/>
            </w:pPr>
            <w:r>
              <w:rPr/>
              <w:t> </w:t>
            </w:r>
          </w:p>
        </w:tc>
      </w:tr>
      <w:tr>
        <w:trPr/>
        <w:tc>
          <w:tcPr>
            <w:tcW w:w="414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year end</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43,208,159</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15,565,380</w:t>
            </w:r>
          </w:p>
        </w:tc>
        <w:tc>
          <w:tcPr>
            <w:tcW w:w="63" w:type="dxa"/>
            <w:tcBorders/>
            <w:vAlign w:val="bottom"/>
          </w:tcPr>
          <w:p>
            <w:pPr>
              <w:pStyle w:val="TableContents"/>
              <w:bidi w:val="0"/>
              <w:spacing w:before="0" w:after="283"/>
              <w:jc w:val="left"/>
              <w:rPr/>
            </w:pPr>
            <w:r>
              <w:rPr/>
              <w:t> </w:t>
            </w:r>
          </w:p>
        </w:tc>
      </w:tr>
      <w:tr>
        <w:trPr>
          <w:trHeight w:val="240" w:hRule="atLeast"/>
        </w:trPr>
        <w:tc>
          <w:tcPr>
            <w:tcW w:w="4142" w:type="dxa"/>
            <w:tcBorders/>
            <w:vAlign w:val="center"/>
          </w:tcPr>
          <w:p>
            <w:pPr>
              <w:pStyle w:val="TableContents"/>
              <w:bidi w:val="0"/>
              <w:spacing w:before="0" w:after="283"/>
              <w:jc w:val="left"/>
              <w:rPr>
                <w:sz w:val="4"/>
                <w:szCs w:val="4"/>
              </w:rPr>
            </w:pPr>
            <w:r>
              <w:rPr>
                <w:sz w:val="4"/>
                <w:szCs w:val="4"/>
              </w:rPr>
            </w:r>
          </w:p>
        </w:tc>
        <w:tc>
          <w:tcPr>
            <w:tcW w:w="3613" w:type="dxa"/>
            <w:gridSpan w:val="8"/>
            <w:tcBorders/>
            <w:vAlign w:val="center"/>
          </w:tcPr>
          <w:p>
            <w:pPr>
              <w:pStyle w:val="TableContents"/>
              <w:bidi w:val="0"/>
              <w:spacing w:before="0" w:after="283"/>
              <w:jc w:val="left"/>
              <w:rPr>
                <w:sz w:val="4"/>
                <w:szCs w:val="4"/>
              </w:rPr>
            </w:pPr>
            <w:r>
              <w:rPr>
                <w:sz w:val="4"/>
                <w:szCs w:val="4"/>
              </w:rPr>
            </w:r>
          </w:p>
        </w:tc>
      </w:tr>
      <w:tr>
        <w:trPr/>
        <w:tc>
          <w:tcPr>
            <w:tcW w:w="4142"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3055"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w:t>
            </w:r>
          </w:p>
          <w:p>
            <w:pPr>
              <w:pStyle w:val="TableContents"/>
              <w:bidi w:val="0"/>
              <w:spacing w:before="0" w:after="20"/>
              <w:jc w:val="center"/>
              <w:rPr>
                <w:rFonts w:ascii="Times New Roman" w:hAnsi="Times New Roman"/>
                <w:b/>
                <w:sz w:val="16"/>
              </w:rPr>
            </w:pPr>
            <w:r>
              <w:rPr>
                <w:rFonts w:ascii="Times New Roman" w:hAnsi="Times New Roman"/>
                <w:b/>
                <w:sz w:val="16"/>
              </w:rPr>
              <w:t>March 31,</w:t>
            </w:r>
          </w:p>
        </w:tc>
        <w:tc>
          <w:tcPr>
            <w:tcW w:w="63" w:type="dxa"/>
            <w:tcBorders/>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3055" w:type="dxa"/>
            <w:gridSpan w:val="6"/>
            <w:tcBorders/>
            <w:vAlign w:val="bottom"/>
          </w:tcPr>
          <w:p>
            <w:pPr>
              <w:pStyle w:val="TableContents"/>
              <w:bidi w:val="0"/>
              <w:spacing w:before="0" w:after="283"/>
              <w:jc w:val="center"/>
              <w:rPr/>
            </w:pPr>
            <w:r>
              <w:rPr/>
              <w:t>(Unaudited)</w:t>
            </w:r>
          </w:p>
        </w:tc>
        <w:tc>
          <w:tcPr>
            <w:tcW w:w="63" w:type="dxa"/>
            <w:tcBorders/>
            <w:vAlign w:val="bottom"/>
          </w:tcPr>
          <w:p>
            <w:pPr>
              <w:pStyle w:val="TableContents"/>
              <w:bidi w:val="0"/>
              <w:spacing w:before="0" w:after="283"/>
              <w:jc w:val="left"/>
              <w:rPr/>
            </w:pPr>
            <w:r>
              <w:rPr/>
              <w:t> </w:t>
            </w:r>
          </w:p>
        </w:tc>
      </w:tr>
      <w:tr>
        <w:trPr/>
        <w:tc>
          <w:tcPr>
            <w:tcW w:w="4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(15,231)</w:t>
            </w:r>
          </w:p>
        </w:tc>
        <w:tc>
          <w:tcPr>
            <w:tcW w:w="6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(19,048)</w:t>
            </w:r>
          </w:p>
        </w:tc>
        <w:tc>
          <w:tcPr>
            <w:tcW w:w="63" w:type="dxa"/>
            <w:tcBorders/>
            <w:shd w:fill="CCEEFF" w:val="clear"/>
            <w:vAlign w:val="bottom"/>
          </w:tcPr>
          <w:p>
            <w:pPr>
              <w:pStyle w:val="TableContents"/>
              <w:bidi w:val="0"/>
              <w:spacing w:before="0" w:after="283"/>
              <w:jc w:val="left"/>
              <w:rPr/>
            </w:pPr>
            <w:r>
              <w:rPr/>
              <w:t> </w:t>
            </w:r>
          </w:p>
        </w:tc>
      </w:tr>
      <w:tr>
        <w:trPr/>
        <w:tc>
          <w:tcPr>
            <w:tcW w:w="414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(0.35)</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(0.59)</w:t>
            </w:r>
          </w:p>
        </w:tc>
        <w:tc>
          <w:tcPr>
            <w:tcW w:w="63" w:type="dxa"/>
            <w:tcBorders/>
            <w:vAlign w:val="bottom"/>
          </w:tcPr>
          <w:p>
            <w:pPr>
              <w:pStyle w:val="TableContents"/>
              <w:bidi w:val="0"/>
              <w:spacing w:before="0" w:after="283"/>
              <w:jc w:val="left"/>
              <w:rPr/>
            </w:pPr>
            <w:r>
              <w:rPr/>
              <w:t> </w:t>
            </w:r>
          </w:p>
        </w:tc>
      </w:tr>
      <w:tr>
        <w:trPr/>
        <w:tc>
          <w:tcPr>
            <w:tcW w:w="4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43,212,803</w:t>
            </w:r>
          </w:p>
        </w:tc>
        <w:tc>
          <w:tcPr>
            <w:tcW w:w="6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32,027,161</w:t>
            </w:r>
          </w:p>
        </w:tc>
        <w:tc>
          <w:tcPr>
            <w:tcW w:w="63" w:type="dxa"/>
            <w:tcBorders/>
            <w:shd w:fill="CCEEFF" w:val="clear"/>
            <w:vAlign w:val="bottom"/>
          </w:tcPr>
          <w:p>
            <w:pPr>
              <w:pStyle w:val="TableContents"/>
              <w:bidi w:val="0"/>
              <w:spacing w:before="0" w:after="283"/>
              <w:jc w:val="left"/>
              <w:rPr/>
            </w:pPr>
            <w:r>
              <w:rPr/>
              <w:t> </w:t>
            </w:r>
          </w:p>
        </w:tc>
      </w:tr>
      <w:tr>
        <w:trPr/>
        <w:tc>
          <w:tcPr>
            <w:tcW w:w="414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43,227,159</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43,002,144</w:t>
            </w:r>
          </w:p>
        </w:tc>
        <w:tc>
          <w:tcPr>
            <w:tcW w:w="63" w:type="dxa"/>
            <w:tcBorders/>
            <w:vAlign w:val="bottom"/>
          </w:tcPr>
          <w:p>
            <w:pPr>
              <w:pStyle w:val="TableContents"/>
              <w:bidi w:val="0"/>
              <w:spacing w:before="0" w:after="283"/>
              <w:jc w:val="left"/>
              <w:rPr/>
            </w:pPr>
            <w:r>
              <w:rPr/>
              <w:t> </w:t>
            </w:r>
          </w:p>
        </w:tc>
      </w:tr>
      <w:tr>
        <w:trPr>
          <w:trHeight w:val="240" w:hRule="atLeast"/>
        </w:trPr>
        <w:tc>
          <w:tcPr>
            <w:tcW w:w="4142" w:type="dxa"/>
            <w:tcBorders/>
            <w:vAlign w:val="center"/>
          </w:tcPr>
          <w:p>
            <w:pPr>
              <w:pStyle w:val="TableContents"/>
              <w:bidi w:val="0"/>
              <w:spacing w:before="0" w:after="283"/>
              <w:jc w:val="left"/>
              <w:rPr>
                <w:sz w:val="4"/>
                <w:szCs w:val="4"/>
              </w:rPr>
            </w:pPr>
            <w:r>
              <w:rPr>
                <w:sz w:val="4"/>
                <w:szCs w:val="4"/>
              </w:rPr>
            </w:r>
          </w:p>
        </w:tc>
        <w:tc>
          <w:tcPr>
            <w:tcW w:w="3613" w:type="dxa"/>
            <w:gridSpan w:val="8"/>
            <w:tcBorders/>
            <w:vAlign w:val="center"/>
          </w:tcPr>
          <w:p>
            <w:pPr>
              <w:pStyle w:val="TableContents"/>
              <w:bidi w:val="0"/>
              <w:spacing w:before="0" w:after="283"/>
              <w:jc w:val="left"/>
              <w:rPr>
                <w:sz w:val="4"/>
                <w:szCs w:val="4"/>
              </w:rPr>
            </w:pPr>
            <w:r>
              <w:rPr>
                <w:sz w:val="4"/>
                <w:szCs w:val="4"/>
              </w:rPr>
            </w:r>
          </w:p>
        </w:tc>
      </w:tr>
      <w:tr>
        <w:trPr/>
        <w:tc>
          <w:tcPr>
            <w:tcW w:w="4142"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3055"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63" w:type="dxa"/>
            <w:tcBorders/>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3055" w:type="dxa"/>
            <w:gridSpan w:val="6"/>
            <w:tcBorders/>
            <w:vAlign w:val="bottom"/>
          </w:tcPr>
          <w:p>
            <w:pPr>
              <w:pStyle w:val="TableContents"/>
              <w:bidi w:val="0"/>
              <w:spacing w:before="0" w:after="283"/>
              <w:jc w:val="center"/>
              <w:rPr/>
            </w:pPr>
            <w:r>
              <w:rPr/>
              <w:t>(Unaudited)</w:t>
            </w:r>
          </w:p>
        </w:tc>
        <w:tc>
          <w:tcPr>
            <w:tcW w:w="63" w:type="dxa"/>
            <w:tcBorders/>
            <w:vAlign w:val="bottom"/>
          </w:tcPr>
          <w:p>
            <w:pPr>
              <w:pStyle w:val="TableContents"/>
              <w:bidi w:val="0"/>
              <w:spacing w:before="0" w:after="283"/>
              <w:jc w:val="left"/>
              <w:rPr/>
            </w:pPr>
            <w:r>
              <w:rPr/>
              <w:t> </w:t>
            </w:r>
          </w:p>
        </w:tc>
      </w:tr>
      <w:tr>
        <w:trPr/>
        <w:tc>
          <w:tcPr>
            <w:tcW w:w="4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(7,090)</w:t>
            </w:r>
          </w:p>
        </w:tc>
        <w:tc>
          <w:tcPr>
            <w:tcW w:w="6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(16,447)</w:t>
            </w:r>
          </w:p>
        </w:tc>
        <w:tc>
          <w:tcPr>
            <w:tcW w:w="63" w:type="dxa"/>
            <w:tcBorders/>
            <w:shd w:fill="CCEEFF" w:val="clear"/>
            <w:vAlign w:val="bottom"/>
          </w:tcPr>
          <w:p>
            <w:pPr>
              <w:pStyle w:val="TableContents"/>
              <w:bidi w:val="0"/>
              <w:spacing w:before="0" w:after="283"/>
              <w:jc w:val="left"/>
              <w:rPr/>
            </w:pPr>
            <w:r>
              <w:rPr/>
              <w:t> </w:t>
            </w:r>
          </w:p>
        </w:tc>
      </w:tr>
      <w:tr>
        <w:trPr/>
        <w:tc>
          <w:tcPr>
            <w:tcW w:w="414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(0.16)</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(0.38)</w:t>
            </w:r>
          </w:p>
        </w:tc>
        <w:tc>
          <w:tcPr>
            <w:tcW w:w="63" w:type="dxa"/>
            <w:tcBorders/>
            <w:vAlign w:val="bottom"/>
          </w:tcPr>
          <w:p>
            <w:pPr>
              <w:pStyle w:val="TableContents"/>
              <w:bidi w:val="0"/>
              <w:spacing w:before="0" w:after="283"/>
              <w:jc w:val="left"/>
              <w:rPr/>
            </w:pPr>
            <w:r>
              <w:rPr/>
              <w:t> </w:t>
            </w:r>
          </w:p>
        </w:tc>
      </w:tr>
      <w:tr>
        <w:trPr/>
        <w:tc>
          <w:tcPr>
            <w:tcW w:w="4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43,230,523</w:t>
            </w:r>
          </w:p>
        </w:tc>
        <w:tc>
          <w:tcPr>
            <w:tcW w:w="6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43,041,856</w:t>
            </w:r>
          </w:p>
        </w:tc>
        <w:tc>
          <w:tcPr>
            <w:tcW w:w="63" w:type="dxa"/>
            <w:tcBorders/>
            <w:shd w:fill="CCEEFF" w:val="clear"/>
            <w:vAlign w:val="bottom"/>
          </w:tcPr>
          <w:p>
            <w:pPr>
              <w:pStyle w:val="TableContents"/>
              <w:bidi w:val="0"/>
              <w:spacing w:before="0" w:after="283"/>
              <w:jc w:val="left"/>
              <w:rPr/>
            </w:pPr>
            <w:r>
              <w:rPr/>
              <w:t> </w:t>
            </w:r>
          </w:p>
        </w:tc>
      </w:tr>
      <w:tr>
        <w:trPr/>
        <w:tc>
          <w:tcPr>
            <w:tcW w:w="414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43,244,453</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43,055,112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4142"/>
        <w:gridCol w:w="495"/>
        <w:gridCol w:w="140"/>
        <w:gridCol w:w="1110"/>
        <w:gridCol w:w="60"/>
        <w:gridCol w:w="495"/>
        <w:gridCol w:w="140"/>
        <w:gridCol w:w="1110"/>
        <w:gridCol w:w="63"/>
      </w:tblGrid>
      <w:tr>
        <w:trPr/>
        <w:tc>
          <w:tcPr>
            <w:tcW w:w="4142" w:type="dxa"/>
            <w:tcBorders/>
            <w:vAlign w:val="center"/>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42"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3055"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Six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63" w:type="dxa"/>
            <w:tcBorders/>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3055" w:type="dxa"/>
            <w:gridSpan w:val="6"/>
            <w:tcBorders/>
            <w:vAlign w:val="bottom"/>
          </w:tcPr>
          <w:p>
            <w:pPr>
              <w:pStyle w:val="TableContents"/>
              <w:bidi w:val="0"/>
              <w:spacing w:before="0" w:after="283"/>
              <w:jc w:val="center"/>
              <w:rPr/>
            </w:pPr>
            <w:r>
              <w:rPr/>
              <w:t>(Unaudited)</w:t>
            </w:r>
          </w:p>
        </w:tc>
        <w:tc>
          <w:tcPr>
            <w:tcW w:w="63" w:type="dxa"/>
            <w:tcBorders/>
            <w:vAlign w:val="bottom"/>
          </w:tcPr>
          <w:p>
            <w:pPr>
              <w:pStyle w:val="TableContents"/>
              <w:bidi w:val="0"/>
              <w:spacing w:before="0" w:after="283"/>
              <w:jc w:val="left"/>
              <w:rPr/>
            </w:pPr>
            <w:r>
              <w:rPr/>
              <w:t> </w:t>
            </w:r>
          </w:p>
        </w:tc>
      </w:tr>
      <w:tr>
        <w:trPr/>
        <w:tc>
          <w:tcPr>
            <w:tcW w:w="4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(22,321)</w:t>
            </w:r>
          </w:p>
        </w:tc>
        <w:tc>
          <w:tcPr>
            <w:tcW w:w="6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(35,495)</w:t>
            </w:r>
          </w:p>
        </w:tc>
        <w:tc>
          <w:tcPr>
            <w:tcW w:w="63" w:type="dxa"/>
            <w:tcBorders/>
            <w:shd w:fill="CCEEFF" w:val="clear"/>
            <w:vAlign w:val="bottom"/>
          </w:tcPr>
          <w:p>
            <w:pPr>
              <w:pStyle w:val="TableContents"/>
              <w:bidi w:val="0"/>
              <w:spacing w:before="0" w:after="283"/>
              <w:jc w:val="left"/>
              <w:rPr/>
            </w:pPr>
            <w:r>
              <w:rPr/>
              <w:t> </w:t>
            </w:r>
          </w:p>
        </w:tc>
      </w:tr>
      <w:tr>
        <w:trPr/>
        <w:tc>
          <w:tcPr>
            <w:tcW w:w="414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(0.52)</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(0.94)</w:t>
            </w:r>
          </w:p>
        </w:tc>
        <w:tc>
          <w:tcPr>
            <w:tcW w:w="63" w:type="dxa"/>
            <w:tcBorders/>
            <w:vAlign w:val="bottom"/>
          </w:tcPr>
          <w:p>
            <w:pPr>
              <w:pStyle w:val="TableContents"/>
              <w:bidi w:val="0"/>
              <w:spacing w:before="0" w:after="283"/>
              <w:jc w:val="left"/>
              <w:rPr/>
            </w:pPr>
            <w:r>
              <w:rPr/>
              <w:t> </w:t>
            </w:r>
          </w:p>
        </w:tc>
      </w:tr>
      <w:tr>
        <w:trPr/>
        <w:tc>
          <w:tcPr>
            <w:tcW w:w="4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43,221,712</w:t>
            </w:r>
          </w:p>
        </w:tc>
        <w:tc>
          <w:tcPr>
            <w:tcW w:w="6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37,564,936</w:t>
            </w:r>
          </w:p>
        </w:tc>
        <w:tc>
          <w:tcPr>
            <w:tcW w:w="63" w:type="dxa"/>
            <w:tcBorders/>
            <w:shd w:fill="CCEEFF" w:val="clear"/>
            <w:vAlign w:val="bottom"/>
          </w:tcPr>
          <w:p>
            <w:pPr>
              <w:pStyle w:val="TableContents"/>
              <w:bidi w:val="0"/>
              <w:spacing w:before="0" w:after="283"/>
              <w:jc w:val="left"/>
              <w:rPr/>
            </w:pPr>
            <w:r>
              <w:rPr/>
              <w:t> </w:t>
            </w:r>
          </w:p>
        </w:tc>
      </w:tr>
      <w:tr>
        <w:trPr/>
        <w:tc>
          <w:tcPr>
            <w:tcW w:w="414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43,244,453</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43,055,112</w:t>
            </w:r>
          </w:p>
        </w:tc>
        <w:tc>
          <w:tcPr>
            <w:tcW w:w="63" w:type="dxa"/>
            <w:tcBorders/>
            <w:vAlign w:val="bottom"/>
          </w:tcPr>
          <w:p>
            <w:pPr>
              <w:pStyle w:val="TableContents"/>
              <w:bidi w:val="0"/>
              <w:spacing w:before="0" w:after="283"/>
              <w:jc w:val="left"/>
              <w:rPr/>
            </w:pPr>
            <w:r>
              <w:rPr/>
              <w:t> </w:t>
            </w:r>
          </w:p>
        </w:tc>
      </w:tr>
      <w:tr>
        <w:trPr>
          <w:trHeight w:val="240" w:hRule="atLeast"/>
        </w:trPr>
        <w:tc>
          <w:tcPr>
            <w:tcW w:w="4142" w:type="dxa"/>
            <w:tcBorders/>
            <w:vAlign w:val="center"/>
          </w:tcPr>
          <w:p>
            <w:pPr>
              <w:pStyle w:val="TableContents"/>
              <w:bidi w:val="0"/>
              <w:spacing w:before="0" w:after="283"/>
              <w:jc w:val="left"/>
              <w:rPr>
                <w:sz w:val="4"/>
                <w:szCs w:val="4"/>
              </w:rPr>
            </w:pPr>
            <w:r>
              <w:rPr>
                <w:sz w:val="4"/>
                <w:szCs w:val="4"/>
              </w:rPr>
            </w:r>
          </w:p>
        </w:tc>
        <w:tc>
          <w:tcPr>
            <w:tcW w:w="3613" w:type="dxa"/>
            <w:gridSpan w:val="8"/>
            <w:tcBorders/>
            <w:vAlign w:val="center"/>
          </w:tcPr>
          <w:p>
            <w:pPr>
              <w:pStyle w:val="TableContents"/>
              <w:bidi w:val="0"/>
              <w:spacing w:before="0" w:after="283"/>
              <w:jc w:val="left"/>
              <w:rPr>
                <w:sz w:val="4"/>
                <w:szCs w:val="4"/>
              </w:rPr>
            </w:pPr>
            <w:r>
              <w:rPr>
                <w:sz w:val="4"/>
                <w:szCs w:val="4"/>
              </w:rPr>
            </w:r>
          </w:p>
        </w:tc>
      </w:tr>
      <w:tr>
        <w:trPr/>
        <w:tc>
          <w:tcPr>
            <w:tcW w:w="4142"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3055"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w:t>
            </w:r>
          </w:p>
          <w:p>
            <w:pPr>
              <w:pStyle w:val="TableContents"/>
              <w:bidi w:val="0"/>
              <w:spacing w:before="0" w:after="20"/>
              <w:jc w:val="center"/>
              <w:rPr>
                <w:rFonts w:ascii="Times New Roman" w:hAnsi="Times New Roman"/>
                <w:b/>
                <w:sz w:val="16"/>
              </w:rPr>
            </w:pPr>
            <w:r>
              <w:rPr>
                <w:rFonts w:ascii="Times New Roman" w:hAnsi="Times New Roman"/>
                <w:b/>
                <w:sz w:val="16"/>
              </w:rPr>
              <w:t>September 30,</w:t>
            </w:r>
          </w:p>
        </w:tc>
        <w:tc>
          <w:tcPr>
            <w:tcW w:w="63" w:type="dxa"/>
            <w:tcBorders/>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3055" w:type="dxa"/>
            <w:gridSpan w:val="6"/>
            <w:tcBorders/>
            <w:vAlign w:val="bottom"/>
          </w:tcPr>
          <w:p>
            <w:pPr>
              <w:pStyle w:val="TableContents"/>
              <w:bidi w:val="0"/>
              <w:spacing w:before="0" w:after="283"/>
              <w:jc w:val="center"/>
              <w:rPr/>
            </w:pPr>
            <w:r>
              <w:rPr/>
              <w:t>(Unaudited)</w:t>
            </w:r>
          </w:p>
        </w:tc>
        <w:tc>
          <w:tcPr>
            <w:tcW w:w="63" w:type="dxa"/>
            <w:tcBorders/>
            <w:vAlign w:val="bottom"/>
          </w:tcPr>
          <w:p>
            <w:pPr>
              <w:pStyle w:val="TableContents"/>
              <w:bidi w:val="0"/>
              <w:spacing w:before="0" w:after="283"/>
              <w:jc w:val="left"/>
              <w:rPr/>
            </w:pPr>
            <w:r>
              <w:rPr/>
              <w:t> </w:t>
            </w:r>
          </w:p>
        </w:tc>
      </w:tr>
      <w:tr>
        <w:trPr/>
        <w:tc>
          <w:tcPr>
            <w:tcW w:w="4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(3,277)</w:t>
            </w:r>
          </w:p>
        </w:tc>
        <w:tc>
          <w:tcPr>
            <w:tcW w:w="6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(18,551)</w:t>
            </w:r>
          </w:p>
        </w:tc>
        <w:tc>
          <w:tcPr>
            <w:tcW w:w="63" w:type="dxa"/>
            <w:tcBorders/>
            <w:shd w:fill="CCEEFF" w:val="clear"/>
            <w:vAlign w:val="bottom"/>
          </w:tcPr>
          <w:p>
            <w:pPr>
              <w:pStyle w:val="TableContents"/>
              <w:bidi w:val="0"/>
              <w:spacing w:before="0" w:after="283"/>
              <w:jc w:val="left"/>
              <w:rPr/>
            </w:pPr>
            <w:r>
              <w:rPr/>
              <w:t> </w:t>
            </w:r>
          </w:p>
        </w:tc>
      </w:tr>
      <w:tr>
        <w:trPr/>
        <w:tc>
          <w:tcPr>
            <w:tcW w:w="414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(0.08)</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(0.43)</w:t>
            </w:r>
          </w:p>
        </w:tc>
        <w:tc>
          <w:tcPr>
            <w:tcW w:w="63" w:type="dxa"/>
            <w:tcBorders/>
            <w:vAlign w:val="bottom"/>
          </w:tcPr>
          <w:p>
            <w:pPr>
              <w:pStyle w:val="TableContents"/>
              <w:bidi w:val="0"/>
              <w:spacing w:before="0" w:after="283"/>
              <w:jc w:val="left"/>
              <w:rPr/>
            </w:pPr>
            <w:r>
              <w:rPr/>
              <w:t> </w:t>
            </w:r>
          </w:p>
        </w:tc>
      </w:tr>
      <w:tr>
        <w:trPr/>
        <w:tc>
          <w:tcPr>
            <w:tcW w:w="4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43,264,616</w:t>
            </w:r>
          </w:p>
        </w:tc>
        <w:tc>
          <w:tcPr>
            <w:tcW w:w="6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43,091,822</w:t>
            </w:r>
          </w:p>
        </w:tc>
        <w:tc>
          <w:tcPr>
            <w:tcW w:w="63" w:type="dxa"/>
            <w:tcBorders/>
            <w:shd w:fill="CCEEFF" w:val="clear"/>
            <w:vAlign w:val="bottom"/>
          </w:tcPr>
          <w:p>
            <w:pPr>
              <w:pStyle w:val="TableContents"/>
              <w:bidi w:val="0"/>
              <w:spacing w:before="0" w:after="283"/>
              <w:jc w:val="left"/>
              <w:rPr/>
            </w:pPr>
            <w:r>
              <w:rPr/>
              <w:t> </w:t>
            </w:r>
          </w:p>
        </w:tc>
      </w:tr>
      <w:tr>
        <w:trPr/>
        <w:tc>
          <w:tcPr>
            <w:tcW w:w="414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43,299,453</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43,112,742</w:t>
            </w:r>
          </w:p>
        </w:tc>
        <w:tc>
          <w:tcPr>
            <w:tcW w:w="63" w:type="dxa"/>
            <w:tcBorders/>
            <w:vAlign w:val="bottom"/>
          </w:tcPr>
          <w:p>
            <w:pPr>
              <w:pStyle w:val="TableContents"/>
              <w:bidi w:val="0"/>
              <w:spacing w:before="0" w:after="283"/>
              <w:jc w:val="left"/>
              <w:rPr/>
            </w:pPr>
            <w:r>
              <w:rPr/>
              <w:t> </w:t>
            </w:r>
          </w:p>
        </w:tc>
      </w:tr>
      <w:tr>
        <w:trPr>
          <w:trHeight w:val="240" w:hRule="atLeast"/>
        </w:trPr>
        <w:tc>
          <w:tcPr>
            <w:tcW w:w="4142" w:type="dxa"/>
            <w:tcBorders/>
            <w:vAlign w:val="center"/>
          </w:tcPr>
          <w:p>
            <w:pPr>
              <w:pStyle w:val="TableContents"/>
              <w:bidi w:val="0"/>
              <w:spacing w:before="0" w:after="283"/>
              <w:jc w:val="left"/>
              <w:rPr>
                <w:sz w:val="4"/>
                <w:szCs w:val="4"/>
              </w:rPr>
            </w:pPr>
            <w:r>
              <w:rPr>
                <w:sz w:val="4"/>
                <w:szCs w:val="4"/>
              </w:rPr>
            </w:r>
          </w:p>
        </w:tc>
        <w:tc>
          <w:tcPr>
            <w:tcW w:w="3613" w:type="dxa"/>
            <w:gridSpan w:val="8"/>
            <w:tcBorders/>
            <w:vAlign w:val="center"/>
          </w:tcPr>
          <w:p>
            <w:pPr>
              <w:pStyle w:val="TableContents"/>
              <w:bidi w:val="0"/>
              <w:spacing w:before="0" w:after="283"/>
              <w:jc w:val="left"/>
              <w:rPr>
                <w:sz w:val="4"/>
                <w:szCs w:val="4"/>
              </w:rPr>
            </w:pPr>
            <w:r>
              <w:rPr>
                <w:sz w:val="4"/>
                <w:szCs w:val="4"/>
              </w:rPr>
            </w:r>
          </w:p>
        </w:tc>
      </w:tr>
      <w:tr>
        <w:trPr/>
        <w:tc>
          <w:tcPr>
            <w:tcW w:w="4142"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3055"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Nine Months Ended</w:t>
            </w:r>
          </w:p>
          <w:p>
            <w:pPr>
              <w:pStyle w:val="TableContents"/>
              <w:bidi w:val="0"/>
              <w:spacing w:before="0" w:after="20"/>
              <w:jc w:val="center"/>
              <w:rPr>
                <w:rFonts w:ascii="Times New Roman" w:hAnsi="Times New Roman"/>
                <w:b/>
                <w:sz w:val="16"/>
              </w:rPr>
            </w:pPr>
            <w:r>
              <w:rPr>
                <w:rFonts w:ascii="Times New Roman" w:hAnsi="Times New Roman"/>
                <w:b/>
                <w:sz w:val="16"/>
              </w:rPr>
              <w:t>September 30,</w:t>
            </w:r>
          </w:p>
        </w:tc>
        <w:tc>
          <w:tcPr>
            <w:tcW w:w="63" w:type="dxa"/>
            <w:tcBorders/>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4142"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3055" w:type="dxa"/>
            <w:gridSpan w:val="6"/>
            <w:tcBorders/>
            <w:vAlign w:val="bottom"/>
          </w:tcPr>
          <w:p>
            <w:pPr>
              <w:pStyle w:val="TableContents"/>
              <w:bidi w:val="0"/>
              <w:spacing w:before="0" w:after="283"/>
              <w:jc w:val="center"/>
              <w:rPr/>
            </w:pPr>
            <w:r>
              <w:rPr/>
              <w:t>(Unaudited)</w:t>
            </w:r>
          </w:p>
        </w:tc>
        <w:tc>
          <w:tcPr>
            <w:tcW w:w="63" w:type="dxa"/>
            <w:tcBorders/>
            <w:vAlign w:val="bottom"/>
          </w:tcPr>
          <w:p>
            <w:pPr>
              <w:pStyle w:val="TableContents"/>
              <w:bidi w:val="0"/>
              <w:spacing w:before="0" w:after="283"/>
              <w:jc w:val="left"/>
              <w:rPr/>
            </w:pPr>
            <w:r>
              <w:rPr/>
              <w:t> </w:t>
            </w:r>
          </w:p>
        </w:tc>
      </w:tr>
      <w:tr>
        <w:trPr/>
        <w:tc>
          <w:tcPr>
            <w:tcW w:w="4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(25,598)</w:t>
            </w:r>
          </w:p>
        </w:tc>
        <w:tc>
          <w:tcPr>
            <w:tcW w:w="6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(54,046)</w:t>
            </w:r>
          </w:p>
        </w:tc>
        <w:tc>
          <w:tcPr>
            <w:tcW w:w="63" w:type="dxa"/>
            <w:tcBorders/>
            <w:shd w:fill="CCEEFF" w:val="clear"/>
            <w:vAlign w:val="bottom"/>
          </w:tcPr>
          <w:p>
            <w:pPr>
              <w:pStyle w:val="TableContents"/>
              <w:bidi w:val="0"/>
              <w:spacing w:before="0" w:after="283"/>
              <w:jc w:val="left"/>
              <w:rPr/>
            </w:pPr>
            <w:r>
              <w:rPr/>
              <w:t> </w:t>
            </w:r>
          </w:p>
        </w:tc>
      </w:tr>
      <w:tr>
        <w:trPr/>
        <w:tc>
          <w:tcPr>
            <w:tcW w:w="414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(0.59)</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(1.37)</w:t>
            </w:r>
          </w:p>
        </w:tc>
        <w:tc>
          <w:tcPr>
            <w:tcW w:w="63" w:type="dxa"/>
            <w:tcBorders/>
            <w:vAlign w:val="bottom"/>
          </w:tcPr>
          <w:p>
            <w:pPr>
              <w:pStyle w:val="TableContents"/>
              <w:bidi w:val="0"/>
              <w:spacing w:before="0" w:after="283"/>
              <w:jc w:val="left"/>
              <w:rPr/>
            </w:pPr>
            <w:r>
              <w:rPr/>
              <w:t> </w:t>
            </w:r>
          </w:p>
        </w:tc>
      </w:tr>
      <w:tr>
        <w:trPr/>
        <w:tc>
          <w:tcPr>
            <w:tcW w:w="4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43,236,171</w:t>
            </w:r>
          </w:p>
        </w:tc>
        <w:tc>
          <w:tcPr>
            <w:tcW w:w="6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39,427,476</w:t>
            </w:r>
          </w:p>
        </w:tc>
        <w:tc>
          <w:tcPr>
            <w:tcW w:w="63" w:type="dxa"/>
            <w:tcBorders/>
            <w:shd w:fill="CCEEFF" w:val="clear"/>
            <w:vAlign w:val="bottom"/>
          </w:tcPr>
          <w:p>
            <w:pPr>
              <w:pStyle w:val="TableContents"/>
              <w:bidi w:val="0"/>
              <w:spacing w:before="0" w:after="283"/>
              <w:jc w:val="left"/>
              <w:rPr/>
            </w:pPr>
            <w:r>
              <w:rPr/>
              <w:t> </w:t>
            </w:r>
          </w:p>
        </w:tc>
      </w:tr>
      <w:tr>
        <w:trPr/>
        <w:tc>
          <w:tcPr>
            <w:tcW w:w="4142"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43,299,453</w:t>
            </w:r>
          </w:p>
        </w:tc>
        <w:tc>
          <w:tcPr>
            <w:tcW w:w="6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43,112,742</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AS ADJUSTED FOR 1-FOR-10 REVERSE STOCK SPLIT (unaudited, in thousands, except per share amounts):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60"/>
        <w:gridCol w:w="454"/>
        <w:gridCol w:w="140"/>
        <w:gridCol w:w="1041"/>
        <w:gridCol w:w="60"/>
        <w:gridCol w:w="454"/>
        <w:gridCol w:w="140"/>
        <w:gridCol w:w="1041"/>
        <w:gridCol w:w="65"/>
      </w:tblGrid>
      <w:tr>
        <w:trPr/>
        <w:tc>
          <w:tcPr>
            <w:tcW w:w="4360"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876"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Years Ended</w:t>
            </w:r>
          </w:p>
          <w:p>
            <w:pPr>
              <w:pStyle w:val="TableContents"/>
              <w:bidi w:val="0"/>
              <w:spacing w:before="0" w:after="20"/>
              <w:jc w:val="center"/>
              <w:rPr>
                <w:rFonts w:ascii="Times New Roman" w:hAnsi="Times New Roman"/>
                <w:b/>
                <w:sz w:val="16"/>
              </w:rPr>
            </w:pPr>
            <w:r>
              <w:rPr>
                <w:rFonts w:ascii="Times New Roman" w:hAnsi="Times New Roman"/>
                <w:b/>
                <w:sz w:val="16"/>
              </w:rPr>
              <w:t>December 31,</w:t>
            </w:r>
          </w:p>
        </w:tc>
        <w:tc>
          <w:tcPr>
            <w:tcW w:w="65" w:type="dxa"/>
            <w:tcBorders/>
            <w:vAlign w:val="bottom"/>
          </w:tcPr>
          <w:p>
            <w:pPr>
              <w:pStyle w:val="TableContents"/>
              <w:bidi w:val="0"/>
              <w:spacing w:before="0" w:after="283"/>
              <w:jc w:val="left"/>
              <w:rPr/>
            </w:pPr>
            <w:r>
              <w:rPr/>
              <w:t> </w:t>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5" w:type="dxa"/>
            <w:tcBorders/>
            <w:vAlign w:val="bottom"/>
          </w:tcPr>
          <w:p>
            <w:pPr>
              <w:pStyle w:val="TableContents"/>
              <w:bidi w:val="0"/>
              <w:spacing w:before="0" w:after="283"/>
              <w:jc w:val="left"/>
              <w:rPr/>
            </w:pPr>
            <w:r>
              <w:rPr/>
              <w:t> </w:t>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876" w:type="dxa"/>
            <w:gridSpan w:val="6"/>
            <w:tcBorders/>
            <w:vAlign w:val="bottom"/>
          </w:tcPr>
          <w:p>
            <w:pPr>
              <w:pStyle w:val="TableContents"/>
              <w:bidi w:val="0"/>
              <w:spacing w:before="0" w:after="283"/>
              <w:jc w:val="center"/>
              <w:rPr/>
            </w:pPr>
            <w:r>
              <w:rPr/>
              <w:t>(Unaudited)</w:t>
            </w:r>
          </w:p>
        </w:tc>
        <w:tc>
          <w:tcPr>
            <w:tcW w:w="65" w:type="dxa"/>
            <w:tcBorders/>
            <w:vAlign w:val="bottom"/>
          </w:tcPr>
          <w:p>
            <w:pPr>
              <w:pStyle w:val="TableContents"/>
              <w:bidi w:val="0"/>
              <w:spacing w:before="0" w:after="283"/>
              <w:jc w:val="left"/>
              <w:rPr/>
            </w:pPr>
            <w:r>
              <w:rPr/>
              <w:t> </w:t>
            </w:r>
          </w:p>
        </w:tc>
      </w:tr>
      <w:tr>
        <w:trPr/>
        <w:tc>
          <w:tcPr>
            <w:tcW w:w="4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(71,869)</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(40,837)</w:t>
            </w:r>
          </w:p>
        </w:tc>
        <w:tc>
          <w:tcPr>
            <w:tcW w:w="65" w:type="dxa"/>
            <w:tcBorders/>
            <w:shd w:fill="CCEEFF" w:val="clear"/>
            <w:vAlign w:val="bottom"/>
          </w:tcPr>
          <w:p>
            <w:pPr>
              <w:pStyle w:val="TableContents"/>
              <w:bidi w:val="0"/>
              <w:spacing w:before="0" w:after="283"/>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(17.81)</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(27.02)</w:t>
            </w:r>
          </w:p>
        </w:tc>
        <w:tc>
          <w:tcPr>
            <w:tcW w:w="65" w:type="dxa"/>
            <w:tcBorders/>
            <w:vAlign w:val="bottom"/>
          </w:tcPr>
          <w:p>
            <w:pPr>
              <w:pStyle w:val="TableContents"/>
              <w:bidi w:val="0"/>
              <w:spacing w:before="0" w:after="283"/>
              <w:jc w:val="left"/>
              <w:rPr/>
            </w:pPr>
            <w:r>
              <w:rPr/>
              <w:t> </w:t>
            </w:r>
          </w:p>
        </w:tc>
      </w:tr>
      <w:tr>
        <w:trPr/>
        <w:tc>
          <w:tcPr>
            <w:tcW w:w="4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4,036,230</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1,511,512</w:t>
            </w:r>
          </w:p>
        </w:tc>
        <w:tc>
          <w:tcPr>
            <w:tcW w:w="65" w:type="dxa"/>
            <w:tcBorders/>
            <w:shd w:fill="CCEEFF" w:val="clear"/>
            <w:vAlign w:val="bottom"/>
          </w:tcPr>
          <w:p>
            <w:pPr>
              <w:pStyle w:val="TableContents"/>
              <w:bidi w:val="0"/>
              <w:spacing w:before="0" w:after="283"/>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year end</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4,320,815</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1,556,538</w:t>
            </w:r>
          </w:p>
        </w:tc>
        <w:tc>
          <w:tcPr>
            <w:tcW w:w="65" w:type="dxa"/>
            <w:tcBorders/>
            <w:vAlign w:val="bottom"/>
          </w:tcPr>
          <w:p>
            <w:pPr>
              <w:pStyle w:val="TableContents"/>
              <w:bidi w:val="0"/>
              <w:spacing w:before="0" w:after="283"/>
              <w:jc w:val="left"/>
              <w:rPr/>
            </w:pPr>
            <w:r>
              <w:rPr/>
              <w:t> </w:t>
            </w:r>
          </w:p>
        </w:tc>
      </w:tr>
      <w:tr>
        <w:trPr>
          <w:trHeight w:val="240" w:hRule="atLeast"/>
        </w:trPr>
        <w:tc>
          <w:tcPr>
            <w:tcW w:w="4360" w:type="dxa"/>
            <w:tcBorders/>
            <w:vAlign w:val="center"/>
          </w:tcPr>
          <w:p>
            <w:pPr>
              <w:pStyle w:val="TableContents"/>
              <w:bidi w:val="0"/>
              <w:spacing w:before="0" w:after="283"/>
              <w:jc w:val="left"/>
              <w:rPr>
                <w:sz w:val="4"/>
                <w:szCs w:val="4"/>
              </w:rPr>
            </w:pPr>
            <w:r>
              <w:rPr>
                <w:sz w:val="4"/>
                <w:szCs w:val="4"/>
              </w:rPr>
            </w:r>
          </w:p>
        </w:tc>
        <w:tc>
          <w:tcPr>
            <w:tcW w:w="3395" w:type="dxa"/>
            <w:gridSpan w:val="8"/>
            <w:tcBorders/>
            <w:vAlign w:val="center"/>
          </w:tcPr>
          <w:p>
            <w:pPr>
              <w:pStyle w:val="TableContents"/>
              <w:bidi w:val="0"/>
              <w:spacing w:before="0" w:after="283"/>
              <w:jc w:val="left"/>
              <w:rPr>
                <w:sz w:val="4"/>
                <w:szCs w:val="4"/>
              </w:rPr>
            </w:pPr>
            <w:r>
              <w:rPr>
                <w:sz w:val="4"/>
                <w:szCs w:val="4"/>
              </w:rPr>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876"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w:t>
            </w:r>
          </w:p>
          <w:p>
            <w:pPr>
              <w:pStyle w:val="TableContents"/>
              <w:bidi w:val="0"/>
              <w:spacing w:before="0" w:after="20"/>
              <w:jc w:val="center"/>
              <w:rPr>
                <w:rFonts w:ascii="Times New Roman" w:hAnsi="Times New Roman"/>
                <w:b/>
                <w:sz w:val="16"/>
              </w:rPr>
            </w:pPr>
            <w:r>
              <w:rPr>
                <w:rFonts w:ascii="Times New Roman" w:hAnsi="Times New Roman"/>
                <w:b/>
                <w:sz w:val="16"/>
              </w:rPr>
              <w:t>March 31,</w:t>
            </w:r>
          </w:p>
        </w:tc>
        <w:tc>
          <w:tcPr>
            <w:tcW w:w="65" w:type="dxa"/>
            <w:tcBorders/>
            <w:vAlign w:val="bottom"/>
          </w:tcPr>
          <w:p>
            <w:pPr>
              <w:pStyle w:val="TableContents"/>
              <w:bidi w:val="0"/>
              <w:spacing w:before="0" w:after="283"/>
              <w:jc w:val="left"/>
              <w:rPr/>
            </w:pPr>
            <w:r>
              <w:rPr/>
              <w:t> </w:t>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5" w:type="dxa"/>
            <w:tcBorders/>
            <w:vAlign w:val="bottom"/>
          </w:tcPr>
          <w:p>
            <w:pPr>
              <w:pStyle w:val="TableContents"/>
              <w:bidi w:val="0"/>
              <w:spacing w:before="0" w:after="283"/>
              <w:jc w:val="left"/>
              <w:rPr/>
            </w:pPr>
            <w:r>
              <w:rPr/>
              <w:t> </w:t>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876" w:type="dxa"/>
            <w:gridSpan w:val="6"/>
            <w:tcBorders/>
            <w:vAlign w:val="bottom"/>
          </w:tcPr>
          <w:p>
            <w:pPr>
              <w:pStyle w:val="TableContents"/>
              <w:bidi w:val="0"/>
              <w:spacing w:before="0" w:after="283"/>
              <w:jc w:val="center"/>
              <w:rPr/>
            </w:pPr>
            <w:r>
              <w:rPr/>
              <w:t>(Unaudited)</w:t>
            </w:r>
          </w:p>
        </w:tc>
        <w:tc>
          <w:tcPr>
            <w:tcW w:w="65" w:type="dxa"/>
            <w:tcBorders/>
            <w:vAlign w:val="bottom"/>
          </w:tcPr>
          <w:p>
            <w:pPr>
              <w:pStyle w:val="TableContents"/>
              <w:bidi w:val="0"/>
              <w:spacing w:before="0" w:after="283"/>
              <w:jc w:val="left"/>
              <w:rPr/>
            </w:pPr>
            <w:r>
              <w:rPr/>
              <w:t> </w:t>
            </w:r>
          </w:p>
        </w:tc>
      </w:tr>
      <w:tr>
        <w:trPr/>
        <w:tc>
          <w:tcPr>
            <w:tcW w:w="4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(15,231)</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(19,048)</w:t>
            </w:r>
          </w:p>
        </w:tc>
        <w:tc>
          <w:tcPr>
            <w:tcW w:w="65" w:type="dxa"/>
            <w:tcBorders/>
            <w:shd w:fill="CCEEFF" w:val="clear"/>
            <w:vAlign w:val="bottom"/>
          </w:tcPr>
          <w:p>
            <w:pPr>
              <w:pStyle w:val="TableContents"/>
              <w:bidi w:val="0"/>
              <w:spacing w:before="0" w:after="283"/>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(3.52)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(5.95)</w:t>
            </w:r>
          </w:p>
        </w:tc>
        <w:tc>
          <w:tcPr>
            <w:tcW w:w="65" w:type="dxa"/>
            <w:tcBorders/>
            <w:vAlign w:val="bottom"/>
          </w:tcPr>
          <w:p>
            <w:pPr>
              <w:pStyle w:val="TableContents"/>
              <w:bidi w:val="0"/>
              <w:spacing w:before="0" w:after="283"/>
              <w:jc w:val="left"/>
              <w:rPr/>
            </w:pPr>
            <w:r>
              <w:rPr/>
              <w:t> </w:t>
            </w:r>
          </w:p>
        </w:tc>
      </w:tr>
      <w:tr>
        <w:trPr/>
        <w:tc>
          <w:tcPr>
            <w:tcW w:w="4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4,321,280</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3,202,716</w:t>
            </w:r>
          </w:p>
        </w:tc>
        <w:tc>
          <w:tcPr>
            <w:tcW w:w="65" w:type="dxa"/>
            <w:tcBorders/>
            <w:shd w:fill="CCEEFF" w:val="clear"/>
            <w:vAlign w:val="bottom"/>
          </w:tcPr>
          <w:p>
            <w:pPr>
              <w:pStyle w:val="TableContents"/>
              <w:bidi w:val="0"/>
              <w:spacing w:before="0" w:after="283"/>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4,322,715</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4,300,214</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4360"/>
        <w:gridCol w:w="454"/>
        <w:gridCol w:w="140"/>
        <w:gridCol w:w="1041"/>
        <w:gridCol w:w="60"/>
        <w:gridCol w:w="454"/>
        <w:gridCol w:w="140"/>
        <w:gridCol w:w="1041"/>
        <w:gridCol w:w="65"/>
      </w:tblGrid>
      <w:tr>
        <w:trPr/>
        <w:tc>
          <w:tcPr>
            <w:tcW w:w="4360"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876"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65" w:type="dxa"/>
            <w:tcBorders/>
            <w:vAlign w:val="bottom"/>
          </w:tcPr>
          <w:p>
            <w:pPr>
              <w:pStyle w:val="TableContents"/>
              <w:bidi w:val="0"/>
              <w:spacing w:before="0" w:after="283"/>
              <w:jc w:val="left"/>
              <w:rPr/>
            </w:pPr>
            <w:r>
              <w:rPr/>
              <w:t> </w:t>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5" w:type="dxa"/>
            <w:tcBorders/>
            <w:vAlign w:val="bottom"/>
          </w:tcPr>
          <w:p>
            <w:pPr>
              <w:pStyle w:val="TableContents"/>
              <w:bidi w:val="0"/>
              <w:spacing w:before="0" w:after="283"/>
              <w:jc w:val="left"/>
              <w:rPr/>
            </w:pPr>
            <w:r>
              <w:rPr/>
              <w:t> </w:t>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876" w:type="dxa"/>
            <w:gridSpan w:val="6"/>
            <w:tcBorders/>
            <w:vAlign w:val="bottom"/>
          </w:tcPr>
          <w:p>
            <w:pPr>
              <w:pStyle w:val="TableContents"/>
              <w:bidi w:val="0"/>
              <w:spacing w:before="0" w:after="283"/>
              <w:jc w:val="center"/>
              <w:rPr/>
            </w:pPr>
            <w:r>
              <w:rPr/>
              <w:t>(Unaudited)</w:t>
            </w:r>
          </w:p>
        </w:tc>
        <w:tc>
          <w:tcPr>
            <w:tcW w:w="65" w:type="dxa"/>
            <w:tcBorders/>
            <w:vAlign w:val="bottom"/>
          </w:tcPr>
          <w:p>
            <w:pPr>
              <w:pStyle w:val="TableContents"/>
              <w:bidi w:val="0"/>
              <w:spacing w:before="0" w:after="283"/>
              <w:jc w:val="left"/>
              <w:rPr/>
            </w:pPr>
            <w:r>
              <w:rPr/>
              <w:t> </w:t>
            </w:r>
          </w:p>
        </w:tc>
      </w:tr>
      <w:tr>
        <w:trPr/>
        <w:tc>
          <w:tcPr>
            <w:tcW w:w="4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(7,090)</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(16,447)</w:t>
            </w:r>
          </w:p>
        </w:tc>
        <w:tc>
          <w:tcPr>
            <w:tcW w:w="65" w:type="dxa"/>
            <w:tcBorders/>
            <w:shd w:fill="CCEEFF" w:val="clear"/>
            <w:vAlign w:val="bottom"/>
          </w:tcPr>
          <w:p>
            <w:pPr>
              <w:pStyle w:val="TableContents"/>
              <w:bidi w:val="0"/>
              <w:spacing w:before="0" w:after="283"/>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(1.64)</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(3.82)</w:t>
            </w:r>
          </w:p>
        </w:tc>
        <w:tc>
          <w:tcPr>
            <w:tcW w:w="65" w:type="dxa"/>
            <w:tcBorders/>
            <w:vAlign w:val="bottom"/>
          </w:tcPr>
          <w:p>
            <w:pPr>
              <w:pStyle w:val="TableContents"/>
              <w:bidi w:val="0"/>
              <w:spacing w:before="0" w:after="283"/>
              <w:jc w:val="left"/>
              <w:rPr/>
            </w:pPr>
            <w:r>
              <w:rPr/>
              <w:t> </w:t>
            </w:r>
          </w:p>
        </w:tc>
      </w:tr>
      <w:tr>
        <w:trPr/>
        <w:tc>
          <w:tcPr>
            <w:tcW w:w="4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4,323,052</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4,304,185</w:t>
            </w:r>
          </w:p>
        </w:tc>
        <w:tc>
          <w:tcPr>
            <w:tcW w:w="65" w:type="dxa"/>
            <w:tcBorders/>
            <w:shd w:fill="CCEEFF" w:val="clear"/>
            <w:vAlign w:val="bottom"/>
          </w:tcPr>
          <w:p>
            <w:pPr>
              <w:pStyle w:val="TableContents"/>
              <w:bidi w:val="0"/>
              <w:spacing w:before="0" w:after="283"/>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4,324,445</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4,305,511</w:t>
            </w:r>
          </w:p>
        </w:tc>
        <w:tc>
          <w:tcPr>
            <w:tcW w:w="65" w:type="dxa"/>
            <w:tcBorders/>
            <w:vAlign w:val="bottom"/>
          </w:tcPr>
          <w:p>
            <w:pPr>
              <w:pStyle w:val="TableContents"/>
              <w:bidi w:val="0"/>
              <w:spacing w:before="0" w:after="283"/>
              <w:jc w:val="left"/>
              <w:rPr/>
            </w:pPr>
            <w:r>
              <w:rPr/>
              <w:t> </w:t>
            </w:r>
          </w:p>
        </w:tc>
      </w:tr>
      <w:tr>
        <w:trPr>
          <w:trHeight w:val="240" w:hRule="atLeast"/>
        </w:trPr>
        <w:tc>
          <w:tcPr>
            <w:tcW w:w="4360" w:type="dxa"/>
            <w:tcBorders/>
            <w:vAlign w:val="center"/>
          </w:tcPr>
          <w:p>
            <w:pPr>
              <w:pStyle w:val="TableContents"/>
              <w:bidi w:val="0"/>
              <w:spacing w:before="0" w:after="283"/>
              <w:jc w:val="left"/>
              <w:rPr>
                <w:sz w:val="4"/>
                <w:szCs w:val="4"/>
              </w:rPr>
            </w:pPr>
            <w:r>
              <w:rPr>
                <w:sz w:val="4"/>
                <w:szCs w:val="4"/>
              </w:rPr>
            </w:r>
          </w:p>
        </w:tc>
        <w:tc>
          <w:tcPr>
            <w:tcW w:w="3395" w:type="dxa"/>
            <w:gridSpan w:val="8"/>
            <w:tcBorders/>
            <w:vAlign w:val="center"/>
          </w:tcPr>
          <w:p>
            <w:pPr>
              <w:pStyle w:val="TableContents"/>
              <w:bidi w:val="0"/>
              <w:spacing w:before="0" w:after="283"/>
              <w:jc w:val="left"/>
              <w:rPr>
                <w:sz w:val="4"/>
                <w:szCs w:val="4"/>
              </w:rPr>
            </w:pPr>
            <w:r>
              <w:rPr>
                <w:sz w:val="4"/>
                <w:szCs w:val="4"/>
              </w:rPr>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876"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Six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65" w:type="dxa"/>
            <w:tcBorders/>
            <w:vAlign w:val="bottom"/>
          </w:tcPr>
          <w:p>
            <w:pPr>
              <w:pStyle w:val="TableContents"/>
              <w:bidi w:val="0"/>
              <w:spacing w:before="0" w:after="283"/>
              <w:jc w:val="left"/>
              <w:rPr/>
            </w:pPr>
            <w:r>
              <w:rPr/>
              <w:t> </w:t>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5" w:type="dxa"/>
            <w:tcBorders/>
            <w:vAlign w:val="bottom"/>
          </w:tcPr>
          <w:p>
            <w:pPr>
              <w:pStyle w:val="TableContents"/>
              <w:bidi w:val="0"/>
              <w:spacing w:before="0" w:after="283"/>
              <w:jc w:val="left"/>
              <w:rPr/>
            </w:pPr>
            <w:r>
              <w:rPr/>
              <w:t> </w:t>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876" w:type="dxa"/>
            <w:gridSpan w:val="6"/>
            <w:tcBorders/>
            <w:vAlign w:val="bottom"/>
          </w:tcPr>
          <w:p>
            <w:pPr>
              <w:pStyle w:val="TableContents"/>
              <w:bidi w:val="0"/>
              <w:spacing w:before="0" w:after="283"/>
              <w:jc w:val="center"/>
              <w:rPr/>
            </w:pPr>
            <w:r>
              <w:rPr/>
              <w:t>(Unaudited)</w:t>
            </w:r>
          </w:p>
        </w:tc>
        <w:tc>
          <w:tcPr>
            <w:tcW w:w="65" w:type="dxa"/>
            <w:tcBorders/>
            <w:vAlign w:val="bottom"/>
          </w:tcPr>
          <w:p>
            <w:pPr>
              <w:pStyle w:val="TableContents"/>
              <w:bidi w:val="0"/>
              <w:spacing w:before="0" w:after="283"/>
              <w:jc w:val="left"/>
              <w:rPr/>
            </w:pPr>
            <w:r>
              <w:rPr/>
              <w:t> </w:t>
            </w:r>
          </w:p>
        </w:tc>
      </w:tr>
      <w:tr>
        <w:trPr/>
        <w:tc>
          <w:tcPr>
            <w:tcW w:w="4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(22,321)</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(35,495)</w:t>
            </w:r>
          </w:p>
        </w:tc>
        <w:tc>
          <w:tcPr>
            <w:tcW w:w="65" w:type="dxa"/>
            <w:tcBorders/>
            <w:shd w:fill="CCEEFF" w:val="clear"/>
            <w:vAlign w:val="bottom"/>
          </w:tcPr>
          <w:p>
            <w:pPr>
              <w:pStyle w:val="TableContents"/>
              <w:bidi w:val="0"/>
              <w:spacing w:before="0" w:after="283"/>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(5.16)</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(9.45)</w:t>
            </w:r>
          </w:p>
        </w:tc>
        <w:tc>
          <w:tcPr>
            <w:tcW w:w="65" w:type="dxa"/>
            <w:tcBorders/>
            <w:vAlign w:val="bottom"/>
          </w:tcPr>
          <w:p>
            <w:pPr>
              <w:pStyle w:val="TableContents"/>
              <w:bidi w:val="0"/>
              <w:spacing w:before="0" w:after="283"/>
              <w:jc w:val="left"/>
              <w:rPr/>
            </w:pPr>
            <w:r>
              <w:rPr/>
              <w:t> </w:t>
            </w:r>
          </w:p>
        </w:tc>
      </w:tr>
      <w:tr>
        <w:trPr/>
        <w:tc>
          <w:tcPr>
            <w:tcW w:w="4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4,322,171</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3,756,493</w:t>
            </w:r>
          </w:p>
        </w:tc>
        <w:tc>
          <w:tcPr>
            <w:tcW w:w="65" w:type="dxa"/>
            <w:tcBorders/>
            <w:shd w:fill="CCEEFF" w:val="clear"/>
            <w:vAlign w:val="bottom"/>
          </w:tcPr>
          <w:p>
            <w:pPr>
              <w:pStyle w:val="TableContents"/>
              <w:bidi w:val="0"/>
              <w:spacing w:before="0" w:after="283"/>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4,324,445</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4,305,511</w:t>
            </w:r>
          </w:p>
        </w:tc>
        <w:tc>
          <w:tcPr>
            <w:tcW w:w="65" w:type="dxa"/>
            <w:tcBorders/>
            <w:vAlign w:val="bottom"/>
          </w:tcPr>
          <w:p>
            <w:pPr>
              <w:pStyle w:val="TableContents"/>
              <w:bidi w:val="0"/>
              <w:spacing w:before="0" w:after="283"/>
              <w:jc w:val="left"/>
              <w:rPr/>
            </w:pPr>
            <w:r>
              <w:rPr/>
              <w:t> </w:t>
            </w:r>
          </w:p>
        </w:tc>
      </w:tr>
      <w:tr>
        <w:trPr>
          <w:trHeight w:val="240" w:hRule="atLeast"/>
        </w:trPr>
        <w:tc>
          <w:tcPr>
            <w:tcW w:w="4360" w:type="dxa"/>
            <w:tcBorders/>
            <w:vAlign w:val="center"/>
          </w:tcPr>
          <w:p>
            <w:pPr>
              <w:pStyle w:val="TableContents"/>
              <w:bidi w:val="0"/>
              <w:spacing w:before="0" w:after="283"/>
              <w:jc w:val="left"/>
              <w:rPr>
                <w:sz w:val="4"/>
                <w:szCs w:val="4"/>
              </w:rPr>
            </w:pPr>
            <w:r>
              <w:rPr>
                <w:sz w:val="4"/>
                <w:szCs w:val="4"/>
              </w:rPr>
            </w:r>
          </w:p>
        </w:tc>
        <w:tc>
          <w:tcPr>
            <w:tcW w:w="3395" w:type="dxa"/>
            <w:gridSpan w:val="8"/>
            <w:tcBorders/>
            <w:vAlign w:val="center"/>
          </w:tcPr>
          <w:p>
            <w:pPr>
              <w:pStyle w:val="TableContents"/>
              <w:bidi w:val="0"/>
              <w:spacing w:before="0" w:after="283"/>
              <w:jc w:val="left"/>
              <w:rPr>
                <w:sz w:val="4"/>
                <w:szCs w:val="4"/>
              </w:rPr>
            </w:pPr>
            <w:r>
              <w:rPr>
                <w:sz w:val="4"/>
                <w:szCs w:val="4"/>
              </w:rPr>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876"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w:t>
            </w:r>
          </w:p>
          <w:p>
            <w:pPr>
              <w:pStyle w:val="TableContents"/>
              <w:bidi w:val="0"/>
              <w:spacing w:before="0" w:after="20"/>
              <w:jc w:val="center"/>
              <w:rPr>
                <w:rFonts w:ascii="Times New Roman" w:hAnsi="Times New Roman"/>
                <w:b/>
                <w:sz w:val="16"/>
              </w:rPr>
            </w:pPr>
            <w:r>
              <w:rPr>
                <w:rFonts w:ascii="Times New Roman" w:hAnsi="Times New Roman"/>
                <w:b/>
                <w:sz w:val="16"/>
              </w:rPr>
              <w:t>September 30,</w:t>
            </w:r>
          </w:p>
        </w:tc>
        <w:tc>
          <w:tcPr>
            <w:tcW w:w="65" w:type="dxa"/>
            <w:tcBorders/>
            <w:vAlign w:val="bottom"/>
          </w:tcPr>
          <w:p>
            <w:pPr>
              <w:pStyle w:val="TableContents"/>
              <w:bidi w:val="0"/>
              <w:spacing w:before="0" w:after="283"/>
              <w:jc w:val="left"/>
              <w:rPr/>
            </w:pPr>
            <w:r>
              <w:rPr/>
              <w:t> </w:t>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5" w:type="dxa"/>
            <w:tcBorders/>
            <w:vAlign w:val="bottom"/>
          </w:tcPr>
          <w:p>
            <w:pPr>
              <w:pStyle w:val="TableContents"/>
              <w:bidi w:val="0"/>
              <w:spacing w:before="0" w:after="283"/>
              <w:jc w:val="left"/>
              <w:rPr/>
            </w:pPr>
            <w:r>
              <w:rPr/>
              <w:t> </w:t>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876" w:type="dxa"/>
            <w:gridSpan w:val="6"/>
            <w:tcBorders/>
            <w:vAlign w:val="bottom"/>
          </w:tcPr>
          <w:p>
            <w:pPr>
              <w:pStyle w:val="TableContents"/>
              <w:bidi w:val="0"/>
              <w:spacing w:before="0" w:after="283"/>
              <w:jc w:val="center"/>
              <w:rPr/>
            </w:pPr>
            <w:r>
              <w:rPr/>
              <w:t>(Unaudited)</w:t>
            </w:r>
          </w:p>
        </w:tc>
        <w:tc>
          <w:tcPr>
            <w:tcW w:w="65" w:type="dxa"/>
            <w:tcBorders/>
            <w:vAlign w:val="bottom"/>
          </w:tcPr>
          <w:p>
            <w:pPr>
              <w:pStyle w:val="TableContents"/>
              <w:bidi w:val="0"/>
              <w:spacing w:before="0" w:after="283"/>
              <w:jc w:val="left"/>
              <w:rPr/>
            </w:pPr>
            <w:r>
              <w:rPr/>
              <w:t> </w:t>
            </w:r>
          </w:p>
        </w:tc>
      </w:tr>
      <w:tr>
        <w:trPr/>
        <w:tc>
          <w:tcPr>
            <w:tcW w:w="4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(3,277)</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(18,551)</w:t>
            </w:r>
          </w:p>
        </w:tc>
        <w:tc>
          <w:tcPr>
            <w:tcW w:w="65" w:type="dxa"/>
            <w:tcBorders/>
            <w:shd w:fill="CCEEFF" w:val="clear"/>
            <w:vAlign w:val="bottom"/>
          </w:tcPr>
          <w:p>
            <w:pPr>
              <w:pStyle w:val="TableContents"/>
              <w:bidi w:val="0"/>
              <w:spacing w:before="0" w:after="283"/>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(0.76)</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(4.30)</w:t>
            </w:r>
          </w:p>
        </w:tc>
        <w:tc>
          <w:tcPr>
            <w:tcW w:w="65" w:type="dxa"/>
            <w:tcBorders/>
            <w:vAlign w:val="bottom"/>
          </w:tcPr>
          <w:p>
            <w:pPr>
              <w:pStyle w:val="TableContents"/>
              <w:bidi w:val="0"/>
              <w:spacing w:before="0" w:after="283"/>
              <w:jc w:val="left"/>
              <w:rPr/>
            </w:pPr>
            <w:r>
              <w:rPr/>
              <w:t> </w:t>
            </w:r>
          </w:p>
        </w:tc>
      </w:tr>
      <w:tr>
        <w:trPr/>
        <w:tc>
          <w:tcPr>
            <w:tcW w:w="4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4,326,461</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4,309,182</w:t>
            </w:r>
          </w:p>
        </w:tc>
        <w:tc>
          <w:tcPr>
            <w:tcW w:w="65" w:type="dxa"/>
            <w:tcBorders/>
            <w:shd w:fill="CCEEFF" w:val="clear"/>
            <w:vAlign w:val="bottom"/>
          </w:tcPr>
          <w:p>
            <w:pPr>
              <w:pStyle w:val="TableContents"/>
              <w:bidi w:val="0"/>
              <w:spacing w:before="0" w:after="283"/>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4,329,945</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4,311,274</w:t>
            </w:r>
          </w:p>
        </w:tc>
        <w:tc>
          <w:tcPr>
            <w:tcW w:w="65" w:type="dxa"/>
            <w:tcBorders/>
            <w:vAlign w:val="bottom"/>
          </w:tcPr>
          <w:p>
            <w:pPr>
              <w:pStyle w:val="TableContents"/>
              <w:bidi w:val="0"/>
              <w:spacing w:before="0" w:after="283"/>
              <w:jc w:val="left"/>
              <w:rPr/>
            </w:pPr>
            <w:r>
              <w:rPr/>
              <w:t> </w:t>
            </w:r>
          </w:p>
        </w:tc>
      </w:tr>
      <w:tr>
        <w:trPr>
          <w:trHeight w:val="240" w:hRule="atLeast"/>
        </w:trPr>
        <w:tc>
          <w:tcPr>
            <w:tcW w:w="4360" w:type="dxa"/>
            <w:tcBorders/>
            <w:vAlign w:val="center"/>
          </w:tcPr>
          <w:p>
            <w:pPr>
              <w:pStyle w:val="TableContents"/>
              <w:bidi w:val="0"/>
              <w:spacing w:before="0" w:after="283"/>
              <w:jc w:val="left"/>
              <w:rPr>
                <w:sz w:val="4"/>
                <w:szCs w:val="4"/>
              </w:rPr>
            </w:pPr>
            <w:r>
              <w:rPr>
                <w:sz w:val="4"/>
                <w:szCs w:val="4"/>
              </w:rPr>
            </w:r>
          </w:p>
        </w:tc>
        <w:tc>
          <w:tcPr>
            <w:tcW w:w="3395" w:type="dxa"/>
            <w:gridSpan w:val="8"/>
            <w:tcBorders/>
            <w:vAlign w:val="center"/>
          </w:tcPr>
          <w:p>
            <w:pPr>
              <w:pStyle w:val="TableContents"/>
              <w:bidi w:val="0"/>
              <w:spacing w:before="0" w:after="283"/>
              <w:jc w:val="left"/>
              <w:rPr>
                <w:sz w:val="4"/>
                <w:szCs w:val="4"/>
              </w:rPr>
            </w:pPr>
            <w:r>
              <w:rPr>
                <w:sz w:val="4"/>
                <w:szCs w:val="4"/>
              </w:rPr>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876"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Nine Months Ended</w:t>
            </w:r>
          </w:p>
          <w:p>
            <w:pPr>
              <w:pStyle w:val="TableContents"/>
              <w:bidi w:val="0"/>
              <w:spacing w:before="0" w:after="20"/>
              <w:jc w:val="center"/>
              <w:rPr>
                <w:rFonts w:ascii="Times New Roman" w:hAnsi="Times New Roman"/>
                <w:b/>
                <w:sz w:val="16"/>
              </w:rPr>
            </w:pPr>
            <w:r>
              <w:rPr>
                <w:rFonts w:ascii="Times New Roman" w:hAnsi="Times New Roman"/>
                <w:b/>
                <w:sz w:val="16"/>
              </w:rPr>
              <w:t>September 30,</w:t>
            </w:r>
          </w:p>
        </w:tc>
        <w:tc>
          <w:tcPr>
            <w:tcW w:w="65" w:type="dxa"/>
            <w:tcBorders/>
            <w:vAlign w:val="bottom"/>
          </w:tcPr>
          <w:p>
            <w:pPr>
              <w:pStyle w:val="TableContents"/>
              <w:bidi w:val="0"/>
              <w:spacing w:before="0" w:after="283"/>
              <w:jc w:val="left"/>
              <w:rPr/>
            </w:pPr>
            <w:r>
              <w:rPr/>
              <w:t> </w:t>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5" w:type="dxa"/>
            <w:tcBorders/>
            <w:vAlign w:val="bottom"/>
          </w:tcPr>
          <w:p>
            <w:pPr>
              <w:pStyle w:val="TableContents"/>
              <w:bidi w:val="0"/>
              <w:spacing w:before="0" w:after="283"/>
              <w:jc w:val="left"/>
              <w:rPr/>
            </w:pPr>
            <w:r>
              <w:rPr/>
              <w:t> </w:t>
            </w:r>
          </w:p>
        </w:tc>
      </w:tr>
      <w:tr>
        <w:trPr/>
        <w:tc>
          <w:tcPr>
            <w:tcW w:w="43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876" w:type="dxa"/>
            <w:gridSpan w:val="6"/>
            <w:tcBorders/>
            <w:vAlign w:val="bottom"/>
          </w:tcPr>
          <w:p>
            <w:pPr>
              <w:pStyle w:val="TableContents"/>
              <w:bidi w:val="0"/>
              <w:spacing w:before="0" w:after="283"/>
              <w:jc w:val="center"/>
              <w:rPr/>
            </w:pPr>
            <w:r>
              <w:rPr/>
              <w:t>(Unaudited)</w:t>
            </w:r>
          </w:p>
        </w:tc>
        <w:tc>
          <w:tcPr>
            <w:tcW w:w="65" w:type="dxa"/>
            <w:tcBorders/>
            <w:vAlign w:val="bottom"/>
          </w:tcPr>
          <w:p>
            <w:pPr>
              <w:pStyle w:val="TableContents"/>
              <w:bidi w:val="0"/>
              <w:spacing w:before="0" w:after="283"/>
              <w:jc w:val="left"/>
              <w:rPr/>
            </w:pPr>
            <w:r>
              <w:rPr/>
              <w:t> </w:t>
            </w:r>
          </w:p>
        </w:tc>
      </w:tr>
      <w:tr>
        <w:trPr/>
        <w:tc>
          <w:tcPr>
            <w:tcW w:w="4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(25,598)</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(54,046)</w:t>
            </w:r>
          </w:p>
        </w:tc>
        <w:tc>
          <w:tcPr>
            <w:tcW w:w="65" w:type="dxa"/>
            <w:tcBorders/>
            <w:shd w:fill="CCEEFF" w:val="clear"/>
            <w:vAlign w:val="bottom"/>
          </w:tcPr>
          <w:p>
            <w:pPr>
              <w:pStyle w:val="TableContents"/>
              <w:bidi w:val="0"/>
              <w:spacing w:before="0" w:after="283"/>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(5.92)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(13.71)</w:t>
            </w:r>
          </w:p>
        </w:tc>
        <w:tc>
          <w:tcPr>
            <w:tcW w:w="65" w:type="dxa"/>
            <w:tcBorders/>
            <w:vAlign w:val="bottom"/>
          </w:tcPr>
          <w:p>
            <w:pPr>
              <w:pStyle w:val="TableContents"/>
              <w:bidi w:val="0"/>
              <w:spacing w:before="0" w:after="283"/>
              <w:jc w:val="left"/>
              <w:rPr/>
            </w:pPr>
            <w:r>
              <w:rPr/>
              <w:t> </w:t>
            </w:r>
          </w:p>
        </w:tc>
      </w:tr>
      <w:tr>
        <w:trPr/>
        <w:tc>
          <w:tcPr>
            <w:tcW w:w="4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4,323,617</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3,942,747</w:t>
            </w:r>
          </w:p>
        </w:tc>
        <w:tc>
          <w:tcPr>
            <w:tcW w:w="65" w:type="dxa"/>
            <w:tcBorders/>
            <w:shd w:fill="CCEEFF" w:val="clear"/>
            <w:vAlign w:val="bottom"/>
          </w:tcPr>
          <w:p>
            <w:pPr>
              <w:pStyle w:val="TableContents"/>
              <w:bidi w:val="0"/>
              <w:spacing w:before="0" w:after="283"/>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4,329,945</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4,311,274</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2" w:name="toc2271637_7"/>
      <w:bookmarkEnd w:id="4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potential resale from time to time of some or all of 12,635,956 shares of our common stock. The selling stockholders will receive all of the proceeds from any sale of such shares. We will not receive any proceeds from any sales of shares of our common stock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bear the expenses in connection with the registration of the shares of common stock to be offered by this prospectus by the selling stockholders other than any underwriting discounts and commissions or transfer taxes relating to the sale of common stock, which will be borne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3" w:name="toc2271637_8"/>
      <w:bookmarkEnd w:id="43"/>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the material terms of our securities is not intended to be a complete summary of the rights and preferences of such securities, and is qualified by reference to the Certificate of Incorporation and the Bylaws described herein, which are exhibits to the registration statement of which this prospectus is a part. We urge you to read each of the Certificate of Incorporation and the Bylaws described herein in their entirety for a complete description of the rights and preferences of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and Outstanding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authorizes the issuance of 100,000,000 shares of common stock, $0.0001 par value per share and 10,000,000 shares of preferred stock, $0.0001 par value. The outstanding shares of the Company are duly authorized, validly issued, fully paid and non-assessable. As of January 4, 2023, there was 17,405,598 shares of common stock and no shares of preferred stock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Except as otherwise required by law or as otherwise provided in any certificate of designation for any series of preferred stock, the holders of common stock possess all voting power for the election of directors and all other matters requiring stockholder action. Holders of common stock are entitled to one vote per share on matters to be voted on by stockholders. Each election of directors by stockholders will be determined by a plurality of the votes cast by the stockholders entitled to vote on the election. </w:t>
      </w:r>
    </w:p>
    <w:p>
      <w:pPr>
        <w:pStyle w:val="TextBody"/>
        <w:bidi w:val="0"/>
        <w:spacing w:before="240" w:after="0"/>
        <w:jc w:val="left"/>
        <w:rPr>
          <w:rFonts w:ascii="Times New Roman" w:hAnsi="Times New Roman"/>
          <w:sz w:val="20"/>
        </w:rPr>
      </w:pPr>
      <w:r>
        <w:rPr>
          <w:rFonts w:ascii="Times New Roman" w:hAnsi="Times New Roman"/>
          <w:b/>
          <w:i/>
          <w:sz w:val="20"/>
        </w:rPr>
        <w:t>Dividend rights</w:t>
      </w:r>
      <w:r>
        <w:rPr>
          <w:rFonts w:ascii="Times New Roman" w:hAnsi="Times New Roman"/>
          <w:sz w:val="20"/>
        </w:rPr>
        <w:t xml:space="preserve">. Holders of common stock will be entitled to receive such dividends, if any, as may be declared from time to time by the Company’s board of directors (the “Board”) in its discretion out of funds legally available therefor. In no event will any stock dividends or stock splits or combinations of stock be declared or made on shares of common stock unless the shares of common stock at the time outstanding are treated equally and identically. </w:t>
      </w:r>
    </w:p>
    <w:p>
      <w:pPr>
        <w:pStyle w:val="TextBody"/>
        <w:bidi w:val="0"/>
        <w:spacing w:before="240" w:after="0"/>
        <w:jc w:val="left"/>
        <w:rPr>
          <w:rFonts w:ascii="Times New Roman" w:hAnsi="Times New Roman"/>
          <w:sz w:val="20"/>
        </w:rPr>
      </w:pPr>
      <w:r>
        <w:rPr>
          <w:rFonts w:ascii="Times New Roman" w:hAnsi="Times New Roman"/>
          <w:b/>
          <w:i/>
          <w:sz w:val="20"/>
        </w:rPr>
        <w:t>Rights upon liquidation</w:t>
      </w:r>
      <w:r>
        <w:rPr>
          <w:rFonts w:ascii="Times New Roman" w:hAnsi="Times New Roman"/>
          <w:sz w:val="20"/>
        </w:rPr>
        <w:t xml:space="preserve">. In the event of a voluntary or involuntary liquidation, dissolution, distribution of assets or winding-up, the holders of common stock will be entitled to receive an equal amount per share of all of our assets of whatever kind available for distribution to stockholders, after the rights of the holders of the preferred stock have been satisfied. </w:t>
      </w:r>
    </w:p>
    <w:p>
      <w:pPr>
        <w:pStyle w:val="TextBody"/>
        <w:bidi w:val="0"/>
        <w:spacing w:before="240" w:after="0"/>
        <w:jc w:val="left"/>
        <w:rPr>
          <w:rFonts w:ascii="Times New Roman" w:hAnsi="Times New Roman"/>
          <w:sz w:val="20"/>
        </w:rPr>
      </w:pPr>
      <w:r>
        <w:rPr>
          <w:rFonts w:ascii="Times New Roman" w:hAnsi="Times New Roman"/>
          <w:b/>
          <w:i/>
          <w:sz w:val="20"/>
        </w:rPr>
        <w:t>Other rights</w:t>
      </w:r>
      <w:r>
        <w:rPr>
          <w:rFonts w:ascii="Times New Roman" w:hAnsi="Times New Roman"/>
          <w:sz w:val="20"/>
        </w:rPr>
        <w:t xml:space="preserve">. The holders of common stock have no preemptive or conversion rights or other subscription rights. There are no redemption or sinking fund provisions applicable to the common stock. The rights, preferences and privileges of holders of common stock will be subject to those of the holders of any shares of the preferred stock we may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General Corporation Law of Delaware (the “DGCL”). The issuance of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As of the date of this prospectus, there are no shares of preferred stock outstanding, and we have no present plans to issue any shares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not paid any cash dividends on the common stock to date and does not intend to pay cash dividends. The payment of cash dividends in the future will be dependent upon the Company’s revenues and earnings, if any, capital requirements and general financial condition. The payment of any cash dividends will be within the discretion of the Board at such time. Our ability to declare dividends may also be limited by restrictive covenants pursuant to any debt financing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Lock-Up Restrictions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stockholders are subject to certain restrictions on transfer of shares of our common stock until the termination of applicable lock-up periods pursuant to lock-up agreements entered into in connection with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of Securities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Nasdaq under the symbol “IRON.”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common stock is Continental Stock Transfer &amp; Trust Company.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Anti-Takeover Provisions of Delaware Law </w:t>
      </w:r>
    </w:p>
    <w:p>
      <w:pPr>
        <w:pStyle w:val="TextBody"/>
        <w:bidi w:val="0"/>
        <w:spacing w:before="120" w:after="0"/>
        <w:jc w:val="left"/>
        <w:rPr>
          <w:rFonts w:ascii="Times New Roman" w:hAnsi="Times New Roman"/>
          <w:i/>
          <w:sz w:val="20"/>
        </w:rPr>
      </w:pPr>
      <w:r>
        <w:rPr>
          <w:rFonts w:ascii="Times New Roman" w:hAnsi="Times New Roman"/>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the Board is divided into three classes of directors, with the classes to be as nearly equal in number as possible, and with each director serving a three-year term. As a result, approximately one-third of the Board will be elected each year. The classification of directors has the effect of making it more difficult for stockholders to change the composition of the Board. </w:t>
      </w:r>
    </w:p>
    <w:p>
      <w:pPr>
        <w:pStyle w:val="TextBody"/>
        <w:bidi w:val="0"/>
        <w:spacing w:before="360" w:after="0"/>
        <w:jc w:val="left"/>
        <w:rPr>
          <w:rFonts w:ascii="Times New Roman" w:hAnsi="Times New Roman"/>
          <w:i/>
          <w:sz w:val="20"/>
        </w:rPr>
      </w:pPr>
      <w:r>
        <w:rPr>
          <w:rFonts w:ascii="Times New Roman" w:hAnsi="Times New Roman"/>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but unissued shares of Company common stock and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shares of the Company’s common stock and preferred stock could make more difficult or discourage an attempt to obtain control of the Company by means of a proxy contest, tender offer, merger or otherwise.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Action; 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any action required or permitted to be taken by stockholders at any annual or special meeting, may not be effected by written consent or by electronic transmission, and must be effected at an annual or special meetings of stockholders called in accordance with the Bylaws. As a result, a holder controlling a majority of Company capital stock would not be able to amend the Bylaws or remove directors without holding a meeting of stockholders called in accordance with the Bylaws. This restriction does not apply to actions taken by the holders of any series of preferred stock of the Company to the extent expressly provided in the applicable preferred stock designation. Further, the Certificate of Incorporation provides that, subject to any special rights of the holders of preferred stock of the Company, only a majority of the total number of directors then in office may call special meetings of stockholders, thus prohibiting a holder of the Company’s common stock from calling a special meeting. These provisions might delay the ability of stockholders to force consideration of a proposal or for stockholders controlling a majority of Company capital stock to take any action, including the removal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Advance Notice Requirements for Stockholder Proposals and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that stockholders seeking to propose business before the Company’s annual meeting of stockholders, or to nominate candidates for election as directors at its annual meeting of stockholders, must provide timely notice. To be timely, a stockholder’s notice will need to be delivered to, or mailed and received at, the Company’s principal executive offices not less than on the 90th day nor earlier than the close of business on the 120th day prior to the one-year anniversary of the preceding year’s annual meeting. In the event that the date of the annual meeting is more than 30 days before or more than 60 days after such anniversary date or if no annual meeting was held in the preceding year, to be timely, a stockholder’s notice must be so received, not earlier than the close of business on the 90th day prior to the scheduled date of the annual meeting, the 10th day following the day on which public announcement of the date of such annual meeting was first made by the Company. The Company’s bylaws will also specify certain requirements as to the form and content of a stockholders’ notice. These provisions may preclude the Company’s stockholders from bringing matters before its annual meeting of stockholders or from making nominations for directors at its annual meeting of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of Charter or Bylaws </w:t>
      </w:r>
    </w:p>
    <w:p>
      <w:pPr>
        <w:pStyle w:val="TextBody"/>
        <w:bidi w:val="0"/>
        <w:spacing w:before="120" w:after="0"/>
        <w:jc w:val="left"/>
        <w:rPr>
          <w:rFonts w:ascii="Times New Roman" w:hAnsi="Times New Roman"/>
          <w:sz w:val="20"/>
        </w:rPr>
      </w:pPr>
      <w:r>
        <w:rPr>
          <w:rFonts w:ascii="Times New Roman" w:hAnsi="Times New Roman"/>
          <w:sz w:val="20"/>
        </w:rPr>
        <w:t xml:space="preserve">The Bylaws may be amended or repealed by the Board or by the affirmative vote of not the holders of not less than two-thirds of the voting power of all of the shares of the capital stock of the Company entitled to vote on such amendment or repeal, voting as one class; provided, however, that if the Board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the Company entitled to vote thereon as a class, and the affirmative vote of the holders of a majority of the outstanding shares of each class entitled to vote thereon as a class voting together as a single class, will be required to amend certain provisions of the Certificate of Incorporation. </w:t>
      </w:r>
    </w:p>
    <w:p>
      <w:pPr>
        <w:pStyle w:val="TextBody"/>
        <w:bidi w:val="0"/>
        <w:spacing w:before="360" w:after="0"/>
        <w:jc w:val="left"/>
        <w:rPr>
          <w:rFonts w:ascii="Times New Roman" w:hAnsi="Times New Roman"/>
          <w:i/>
          <w:sz w:val="20"/>
        </w:rPr>
      </w:pPr>
      <w:r>
        <w:rPr>
          <w:rFonts w:ascii="Times New Roman" w:hAnsi="Times New Roman"/>
          <w:i/>
          <w:sz w:val="20"/>
        </w:rPr>
        <w:t xml:space="preserve">Board Vacancies </w:t>
      </w:r>
    </w:p>
    <w:p>
      <w:pPr>
        <w:pStyle w:val="TextBody"/>
        <w:bidi w:val="0"/>
        <w:spacing w:before="120" w:after="0"/>
        <w:jc w:val="left"/>
        <w:rPr>
          <w:rFonts w:ascii="Times New Roman" w:hAnsi="Times New Roman"/>
          <w:sz w:val="20"/>
        </w:rPr>
      </w:pPr>
      <w:r>
        <w:rPr>
          <w:rFonts w:ascii="Times New Roman" w:hAnsi="Times New Roman"/>
          <w:sz w:val="20"/>
        </w:rPr>
        <w:t xml:space="preserve">Any vacancy on the Board may be filled solely by the affirmative vote of a majority vote of the directors then in office, even if less than a quorum, or by a sole remaining director, subject to any special rights of the holders of preferred stock of the Company. Any director chosen to fill a vacancy will hold office until the expiration of the term of the class for which he or she was elected and until his or her successor is elected and qualified or until their earlier resignation, death or removal. Except as otherwise provided by law, in the event of a vacancy in the Board, the remaining directors may exercise the powers of the full Board until the vacancy is filled. </w:t>
      </w:r>
    </w:p>
    <w:p>
      <w:pPr>
        <w:pStyle w:val="TextBody"/>
        <w:bidi w:val="0"/>
        <w:spacing w:before="360" w:after="0"/>
        <w:jc w:val="left"/>
        <w:rPr>
          <w:rFonts w:ascii="Times New Roman" w:hAnsi="Times New Roman"/>
          <w:i/>
          <w:sz w:val="20"/>
        </w:rPr>
      </w:pPr>
      <w:r>
        <w:rPr>
          <w:rFonts w:ascii="Times New Roman" w:hAnsi="Times New Roman"/>
          <w:i/>
          <w:sz w:val="20"/>
        </w:rPr>
        <w:t xml:space="preserve">Section 203 of the 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be governed by Section 203 of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Liability and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the Company’s directors, officers and agents will be indemnified and advanced expenses by the Company to the fullest extent permitted by law as it now exists or may in the future be amended. In addition, the Certificate of Incorporation provides that the Company’s directors will not be personally liable to the Company or its stockholders for monetary damages for breaches of their fiduciary duty as directors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also permits the Company to purchase and maintain insurance on behalf of any officer, director or employee of the Company for any liability arising out of his or her status as such, regardless of whether the DGCL would permit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provisions may discourage stockholders from bringing a lawsuit against the Company directors for breach of their fiduciary duty. These provisions also may have the effect of reducing the likelihood of derivative litigation against directors and officers, even though such an action, if successful, might otherwise benefit the Company and its stockholders. Furthermore, a stockholder’s investment may be adversely affected to the extent the Company pays the costs of settlement and damage awards against directors and officers pursuant to these indemnification provisions. We believe that these provisions, the insurance and the indemnity agreements are necessary to attract and retain talented and experienced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the Company directors, officers and controlling persons pursuant to the foregoing provisions, or otherwise, we have been advised that in the opinion of the SEC such indemnification is against public policy as expressed in the Securities Act and is, therefore,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4" w:name="toc2271637_9"/>
      <w:bookmarkEnd w:id="44"/>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This prospectus relates to the potential resale from time to time of some or all of 12,635,956 shares of our common stock which were issued to the selling stockholders. The information presented regarding the selling stockholders is based, in part, on information the selling stockholders provided to us specifically for use in this prospectus. The selling stockholders may sell all, some or none of their shares in this offering. See “</w:t>
      </w:r>
      <w:r>
        <w:rPr>
          <w:rFonts w:ascii="Times New Roman" w:hAnsi="Times New Roman"/>
          <w:i/>
          <w:sz w:val="20"/>
        </w:rPr>
        <w:t>Plan of Distribution</w:t>
      </w:r>
      <w:r>
        <w:rPr>
          <w:rFonts w:ascii="Times New Roman" w:hAnsi="Times New Roman"/>
          <w:sz w:val="20"/>
        </w:rPr>
        <w:t xml:space="preserve">.” We may supplement this prospectus from time to time in the future to update or change the selling stockholders list and the number of shares of common stock that may be offered and sold by the selling stockholders. The registration for resale of the shares of common stock does not necessarily mean that the selling stockholders will sell all or any of these shares. In addition, the selling stockholders may have sold, transferred or otherwise disposed of, or may sell, transfer or otherwise dispose of, at any time and from time to time, shares of common stock in transactions exempt from the registration requirements of the Securities Act, after the date on which it provided the information set forth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Unless otherwise indicated below, to our knowledge, the persons and entities named in the tables have sole voting and sole investment power with respect to all securities that they beneficially own, subject to community property laws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as of the date of this prospectus, the names of the selling stockholders, the aggregate number of shares of common stock beneficially owned, the aggregate number of shares of common stock that the selling stockholders may offer pursuant to this prospectus and the number of shares of common stock beneficially owned by the selling stockholders after the sale of the securities offered hereby. Because the selling stockholders are not obligated to sell the shares of common stock, we cannot estimate the amount of the shares of common stock that the selling stockholders will hold upon consummation of any such sales. For purposes of the following table, we have assumed the sale of all of the shares of common stock that may be offered for sale pursuant to this prospectus. Percentage of beneficial ownership is based on 17,405,598 shares of common stock outstanding as of January 4, 2023. Pursuant to Rule 416 under the Securities Act, the prospectus also covers any additional shares of our common stock that may become issuable in connection with shares of common stock by reason of a stock dividend, stock split or other similar transaction effected without our receiving any cash or other value, which results in an increase in the number of shares of our common stock outstanding.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10"/>
        <w:gridCol w:w="266"/>
        <w:gridCol w:w="85"/>
        <w:gridCol w:w="1430"/>
        <w:gridCol w:w="60"/>
        <w:gridCol w:w="266"/>
        <w:gridCol w:w="67"/>
        <w:gridCol w:w="1111"/>
        <w:gridCol w:w="60"/>
        <w:gridCol w:w="266"/>
        <w:gridCol w:w="154"/>
        <w:gridCol w:w="1001"/>
        <w:gridCol w:w="154"/>
        <w:gridCol w:w="427"/>
        <w:gridCol w:w="154"/>
        <w:gridCol w:w="1011"/>
        <w:gridCol w:w="66"/>
      </w:tblGrid>
      <w:tr>
        <w:trPr/>
        <w:tc>
          <w:tcPr>
            <w:tcW w:w="2810"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810" w:type="dxa"/>
            <w:tcBorders/>
            <w:vAlign w:val="bottom"/>
          </w:tcPr>
          <w:p>
            <w:pPr>
              <w:pStyle w:val="TableContents"/>
              <w:bidi w:val="0"/>
              <w:spacing w:before="0" w:after="283"/>
              <w:jc w:val="left"/>
              <w:rPr/>
            </w:pPr>
            <w:r>
              <w:rPr/>
              <w:t> </w:t>
            </w:r>
          </w:p>
        </w:tc>
        <w:tc>
          <w:tcPr>
            <w:tcW w:w="266" w:type="dxa"/>
            <w:vMerge w:val="restart"/>
            <w:tcBorders/>
            <w:vAlign w:val="bottom"/>
          </w:tcPr>
          <w:p>
            <w:pPr>
              <w:pStyle w:val="TableContents"/>
              <w:bidi w:val="0"/>
              <w:spacing w:before="0" w:after="283"/>
              <w:jc w:val="left"/>
              <w:rPr/>
            </w:pPr>
            <w:r>
              <w:rPr/>
              <w:t>  </w:t>
            </w:r>
          </w:p>
        </w:tc>
        <w:tc>
          <w:tcPr>
            <w:tcW w:w="15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 Before</w:t>
              <w:br/>
              <w:t>the Offering</w:t>
            </w:r>
          </w:p>
        </w:tc>
        <w:tc>
          <w:tcPr>
            <w:tcW w:w="60" w:type="dxa"/>
            <w:vMerge w:val="restart"/>
            <w:tcBorders/>
            <w:vAlign w:val="bottom"/>
          </w:tcPr>
          <w:p>
            <w:pPr>
              <w:pStyle w:val="TableContents"/>
              <w:bidi w:val="0"/>
              <w:spacing w:before="0" w:after="283"/>
              <w:jc w:val="left"/>
              <w:rPr/>
            </w:pPr>
            <w:r>
              <w:rPr/>
              <w:t> </w:t>
            </w:r>
          </w:p>
        </w:tc>
        <w:tc>
          <w:tcPr>
            <w:tcW w:w="266" w:type="dxa"/>
            <w:vMerge w:val="restart"/>
            <w:tcBorders/>
            <w:vAlign w:val="bottom"/>
          </w:tcPr>
          <w:p>
            <w:pPr>
              <w:pStyle w:val="TableContents"/>
              <w:bidi w:val="0"/>
              <w:spacing w:before="0" w:after="283"/>
              <w:jc w:val="left"/>
              <w:rPr/>
            </w:pPr>
            <w:r>
              <w:rPr/>
              <w:t>  </w:t>
            </w:r>
          </w:p>
        </w:tc>
        <w:tc>
          <w:tcPr>
            <w:tcW w:w="1178"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w:t>
              <w:br/>
              <w:t>Shares that</w:t>
              <w:br/>
              <w:t>May Be</w:t>
              <w:br/>
              <w:t>Offered</w:t>
              <w:br/>
              <w:t>Hereby(9)</w:t>
            </w:r>
          </w:p>
        </w:tc>
        <w:tc>
          <w:tcPr>
            <w:tcW w:w="60" w:type="dxa"/>
            <w:vMerge w:val="restart"/>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29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After the Offering</w:t>
            </w:r>
          </w:p>
        </w:tc>
        <w:tc>
          <w:tcPr>
            <w:tcW w:w="66"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b/>
              </w:rPr>
            </w:pPr>
            <w:r>
              <w:rPr>
                <w:b/>
              </w:rPr>
              <w:t>Name and Address of Selling stockholders</w:t>
            </w:r>
          </w:p>
        </w:tc>
        <w:tc>
          <w:tcPr>
            <w:tcW w:w="266" w:type="dxa"/>
            <w:vMerge w:val="continue"/>
            <w:tcBorders/>
            <w:vAlign w:val="bottom"/>
          </w:tcPr>
          <w:p>
            <w:pPr>
              <w:pStyle w:val="Normal"/>
              <w:bidi w:val="0"/>
              <w:jc w:val="left"/>
              <w:rPr/>
            </w:pPr>
            <w:r>
              <w:rPr/>
            </w:r>
          </w:p>
        </w:tc>
        <w:tc>
          <w:tcPr>
            <w:tcW w:w="151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66" w:type="dxa"/>
            <w:vMerge w:val="continue"/>
            <w:tcBorders>
              <w:bottom w:val="single" w:sz="8" w:space="0" w:color="000000"/>
            </w:tcBorders>
            <w:tcMar>
              <w:bottom w:w="28" w:type="dxa"/>
            </w:tcMar>
            <w:vAlign w:val="bottom"/>
          </w:tcPr>
          <w:p>
            <w:pPr>
              <w:pStyle w:val="Normal"/>
              <w:bidi w:val="0"/>
              <w:jc w:val="left"/>
              <w:rPr/>
            </w:pPr>
            <w:r>
              <w:rPr/>
            </w:r>
          </w:p>
        </w:tc>
        <w:tc>
          <w:tcPr>
            <w:tcW w:w="1178"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66"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54"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6" w:type="dxa"/>
            <w:tcBorders/>
            <w:vAlign w:val="bottom"/>
          </w:tcPr>
          <w:p>
            <w:pPr>
              <w:pStyle w:val="TableContents"/>
              <w:bidi w:val="0"/>
              <w:spacing w:before="0" w:after="283"/>
              <w:jc w:val="left"/>
              <w:rPr/>
            </w:pPr>
            <w:r>
              <w:rPr/>
              <w:t> </w:t>
            </w:r>
          </w:p>
        </w:tc>
      </w:tr>
      <w:tr>
        <w:trPr/>
        <w:tc>
          <w:tcPr>
            <w:tcW w:w="2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 DMI LLC</w:t>
            </w:r>
            <w:r>
              <w:rPr>
                <w:rFonts w:ascii="Times New Roman" w:hAnsi="Times New Roman"/>
                <w:b/>
                <w:sz w:val="20"/>
              </w:rPr>
              <w:t>(1)</w:t>
            </w:r>
          </w:p>
        </w:tc>
        <w:tc>
          <w:tcPr>
            <w:tcW w:w="266"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2,706,976</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2,706,976</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81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OrbiMed Advisors LLC</w:t>
            </w:r>
            <w:r>
              <w:rPr>
                <w:rFonts w:ascii="Times New Roman" w:hAnsi="Times New Roman"/>
                <w:b/>
                <w:sz w:val="20"/>
              </w:rPr>
              <w:t>(2)</w:t>
            </w:r>
          </w:p>
        </w:tc>
        <w:tc>
          <w:tcPr>
            <w:tcW w:w="266"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2,160,941</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2,160,941</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Atlas Ventures</w:t>
            </w:r>
            <w:r>
              <w:rPr>
                <w:rFonts w:ascii="Times New Roman" w:hAnsi="Times New Roman"/>
                <w:b/>
                <w:sz w:val="20"/>
              </w:rPr>
              <w:t>(3)</w:t>
            </w:r>
          </w:p>
        </w:tc>
        <w:tc>
          <w:tcPr>
            <w:tcW w:w="266"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3,461,785</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3,461,785</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810" w:type="dxa"/>
            <w:tcBorders/>
          </w:tcPr>
          <w:p>
            <w:pPr>
              <w:pStyle w:val="TableContents"/>
              <w:bidi w:val="0"/>
              <w:spacing w:before="0" w:after="0"/>
              <w:jc w:val="left"/>
              <w:rPr>
                <w:rFonts w:ascii="Times New Roman" w:hAnsi="Times New Roman"/>
                <w:sz w:val="20"/>
              </w:rPr>
            </w:pPr>
            <w:r>
              <w:rPr>
                <w:rFonts w:ascii="Times New Roman" w:hAnsi="Times New Roman"/>
                <w:sz w:val="20"/>
              </w:rPr>
              <w:t>Novo Holdings A/S</w:t>
            </w:r>
            <w:r>
              <w:rPr>
                <w:rFonts w:ascii="Times New Roman" w:hAnsi="Times New Roman"/>
                <w:b/>
                <w:sz w:val="20"/>
              </w:rPr>
              <w:t>(4)</w:t>
            </w:r>
          </w:p>
        </w:tc>
        <w:tc>
          <w:tcPr>
            <w:tcW w:w="266"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2,340,772</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2,340,772</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Arix Bioscience Holdings Limited(5)</w:t>
            </w:r>
          </w:p>
        </w:tc>
        <w:tc>
          <w:tcPr>
            <w:tcW w:w="266"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589,663</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589,663</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81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Investors(6)</w:t>
            </w:r>
          </w:p>
        </w:tc>
        <w:tc>
          <w:tcPr>
            <w:tcW w:w="266"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500,330</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500,330</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Rock Springs Capital(7)</w:t>
            </w:r>
          </w:p>
        </w:tc>
        <w:tc>
          <w:tcPr>
            <w:tcW w:w="266"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339,497</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339,497</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810" w:type="dxa"/>
            <w:tcBorders/>
          </w:tcPr>
          <w:p>
            <w:pPr>
              <w:pStyle w:val="TableContents"/>
              <w:bidi w:val="0"/>
              <w:spacing w:before="0" w:after="0"/>
              <w:jc w:val="left"/>
              <w:rPr>
                <w:rFonts w:ascii="Times New Roman" w:hAnsi="Times New Roman"/>
                <w:sz w:val="20"/>
              </w:rPr>
            </w:pPr>
            <w:r>
              <w:rPr>
                <w:rFonts w:ascii="Times New Roman" w:hAnsi="Times New Roman"/>
                <w:sz w:val="20"/>
              </w:rPr>
              <w:t>5AM Opportunities II, L.P.(8)</w:t>
            </w:r>
          </w:p>
        </w:tc>
        <w:tc>
          <w:tcPr>
            <w:tcW w:w="266"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535,992</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535,992</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held by AI DMI LLC may be deemed to be beneficially owned by Access Industries Holdings LLC (“AIH”), Access Industries Management, LLC (“AIM”) and Len Blavatnik because (i) AIH indirectly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controls all of the outstanding voting interests in AI ETI LLC, (ii) AIM controls AIH and (iii) Mr. Blavatnik controls AIM and holds a majority of the outstanding voting interests in AIH. Liam Ratcliffe, a member of Disc’s board of directors, is Head of Biotechnology at Access Industries, Inc., which is an affiliate of AI DMI LLC. Each of AIM, AIH, Mr. Blavatnik and Dr. Ratcliffe, and each of their affiliated entities and the officers, partners, members and managers thereof, disclaims beneficial ownership of the shares held by AI DMI LLC. The address of AI DMI LLC is c/o Access Industries, Inc., 40 West 57th Street, 28th Floor, New York, NY 10019.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OrbiMed Advisors LLC exercises voting and investment power through a management committee comprised of Carl L. Gordon, Sven H. Borho, and W. Carter Neild. The business address is 601 Lexington Avenue, 54th Floor, New York, NY 10022.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2,237,303 shares held by Atlas Venture Fund X, L.P. (“Atlas Fund X”), 955,156 shares held by Atlas Venture Opportunity Fund I, L.P. (“AVOF I”), 218,326 shares held by Atlas Venture Opportunity Fund II, L.P. (“AVOF II”) and 51,000 shares held by Atlas Venture Fund XII, L.P. (“Atlas Fund XII”). Atlas Venture Associates X, L.P. is the general partner of Atlas Fund X, and Atlas Venture Associates X, LLC is the general partner of 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The general partner of AVOF I is Atlas Venture Associates Opportunity I, L.P. (“AVAO I LP”) and the general partner of AVAO I LP is Atlas Venture Associates Opportunity I, LLC (“AVAO I LLC”). The members of AVAO I LLC collectively make investment decisions on behalf of AVAO I LLC. Kevin Bitterman, Ph.D., is a member of AVAO I LLC and a member of the Company’s Board. Each of AVOF I, AVAO I LP, AVAO I LLC and Dr. Bitterman may be deemed to beneficially own the shares held by AVOF I. Each of AVAO I LP, AVAO I LLC and Dr. Bitterman expressly disclaim beneficial ownership of the securities owned by AVOF I, except to the extent of its pecuniary interest therein, if any. The general partner of AVOF II is Atlas Venture Associates Opportunity II, L.P. (“AVAO II LP”) and the general partner of AVAO II LP is Atlas Venture Associates Opportunity II, LLC (“AVAO II LLC”). The members of AVAO II LLC collectively make investment decisions on behalf of AVAO II LLC. Dr. Bitterman is a member of AVAO II LLC and a member of the Company’s Board. Each of AVAO II LP, AVAO II LLC and Dr. Bitterman may be deemed to beneficially own the shares held by AVOF II. Each of AVOF II, AVAO II LP, AVAO II LLC and Dr. Bitterman expressly disclaim beneficial ownership of the securities owned by AVOF II, except to the extent of its pecuniary interest therein, if any. The general partner of Atlas Fund XII is Atlas Venture Associates XII, L.P. (“AVA XII LP”). Atlas Venture Associates XII, LLC (“AVA XII LLC”) is the general partner of AVA XII LP. The members of AVA XII LLC collectively make investment decisions on behalf of AVA XII LLC. Dr. Bitterman is a member of AVA XII LLC and a member of the Company’s Board. Each of Atlas Fund XII, AVA XII LP, AVA XII LLC and Dr. Bitterman may be deemed to beneficially own the shares held by Atlas Fund XII. Each of AVA XII LP, AVA XII LLC and Dr. Bitterman expressly disclaim Section 16 beneficial ownership of the securities owned by Atlas Fund XII, except to the extent of its pecuniary interest therein, if any. The address for Atlas Ventures is 300 Technology Sq., 8th Floor, Cambridge, MA 02139.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Novo Holdings A/S has the sole power to vote and dispose of the shares, and no individual or other entity is deemed to hold any beneficial ownership in the shares. Eric Snyder, Ph.D. is employed as a Partner at Novo Ventures (US), Inc., which provides certain consultancy services to Novo Holdings A/S, and is a former member of the Company’s Board. Dr. Snyder is not deemed to hold any beneficiary ownership or reportable pecuniary interest in the shares held by Novo Holdings A/S. The business address of Novo Holdings A/S is Tuborg Havnevej 19, 2900 Hellerup, Denmark.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Arix Bioscience Holdings Limited is Duke Street House, 50 Duke Street, London W1K 6JL, United Kingdom.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271,998 shares held by Janus Henderson Biotech Innovation Master Fund Limited (“Janus Biotech”), (ii) 109,462 shares held by Janus Henderson Capital Funds plc - Janus Henderson Global Life Sciences Fund (“Janus Capital”), and (iii) 118,870 shares held by Janus Henderson Global Life Sciences Fund (“Janus Global Life Sciences”). Such shares owned by Janus Biotech, Janus Capital, and Janus Global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Life Sciences may be deemed to be beneficially owned by, Janus Henderson Investors US LLC (“Janus”), an investment adviser registered under the Investment Advisers Act of 1940, who acts as investment adviser for the Fund and has the ability to make decisions with respect to the voting and disposition of the shares subject to the oversight of the board of trustees (or similar entity) of the Fund. Under the terms of its management contract, Janus has overall responsibility for directing the investments of the Fund in accordance with the Fund’s investment objective, policies and limitations. The Fund has one or more portfolio managers appointed by and serving at the pleasure of Janus who makes decisions with respect to the disposition of the Shares. The address for Janus is 151 Detroit Street, Denver, CO 80206. The portfolio managers for this Fund are Andrew Acker and Daniel S. Lyons.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271,598 shares of our common stock owned by Rock Springs Capital Master Fund LP (“Master Fund”) and (ii) 67,899 shares of our common stock owned by Four Pines Master Fund LP (“Four Pines”). Rock Springs Capital LLC (“RSC”) is the general partner of Rock Springs Capital Management LP (“RSCM”) which is the investment manager to Master Fund and Four Pines. RSC and RSCM may therefore be deemed to have or share beneficial ownership of the shares held directly by Master Fund and Four Pines. The address for RSC and RSCM is 650 South Exeter St., Suite 1070, Baltimore, Maryland 21202.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5AM Opportunities II, L.P. is 501 Second Street, Suite 350, San Francisco, CA 94107.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other shares of common stock, including, without limitation, shares of common stock acquired in the open market are being offered under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toc2271637_10"/>
      <w:bookmarkEnd w:id="4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all or a portion of the shares of common stock held by them and offered hereby from time to time, in one or more transactions, directly or through one or more underwriters, broker-dealers or agents. As used in this prospectus, the term “selling stockholders” includes any donees, pledgees, transferees or other successors in interest of the selling stockholders after the date of this prospectus. If the shares of common stock are sold through underwriters, broker-dealers, or agents, the selling stockholders will be responsible for underwriting discounts or commissions. The shares of common stock may be sold in one or more transactions at fixed prices, at prevailing market prices at the time of the sale, at varying prices determined at the time of sale, at negotiated prices or such other price as the selling stockholders determines from time to time. These sales may be effected in transactions, which may involve crosses or block transactions, pursuant to one or more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any national securities exchange or quotation service on which the shares of common stock may be listed or quoted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otherwise than on these exchanges or systems or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whether such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one or more underwritten offerings on a firm commitment or best 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of common stock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multiple purchasers or a single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made after the date the registration statement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also sell shares of common stock under Rule 144 promulgated under the Securities Act, if available, rather than under this prospectus. In addition, the selling stockholders may transfer the shares of common stock by other means not described in this prospectus. If the selling stockholders effects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selling stockholders may pledge or grant a security interest in some or all of the shares of common stock owned by it and, if it defaults in the performance of its secured obligations, the pledgees or secured parties may offer and sell the shares of common stock from time to time pursuant to this prospectus. The selling stockholders also may transfer and donate the shares of common stock in other circumstances in which case the pledgees, transferees, donees, or other successors in 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by the Securities Act and the rules and regulations thereunder, 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a time a particular offering of shares of our common stock is made, an additional prospectus supplement, if required, may be distributed that will set forth the number of shares of our common stock being offered, the method of distribution and the terms of the offering, including the name or names of any underwriters, dealers or agents, the purchase price paid by any underwriter and any discount. In order to comply with the securities laws of some states, if applicable, the shares of our common stock may be sold in these jurisdictions only through registered or licensed brokers or dealers. In addition, in some states shares of our common stock may not be sold unless they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stockholders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sales of any shares of common stock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selling stockholders will sell all or any portion of the shares of common stock offered hereby. We are registering the resale of shares of our common stock to provide the selling stockholders with freely tradable securities, but the registration of such shares does not necessarily mean that any of such shares will be offered or sold by the selling stockholders pursuant to this prospectus or at all.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this prospectus may be amended and/or supplemented from time to time to describe a specific plan of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toc2271637_11"/>
      <w:bookmarkEnd w:id="4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common stock being offered by this prospectus has been passed upon for us by Goodwin Procter LLP, Boston, Massachusetts. </w:t>
      </w:r>
    </w:p>
    <w:p>
      <w:pPr>
        <w:pStyle w:val="TextBody"/>
        <w:bidi w:val="0"/>
        <w:spacing w:before="480" w:after="0"/>
        <w:jc w:val="center"/>
        <w:rPr>
          <w:rFonts w:ascii="Times New Roman" w:hAnsi="Times New Roman"/>
          <w:b/>
          <w:sz w:val="20"/>
        </w:rPr>
      </w:pPr>
      <w:bookmarkStart w:id="47" w:name="toc2271637_12"/>
      <w:bookmarkEnd w:id="4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Disc Medicine, Inc. (formerly known as Gemini Therapeutics, Inc.) for the year ended December 31, 2021 included in the Annual Report on Form 10-K dated March 10,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Disc Medicine Opco, Inc. (formerly known as Disc Medicine, Inc.) for the year ended December 31, 2021, appearing in the Company’s Current Report on Form 8-K dated December 29,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toc2271637_13"/>
      <w:bookmarkEnd w:id="48"/>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t>
      </w:r>
      <w:r>
        <w:rPr>
          <w:rFonts w:ascii="Times New Roman" w:hAnsi="Times New Roman"/>
          <w:i/>
          <w:sz w:val="20"/>
        </w:rPr>
        <w:t>www.discmedicine.com</w:t>
      </w:r>
      <w:r>
        <w:rPr>
          <w:rFonts w:ascii="Times New Roman" w:hAnsi="Times New Roman"/>
          <w:sz w:val="20"/>
        </w:rPr>
        <w:t xml:space="preserve">. The information on our website,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32">
              <w:r>
                <w:rPr>
                  <w:rStyle w:val="InternetLink"/>
                  <w:rFonts w:ascii="Times New Roman" w:hAnsi="Times New Roman"/>
                  <w:sz w:val="20"/>
                </w:rPr>
                <w:t>Form 10-K</w:t>
              </w:r>
            </w:hyperlink>
            <w:r>
              <w:rPr>
                <w:rFonts w:ascii="Times New Roman" w:hAnsi="Times New Roman"/>
                <w:sz w:val="20"/>
              </w:rPr>
              <w:t xml:space="preserve"> for the fiscal year ended December 31, 2021, filed with the SEC on March 10,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quarters ended March 31, 2022, June 30, 2022 and September 30, 2022, filed with the SEC on </w:t>
            </w:r>
            <w:hyperlink r:id="rId33">
              <w:r>
                <w:rPr>
                  <w:rStyle w:val="InternetLink"/>
                  <w:rFonts w:ascii="Times New Roman" w:hAnsi="Times New Roman"/>
                  <w:sz w:val="20"/>
                </w:rPr>
                <w:t>May  6, 2022</w:t>
              </w:r>
            </w:hyperlink>
            <w:r>
              <w:rPr>
                <w:rFonts w:ascii="Times New Roman" w:hAnsi="Times New Roman"/>
                <w:sz w:val="20"/>
              </w:rPr>
              <w:t xml:space="preserve">, </w:t>
            </w:r>
            <w:hyperlink r:id="rId34">
              <w:r>
                <w:rPr>
                  <w:rStyle w:val="InternetLink"/>
                  <w:rFonts w:ascii="Times New Roman" w:hAnsi="Times New Roman"/>
                  <w:sz w:val="20"/>
                </w:rPr>
                <w:t>August  11, 2022</w:t>
              </w:r>
            </w:hyperlink>
            <w:r>
              <w:rPr>
                <w:rFonts w:ascii="Times New Roman" w:hAnsi="Times New Roman"/>
                <w:sz w:val="20"/>
              </w:rPr>
              <w:t xml:space="preserve">, and </w:t>
            </w:r>
            <w:hyperlink r:id="rId35">
              <w:r>
                <w:rPr>
                  <w:rStyle w:val="InternetLink"/>
                  <w:rFonts w:ascii="Times New Roman" w:hAnsi="Times New Roman"/>
                  <w:sz w:val="20"/>
                </w:rPr>
                <w:t xml:space="preserve">November 10, 2022 </w:t>
              </w:r>
            </w:hyperlink>
            <w:r>
              <w:rPr>
                <w:rFonts w:ascii="Times New Roman" w:hAnsi="Times New Roman"/>
                <w:sz w:val="20"/>
              </w:rPr>
              <w:t xml:space="preserve">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36">
              <w:r>
                <w:rPr>
                  <w:rStyle w:val="InternetLink"/>
                  <w:rFonts w:ascii="Times New Roman" w:hAnsi="Times New Roman"/>
                  <w:sz w:val="20"/>
                </w:rPr>
                <w:t>January 10, 2022</w:t>
              </w:r>
            </w:hyperlink>
            <w:r>
              <w:rPr>
                <w:rFonts w:ascii="Times New Roman" w:hAnsi="Times New Roman"/>
                <w:sz w:val="20"/>
              </w:rPr>
              <w:t xml:space="preserve"> (excluding information furnished pursuant to Item 7.01), </w:t>
            </w:r>
            <w:hyperlink r:id="rId37">
              <w:r>
                <w:rPr>
                  <w:rStyle w:val="InternetLink"/>
                  <w:rFonts w:ascii="Times New Roman" w:hAnsi="Times New Roman"/>
                  <w:sz w:val="20"/>
                </w:rPr>
                <w:t>January 14, 2022</w:t>
              </w:r>
            </w:hyperlink>
            <w:r>
              <w:rPr>
                <w:rFonts w:ascii="Times New Roman" w:hAnsi="Times New Roman"/>
                <w:sz w:val="20"/>
              </w:rPr>
              <w:t xml:space="preserve">, </w:t>
            </w:r>
            <w:hyperlink r:id="rId38">
              <w:r>
                <w:rPr>
                  <w:rStyle w:val="InternetLink"/>
                  <w:rFonts w:ascii="Times New Roman" w:hAnsi="Times New Roman"/>
                  <w:sz w:val="20"/>
                </w:rPr>
                <w:t>February 28, 2022</w:t>
              </w:r>
            </w:hyperlink>
            <w:r>
              <w:rPr>
                <w:rFonts w:ascii="Times New Roman" w:hAnsi="Times New Roman"/>
                <w:sz w:val="20"/>
              </w:rPr>
              <w:t xml:space="preserve"> (excluding information furnished pursuant to Item 7.01), </w:t>
            </w:r>
            <w:hyperlink r:id="rId39">
              <w:r>
                <w:rPr>
                  <w:rStyle w:val="InternetLink"/>
                  <w:rFonts w:ascii="Times New Roman" w:hAnsi="Times New Roman"/>
                  <w:sz w:val="20"/>
                </w:rPr>
                <w:t>April  5, 2022</w:t>
              </w:r>
            </w:hyperlink>
            <w:r>
              <w:rPr>
                <w:rFonts w:ascii="Times New Roman" w:hAnsi="Times New Roman"/>
                <w:sz w:val="20"/>
              </w:rPr>
              <w:t xml:space="preserve">, </w:t>
            </w:r>
            <w:hyperlink r:id="rId40">
              <w:r>
                <w:rPr>
                  <w:rStyle w:val="InternetLink"/>
                  <w:rFonts w:ascii="Times New Roman" w:hAnsi="Times New Roman"/>
                  <w:sz w:val="20"/>
                </w:rPr>
                <w:t>August  10, 2022</w:t>
              </w:r>
            </w:hyperlink>
            <w:r>
              <w:rPr>
                <w:rFonts w:ascii="Times New Roman" w:hAnsi="Times New Roman"/>
                <w:sz w:val="20"/>
              </w:rPr>
              <w:t xml:space="preserve"> (excluding information furnished pursuant to Item 7.01), </w:t>
            </w:r>
            <w:hyperlink r:id="rId41">
              <w:r>
                <w:rPr>
                  <w:rStyle w:val="InternetLink"/>
                  <w:rFonts w:ascii="Times New Roman" w:hAnsi="Times New Roman"/>
                  <w:sz w:val="20"/>
                </w:rPr>
                <w:t>December  8, 2022</w:t>
              </w:r>
            </w:hyperlink>
            <w:r>
              <w:rPr>
                <w:rFonts w:ascii="Times New Roman" w:hAnsi="Times New Roman"/>
                <w:sz w:val="20"/>
              </w:rPr>
              <w:t xml:space="preserve">, </w:t>
            </w:r>
            <w:hyperlink r:id="rId42">
              <w:r>
                <w:rPr>
                  <w:rStyle w:val="InternetLink"/>
                  <w:rFonts w:ascii="Times New Roman" w:hAnsi="Times New Roman"/>
                  <w:sz w:val="20"/>
                </w:rPr>
                <w:t>December  28, 2022</w:t>
              </w:r>
            </w:hyperlink>
            <w:r>
              <w:rPr>
                <w:rFonts w:ascii="Times New Roman" w:hAnsi="Times New Roman"/>
                <w:sz w:val="20"/>
              </w:rPr>
              <w:t xml:space="preserve"> and </w:t>
            </w:r>
            <w:hyperlink r:id="rId43">
              <w:r>
                <w:rPr>
                  <w:rStyle w:val="InternetLink"/>
                  <w:rFonts w:ascii="Times New Roman" w:hAnsi="Times New Roman"/>
                  <w:sz w:val="20"/>
                </w:rPr>
                <w:t>December 29, 2022</w:t>
              </w:r>
            </w:hyperlink>
            <w:r>
              <w:rPr>
                <w:rFonts w:ascii="Times New Roman" w:hAnsi="Times New Roman"/>
                <w:sz w:val="20"/>
              </w:rPr>
              <w:t xml:space="preserve"> (excluding information furnished pursuant to Items 2.02 or 7.01, or corresponding information furnished under Item 9.01 or included as an exhibit);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44">
              <w:r>
                <w:rPr>
                  <w:rStyle w:val="InternetLink"/>
                  <w:rFonts w:ascii="Times New Roman" w:hAnsi="Times New Roman"/>
                  <w:sz w:val="20"/>
                </w:rPr>
                <w:t>Form 8-A</w:t>
              </w:r>
            </w:hyperlink>
            <w:r>
              <w:rPr>
                <w:rFonts w:ascii="Times New Roman" w:hAnsi="Times New Roman"/>
                <w:sz w:val="20"/>
              </w:rPr>
              <w:t xml:space="preserve"> filed with the SEC on August  10, 2020, and as set forth by the description of the Registrant’s common stock set forth in </w:t>
            </w:r>
            <w:hyperlink r:id="rId45">
              <w:r>
                <w:rPr>
                  <w:rStyle w:val="InternetLink"/>
                  <w:rFonts w:ascii="Times New Roman" w:hAnsi="Times New Roman"/>
                  <w:sz w:val="20"/>
                </w:rPr>
                <w:t>Exhibit 4.4</w:t>
              </w:r>
            </w:hyperlink>
            <w:r>
              <w:rPr>
                <w:rFonts w:ascii="Times New Roman" w:hAnsi="Times New Roman"/>
                <w:sz w:val="20"/>
              </w:rPr>
              <w:t xml:space="preserve"> to the Registrant’s Annual Report on </w:t>
            </w:r>
            <w:hyperlink r:id="rId46">
              <w:r>
                <w:rPr>
                  <w:rStyle w:val="InternetLink"/>
                  <w:rFonts w:ascii="Times New Roman" w:hAnsi="Times New Roman"/>
                  <w:sz w:val="20"/>
                </w:rPr>
                <w:t>Form 10-K</w:t>
              </w:r>
            </w:hyperlink>
            <w:r>
              <w:rPr>
                <w:rFonts w:ascii="Times New Roman" w:hAnsi="Times New Roman"/>
                <w:sz w:val="20"/>
              </w:rPr>
              <w:t xml:space="preserve"> for the year ended December 31, 2021, filed with the SEC on March 10, 2022, and as further supplemented by the description of the Registrant’s common stock set forth in the Registrant’s Registration Statement on </w:t>
            </w:r>
            <w:hyperlink r:id="rId47">
              <w:r>
                <w:rPr>
                  <w:rStyle w:val="InternetLink"/>
                  <w:rFonts w:ascii="Times New Roman" w:hAnsi="Times New Roman"/>
                  <w:sz w:val="20"/>
                </w:rPr>
                <w:t>Form S-4/A</w:t>
              </w:r>
            </w:hyperlink>
            <w:r>
              <w:rPr>
                <w:rFonts w:ascii="Times New Roman" w:hAnsi="Times New Roman"/>
                <w:sz w:val="20"/>
              </w:rPr>
              <w:t xml:space="preserve">, filed with the SEC on December 1, 2022, including any amendments or reports filed for the purpose of updating such description.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documents may also be accessed on our website at </w:t>
      </w:r>
      <w:r>
        <w:rPr>
          <w:rFonts w:ascii="Times New Roman" w:hAnsi="Times New Roman"/>
          <w:i/>
          <w:sz w:val="20"/>
        </w:rPr>
        <w:t>www.discmedicine.com</w:t>
      </w:r>
      <w:r>
        <w:rPr>
          <w:rFonts w:ascii="Times New Roman" w:hAnsi="Times New Roman"/>
          <w:sz w:val="20"/>
        </w:rPr>
        <w:t xml:space="preserve">. Except as otherwise specifically incorporated by reference in this prospectus, information contained in, or accessible through, our website is not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by writing or telephoning us at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Disc Medicine, Inc. </w:t>
      </w:r>
    </w:p>
    <w:p>
      <w:pPr>
        <w:pStyle w:val="TextBody"/>
        <w:bidi w:val="0"/>
        <w:spacing w:before="0" w:after="0"/>
        <w:jc w:val="center"/>
        <w:rPr>
          <w:rFonts w:ascii="Times New Roman" w:hAnsi="Times New Roman"/>
          <w:sz w:val="20"/>
        </w:rPr>
      </w:pPr>
      <w:r>
        <w:rPr>
          <w:rFonts w:ascii="Times New Roman" w:hAnsi="Times New Roman"/>
          <w:sz w:val="20"/>
        </w:rPr>
        <w:t xml:space="preserve">321 Arsenal Street, Suite 101 </w:t>
      </w:r>
    </w:p>
    <w:p>
      <w:pPr>
        <w:pStyle w:val="TextBody"/>
        <w:bidi w:val="0"/>
        <w:spacing w:before="0" w:after="0"/>
        <w:jc w:val="center"/>
        <w:rPr>
          <w:rFonts w:ascii="Times New Roman" w:hAnsi="Times New Roman"/>
          <w:sz w:val="20"/>
        </w:rPr>
      </w:pPr>
      <w:r>
        <w:rPr>
          <w:rFonts w:ascii="Times New Roman" w:hAnsi="Times New Roman"/>
          <w:sz w:val="20"/>
        </w:rPr>
        <w:t xml:space="preserve">Watertown, MA 02472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(617) 674-9274</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832860" cy="60896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8"/>
                    <a:stretch>
                      <a:fillRect/>
                    </a:stretch>
                  </pic:blipFill>
                  <pic:spPr bwMode="auto">
                    <a:xfrm>
                      <a:off x="0" y="0"/>
                      <a:ext cx="3832860" cy="60896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2,916,668 Shares of Common Stock </w:t>
      </w:r>
    </w:p>
    <w:p>
      <w:pPr>
        <w:pStyle w:val="TextBody"/>
        <w:bidi w:val="0"/>
        <w:spacing w:before="480" w:after="0"/>
        <w:jc w:val="center"/>
        <w:rPr>
          <w:rFonts w:ascii="Times New Roman" w:hAnsi="Times New Roman"/>
          <w:b/>
          <w:sz w:val="28"/>
        </w:rPr>
      </w:pPr>
      <w:r>
        <w:rPr>
          <w:rFonts w:ascii="Times New Roman" w:hAnsi="Times New Roman"/>
          <w:b/>
          <w:sz w:val="28"/>
        </w:rPr>
        <w:t xml:space="preserve">Pre-Funded Warrants to Purchase 59,523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i/>
          <w:sz w:val="20"/>
        </w:rPr>
        <w:t>Joint Book-Running Managers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8"/>
        <w:gridCol w:w="101"/>
        <w:gridCol w:w="2552"/>
        <w:gridCol w:w="101"/>
        <w:gridCol w:w="2552"/>
        <w:gridCol w:w="101"/>
        <w:gridCol w:w="2450"/>
      </w:tblGrid>
      <w:tr>
        <w:trPr/>
        <w:tc>
          <w:tcPr>
            <w:tcW w:w="234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348" w:type="dxa"/>
            <w:tcBorders/>
          </w:tcPr>
          <w:p>
            <w:pPr>
              <w:pStyle w:val="TableContents"/>
              <w:bidi w:val="0"/>
              <w:spacing w:before="0" w:after="283"/>
              <w:jc w:val="left"/>
              <w:rPr>
                <w:b/>
              </w:rPr>
            </w:pPr>
            <w:r>
              <w:rPr>
                <w:b/>
              </w:rPr>
              <w:t>Jefferies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Leerink Partners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Morgan Stanley</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right"/>
              <w:rPr>
                <w:b/>
              </w:rPr>
            </w:pPr>
            <w:r>
              <w:rPr>
                <w:b/>
              </w:rPr>
              <w:t>Cantor</w:t>
            </w:r>
          </w:p>
        </w:tc>
      </w:tr>
    </w:tbl>
    <w:p>
      <w:pPr>
        <w:pStyle w:val="TextBody"/>
        <w:bidi w:val="0"/>
        <w:spacing w:before="240" w:after="0"/>
        <w:jc w:val="center"/>
        <w:rPr>
          <w:rFonts w:ascii="Times New Roman" w:hAnsi="Times New Roman"/>
          <w:sz w:val="20"/>
        </w:rPr>
      </w:pPr>
      <w:r>
        <w:rPr>
          <w:rFonts w:ascii="Times New Roman" w:hAnsi="Times New Roman"/>
          <w:i/>
          <w:sz w:val="20"/>
        </w:rPr>
        <w:t>Co-Managers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2"/>
        <w:gridCol w:w="101"/>
        <w:gridCol w:w="5002"/>
      </w:tblGrid>
      <w:tr>
        <w:trPr/>
        <w:tc>
          <w:tcPr>
            <w:tcW w:w="510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center"/>
              <w:rPr>
                <w:b/>
              </w:rPr>
            </w:pPr>
            <w:r>
              <w:rPr>
                <w:b/>
              </w:rPr>
              <w:t>Wedbush PacGrow</w:t>
            </w:r>
          </w:p>
        </w:tc>
        <w:tc>
          <w:tcPr>
            <w:tcW w:w="101"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283"/>
              <w:jc w:val="center"/>
              <w:rPr>
                <w:b/>
              </w:rPr>
            </w:pPr>
            <w:r>
              <w:rPr>
                <w:b/>
              </w:rPr>
              <w:t>H.C. Wainwright &amp; Co.</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October 20, 2025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49" w:name="d271637dexfilingfees.htm"/>
      <w:bookmarkStart w:id="50" w:name="ksd271637dexfilingfees"/>
      <w:bookmarkStart w:id="51" w:name="d271637dexfilingfees.htm"/>
      <w:bookmarkStart w:id="52" w:name="ksd271637dexfilingfees"/>
      <w:bookmarkEnd w:id="51"/>
      <w:bookmarkEnd w:id="52"/>
      <w:r>
        <w:br w:type="page"/>
      </w:r>
    </w:p>
    <w:tbl>
      <w:tblPr>
        <w:tblW w:w="3567" w:type="dxa"/>
        <w:jc w:val="left"/>
        <w:tblInd w:w="0" w:type="dxa"/>
        <w:tblLayout w:type="fixed"/>
        <w:tblCellMar>
          <w:top w:w="28" w:type="dxa"/>
          <w:left w:w="28" w:type="dxa"/>
          <w:bottom w:w="28" w:type="dxa"/>
          <w:right w:w="28" w:type="dxa"/>
        </w:tblCellMar>
      </w:tblPr>
      <w:tblGrid>
        <w:gridCol w:w="3413"/>
        <w:gridCol w:w="154"/>
      </w:tblGrid>
      <w:tr>
        <w:trPr/>
        <w:tc>
          <w:tcPr>
            <w:tcW w:w="356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3"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3" w:type="dxa"/>
            <w:tcBorders/>
            <w:vAlign w:val="center"/>
          </w:tcPr>
          <w:p>
            <w:pPr>
              <w:pStyle w:val="TableContents"/>
              <w:bidi w:val="0"/>
              <w:spacing w:before="0" w:after="283"/>
              <w:jc w:val="left"/>
              <w:rPr>
                <w:b/>
              </w:rPr>
            </w:pPr>
            <w:r>
              <w:rPr>
                <w:b/>
              </w:rPr>
              <w:t xml:space="preserve">Disc Medicine,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2,678,572 </w:t>
            </w:r>
          </w:p>
        </w:tc>
        <w:tc>
          <w:tcPr>
            <w:tcW w:w="1156" w:type="dxa"/>
            <w:tcBorders/>
            <w:shd w:fill="E7E7E2" w:val="clear"/>
            <w:vAlign w:val="center"/>
          </w:tcPr>
          <w:p>
            <w:pPr>
              <w:pStyle w:val="TableContents"/>
              <w:bidi w:val="0"/>
              <w:spacing w:before="0" w:after="283"/>
              <w:jc w:val="right"/>
              <w:rPr/>
            </w:pPr>
            <w:r>
              <w:rPr/>
              <w:t xml:space="preserve">$ 84.00 </w:t>
            </w:r>
          </w:p>
        </w:tc>
        <w:tc>
          <w:tcPr>
            <w:tcW w:w="1786" w:type="dxa"/>
            <w:tcBorders/>
            <w:shd w:fill="E7E7E2" w:val="clear"/>
            <w:vAlign w:val="center"/>
          </w:tcPr>
          <w:p>
            <w:pPr>
              <w:pStyle w:val="TableContents"/>
              <w:bidi w:val="0"/>
              <w:spacing w:before="0" w:after="283"/>
              <w:jc w:val="right"/>
              <w:rPr/>
            </w:pPr>
            <w:r>
              <w:rPr/>
              <w:t xml:space="preserve">$ 225,000,048.00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$ 31,072.51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53" w:name="MaxAggtOfferingPrice"/>
            <w:bookmarkEnd w:id="53"/>
            <w:r>
              <w:rPr/>
              <w:t xml:space="preserve">$ 225,000,048.00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4" w:name="TotalFeeAmt"/>
            <w:bookmarkEnd w:id="54"/>
            <w:r>
              <w:rPr/>
              <w:t xml:space="preserve">$ 31,072.51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5" w:name="TotalPreviouslyPaidAmt"/>
            <w:bookmarkEnd w:id="5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6" w:name="TotalOffsetAmt"/>
            <w:bookmarkEnd w:id="5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7" w:name="NetFeeAmt"/>
            <w:bookmarkEnd w:id="57"/>
            <w:r>
              <w:rPr/>
              <w:t xml:space="preserve">$ 31,072.51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3"/>
        <w:gridCol w:w="8709"/>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(1) Calculated in accordance with Rule 457(r) under the Securities Act of 1933, as amended (the "Securities Act"). The fee payable in connection with the offering pursuant to this prospectus supplement has been paid in accordance with Rule 456(b) under the Securities Act, and represents deferred payment of the registration fees in connection with the registrant's Registration Statement on Form S-3ASR (File No. 333-281359). Amount does not include shares being sold by the selling stockholder which were previously registered on the registrant's Registration Statement on Form S-3 (File No. 333-269270), and pursuant to which registration fees were previously paid. (2) Includes 59,523 shares of common stock that are issuable upon the exercise of the pre-funded warrants.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16736/000095017025028390/iron-20241231.htm" TargetMode="External"/><Relationship Id="rId4" Type="http://schemas.openxmlformats.org/officeDocument/2006/relationships/hyperlink" Target="http://www.sec.gov/Archives/edgar/data/../../../ix?doc=/Archives/edgar/data/1816736/000095017025058142/iron-20250424.htm" TargetMode="External"/><Relationship Id="rId5" Type="http://schemas.openxmlformats.org/officeDocument/2006/relationships/hyperlink" Target="http://www.sec.gov/Archives/edgar/data/../../../ix?doc=/Archives/edgar/data/1816736/000095017025065069/iron-20250331.htm" TargetMode="External"/><Relationship Id="rId6" Type="http://schemas.openxmlformats.org/officeDocument/2006/relationships/hyperlink" Target="http://www.sec.gov/Archives/edgar/data/../../../ix?doc=/Archives/edgar/data/1816736/000181673625000007/iron-20250630.htm" TargetMode="External"/><Relationship Id="rId7" Type="http://schemas.openxmlformats.org/officeDocument/2006/relationships/hyperlink" Target="http://www.sec.gov/Archives/edgar/data/../../../ix?doc=/Archives/edgar/data/1816736/000095017025003859/iron-20250110.htm" TargetMode="External"/><Relationship Id="rId8" Type="http://schemas.openxmlformats.org/officeDocument/2006/relationships/hyperlink" Target="http://www.sec.gov/Archives/edgar/data/../../../ix?doc=/Archives/edgar/data/1816736/000119312525009095/d858127d8k.htm" TargetMode="External"/><Relationship Id="rId9" Type="http://schemas.openxmlformats.org/officeDocument/2006/relationships/hyperlink" Target="http://www.sec.gov/Archives/edgar/data/../../../ix?doc=/Archives/edgar/data/1816736/000119312525012211/d833002d8k.htm" TargetMode="External"/><Relationship Id="rId10" Type="http://schemas.openxmlformats.org/officeDocument/2006/relationships/hyperlink" Target="http://www.sec.gov/Archives/edgar/data/../../../ix?doc=/Archives/edgar/data/1816736/000095017025086352/iron-20250611.htm" TargetMode="External"/><Relationship Id="rId11" Type="http://schemas.openxmlformats.org/officeDocument/2006/relationships/hyperlink" Target="http://www.sec.gov/Archives/edgar/data/../../../ix?doc=/Archives/edgar/data/1816736/000095017025095466/iron-20250709.htm" TargetMode="External"/><Relationship Id="rId12" Type="http://schemas.openxmlformats.org/officeDocument/2006/relationships/hyperlink" Target="http://www.sec.gov/Archives/edgar/data/../../../ix?doc=/Archives/edgar/data/1816736/000119312525231911/iron-20251003.htm" TargetMode="External"/><Relationship Id="rId13" Type="http://schemas.openxmlformats.org/officeDocument/2006/relationships/hyperlink" Target="http://www.sec.gov/Archives/edgar/data/../../../ix?doc=/Archives/edgar/data/1816736/000119312525242026/iron-20251016.htm" TargetMode="External"/><Relationship Id="rId14" Type="http://schemas.openxmlformats.org/officeDocument/2006/relationships/hyperlink" Target="http://www.sec.gov/Archives/edgar/data/../../../ix?doc=/Archives/edgar/data/1816736/000119312525242959/d272031d8k.htm" TargetMode="External"/><Relationship Id="rId15" Type="http://schemas.openxmlformats.org/officeDocument/2006/relationships/hyperlink" Target="http://www.sec.gov/Archives/edgar/data/1816736/000121390020021145/ea125295-8a12b_fsdevelop.htm" TargetMode="External"/><Relationship Id="rId16" Type="http://schemas.openxmlformats.org/officeDocument/2006/relationships/hyperlink" Target="http://www.sec.gov/Archives/edgar/data/1816736/000095017022003288/gmtx-ex4_4.htm" TargetMode="External"/><Relationship Id="rId17" Type="http://schemas.openxmlformats.org/officeDocument/2006/relationships/hyperlink" Target="http://www.sec.gov/Archives/edgar/data/1816736/000114036122043943/ny20005172x8_s4a.htm" TargetMode="External"/><Relationship Id="rId18" Type="http://schemas.openxmlformats.org/officeDocument/2006/relationships/image" Target="media/image2.jpeg"/><Relationship Id="rId19" Type="http://schemas.openxmlformats.org/officeDocument/2006/relationships/hyperlink" Target="http://www.sec.gov/Archives/edgar/data/../../../ix?doc=/Archives/edgar/data/0001816736/000095017024034432/iron-20231231.htm" TargetMode="External"/><Relationship Id="rId20" Type="http://schemas.openxmlformats.org/officeDocument/2006/relationships/hyperlink" Target="http://www.sec.gov/Archives/edgar/data/../../../ix?doc=/Archives/edgar/data/1816736/000095017024056304/iron-20240331.htm" TargetMode="External"/><Relationship Id="rId21" Type="http://schemas.openxmlformats.org/officeDocument/2006/relationships/hyperlink" Target="http://www.sec.gov/Archives/edgar/data/../../../ix?doc=/Archives/edgar/data/1816736/000095017024093357/iron-20240630.htm" TargetMode="External"/><Relationship Id="rId22" Type="http://schemas.openxmlformats.org/officeDocument/2006/relationships/hyperlink" Target="http://www.sec.gov/Archives/edgar/data/../../../ix?doc=/Archives/edgar/data/0001816736/000119312524025951/d758257d8k.htm" TargetMode="External"/><Relationship Id="rId23" Type="http://schemas.openxmlformats.org/officeDocument/2006/relationships/hyperlink" Target="http://www.sec.gov/Archives/edgar/data/../../../ix?doc=/Archives/edgar/data/0001816736/000119312524084937/d815786d8k.htm" TargetMode="External"/><Relationship Id="rId24" Type="http://schemas.openxmlformats.org/officeDocument/2006/relationships/hyperlink" Target="http://www.sec.gov/Archives/edgar/data/../../../ix?doc=/Archives/edgar/data/0001816736/000119312524161170/d826950d8k.htm" TargetMode="External"/><Relationship Id="rId25" Type="http://schemas.openxmlformats.org/officeDocument/2006/relationships/hyperlink" Target="http://www.sec.gov/Archives/edgar/data/../../../ix?doc=/Archives/edgar/data/0001816736/000119312524161587/d828009d8k.htm" TargetMode="External"/><Relationship Id="rId26" Type="http://schemas.openxmlformats.org/officeDocument/2006/relationships/hyperlink" Target="http://www.sec.gov/Archives/edgar/data/../../../ix?doc=/Archives/edgar/data/0001816736/000119312524161603/d829753d8k.htm" TargetMode="External"/><Relationship Id="rId27" Type="http://schemas.openxmlformats.org/officeDocument/2006/relationships/hyperlink" Target="http://www.sec.gov/Archives/edgar/data/1816736/000121390020021145/ea125295-8a12b_fsdevelop.htm" TargetMode="External"/><Relationship Id="rId28" Type="http://schemas.openxmlformats.org/officeDocument/2006/relationships/hyperlink" Target="http://www.sec.gov/Archives/edgar/data/1816736/000095017022003288/gmtx-ex4_4.htm" TargetMode="External"/><Relationship Id="rId29" Type="http://schemas.openxmlformats.org/officeDocument/2006/relationships/hyperlink" Target="http://www.sec.gov/Archives/edgar/data/../../../ix?doc=/Archives/edgar/data/1816736/000095017022003288/gmtx-20211231.htm" TargetMode="External"/><Relationship Id="rId30" Type="http://schemas.openxmlformats.org/officeDocument/2006/relationships/hyperlink" Target="http://www.sec.gov/Archives/edgar/data/1816736/000114036122043943/ny20005172x8_s4a.htm" TargetMode="External"/><Relationship Id="rId31" Type="http://schemas.openxmlformats.org/officeDocument/2006/relationships/image" Target="media/image3.jpeg"/><Relationship Id="rId32" Type="http://schemas.openxmlformats.org/officeDocument/2006/relationships/hyperlink" Target="http://www.sec.gov/Archives/edgar/data/../../../ix?doc=/Archives/edgar/data/1816736/000095017022003288/gmtx-20211231.htm" TargetMode="External"/><Relationship Id="rId33" Type="http://schemas.openxmlformats.org/officeDocument/2006/relationships/hyperlink" Target="http://www.sec.gov/Archives/edgar/data/../../../ix?doc=/Archives/edgar/data/1816736/000095017022008015/gmtx-20220331.htm" TargetMode="External"/><Relationship Id="rId34" Type="http://schemas.openxmlformats.org/officeDocument/2006/relationships/hyperlink" Target="http://www.sec.gov/Archives/edgar/data/../../../ix?doc=/Archives/edgar/data/1816736/000095017022016671/gmtx-20220630.htm" TargetMode="External"/><Relationship Id="rId35" Type="http://schemas.openxmlformats.org/officeDocument/2006/relationships/hyperlink" Target="http://www.sec.gov/Archives/edgar/data/../../../ix?doc=/Archives/edgar/data/1816736/000095017022024195/gmtx-20220930.htm" TargetMode="External"/><Relationship Id="rId36" Type="http://schemas.openxmlformats.org/officeDocument/2006/relationships/hyperlink" Target="http://www.sec.gov/Archives/edgar/data/../../../ix?doc=/Archives/edgar/data/1816736/000119312522005115/d291571d8k.htm" TargetMode="External"/><Relationship Id="rId37" Type="http://schemas.openxmlformats.org/officeDocument/2006/relationships/hyperlink" Target="http://www.sec.gov/Archives/edgar/data/../../../ix?doc=/Archives/edgar/data/1816736/000119312522009374/d237658d8k.htm" TargetMode="External"/><Relationship Id="rId38" Type="http://schemas.openxmlformats.org/officeDocument/2006/relationships/hyperlink" Target="http://www.sec.gov/Archives/edgar/data/../../../ix?doc=/Archives/edgar/data/1816736/000119312522055899/d29362d8k.htm" TargetMode="External"/><Relationship Id="rId39" Type="http://schemas.openxmlformats.org/officeDocument/2006/relationships/hyperlink" Target="http://www.sec.gov/Archives/edgar/data/../../../ix?doc=/Archives/edgar/data/1816736/000119312522095633/d345871d8k.htm" TargetMode="External"/><Relationship Id="rId40" Type="http://schemas.openxmlformats.org/officeDocument/2006/relationships/hyperlink" Target="http://www.sec.gov/Archives/edgar/data/../../../ix?doc=/Archives/edgar/data/1816736/000119312522216814/d94880d8k.htm" TargetMode="External"/><Relationship Id="rId41" Type="http://schemas.openxmlformats.org/officeDocument/2006/relationships/hyperlink" Target="http://www.sec.gov/Archives/edgar/data/../../../ix?doc=/Archives/edgar/data/1816736/000119312522301064/d425106d8k.htm" TargetMode="External"/><Relationship Id="rId42" Type="http://schemas.openxmlformats.org/officeDocument/2006/relationships/hyperlink" Target="http://www.sec.gov/Archives/edgar/data/../../../ix?doc=/Archives/edgar/data/1816736/000114036122047153/brhc10045909_8k.htm" TargetMode="External"/><Relationship Id="rId43" Type="http://schemas.openxmlformats.org/officeDocument/2006/relationships/hyperlink" Target="http://www.sec.gov/Archives/edgar/data/../../../ix?doc=/Archives/edgar/data/1816736/000114036122047453/brhc10045896_8k.htm" TargetMode="External"/><Relationship Id="rId44" Type="http://schemas.openxmlformats.org/officeDocument/2006/relationships/hyperlink" Target="http://www.sec.gov/Archives/edgar/data/1816736/000121390020021145/ea125295-8a12b_fsdevelop.htm" TargetMode="External"/><Relationship Id="rId45" Type="http://schemas.openxmlformats.org/officeDocument/2006/relationships/hyperlink" Target="http://www.sec.gov/Archives/edgar/data/1816736/000095017022003288/gmtx-ex4_4.htm" TargetMode="External"/><Relationship Id="rId46" Type="http://schemas.openxmlformats.org/officeDocument/2006/relationships/hyperlink" Target="http://www.sec.gov/Archives/edgar/data/../../../ix?doc=/Archives/edgar/data/1816736/000095017022003288/gmtx-20211231.htm" TargetMode="External"/><Relationship Id="rId47" Type="http://schemas.openxmlformats.org/officeDocument/2006/relationships/hyperlink" Target="http://www.sec.gov/Archives/edgar/data/1816736/000114036122043943/ny20005172x8_s4a.htm" TargetMode="External"/><Relationship Id="rId48" Type="http://schemas.openxmlformats.org/officeDocument/2006/relationships/image" Target="media/image4.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111</Pages>
  <Words>54049</Words>
  <Characters>286049</Characters>
  <CharactersWithSpaces>341509</CharactersWithSpaces>
  <Paragraphs>4517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