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right"/>
        <w:rPr>
          <w:rFonts w:ascii="Times New Roman" w:hAnsi="Times New Roman"/>
          <w:b/>
          <w:sz w:val="20"/>
        </w:rPr>
      </w:pPr>
      <w:bookmarkStart w:id="0" w:name="d190758d424b5.htm"/>
      <w:bookmarkStart w:id="1" w:name="ksd190758d424b5"/>
      <w:bookmarkEnd w:id="0"/>
      <w:bookmarkEnd w:id="1"/>
      <w:r>
        <w:rPr>
          <w:rFonts w:ascii="Times New Roman" w:hAnsi="Times New Roman"/>
          <w:b/>
          <w:sz w:val="20"/>
        </w:rPr>
        <w:t xml:space="preserve">Filed Pursuant to Rule 424(b)(5) </w:t>
        <w:br/>
        <w:t xml:space="preserve">Registration No. 333-281359 </w:t>
      </w:r>
    </w:p>
    <w:p>
      <w:pPr>
        <w:pStyle w:val="TextBody"/>
        <w:bidi w:val="0"/>
        <w:spacing w:before="120" w:after="0"/>
        <w:jc w:val="left"/>
        <w:rPr>
          <w:rFonts w:ascii="Times New Roman" w:hAnsi="Times New Roman"/>
          <w:b/>
          <w:sz w:val="20"/>
        </w:rPr>
      </w:pPr>
      <w:r>
        <w:rPr>
          <w:rFonts w:ascii="Times New Roman" w:hAnsi="Times New Roman"/>
          <w:b/>
          <w:sz w:val="20"/>
        </w:rPr>
        <w:t xml:space="preserve">PROSPECTUS SUPPLEMENT </w:t>
      </w:r>
    </w:p>
    <w:p>
      <w:pPr>
        <w:pStyle w:val="TextBody"/>
        <w:bidi w:val="0"/>
        <w:spacing w:before="0" w:after="0"/>
        <w:jc w:val="left"/>
        <w:rPr>
          <w:rFonts w:ascii="Times New Roman" w:hAnsi="Times New Roman"/>
          <w:b/>
          <w:sz w:val="20"/>
        </w:rPr>
      </w:pPr>
      <w:r>
        <w:rPr>
          <w:rFonts w:ascii="Times New Roman" w:hAnsi="Times New Roman"/>
          <w:b/>
          <w:sz w:val="20"/>
        </w:rPr>
        <w:t xml:space="preserve">(To prospectus dated August 8, 2024) </w:t>
      </w:r>
    </w:p>
    <w:p>
      <w:pPr>
        <w:pStyle w:val="TextBody"/>
        <w:bidi w:val="0"/>
        <w:spacing w:before="0" w:after="0"/>
        <w:jc w:val="center"/>
        <w:rPr/>
      </w:pPr>
      <w:r>
        <w:rPr/>
        <w:drawing>
          <wp:inline distT="0" distB="0" distL="0" distR="0">
            <wp:extent cx="4796155" cy="73533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4796155" cy="735330"/>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28"/>
        </w:rPr>
      </w:pPr>
      <w:r>
        <w:rPr>
          <w:rFonts w:ascii="Times New Roman" w:hAnsi="Times New Roman"/>
          <w:b/>
          <w:sz w:val="28"/>
        </w:rPr>
        <w:t xml:space="preserve">6,000,000 Shares of Common Stock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We are offering 6,000,000 shares of our common stock. Our common stock is listed on the Nasdaq Global Market under the symbol “IRON.” On October 20, 2026, the closing sale price of our common stock on the Nasdaq Global Market was $79.48 per share.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pPr>
      <w:r>
        <w:rPr>
          <w:rFonts w:ascii="Times New Roman" w:hAnsi="Times New Roman"/>
          <w:b/>
          <w:sz w:val="24"/>
        </w:rPr>
        <w:t>Investing in our securities involves a high degree of risk. Please read “</w:t>
      </w:r>
      <w:hyperlink w:anchor="supptx190758_4">
        <w:r>
          <w:rPr>
            <w:rStyle w:val="InternetLink"/>
            <w:rFonts w:ascii="Times New Roman" w:hAnsi="Times New Roman"/>
            <w:b/>
            <w:sz w:val="24"/>
          </w:rPr>
          <w:t>Risk Factors</w:t>
        </w:r>
      </w:hyperlink>
      <w:r>
        <w:rPr>
          <w:rFonts w:ascii="Times New Roman" w:hAnsi="Times New Roman"/>
          <w:b/>
          <w:sz w:val="24"/>
        </w:rPr>
        <w:t xml:space="preserve">” beginning on page S-11 of this prospectus supplement, page 10 in the accompanying prospectus, and under similar headings in the documents that are incorporated by reference into this prospectus supplement concerning factors you should carefully consider before investing in our securities.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5620"/>
        <w:gridCol w:w="338"/>
        <w:gridCol w:w="140"/>
        <w:gridCol w:w="561"/>
        <w:gridCol w:w="60"/>
        <w:gridCol w:w="338"/>
        <w:gridCol w:w="140"/>
        <w:gridCol w:w="1312"/>
        <w:gridCol w:w="63"/>
      </w:tblGrid>
      <w:tr>
        <w:trPr/>
        <w:tc>
          <w:tcPr>
            <w:tcW w:w="5620" w:type="dxa"/>
            <w:tcBorders/>
            <w:vAlign w:val="center"/>
          </w:tcPr>
          <w:p>
            <w:pPr>
              <w:pStyle w:val="TableContents"/>
              <w:bidi w:val="0"/>
              <w:spacing w:before="0" w:after="283"/>
              <w:jc w:val="left"/>
              <w:rPr>
                <w:sz w:val="4"/>
                <w:szCs w:val="4"/>
              </w:rPr>
            </w:pPr>
            <w:r>
              <w:rPr>
                <w:sz w:val="4"/>
                <w:szCs w:val="4"/>
              </w:rPr>
            </w:r>
          </w:p>
        </w:tc>
        <w:tc>
          <w:tcPr>
            <w:tcW w:w="33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312"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5620" w:type="dxa"/>
            <w:tcBorders/>
            <w:vAlign w:val="bottom"/>
          </w:tcPr>
          <w:p>
            <w:pPr>
              <w:pStyle w:val="TableContents"/>
              <w:bidi w:val="0"/>
              <w:spacing w:before="0" w:after="283"/>
              <w:jc w:val="left"/>
              <w:rPr/>
            </w:pPr>
            <w:r>
              <w:rPr/>
              <w:t> </w:t>
            </w:r>
          </w:p>
        </w:tc>
        <w:tc>
          <w:tcPr>
            <w:tcW w:w="338" w:type="dxa"/>
            <w:tcBorders/>
            <w:vAlign w:val="bottom"/>
          </w:tcPr>
          <w:p>
            <w:pPr>
              <w:pStyle w:val="TableContents"/>
              <w:bidi w:val="0"/>
              <w:spacing w:before="0" w:after="283"/>
              <w:jc w:val="left"/>
              <w:rPr/>
            </w:pPr>
            <w:r>
              <w:rPr/>
              <w:t>  </w:t>
            </w:r>
          </w:p>
        </w:tc>
        <w:tc>
          <w:tcPr>
            <w:tcW w:w="70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w:t>
              <w:br/>
              <w:t>Share</w:t>
            </w:r>
          </w:p>
        </w:tc>
        <w:tc>
          <w:tcPr>
            <w:tcW w:w="60" w:type="dxa"/>
            <w:tcBorders/>
            <w:vAlign w:val="bottom"/>
          </w:tcPr>
          <w:p>
            <w:pPr>
              <w:pStyle w:val="TableContents"/>
              <w:bidi w:val="0"/>
              <w:spacing w:before="0" w:after="283"/>
              <w:jc w:val="left"/>
              <w:rPr/>
            </w:pPr>
            <w:r>
              <w:rPr/>
              <w:t> </w:t>
            </w:r>
          </w:p>
        </w:tc>
        <w:tc>
          <w:tcPr>
            <w:tcW w:w="338" w:type="dxa"/>
            <w:tcBorders/>
            <w:vAlign w:val="bottom"/>
          </w:tcPr>
          <w:p>
            <w:pPr>
              <w:pStyle w:val="TableContents"/>
              <w:bidi w:val="0"/>
              <w:spacing w:before="0" w:after="283"/>
              <w:jc w:val="left"/>
              <w:rPr/>
            </w:pPr>
            <w:r>
              <w:rPr/>
              <w:t>  </w:t>
            </w:r>
          </w:p>
        </w:tc>
        <w:tc>
          <w:tcPr>
            <w:tcW w:w="145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w:t>
            </w:r>
          </w:p>
        </w:tc>
        <w:tc>
          <w:tcPr>
            <w:tcW w:w="63" w:type="dxa"/>
            <w:tcBorders/>
            <w:vAlign w:val="bottom"/>
          </w:tcPr>
          <w:p>
            <w:pPr>
              <w:pStyle w:val="TableContents"/>
              <w:bidi w:val="0"/>
              <w:spacing w:before="0" w:after="283"/>
              <w:jc w:val="left"/>
              <w:rPr/>
            </w:pPr>
            <w:r>
              <w:rPr/>
              <w:t> </w:t>
            </w:r>
          </w:p>
        </w:tc>
      </w:tr>
      <w:tr>
        <w:trPr/>
        <w:tc>
          <w:tcPr>
            <w:tcW w:w="562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Public offering price</w:t>
            </w:r>
          </w:p>
        </w:tc>
        <w:tc>
          <w:tcPr>
            <w:tcW w:w="33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1" w:type="dxa"/>
            <w:tcBorders/>
            <w:shd w:fill="CCEEFF" w:val="clear"/>
            <w:vAlign w:val="bottom"/>
          </w:tcPr>
          <w:p>
            <w:pPr>
              <w:pStyle w:val="TableContents"/>
              <w:bidi w:val="0"/>
              <w:spacing w:before="0" w:after="283"/>
              <w:jc w:val="right"/>
              <w:rPr/>
            </w:pPr>
            <w:r>
              <w:rPr/>
              <w:t>75.00</w:t>
            </w:r>
          </w:p>
        </w:tc>
        <w:tc>
          <w:tcPr>
            <w:tcW w:w="60" w:type="dxa"/>
            <w:tcBorders/>
            <w:shd w:fill="CCEEFF" w:val="clear"/>
            <w:vAlign w:val="bottom"/>
          </w:tcPr>
          <w:p>
            <w:pPr>
              <w:pStyle w:val="TableContents"/>
              <w:bidi w:val="0"/>
              <w:spacing w:before="0" w:after="283"/>
              <w:jc w:val="left"/>
              <w:rPr/>
            </w:pPr>
            <w:r>
              <w:rPr/>
              <w:t> </w:t>
            </w:r>
          </w:p>
        </w:tc>
        <w:tc>
          <w:tcPr>
            <w:tcW w:w="33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312" w:type="dxa"/>
            <w:tcBorders/>
            <w:shd w:fill="CCEEFF" w:val="clear"/>
            <w:vAlign w:val="bottom"/>
          </w:tcPr>
          <w:p>
            <w:pPr>
              <w:pStyle w:val="TableContents"/>
              <w:bidi w:val="0"/>
              <w:spacing w:before="0" w:after="283"/>
              <w:jc w:val="right"/>
              <w:rPr/>
            </w:pPr>
            <w:r>
              <w:rPr/>
              <w:t>450,000,000</w:t>
            </w:r>
          </w:p>
        </w:tc>
        <w:tc>
          <w:tcPr>
            <w:tcW w:w="63" w:type="dxa"/>
            <w:tcBorders/>
            <w:shd w:fill="CCEEFF" w:val="clear"/>
            <w:vAlign w:val="bottom"/>
          </w:tcPr>
          <w:p>
            <w:pPr>
              <w:pStyle w:val="TableContents"/>
              <w:bidi w:val="0"/>
              <w:spacing w:before="0" w:after="283"/>
              <w:jc w:val="left"/>
              <w:rPr/>
            </w:pPr>
            <w:r>
              <w:rPr/>
              <w:t> </w:t>
            </w:r>
          </w:p>
        </w:tc>
      </w:tr>
      <w:tr>
        <w:trPr/>
        <w:tc>
          <w:tcPr>
            <w:tcW w:w="5620" w:type="dxa"/>
            <w:tcBorders/>
          </w:tcPr>
          <w:p>
            <w:pPr>
              <w:pStyle w:val="TableContents"/>
              <w:bidi w:val="0"/>
              <w:spacing w:before="0" w:after="0"/>
              <w:jc w:val="left"/>
              <w:rPr>
                <w:rFonts w:ascii="Times New Roman" w:hAnsi="Times New Roman"/>
                <w:sz w:val="20"/>
              </w:rPr>
            </w:pPr>
            <w:r>
              <w:rPr>
                <w:rFonts w:ascii="Times New Roman" w:hAnsi="Times New Roman"/>
                <w:sz w:val="20"/>
              </w:rPr>
              <w:t>Underwriting discounts and commissions (1)</w:t>
            </w:r>
          </w:p>
        </w:tc>
        <w:tc>
          <w:tcPr>
            <w:tcW w:w="33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1" w:type="dxa"/>
            <w:tcBorders/>
            <w:vAlign w:val="bottom"/>
          </w:tcPr>
          <w:p>
            <w:pPr>
              <w:pStyle w:val="TableContents"/>
              <w:bidi w:val="0"/>
              <w:spacing w:before="0" w:after="283"/>
              <w:jc w:val="right"/>
              <w:rPr/>
            </w:pPr>
            <w:r>
              <w:rPr/>
              <w:t>4.50</w:t>
            </w:r>
          </w:p>
        </w:tc>
        <w:tc>
          <w:tcPr>
            <w:tcW w:w="60" w:type="dxa"/>
            <w:tcBorders/>
            <w:vAlign w:val="bottom"/>
          </w:tcPr>
          <w:p>
            <w:pPr>
              <w:pStyle w:val="TableContents"/>
              <w:bidi w:val="0"/>
              <w:spacing w:before="0" w:after="283"/>
              <w:jc w:val="left"/>
              <w:rPr/>
            </w:pPr>
            <w:r>
              <w:rPr/>
              <w:t> </w:t>
            </w:r>
          </w:p>
        </w:tc>
        <w:tc>
          <w:tcPr>
            <w:tcW w:w="33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312" w:type="dxa"/>
            <w:tcBorders/>
            <w:vAlign w:val="bottom"/>
          </w:tcPr>
          <w:p>
            <w:pPr>
              <w:pStyle w:val="TableContents"/>
              <w:bidi w:val="0"/>
              <w:spacing w:before="0" w:after="283"/>
              <w:jc w:val="right"/>
              <w:rPr/>
            </w:pPr>
            <w:r>
              <w:rPr/>
              <w:t>27,000,000</w:t>
            </w:r>
          </w:p>
        </w:tc>
        <w:tc>
          <w:tcPr>
            <w:tcW w:w="63" w:type="dxa"/>
            <w:tcBorders/>
            <w:vAlign w:val="bottom"/>
          </w:tcPr>
          <w:p>
            <w:pPr>
              <w:pStyle w:val="TableContents"/>
              <w:bidi w:val="0"/>
              <w:spacing w:before="0" w:after="283"/>
              <w:jc w:val="left"/>
              <w:rPr/>
            </w:pPr>
            <w:r>
              <w:rPr/>
              <w:t> </w:t>
            </w:r>
          </w:p>
        </w:tc>
      </w:tr>
      <w:tr>
        <w:trPr/>
        <w:tc>
          <w:tcPr>
            <w:tcW w:w="562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Proceeds, before expenses, to us</w:t>
            </w:r>
          </w:p>
        </w:tc>
        <w:tc>
          <w:tcPr>
            <w:tcW w:w="33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1" w:type="dxa"/>
            <w:tcBorders/>
            <w:shd w:fill="CCEEFF" w:val="clear"/>
            <w:vAlign w:val="bottom"/>
          </w:tcPr>
          <w:p>
            <w:pPr>
              <w:pStyle w:val="TableContents"/>
              <w:bidi w:val="0"/>
              <w:spacing w:before="0" w:after="283"/>
              <w:jc w:val="right"/>
              <w:rPr/>
            </w:pPr>
            <w:r>
              <w:rPr/>
              <w:t>70.50</w:t>
            </w:r>
          </w:p>
        </w:tc>
        <w:tc>
          <w:tcPr>
            <w:tcW w:w="60" w:type="dxa"/>
            <w:tcBorders/>
            <w:shd w:fill="CCEEFF" w:val="clear"/>
            <w:vAlign w:val="bottom"/>
          </w:tcPr>
          <w:p>
            <w:pPr>
              <w:pStyle w:val="TableContents"/>
              <w:bidi w:val="0"/>
              <w:spacing w:before="0" w:after="283"/>
              <w:jc w:val="left"/>
              <w:rPr/>
            </w:pPr>
            <w:r>
              <w:rPr/>
              <w:t> </w:t>
            </w:r>
          </w:p>
        </w:tc>
        <w:tc>
          <w:tcPr>
            <w:tcW w:w="33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312" w:type="dxa"/>
            <w:tcBorders/>
            <w:shd w:fill="CCEEFF" w:val="clear"/>
            <w:vAlign w:val="bottom"/>
          </w:tcPr>
          <w:p>
            <w:pPr>
              <w:pStyle w:val="TableContents"/>
              <w:bidi w:val="0"/>
              <w:spacing w:before="0" w:after="283"/>
              <w:jc w:val="right"/>
              <w:rPr/>
            </w:pPr>
            <w:r>
              <w:rPr/>
              <w:t>423,000,000</w:t>
            </w:r>
          </w:p>
        </w:tc>
        <w:tc>
          <w:tcPr>
            <w:tcW w:w="63" w:type="dxa"/>
            <w:tcBorders/>
            <w:shd w:fill="CCEEFF" w:val="clear"/>
            <w:vAlign w:val="bottom"/>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See the section titled “Underwriting” beginning on page S-24 for a description of the compensation payable to the underwriters.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have granted the underwriters an option for a period of 30 days to purchase up to an additional 900,000 shares of our common stock at the public offering price, less the underwriting discounts and commissions. </w:t>
      </w:r>
    </w:p>
    <w:p>
      <w:pPr>
        <w:pStyle w:val="TextBody"/>
        <w:bidi w:val="0"/>
        <w:spacing w:before="240" w:after="0"/>
        <w:jc w:val="left"/>
        <w:rPr>
          <w:rFonts w:ascii="Times New Roman" w:hAnsi="Times New Roman"/>
          <w:b/>
          <w:i/>
          <w:sz w:val="20"/>
        </w:rPr>
      </w:pPr>
      <w:r>
        <w:rPr>
          <w:rFonts w:ascii="Times New Roman" w:hAnsi="Times New Roman"/>
          <w:b/>
          <w:i/>
          <w:sz w:val="20"/>
        </w:rPr>
        <w:t>Neither the Securities and Exchange Commission nor any state securities commission has approved or disapproved of these securities, or passed upon the adequacy or accuracy of this prospectus supplement or the accompanying prospectus. Any representation to the contrary is a criminal offense.</w:t>
      </w:r>
    </w:p>
    <w:p>
      <w:pPr>
        <w:pStyle w:val="TextBody"/>
        <w:bidi w:val="0"/>
        <w:spacing w:before="240" w:after="0"/>
        <w:jc w:val="left"/>
        <w:rPr>
          <w:rFonts w:ascii="Times New Roman" w:hAnsi="Times New Roman"/>
          <w:sz w:val="20"/>
        </w:rPr>
      </w:pPr>
      <w:r>
        <w:rPr>
          <w:rFonts w:ascii="Times New Roman" w:hAnsi="Times New Roman"/>
          <w:sz w:val="20"/>
        </w:rPr>
        <w:t xml:space="preserve">The underwriters expect to deliver the shares of common stock against payment therefor on or about October 22, 2026.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sz w:val="20"/>
        </w:rPr>
      </w:pPr>
      <w:r>
        <w:rPr>
          <w:rFonts w:ascii="Times New Roman" w:hAnsi="Times New Roman"/>
          <w:i/>
          <w:sz w:val="20"/>
        </w:rPr>
        <w:t>Joint Book-Running Managers</w:t>
      </w:r>
      <w:r>
        <w:rPr>
          <w:rFonts w:ascii="Times New Roman" w:hAnsi="Times New Roman"/>
          <w:sz w:val="20"/>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348"/>
        <w:gridCol w:w="101"/>
        <w:gridCol w:w="2552"/>
        <w:gridCol w:w="101"/>
        <w:gridCol w:w="2552"/>
        <w:gridCol w:w="101"/>
        <w:gridCol w:w="2450"/>
      </w:tblGrid>
      <w:tr>
        <w:trPr/>
        <w:tc>
          <w:tcPr>
            <w:tcW w:w="2348"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2552"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2552"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2450" w:type="dxa"/>
            <w:tcBorders/>
            <w:vAlign w:val="center"/>
          </w:tcPr>
          <w:p>
            <w:pPr>
              <w:pStyle w:val="TableContents"/>
              <w:bidi w:val="0"/>
              <w:spacing w:before="0" w:after="283"/>
              <w:jc w:val="left"/>
              <w:rPr>
                <w:sz w:val="4"/>
                <w:szCs w:val="4"/>
              </w:rPr>
            </w:pPr>
            <w:r>
              <w:rPr>
                <w:sz w:val="4"/>
                <w:szCs w:val="4"/>
              </w:rPr>
            </w:r>
          </w:p>
        </w:tc>
      </w:tr>
      <w:tr>
        <w:trPr/>
        <w:tc>
          <w:tcPr>
            <w:tcW w:w="2348" w:type="dxa"/>
            <w:tcBorders/>
          </w:tcPr>
          <w:p>
            <w:pPr>
              <w:pStyle w:val="TableContents"/>
              <w:bidi w:val="0"/>
              <w:spacing w:before="0" w:after="283"/>
              <w:jc w:val="left"/>
              <w:rPr>
                <w:b/>
              </w:rPr>
            </w:pPr>
            <w:r>
              <w:rPr>
                <w:b/>
              </w:rPr>
              <w:t>Jefferies</w:t>
            </w:r>
          </w:p>
        </w:tc>
        <w:tc>
          <w:tcPr>
            <w:tcW w:w="101" w:type="dxa"/>
            <w:tcBorders/>
            <w:vAlign w:val="bottom"/>
          </w:tcPr>
          <w:p>
            <w:pPr>
              <w:pStyle w:val="TableContents"/>
              <w:bidi w:val="0"/>
              <w:spacing w:before="0" w:after="283"/>
              <w:jc w:val="left"/>
              <w:rPr/>
            </w:pPr>
            <w:r>
              <w:rPr/>
              <w:t> </w:t>
            </w:r>
          </w:p>
        </w:tc>
        <w:tc>
          <w:tcPr>
            <w:tcW w:w="2552" w:type="dxa"/>
            <w:tcBorders/>
          </w:tcPr>
          <w:p>
            <w:pPr>
              <w:pStyle w:val="TableContents"/>
              <w:bidi w:val="0"/>
              <w:spacing w:before="0" w:after="283"/>
              <w:jc w:val="center"/>
              <w:rPr>
                <w:b/>
              </w:rPr>
            </w:pPr>
            <w:r>
              <w:rPr>
                <w:b/>
              </w:rPr>
              <w:t>Leerink Partners</w:t>
            </w:r>
          </w:p>
        </w:tc>
        <w:tc>
          <w:tcPr>
            <w:tcW w:w="101" w:type="dxa"/>
            <w:tcBorders/>
            <w:vAlign w:val="bottom"/>
          </w:tcPr>
          <w:p>
            <w:pPr>
              <w:pStyle w:val="TableContents"/>
              <w:bidi w:val="0"/>
              <w:spacing w:before="0" w:after="283"/>
              <w:jc w:val="left"/>
              <w:rPr/>
            </w:pPr>
            <w:r>
              <w:rPr/>
              <w:t> </w:t>
            </w:r>
          </w:p>
        </w:tc>
        <w:tc>
          <w:tcPr>
            <w:tcW w:w="2552" w:type="dxa"/>
            <w:tcBorders/>
          </w:tcPr>
          <w:p>
            <w:pPr>
              <w:pStyle w:val="TableContents"/>
              <w:bidi w:val="0"/>
              <w:spacing w:before="0" w:after="283"/>
              <w:jc w:val="center"/>
              <w:rPr>
                <w:b/>
              </w:rPr>
            </w:pPr>
            <w:r>
              <w:rPr>
                <w:b/>
              </w:rPr>
              <w:t>Morgan Stanley</w:t>
            </w:r>
          </w:p>
        </w:tc>
        <w:tc>
          <w:tcPr>
            <w:tcW w:w="101" w:type="dxa"/>
            <w:tcBorders/>
            <w:vAlign w:val="bottom"/>
          </w:tcPr>
          <w:p>
            <w:pPr>
              <w:pStyle w:val="TableContents"/>
              <w:bidi w:val="0"/>
              <w:spacing w:before="0" w:after="283"/>
              <w:jc w:val="left"/>
              <w:rPr/>
            </w:pPr>
            <w:r>
              <w:rPr/>
              <w:t> </w:t>
            </w:r>
          </w:p>
        </w:tc>
        <w:tc>
          <w:tcPr>
            <w:tcW w:w="2450" w:type="dxa"/>
            <w:tcBorders/>
          </w:tcPr>
          <w:p>
            <w:pPr>
              <w:pStyle w:val="TableContents"/>
              <w:bidi w:val="0"/>
              <w:spacing w:before="0" w:after="283"/>
              <w:jc w:val="right"/>
              <w:rPr>
                <w:b/>
              </w:rPr>
            </w:pPr>
            <w:r>
              <w:rPr>
                <w:b/>
              </w:rPr>
              <w:t>Cantor</w:t>
            </w:r>
          </w:p>
        </w:tc>
      </w:tr>
    </w:tbl>
    <w:p>
      <w:pPr>
        <w:pStyle w:val="TextBody"/>
        <w:bidi w:val="0"/>
        <w:spacing w:before="240" w:after="0"/>
        <w:jc w:val="center"/>
        <w:rPr>
          <w:rFonts w:ascii="Times New Roman" w:hAnsi="Times New Roman"/>
          <w:i/>
          <w:sz w:val="20"/>
        </w:rPr>
      </w:pPr>
      <w:r>
        <w:rPr>
          <w:rFonts w:ascii="Times New Roman" w:hAnsi="Times New Roman"/>
          <w:i/>
          <w:sz w:val="20"/>
        </w:rPr>
        <w:t xml:space="preserve">Co Managers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551"/>
        <w:gridCol w:w="102"/>
        <w:gridCol w:w="4184"/>
        <w:gridCol w:w="102"/>
        <w:gridCol w:w="3266"/>
      </w:tblGrid>
      <w:tr>
        <w:trPr/>
        <w:tc>
          <w:tcPr>
            <w:tcW w:w="2551"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4184"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3266" w:type="dxa"/>
            <w:tcBorders/>
            <w:vAlign w:val="center"/>
          </w:tcPr>
          <w:p>
            <w:pPr>
              <w:pStyle w:val="TableContents"/>
              <w:bidi w:val="0"/>
              <w:spacing w:before="0" w:after="283"/>
              <w:jc w:val="left"/>
              <w:rPr>
                <w:sz w:val="4"/>
                <w:szCs w:val="4"/>
              </w:rPr>
            </w:pPr>
            <w:r>
              <w:rPr>
                <w:sz w:val="4"/>
                <w:szCs w:val="4"/>
              </w:rPr>
            </w:r>
          </w:p>
        </w:tc>
      </w:tr>
      <w:tr>
        <w:trPr/>
        <w:tc>
          <w:tcPr>
            <w:tcW w:w="2551" w:type="dxa"/>
            <w:tcBorders/>
          </w:tcPr>
          <w:p>
            <w:pPr>
              <w:pStyle w:val="TableContents"/>
              <w:bidi w:val="0"/>
              <w:spacing w:before="0" w:after="283"/>
              <w:jc w:val="left"/>
              <w:rPr>
                <w:b/>
              </w:rPr>
            </w:pPr>
            <w:r>
              <w:rPr>
                <w:b/>
              </w:rPr>
              <w:t>LifeSci Capital</w:t>
            </w:r>
          </w:p>
        </w:tc>
        <w:tc>
          <w:tcPr>
            <w:tcW w:w="102" w:type="dxa"/>
            <w:tcBorders/>
            <w:vAlign w:val="bottom"/>
          </w:tcPr>
          <w:p>
            <w:pPr>
              <w:pStyle w:val="TableContents"/>
              <w:bidi w:val="0"/>
              <w:spacing w:before="0" w:after="283"/>
              <w:jc w:val="left"/>
              <w:rPr/>
            </w:pPr>
            <w:r>
              <w:rPr/>
              <w:t> </w:t>
            </w:r>
          </w:p>
        </w:tc>
        <w:tc>
          <w:tcPr>
            <w:tcW w:w="4184" w:type="dxa"/>
            <w:tcBorders/>
          </w:tcPr>
          <w:p>
            <w:pPr>
              <w:pStyle w:val="TableContents"/>
              <w:bidi w:val="0"/>
              <w:spacing w:before="0" w:after="283"/>
              <w:jc w:val="center"/>
              <w:rPr>
                <w:b/>
              </w:rPr>
            </w:pPr>
            <w:r>
              <w:rPr>
                <w:b/>
              </w:rPr>
              <w:t>BMO Capital Markets</w:t>
            </w:r>
          </w:p>
        </w:tc>
        <w:tc>
          <w:tcPr>
            <w:tcW w:w="102" w:type="dxa"/>
            <w:tcBorders/>
            <w:vAlign w:val="bottom"/>
          </w:tcPr>
          <w:p>
            <w:pPr>
              <w:pStyle w:val="TableContents"/>
              <w:bidi w:val="0"/>
              <w:spacing w:before="0" w:after="283"/>
              <w:jc w:val="left"/>
              <w:rPr/>
            </w:pPr>
            <w:r>
              <w:rPr/>
              <w:t> </w:t>
            </w:r>
          </w:p>
        </w:tc>
        <w:tc>
          <w:tcPr>
            <w:tcW w:w="3266" w:type="dxa"/>
            <w:tcBorders/>
            <w:vAlign w:val="bottom"/>
          </w:tcPr>
          <w:p>
            <w:pPr>
              <w:pStyle w:val="TableContents"/>
              <w:bidi w:val="0"/>
              <w:spacing w:before="0" w:after="283"/>
              <w:jc w:val="right"/>
              <w:rPr>
                <w:b/>
              </w:rPr>
            </w:pPr>
            <w:r>
              <w:rPr>
                <w:b/>
              </w:rPr>
              <w:t>H.C. Wainwright &amp; Co.</w:t>
            </w:r>
          </w:p>
        </w:tc>
      </w:tr>
    </w:tbl>
    <w:p>
      <w:pPr>
        <w:pStyle w:val="TextBody"/>
        <w:bidi w:val="0"/>
        <w:spacing w:before="480" w:after="0"/>
        <w:jc w:val="center"/>
        <w:rPr>
          <w:rFonts w:ascii="Times New Roman" w:hAnsi="Times New Roman"/>
          <w:b/>
          <w:sz w:val="20"/>
        </w:rPr>
      </w:pPr>
      <w:r>
        <w:rPr>
          <w:rFonts w:ascii="Times New Roman" w:hAnsi="Times New Roman"/>
          <w:b/>
          <w:sz w:val="20"/>
        </w:rPr>
        <w:t xml:space="preserve">October 20, 2026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2" w:name="toc"/>
      <w:bookmarkEnd w:id="2"/>
      <w:r>
        <w:rPr>
          <w:rFonts w:ascii="Times New Roman" w:hAnsi="Times New Roman"/>
          <w:b/>
          <w:sz w:val="20"/>
        </w:rPr>
        <w:t xml:space="preserve">TABLE OF CONTENTS </w:t>
      </w:r>
    </w:p>
    <w:p>
      <w:pPr>
        <w:pStyle w:val="TextBody"/>
        <w:bidi w:val="0"/>
        <w:spacing w:before="120" w:after="0"/>
        <w:jc w:val="center"/>
        <w:rPr>
          <w:rFonts w:ascii="Times New Roman" w:hAnsi="Times New Roman"/>
          <w:b/>
          <w:sz w:val="20"/>
        </w:rPr>
      </w:pPr>
      <w:r>
        <w:rPr>
          <w:rFonts w:ascii="Times New Roman" w:hAnsi="Times New Roman"/>
          <w:b/>
          <w:sz w:val="20"/>
        </w:rPr>
        <w:t xml:space="preserve">PROSPECTUS SUPPLEMENT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453"/>
        <w:gridCol w:w="145"/>
        <w:gridCol w:w="60"/>
        <w:gridCol w:w="485"/>
        <w:gridCol w:w="62"/>
      </w:tblGrid>
      <w:tr>
        <w:trPr/>
        <w:tc>
          <w:tcPr>
            <w:tcW w:w="9453" w:type="dxa"/>
            <w:tcBorders/>
            <w:vAlign w:val="center"/>
          </w:tcPr>
          <w:p>
            <w:pPr>
              <w:pStyle w:val="TableContents"/>
              <w:bidi w:val="0"/>
              <w:spacing w:before="0" w:after="283"/>
              <w:jc w:val="left"/>
              <w:rPr>
                <w:sz w:val="4"/>
                <w:szCs w:val="4"/>
              </w:rPr>
            </w:pPr>
            <w:r>
              <w:rPr>
                <w:sz w:val="4"/>
                <w:szCs w:val="4"/>
              </w:rPr>
            </w:r>
          </w:p>
        </w:tc>
        <w:tc>
          <w:tcPr>
            <w:tcW w:w="145"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453"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54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Page</w:t>
            </w:r>
          </w:p>
        </w:tc>
        <w:tc>
          <w:tcPr>
            <w:tcW w:w="62" w:type="dxa"/>
            <w:tcBorders/>
            <w:vAlign w:val="bottom"/>
          </w:tcPr>
          <w:p>
            <w:pPr>
              <w:pStyle w:val="TableContents"/>
              <w:bidi w:val="0"/>
              <w:spacing w:before="0" w:after="283"/>
              <w:jc w:val="left"/>
              <w:rPr/>
            </w:pPr>
            <w:r>
              <w:rPr/>
              <w:t> </w:t>
            </w:r>
          </w:p>
        </w:tc>
      </w:tr>
      <w:tr>
        <w:trPr/>
        <w:tc>
          <w:tcPr>
            <w:tcW w:w="9453" w:type="dxa"/>
            <w:tcBorders/>
            <w:vAlign w:val="bottom"/>
          </w:tcPr>
          <w:p>
            <w:pPr>
              <w:pStyle w:val="TableContents"/>
              <w:bidi w:val="0"/>
              <w:spacing w:before="0" w:after="0"/>
              <w:jc w:val="left"/>
              <w:rPr/>
            </w:pPr>
            <w:hyperlink w:anchor="supptx190758_1">
              <w:r>
                <w:rPr>
                  <w:rStyle w:val="InternetLink"/>
                  <w:rFonts w:ascii="Times New Roman" w:hAnsi="Times New Roman"/>
                  <w:sz w:val="20"/>
                </w:rPr>
                <w:t>About this Prospectus Supplement</w:t>
              </w:r>
            </w:hyperlink>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283"/>
              <w:jc w:val="right"/>
              <w:rPr/>
            </w:pPr>
            <w:r>
              <w:rPr/>
              <w:t>S-1</w:t>
            </w:r>
          </w:p>
        </w:tc>
        <w:tc>
          <w:tcPr>
            <w:tcW w:w="62" w:type="dxa"/>
            <w:tcBorders/>
            <w:vAlign w:val="bottom"/>
          </w:tcPr>
          <w:p>
            <w:pPr>
              <w:pStyle w:val="TableContents"/>
              <w:bidi w:val="0"/>
              <w:spacing w:before="0" w:after="283"/>
              <w:jc w:val="left"/>
              <w:rPr/>
            </w:pPr>
            <w:r>
              <w:rPr/>
              <w:t> </w:t>
            </w:r>
          </w:p>
        </w:tc>
      </w:tr>
      <w:tr>
        <w:trPr/>
        <w:tc>
          <w:tcPr>
            <w:tcW w:w="9453" w:type="dxa"/>
            <w:tcBorders/>
            <w:vAlign w:val="bottom"/>
          </w:tcPr>
          <w:p>
            <w:pPr>
              <w:pStyle w:val="TableContents"/>
              <w:bidi w:val="0"/>
              <w:spacing w:before="0" w:after="0"/>
              <w:jc w:val="left"/>
              <w:rPr/>
            </w:pPr>
            <w:hyperlink w:anchor="supptx190758_2">
              <w:r>
                <w:rPr>
                  <w:rStyle w:val="InternetLink"/>
                  <w:rFonts w:ascii="Times New Roman" w:hAnsi="Times New Roman"/>
                  <w:sz w:val="20"/>
                </w:rPr>
                <w:t>Cautionary Statement Regarding Forward-Looking Statements</w:t>
              </w:r>
            </w:hyperlink>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283"/>
              <w:jc w:val="right"/>
              <w:rPr/>
            </w:pPr>
            <w:r>
              <w:rPr/>
              <w:t>S-3</w:t>
            </w:r>
          </w:p>
        </w:tc>
        <w:tc>
          <w:tcPr>
            <w:tcW w:w="62" w:type="dxa"/>
            <w:tcBorders/>
            <w:vAlign w:val="bottom"/>
          </w:tcPr>
          <w:p>
            <w:pPr>
              <w:pStyle w:val="TableContents"/>
              <w:bidi w:val="0"/>
              <w:spacing w:before="0" w:after="283"/>
              <w:jc w:val="left"/>
              <w:rPr/>
            </w:pPr>
            <w:r>
              <w:rPr/>
              <w:t> </w:t>
            </w:r>
          </w:p>
        </w:tc>
      </w:tr>
      <w:tr>
        <w:trPr/>
        <w:tc>
          <w:tcPr>
            <w:tcW w:w="9453" w:type="dxa"/>
            <w:tcBorders/>
            <w:vAlign w:val="bottom"/>
          </w:tcPr>
          <w:p>
            <w:pPr>
              <w:pStyle w:val="TableContents"/>
              <w:bidi w:val="0"/>
              <w:spacing w:before="0" w:after="0"/>
              <w:jc w:val="left"/>
              <w:rPr/>
            </w:pPr>
            <w:hyperlink w:anchor="supptx190758_3">
              <w:r>
                <w:rPr>
                  <w:rStyle w:val="InternetLink"/>
                  <w:rFonts w:ascii="Times New Roman" w:hAnsi="Times New Roman"/>
                  <w:sz w:val="20"/>
                </w:rPr>
                <w:t>Prospectus Supplement Summary</w:t>
              </w:r>
            </w:hyperlink>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283"/>
              <w:jc w:val="right"/>
              <w:rPr/>
            </w:pPr>
            <w:r>
              <w:rPr/>
              <w:t>S-5</w:t>
            </w:r>
          </w:p>
        </w:tc>
        <w:tc>
          <w:tcPr>
            <w:tcW w:w="62" w:type="dxa"/>
            <w:tcBorders/>
            <w:vAlign w:val="bottom"/>
          </w:tcPr>
          <w:p>
            <w:pPr>
              <w:pStyle w:val="TableContents"/>
              <w:bidi w:val="0"/>
              <w:spacing w:before="0" w:after="283"/>
              <w:jc w:val="left"/>
              <w:rPr/>
            </w:pPr>
            <w:r>
              <w:rPr/>
              <w:t> </w:t>
            </w:r>
          </w:p>
        </w:tc>
      </w:tr>
      <w:tr>
        <w:trPr/>
        <w:tc>
          <w:tcPr>
            <w:tcW w:w="9453" w:type="dxa"/>
            <w:tcBorders/>
            <w:vAlign w:val="bottom"/>
          </w:tcPr>
          <w:p>
            <w:pPr>
              <w:pStyle w:val="TableContents"/>
              <w:bidi w:val="0"/>
              <w:spacing w:before="0" w:after="0"/>
              <w:jc w:val="left"/>
              <w:rPr/>
            </w:pPr>
            <w:hyperlink w:anchor="supptx190758_4">
              <w:r>
                <w:rPr>
                  <w:rStyle w:val="InternetLink"/>
                  <w:rFonts w:ascii="Times New Roman" w:hAnsi="Times New Roman"/>
                  <w:sz w:val="20"/>
                </w:rPr>
                <w:t>Risk Factors</w:t>
              </w:r>
            </w:hyperlink>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283"/>
              <w:jc w:val="right"/>
              <w:rPr/>
            </w:pPr>
            <w:r>
              <w:rPr/>
              <w:t>S-11</w:t>
            </w:r>
          </w:p>
        </w:tc>
        <w:tc>
          <w:tcPr>
            <w:tcW w:w="62" w:type="dxa"/>
            <w:tcBorders/>
            <w:vAlign w:val="bottom"/>
          </w:tcPr>
          <w:p>
            <w:pPr>
              <w:pStyle w:val="TableContents"/>
              <w:bidi w:val="0"/>
              <w:spacing w:before="0" w:after="283"/>
              <w:jc w:val="left"/>
              <w:rPr/>
            </w:pPr>
            <w:r>
              <w:rPr/>
              <w:t> </w:t>
            </w:r>
          </w:p>
        </w:tc>
      </w:tr>
      <w:tr>
        <w:trPr/>
        <w:tc>
          <w:tcPr>
            <w:tcW w:w="9453" w:type="dxa"/>
            <w:tcBorders/>
            <w:vAlign w:val="bottom"/>
          </w:tcPr>
          <w:p>
            <w:pPr>
              <w:pStyle w:val="TableContents"/>
              <w:bidi w:val="0"/>
              <w:spacing w:before="0" w:after="0"/>
              <w:jc w:val="left"/>
              <w:rPr/>
            </w:pPr>
            <w:hyperlink w:anchor="supptx190758_5">
              <w:r>
                <w:rPr>
                  <w:rStyle w:val="InternetLink"/>
                  <w:rFonts w:ascii="Times New Roman" w:hAnsi="Times New Roman"/>
                  <w:sz w:val="20"/>
                </w:rPr>
                <w:t>Dividend Policy</w:t>
              </w:r>
            </w:hyperlink>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283"/>
              <w:jc w:val="right"/>
              <w:rPr/>
            </w:pPr>
            <w:r>
              <w:rPr/>
              <w:t>S-15</w:t>
            </w:r>
          </w:p>
        </w:tc>
        <w:tc>
          <w:tcPr>
            <w:tcW w:w="62" w:type="dxa"/>
            <w:tcBorders/>
            <w:vAlign w:val="bottom"/>
          </w:tcPr>
          <w:p>
            <w:pPr>
              <w:pStyle w:val="TableContents"/>
              <w:bidi w:val="0"/>
              <w:spacing w:before="0" w:after="283"/>
              <w:jc w:val="left"/>
              <w:rPr/>
            </w:pPr>
            <w:r>
              <w:rPr/>
              <w:t> </w:t>
            </w:r>
          </w:p>
        </w:tc>
      </w:tr>
      <w:tr>
        <w:trPr/>
        <w:tc>
          <w:tcPr>
            <w:tcW w:w="9453" w:type="dxa"/>
            <w:tcBorders/>
            <w:vAlign w:val="bottom"/>
          </w:tcPr>
          <w:p>
            <w:pPr>
              <w:pStyle w:val="TableContents"/>
              <w:bidi w:val="0"/>
              <w:spacing w:before="0" w:after="0"/>
              <w:jc w:val="left"/>
              <w:rPr/>
            </w:pPr>
            <w:hyperlink w:anchor="supptx190758_6">
              <w:r>
                <w:rPr>
                  <w:rStyle w:val="InternetLink"/>
                  <w:rFonts w:ascii="Times New Roman" w:hAnsi="Times New Roman"/>
                  <w:sz w:val="20"/>
                </w:rPr>
                <w:t>Use of Proceeds</w:t>
              </w:r>
            </w:hyperlink>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283"/>
              <w:jc w:val="right"/>
              <w:rPr/>
            </w:pPr>
            <w:r>
              <w:rPr/>
              <w:t>S-16</w:t>
            </w:r>
          </w:p>
        </w:tc>
        <w:tc>
          <w:tcPr>
            <w:tcW w:w="62" w:type="dxa"/>
            <w:tcBorders/>
            <w:vAlign w:val="bottom"/>
          </w:tcPr>
          <w:p>
            <w:pPr>
              <w:pStyle w:val="TableContents"/>
              <w:bidi w:val="0"/>
              <w:spacing w:before="0" w:after="283"/>
              <w:jc w:val="left"/>
              <w:rPr/>
            </w:pPr>
            <w:r>
              <w:rPr/>
              <w:t> </w:t>
            </w:r>
          </w:p>
        </w:tc>
      </w:tr>
      <w:tr>
        <w:trPr/>
        <w:tc>
          <w:tcPr>
            <w:tcW w:w="9453" w:type="dxa"/>
            <w:tcBorders/>
            <w:vAlign w:val="bottom"/>
          </w:tcPr>
          <w:p>
            <w:pPr>
              <w:pStyle w:val="TableContents"/>
              <w:bidi w:val="0"/>
              <w:spacing w:before="0" w:after="0"/>
              <w:jc w:val="left"/>
              <w:rPr/>
            </w:pPr>
            <w:hyperlink w:anchor="supptx190758_7">
              <w:r>
                <w:rPr>
                  <w:rStyle w:val="InternetLink"/>
                  <w:rFonts w:ascii="Times New Roman" w:hAnsi="Times New Roman"/>
                  <w:sz w:val="20"/>
                </w:rPr>
                <w:t>Dilution</w:t>
              </w:r>
            </w:hyperlink>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283"/>
              <w:jc w:val="right"/>
              <w:rPr/>
            </w:pPr>
            <w:r>
              <w:rPr/>
              <w:t>S-17</w:t>
            </w:r>
          </w:p>
        </w:tc>
        <w:tc>
          <w:tcPr>
            <w:tcW w:w="62" w:type="dxa"/>
            <w:tcBorders/>
            <w:vAlign w:val="bottom"/>
          </w:tcPr>
          <w:p>
            <w:pPr>
              <w:pStyle w:val="TableContents"/>
              <w:bidi w:val="0"/>
              <w:spacing w:before="0" w:after="283"/>
              <w:jc w:val="left"/>
              <w:rPr/>
            </w:pPr>
            <w:r>
              <w:rPr/>
              <w:t> </w:t>
            </w:r>
          </w:p>
        </w:tc>
      </w:tr>
      <w:tr>
        <w:trPr/>
        <w:tc>
          <w:tcPr>
            <w:tcW w:w="9453" w:type="dxa"/>
            <w:tcBorders/>
            <w:vAlign w:val="bottom"/>
          </w:tcPr>
          <w:p>
            <w:pPr>
              <w:pStyle w:val="TableContents"/>
              <w:bidi w:val="0"/>
              <w:spacing w:before="0" w:after="0"/>
              <w:jc w:val="left"/>
              <w:rPr/>
            </w:pPr>
            <w:hyperlink w:anchor="supptx190758_9">
              <w:r>
                <w:rPr>
                  <w:rStyle w:val="InternetLink"/>
                  <w:rFonts w:ascii="Times New Roman" w:hAnsi="Times New Roman"/>
                  <w:sz w:val="20"/>
                </w:rPr>
                <w:t>Material U.S. Federal Income Tax Consequences for Investors in Common Stock</w:t>
              </w:r>
            </w:hyperlink>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283"/>
              <w:jc w:val="right"/>
              <w:rPr/>
            </w:pPr>
            <w:r>
              <w:rPr/>
              <w:t>S-19</w:t>
            </w:r>
          </w:p>
        </w:tc>
        <w:tc>
          <w:tcPr>
            <w:tcW w:w="62" w:type="dxa"/>
            <w:tcBorders/>
            <w:vAlign w:val="bottom"/>
          </w:tcPr>
          <w:p>
            <w:pPr>
              <w:pStyle w:val="TableContents"/>
              <w:bidi w:val="0"/>
              <w:spacing w:before="0" w:after="283"/>
              <w:jc w:val="left"/>
              <w:rPr/>
            </w:pPr>
            <w:r>
              <w:rPr/>
              <w:t> </w:t>
            </w:r>
          </w:p>
        </w:tc>
      </w:tr>
      <w:tr>
        <w:trPr/>
        <w:tc>
          <w:tcPr>
            <w:tcW w:w="9453" w:type="dxa"/>
            <w:tcBorders/>
            <w:vAlign w:val="bottom"/>
          </w:tcPr>
          <w:p>
            <w:pPr>
              <w:pStyle w:val="TableContents"/>
              <w:bidi w:val="0"/>
              <w:spacing w:before="0" w:after="0"/>
              <w:jc w:val="left"/>
              <w:rPr/>
            </w:pPr>
            <w:hyperlink w:anchor="supptx190758_10">
              <w:r>
                <w:rPr>
                  <w:rStyle w:val="InternetLink"/>
                  <w:rFonts w:ascii="Times New Roman" w:hAnsi="Times New Roman"/>
                  <w:sz w:val="20"/>
                </w:rPr>
                <w:t>Underwriting</w:t>
              </w:r>
            </w:hyperlink>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283"/>
              <w:jc w:val="right"/>
              <w:rPr/>
            </w:pPr>
            <w:r>
              <w:rPr/>
              <w:t>S-24</w:t>
            </w:r>
          </w:p>
        </w:tc>
        <w:tc>
          <w:tcPr>
            <w:tcW w:w="62" w:type="dxa"/>
            <w:tcBorders/>
            <w:vAlign w:val="bottom"/>
          </w:tcPr>
          <w:p>
            <w:pPr>
              <w:pStyle w:val="TableContents"/>
              <w:bidi w:val="0"/>
              <w:spacing w:before="0" w:after="283"/>
              <w:jc w:val="left"/>
              <w:rPr/>
            </w:pPr>
            <w:r>
              <w:rPr/>
              <w:t> </w:t>
            </w:r>
          </w:p>
        </w:tc>
      </w:tr>
      <w:tr>
        <w:trPr/>
        <w:tc>
          <w:tcPr>
            <w:tcW w:w="9453" w:type="dxa"/>
            <w:tcBorders/>
            <w:vAlign w:val="bottom"/>
          </w:tcPr>
          <w:p>
            <w:pPr>
              <w:pStyle w:val="TableContents"/>
              <w:bidi w:val="0"/>
              <w:spacing w:before="0" w:after="0"/>
              <w:jc w:val="left"/>
              <w:rPr/>
            </w:pPr>
            <w:hyperlink w:anchor="supptx190758_11">
              <w:r>
                <w:rPr>
                  <w:rStyle w:val="InternetLink"/>
                  <w:rFonts w:ascii="Times New Roman" w:hAnsi="Times New Roman"/>
                  <w:sz w:val="20"/>
                </w:rPr>
                <w:t>Legal Matters</w:t>
              </w:r>
            </w:hyperlink>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283"/>
              <w:jc w:val="right"/>
              <w:rPr/>
            </w:pPr>
            <w:r>
              <w:rPr/>
              <w:t>S-34</w:t>
            </w:r>
          </w:p>
        </w:tc>
        <w:tc>
          <w:tcPr>
            <w:tcW w:w="62" w:type="dxa"/>
            <w:tcBorders/>
            <w:vAlign w:val="bottom"/>
          </w:tcPr>
          <w:p>
            <w:pPr>
              <w:pStyle w:val="TableContents"/>
              <w:bidi w:val="0"/>
              <w:spacing w:before="0" w:after="283"/>
              <w:jc w:val="left"/>
              <w:rPr/>
            </w:pPr>
            <w:r>
              <w:rPr/>
              <w:t> </w:t>
            </w:r>
          </w:p>
        </w:tc>
      </w:tr>
      <w:tr>
        <w:trPr/>
        <w:tc>
          <w:tcPr>
            <w:tcW w:w="9453" w:type="dxa"/>
            <w:tcBorders/>
            <w:vAlign w:val="bottom"/>
          </w:tcPr>
          <w:p>
            <w:pPr>
              <w:pStyle w:val="TableContents"/>
              <w:bidi w:val="0"/>
              <w:spacing w:before="0" w:after="0"/>
              <w:jc w:val="left"/>
              <w:rPr/>
            </w:pPr>
            <w:hyperlink w:anchor="supptx190758_12">
              <w:r>
                <w:rPr>
                  <w:rStyle w:val="InternetLink"/>
                  <w:rFonts w:ascii="Times New Roman" w:hAnsi="Times New Roman"/>
                  <w:sz w:val="20"/>
                </w:rPr>
                <w:t>Experts</w:t>
              </w:r>
            </w:hyperlink>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283"/>
              <w:jc w:val="right"/>
              <w:rPr/>
            </w:pPr>
            <w:r>
              <w:rPr/>
              <w:t>S-34</w:t>
            </w:r>
          </w:p>
        </w:tc>
        <w:tc>
          <w:tcPr>
            <w:tcW w:w="62" w:type="dxa"/>
            <w:tcBorders/>
            <w:vAlign w:val="bottom"/>
          </w:tcPr>
          <w:p>
            <w:pPr>
              <w:pStyle w:val="TableContents"/>
              <w:bidi w:val="0"/>
              <w:spacing w:before="0" w:after="283"/>
              <w:jc w:val="left"/>
              <w:rPr/>
            </w:pPr>
            <w:r>
              <w:rPr/>
              <w:t> </w:t>
            </w:r>
          </w:p>
        </w:tc>
      </w:tr>
      <w:tr>
        <w:trPr/>
        <w:tc>
          <w:tcPr>
            <w:tcW w:w="9453" w:type="dxa"/>
            <w:tcBorders/>
            <w:vAlign w:val="bottom"/>
          </w:tcPr>
          <w:p>
            <w:pPr>
              <w:pStyle w:val="TableContents"/>
              <w:bidi w:val="0"/>
              <w:spacing w:before="0" w:after="0"/>
              <w:jc w:val="left"/>
              <w:rPr/>
            </w:pPr>
            <w:hyperlink w:anchor="supptx190758_13">
              <w:r>
                <w:rPr>
                  <w:rStyle w:val="InternetLink"/>
                  <w:rFonts w:ascii="Times New Roman" w:hAnsi="Times New Roman"/>
                  <w:sz w:val="20"/>
                </w:rPr>
                <w:t>Where You Can Find More Information</w:t>
              </w:r>
            </w:hyperlink>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283"/>
              <w:jc w:val="right"/>
              <w:rPr/>
            </w:pPr>
            <w:r>
              <w:rPr/>
              <w:t>S-34</w:t>
            </w:r>
          </w:p>
        </w:tc>
        <w:tc>
          <w:tcPr>
            <w:tcW w:w="62" w:type="dxa"/>
            <w:tcBorders/>
            <w:vAlign w:val="bottom"/>
          </w:tcPr>
          <w:p>
            <w:pPr>
              <w:pStyle w:val="TableContents"/>
              <w:bidi w:val="0"/>
              <w:spacing w:before="0" w:after="283"/>
              <w:jc w:val="left"/>
              <w:rPr/>
            </w:pPr>
            <w:r>
              <w:rPr/>
              <w:t> </w:t>
            </w:r>
          </w:p>
        </w:tc>
      </w:tr>
      <w:tr>
        <w:trPr/>
        <w:tc>
          <w:tcPr>
            <w:tcW w:w="9453" w:type="dxa"/>
            <w:tcBorders/>
            <w:vAlign w:val="bottom"/>
          </w:tcPr>
          <w:p>
            <w:pPr>
              <w:pStyle w:val="TableContents"/>
              <w:bidi w:val="0"/>
              <w:spacing w:before="0" w:after="0"/>
              <w:jc w:val="left"/>
              <w:rPr/>
            </w:pPr>
            <w:hyperlink w:anchor="supptx190758_14">
              <w:r>
                <w:rPr>
                  <w:rStyle w:val="InternetLink"/>
                  <w:rFonts w:ascii="Times New Roman" w:hAnsi="Times New Roman"/>
                  <w:sz w:val="20"/>
                </w:rPr>
                <w:t>Incorporation of Certain Information by Reference</w:t>
              </w:r>
            </w:hyperlink>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283"/>
              <w:jc w:val="right"/>
              <w:rPr/>
            </w:pPr>
            <w:r>
              <w:rPr/>
              <w:t>S-35</w:t>
            </w:r>
          </w:p>
        </w:tc>
        <w:tc>
          <w:tcPr>
            <w:tcW w:w="62" w:type="dxa"/>
            <w:tcBorders/>
            <w:vAlign w:val="bottom"/>
          </w:tcPr>
          <w:p>
            <w:pPr>
              <w:pStyle w:val="TableContents"/>
              <w:bidi w:val="0"/>
              <w:spacing w:before="0" w:after="283"/>
              <w:jc w:val="left"/>
              <w:rPr/>
            </w:pPr>
            <w:r>
              <w:rPr/>
              <w:t> </w:t>
            </w:r>
          </w:p>
        </w:tc>
      </w:tr>
    </w:tbl>
    <w:p>
      <w:pPr>
        <w:pStyle w:val="TextBody"/>
        <w:bidi w:val="0"/>
        <w:spacing w:before="480" w:after="0"/>
        <w:jc w:val="center"/>
        <w:rPr>
          <w:rFonts w:ascii="Times New Roman" w:hAnsi="Times New Roman"/>
          <w:b/>
          <w:sz w:val="20"/>
        </w:rPr>
      </w:pPr>
      <w:r>
        <w:rPr>
          <w:rFonts w:ascii="Times New Roman" w:hAnsi="Times New Roman"/>
          <w:b/>
          <w:sz w:val="20"/>
        </w:rPr>
        <w:t xml:space="preserve">PROSPECTUS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284"/>
        <w:gridCol w:w="342"/>
        <w:gridCol w:w="96"/>
        <w:gridCol w:w="421"/>
        <w:gridCol w:w="62"/>
      </w:tblGrid>
      <w:tr>
        <w:trPr/>
        <w:tc>
          <w:tcPr>
            <w:tcW w:w="9284" w:type="dxa"/>
            <w:tcBorders/>
            <w:vAlign w:val="center"/>
          </w:tcPr>
          <w:p>
            <w:pPr>
              <w:pStyle w:val="TableContents"/>
              <w:bidi w:val="0"/>
              <w:spacing w:before="0" w:after="283"/>
              <w:jc w:val="left"/>
              <w:rPr>
                <w:sz w:val="4"/>
                <w:szCs w:val="4"/>
              </w:rPr>
            </w:pPr>
            <w:r>
              <w:rPr>
                <w:sz w:val="4"/>
                <w:szCs w:val="4"/>
              </w:rPr>
            </w:r>
          </w:p>
        </w:tc>
        <w:tc>
          <w:tcPr>
            <w:tcW w:w="342" w:type="dxa"/>
            <w:tcBorders/>
            <w:vAlign w:val="bottom"/>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284" w:type="dxa"/>
            <w:tcBorders/>
            <w:vAlign w:val="bottom"/>
          </w:tcPr>
          <w:p>
            <w:pPr>
              <w:pStyle w:val="TableContents"/>
              <w:bidi w:val="0"/>
              <w:spacing w:before="0" w:after="283"/>
              <w:jc w:val="left"/>
              <w:rPr/>
            </w:pPr>
            <w:r>
              <w:rPr/>
              <w:t> </w:t>
            </w:r>
          </w:p>
        </w:tc>
        <w:tc>
          <w:tcPr>
            <w:tcW w:w="342" w:type="dxa"/>
            <w:tcBorders/>
            <w:vAlign w:val="bottom"/>
          </w:tcPr>
          <w:p>
            <w:pPr>
              <w:pStyle w:val="TableContents"/>
              <w:bidi w:val="0"/>
              <w:spacing w:before="0" w:after="283"/>
              <w:jc w:val="left"/>
              <w:rPr/>
            </w:pPr>
            <w:r>
              <w:rPr/>
              <w:t>  </w:t>
            </w:r>
          </w:p>
        </w:tc>
        <w:tc>
          <w:tcPr>
            <w:tcW w:w="51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Page</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190758_1">
              <w:r>
                <w:rPr>
                  <w:rStyle w:val="InternetLink"/>
                  <w:rFonts w:ascii="Times New Roman" w:hAnsi="Times New Roman"/>
                  <w:sz w:val="20"/>
                </w:rPr>
                <w:t>ABOUT THIS PROSPECTUS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190758_2">
              <w:r>
                <w:rPr>
                  <w:rStyle w:val="InternetLink"/>
                  <w:rFonts w:ascii="Times New Roman" w:hAnsi="Times New Roman"/>
                  <w:sz w:val="20"/>
                </w:rPr>
                <w:t>WHERE YOU CAN FIND MORE INFORMATION</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190758_3">
              <w:r>
                <w:rPr>
                  <w:rStyle w:val="InternetLink"/>
                  <w:rFonts w:ascii="Times New Roman" w:hAnsi="Times New Roman"/>
                  <w:sz w:val="20"/>
                </w:rPr>
                <w:t>INCORPORATION OF CERTAIN INFORMATION BY REFERENCE</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190758_4">
              <w:r>
                <w:rPr>
                  <w:rStyle w:val="InternetLink"/>
                  <w:rFonts w:ascii="Times New Roman" w:hAnsi="Times New Roman"/>
                  <w:sz w:val="20"/>
                </w:rPr>
                <w:t>SPECIAL NOTE REGARDING FORWARD-LOOKING STATEMENTS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4</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190758_5">
              <w:r>
                <w:rPr>
                  <w:rStyle w:val="InternetLink"/>
                  <w:rFonts w:ascii="Times New Roman" w:hAnsi="Times New Roman"/>
                  <w:sz w:val="20"/>
                </w:rPr>
                <w:t>ABOUT THE COMPANY</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7</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190758_6">
              <w:r>
                <w:rPr>
                  <w:rStyle w:val="InternetLink"/>
                  <w:rFonts w:ascii="Times New Roman" w:hAnsi="Times New Roman"/>
                  <w:sz w:val="20"/>
                </w:rPr>
                <w:t>RISK FACTORS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10</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190758_8">
              <w:r>
                <w:rPr>
                  <w:rStyle w:val="InternetLink"/>
                  <w:rFonts w:ascii="Times New Roman" w:hAnsi="Times New Roman"/>
                  <w:sz w:val="20"/>
                </w:rPr>
                <w:t>USE OF PROCEEDS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11</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190758_9">
              <w:r>
                <w:rPr>
                  <w:rStyle w:val="InternetLink"/>
                  <w:rFonts w:ascii="Times New Roman" w:hAnsi="Times New Roman"/>
                  <w:sz w:val="20"/>
                </w:rPr>
                <w:t>DIVIDEND POLICY</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12</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190758_10">
              <w:r>
                <w:rPr>
                  <w:rStyle w:val="InternetLink"/>
                  <w:rFonts w:ascii="Times New Roman" w:hAnsi="Times New Roman"/>
                  <w:sz w:val="20"/>
                </w:rPr>
                <w:t>GENERAL DESCRIPTION OF SECURITIES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13</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190758_11">
              <w:r>
                <w:rPr>
                  <w:rStyle w:val="InternetLink"/>
                  <w:rFonts w:ascii="Times New Roman" w:hAnsi="Times New Roman"/>
                  <w:sz w:val="20"/>
                </w:rPr>
                <w:t>DESCRIPTION OF CAPITAL STOCK</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14</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190758_12">
              <w:r>
                <w:rPr>
                  <w:rStyle w:val="InternetLink"/>
                  <w:rFonts w:ascii="Times New Roman" w:hAnsi="Times New Roman"/>
                  <w:sz w:val="20"/>
                </w:rPr>
                <w:t>DESCRIPTION OF DEBT SECURITIES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21</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190758_13">
              <w:r>
                <w:rPr>
                  <w:rStyle w:val="InternetLink"/>
                  <w:rFonts w:ascii="Times New Roman" w:hAnsi="Times New Roman"/>
                  <w:sz w:val="20"/>
                </w:rPr>
                <w:t>DESCRIPTION OF WARRANTS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28</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190758_14">
              <w:r>
                <w:rPr>
                  <w:rStyle w:val="InternetLink"/>
                  <w:rFonts w:ascii="Times New Roman" w:hAnsi="Times New Roman"/>
                  <w:sz w:val="20"/>
                </w:rPr>
                <w:t>DESCRIPTION OF UNITS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29</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190758_15">
              <w:r>
                <w:rPr>
                  <w:rStyle w:val="InternetLink"/>
                  <w:rFonts w:ascii="Times New Roman" w:hAnsi="Times New Roman"/>
                  <w:sz w:val="20"/>
                </w:rPr>
                <w:t>PLAN OF DISTRIBUTION</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32</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190758_16">
              <w:r>
                <w:rPr>
                  <w:rStyle w:val="InternetLink"/>
                  <w:rFonts w:ascii="Times New Roman" w:hAnsi="Times New Roman"/>
                  <w:sz w:val="20"/>
                </w:rPr>
                <w:t>LEGAL MATTERS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35</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190758_17">
              <w:r>
                <w:rPr>
                  <w:rStyle w:val="InternetLink"/>
                  <w:rFonts w:ascii="Times New Roman" w:hAnsi="Times New Roman"/>
                  <w:sz w:val="20"/>
                </w:rPr>
                <w:t>EXPERTS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35</w:t>
            </w:r>
          </w:p>
        </w:tc>
        <w:tc>
          <w:tcPr>
            <w:tcW w:w="62"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3" w:name="supptx190758_1"/>
      <w:bookmarkEnd w:id="3"/>
      <w:r>
        <w:rPr>
          <w:rFonts w:ascii="Times New Roman" w:hAnsi="Times New Roman"/>
          <w:b/>
          <w:sz w:val="20"/>
        </w:rPr>
        <w:t xml:space="preserve">ABOUT THIS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supplement is part of an automatic shelf registration statement on Form S-3 (File No. 333-281359) that we filed with the Securities and Exchange Commission, or SEC, on August 8, 2024 as a “well-known seasoned issuer” as defined in Rule 405 of the Securities Act of 1933, as amended, or the Securities Act. This document is in two parts. The first part is this prospectus supplement, which describes the specific terms of this offering of common stock. The second part is the accompanying prospectus, which provide more general information, some of which may not apply to this offering. The information included or incorporated by reference in this prospectus supplement also adds to, updates and changes information contained or incorporated by reference in the accompanying prospectus. If information included or incorporated by reference in this prospectus supplement is inconsistent with the accompanying prospectus or the information incorporated by reference therein, then this prospectus supplement or the information incorporated by reference in this prospectus supplement will apply and will supersede the information in the accompanying prospectus and the documents incorporated by reference therein. However, if any statement in one of these documents is inconsistent with a statement in another document with a later date that is incorporated by reference herein, the statement in the document having the later date modifies and supersedes the earlier statement. </w:t>
      </w:r>
    </w:p>
    <w:p>
      <w:pPr>
        <w:pStyle w:val="TextBody"/>
        <w:bidi w:val="0"/>
        <w:spacing w:before="240" w:after="0"/>
        <w:jc w:val="left"/>
        <w:rPr>
          <w:rFonts w:ascii="Times New Roman" w:hAnsi="Times New Roman"/>
          <w:sz w:val="20"/>
        </w:rPr>
      </w:pPr>
      <w:r>
        <w:rPr>
          <w:rFonts w:ascii="Times New Roman" w:hAnsi="Times New Roman"/>
          <w:sz w:val="20"/>
        </w:rPr>
        <w:t xml:space="preserve">Before buying any of the shares of common stock offered hereby, we urge you to read carefully this prospectus supplement and the accompanying prospectus, together with the information incorporated herein by reference as described below under the heading “Incorporation of Certain Information by Reference,” as well as the additional information described in this prospectus supplement under “Where You Can Find More Information.” </w:t>
      </w:r>
    </w:p>
    <w:p>
      <w:pPr>
        <w:pStyle w:val="TextBody"/>
        <w:bidi w:val="0"/>
        <w:spacing w:before="240" w:after="0"/>
        <w:jc w:val="left"/>
        <w:rPr>
          <w:rFonts w:ascii="Times New Roman" w:hAnsi="Times New Roman"/>
          <w:sz w:val="20"/>
        </w:rPr>
      </w:pPr>
      <w:r>
        <w:rPr>
          <w:rFonts w:ascii="Times New Roman" w:hAnsi="Times New Roman"/>
          <w:sz w:val="20"/>
        </w:rPr>
        <w:t xml:space="preserve">We further note that the representations, warranties and covenants made by us in any agreement that is filed as an exhibit to any document that is incorporated by reference herein were made solely for the benefit of the parties to such agreement, including, in some cases, for the purpose of allocating risk among the parties to such agreements, and should not be deemed to be a representation, warranty or covenant to you. Moreover, such representations, warranties or covenants were accurate only as of the date when made. Accordingly, such representations, warranties and covenants should not be relied on as accurately representing the current state of our affairs. </w:t>
      </w:r>
    </w:p>
    <w:p>
      <w:pPr>
        <w:pStyle w:val="TextBody"/>
        <w:bidi w:val="0"/>
        <w:spacing w:before="240" w:after="0"/>
        <w:jc w:val="left"/>
        <w:rPr>
          <w:rFonts w:ascii="Times New Roman" w:hAnsi="Times New Roman"/>
          <w:sz w:val="20"/>
        </w:rPr>
      </w:pPr>
      <w:r>
        <w:rPr>
          <w:rFonts w:ascii="Times New Roman" w:hAnsi="Times New Roman"/>
          <w:sz w:val="20"/>
        </w:rPr>
        <w:t xml:space="preserve">Neither we nor the underwriters have authorized anyone to provide you with information other than the information that we have provided or incorporated by reference in this prospectus supplement and the accompanying prospectus and your reliance on any unauthorized information or representation is at your own risk. You should assume that the information appearing in this prospectus supplement is accurate only as of the date of this prospectus supplement and that any information we have incorporated by reference is accurate only as of the date of the document incorporated by reference, regardless of the time of delivery of this prospectus supplement, or any sale of our common stock. Our business, financial condition and results of operations may have changed since those dates. </w:t>
      </w:r>
    </w:p>
    <w:p>
      <w:pPr>
        <w:pStyle w:val="TextBody"/>
        <w:bidi w:val="0"/>
        <w:spacing w:before="240" w:after="0"/>
        <w:jc w:val="left"/>
        <w:rPr>
          <w:rFonts w:ascii="Times New Roman" w:hAnsi="Times New Roman"/>
          <w:sz w:val="20"/>
        </w:rPr>
      </w:pPr>
      <w:r>
        <w:rPr>
          <w:rFonts w:ascii="Times New Roman" w:hAnsi="Times New Roman"/>
          <w:sz w:val="20"/>
        </w:rPr>
        <w:t xml:space="preserve">We are offering to sell, and seeking offers to buy, shares of common stock only in jurisdictions where offers and sales are permitted. The distribution of this prospectus supplement and the accompanying prospectus and the offering of the common stock in certain jurisdictions may be restricted by law. No action is being taken in any jurisdiction outside the United States to permit a public offering of the securities or possession or distribution of this prospectus supplement or the accompanying prospectus in that jurisdiction. Persons outside the United States who come into possession of this prospectus supplement and the accompanying prospectus must inform themselves about, and observe any restrictions relating to, the offering of the common stock and the distribution of this prospectus supplement and the accompanying prospectus outside the United States. This prospectus supplement and the accompanying prospectus do not constitute, and may not be used in connection with, an offer to sell, or a solicitation of an offer to buy, any securities offered by this prospectus supplement and the accompanying prospectus by any person in any jurisdiction in which it is unlawful for such person to make such an offer or solicitation.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On December 29, 2022, we acquired Disc Medicine Opco, Inc. (formerly Disc Medicine, Inc.), or Private Disc, pursuant to an agreement and plan of merger, or the Merger, and we changed our name to Disc Medicine, Inc. on December 29, 2022. As used in this prospectus supplement, unless the context otherwise requires, references to “Disc,” the “Company,” “we,” “us” and “our” refer to (i) prior to the date of the Merger, Private Disc, and its wholly owned, consolidated subsidiaries, or either or all of them as the context may require, and (ii) following the date of the Merger, Disc Medicine, Inc., and its wholly owned, consolidated subsidiaries, or either or all of them as the context may require. </w:t>
      </w:r>
    </w:p>
    <w:p>
      <w:pPr>
        <w:pStyle w:val="TextBody"/>
        <w:bidi w:val="0"/>
        <w:spacing w:before="240" w:after="0"/>
        <w:jc w:val="left"/>
        <w:rPr>
          <w:rFonts w:ascii="Times New Roman" w:hAnsi="Times New Roman"/>
          <w:sz w:val="20"/>
        </w:rPr>
      </w:pPr>
      <w:r>
        <w:rPr>
          <w:rFonts w:ascii="Times New Roman" w:hAnsi="Times New Roman"/>
          <w:sz w:val="20"/>
        </w:rPr>
        <w:t xml:space="preserve">All references in this prospectus supplement and the accompanying prospectus to our consolidated financial statements include the related notes thereto. </w:t>
      </w:r>
    </w:p>
    <w:p>
      <w:pPr>
        <w:pStyle w:val="TextBody"/>
        <w:bidi w:val="0"/>
        <w:spacing w:before="240" w:after="0"/>
        <w:jc w:val="left"/>
        <w:rPr>
          <w:rFonts w:ascii="Times New Roman" w:hAnsi="Times New Roman"/>
          <w:sz w:val="20"/>
        </w:rPr>
      </w:pPr>
      <w:r>
        <w:rPr>
          <w:rFonts w:ascii="Times New Roman" w:hAnsi="Times New Roman"/>
          <w:sz w:val="20"/>
        </w:rPr>
        <w:t xml:space="preserve">Disc Medicine, Inc., the Disc logo and our other registered or common law trademarks, trade names or service marks appearing in this prospectus supplement are owned by us. All other trademarks or trade names referred to in this prospectus supplement are the property of their respective owners. Solely for convenience, the trademarks and trade names in this prospectus supplement are referred to without the symbols® and, but such references should not be construed as any indicator that their respective owners will not assert, to the fullest extent under applicable law, their rights thereto.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4" w:name="supptx190758_2"/>
      <w:bookmarkEnd w:id="4"/>
      <w:r>
        <w:rPr>
          <w:rFonts w:ascii="Times New Roman" w:hAnsi="Times New Roman"/>
          <w:b/>
          <w:sz w:val="20"/>
        </w:rPr>
        <w:t xml:space="preserve">CAUTIONARY STATEMENT REGARDING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supplement, the accompanying prospectus and the documents that we incorporate by reference, contain “forward-looking statements” within the meaning of Section 27A of the Securities Act and Section 21E of the Securities Exchange Act of 1934, as amended, or the Exchange Act. All statements, other than statements of historical facts, included in this prospectus supplement and the accompanying prospectus, including the documents that we incorporate by reference, regarding our strategy, future operations, future financial position, future revenue, projected costs, prospects, plans, objectives of management and expected market growth are forward-looking statements. The words “anticipate,” “believe,” “continue,” “could,” “estimate,” “expect,” “intend,” “may,” “plan,” “potential,” “predict,” “project,” “should,” “target,” “will,” “would” and similar expressions are intended to identify forward-looking statements, although not all forward-looking statements contain these identifying words. These forward-looking statements include, among other things, statements about: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initiation, timing, progress, results, and cost of our research and development programs and our current and future preclinical studies and clinical trials, including statements regarding the timing of initiation and completion of studies or trials and related preparatory work, the period during which the results of the trials will become available, and our research and development programs;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101"/>
        <w:gridCol w:w="9801"/>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efficiently discover and develop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2"/>
        <w:gridCol w:w="102"/>
        <w:gridCol w:w="9800"/>
      </w:tblGrid>
      <w:tr>
        <w:trPr/>
        <w:tc>
          <w:tcPr>
            <w:tcW w:w="101" w:type="dxa"/>
            <w:tcBorders/>
            <w:vAlign w:val="center"/>
          </w:tcPr>
          <w:p>
            <w:pPr>
              <w:pStyle w:val="TableContents"/>
              <w:bidi w:val="0"/>
              <w:spacing w:before="0" w:after="283"/>
              <w:jc w:val="left"/>
              <w:rPr/>
            </w:pPr>
            <w:r>
              <w:rPr/>
              <w:t> </w:t>
            </w:r>
          </w:p>
        </w:tc>
        <w:tc>
          <w:tcPr>
            <w:tcW w:w="202"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successfully manufacture our drug substances and product candidates for preclinical use, for clinical trials and on a larger scale for commercial use, if approved;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101"/>
        <w:gridCol w:w="9801"/>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obtain funding for our operations necessary to further develop and, if approved, commercialize our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obtain and maintain regulatory approval of bitopertin and any of our other product candidates, and the timing of any such potential approvals;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2"/>
        <w:gridCol w:w="9799"/>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commercialize our products, if approved;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100"/>
        <w:gridCol w:w="9802"/>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80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pricing and reimbursement of our product candidates, if approved;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1"/>
        <w:gridCol w:w="9799"/>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implementation of our business model, and strategic plans for our business and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0"/>
        <w:gridCol w:w="9801"/>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scope of protection we are able to establish and maintain for intellectual property rights covering our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100"/>
        <w:gridCol w:w="9802"/>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80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estimates of our future expenses, revenues, capital requirements, and our needs for additional financing;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0"/>
        <w:gridCol w:w="9801"/>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comply with our current and future debt obligations;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1"/>
        <w:gridCol w:w="9799"/>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potential benefits of strategic collaboration agreements, our ability to enter into strategic collaborations or arrangements, and our ability to attract collaborators with development, regulatory and commercialization expertise;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1"/>
        <w:gridCol w:w="9799"/>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future agreements with third parties in connection with the commercialization of our product candidates, if approved;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size and growth potential of the markets for our product candidates, and our ability to serve those markets;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2"/>
        <w:gridCol w:w="102"/>
        <w:gridCol w:w="9800"/>
      </w:tblGrid>
      <w:tr>
        <w:trPr/>
        <w:tc>
          <w:tcPr>
            <w:tcW w:w="101" w:type="dxa"/>
            <w:tcBorders/>
            <w:vAlign w:val="center"/>
          </w:tcPr>
          <w:p>
            <w:pPr>
              <w:pStyle w:val="TableContents"/>
              <w:bidi w:val="0"/>
              <w:spacing w:before="0" w:after="283"/>
              <w:jc w:val="left"/>
              <w:rPr/>
            </w:pPr>
            <w:r>
              <w:rPr/>
              <w:t> </w:t>
            </w:r>
          </w:p>
        </w:tc>
        <w:tc>
          <w:tcPr>
            <w:tcW w:w="202"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financial performance;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1"/>
        <w:gridCol w:w="9799"/>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rate and degree of market acceptance of our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2"/>
        <w:gridCol w:w="9798"/>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regulatory developments in the United States and foreign countries;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2"/>
        <w:gridCol w:w="9798"/>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contract with third-party suppliers and manufacturers and their ability to perform adequately;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101"/>
        <w:gridCol w:w="203"/>
        <w:gridCol w:w="102"/>
        <w:gridCol w:w="9799"/>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produce our products or product candidates with advantages in turnaround times or manufacturing cost;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101"/>
        <w:gridCol w:w="9801"/>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success of competing therapies that are or may become available;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2"/>
        <w:gridCol w:w="9798"/>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attract and retain key scientific or management personnel;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impact of laws and regulations;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2"/>
        <w:gridCol w:w="9798"/>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developments relating to our competitors and our industry;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2"/>
        <w:gridCol w:w="9798"/>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impact of global economic and political developments on our business, including rising inflation and capital market disruptions, geopolitical conflicts, economic sanctions and economic slowdowns or recessions that may result from such developments which could harm our research and development efforts as well as the value of our common stock and our ability to access capital markets;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impacts of changes in the policies or regulations of the U.S. Food and Drug Administration or comparable foreign regulatory authorities regarding development, approval, and marketing of products;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100"/>
        <w:gridCol w:w="9802"/>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80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other risks and uncertainties, including those listed under the caption “Risk Factors;”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1"/>
        <w:gridCol w:w="9799"/>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use of the proceeds from this offering and any other financing transaction we may undertake.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forward-looking statements in this prospectus supplement represent our views as of the date of this prospectus supplement. We anticipate that subsequent events and developments will cause our views to change. However, while we may elect to update these forward-looking statements at some point in the future, we have no current intention of doing so except to the extent required by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The outcome of the events described in these forward-looking statements is subject to known and unknown risks, uncertainties, and other factors. As a result of a number of known and unknown risks and uncertainties, our actual results or performance may be materially different from those expressed or implied by these forward-looking statements. You should therefore not rely on these forward-looking statements as representing our views as of any date subsequent to the date of this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We may from time-to-time provide estimates, projections and other information concerning our industry, our business and the markets for our programs and product candidates. Information that is based on estimates, forecasts, projections, market research or similar methodologies is inherently subject to uncertainties and actual events or circumstances may differ materially from events and circumstances that are assumed in this information. Unless otherwise expressly stated, we obtained this industry, business, market, and other data from our own internal estimates and research as well as from reports, research surveys, studies, and similar data prepared by market research firms and other third parties, industry, medical and general publications, government data and similar sources. While we are not aware of any misstatements regarding any third-party information presented in this prospectus supplement or the accompanying prospectus, their estimates, in particular, as they relate to projections, involve numerous assumptions, are subject to risks and uncertainties and are subject to change based on various factors. You should read this prospectus supplement, the accompanying prospectus and the documents that we reference herein and therein and have filed with the SEC as exhibits thereto completely and with the understanding that our actual future results may be materially different from any future results expressed or implied by these forward-looking statements. These estimates involve numerous assumptions, are subject to risks and uncertainties and are subject to change based on various factors, including those discussed in our Quarterly Report on Form 10-Q for the quarter ended June 30, 2026 filed with the SEC on July 30, 2026, which is incorporated by reference into this prospectus supplement and the accompanying prospectus, and the section of this prospectus supplement and the accompanying prospectus entitled “Risk Factors” that could cause actual results or events to differ materially from the forward-looking statements that we make. Our forward-looking statements do not reflect the potential impact of any future acquisitions, mergers, dispositions, collaborations, joint ventures, or investments that we may make or into which we may enter.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S-4 </w:t>
      </w:r>
      <w:r>
        <w:br w:type="page"/>
      </w:r>
    </w:p>
    <w:p>
      <w:pPr>
        <w:pStyle w:val="HorizontalLine"/>
        <w:pBdr>
          <w:bottom w:val="double" w:sz="6" w:space="0" w:color="808080"/>
        </w:pBdr>
        <w:bidi w:val="0"/>
        <w:jc w:val="left"/>
        <w:rPr/>
      </w:pPr>
      <w:r>
        <w:rPr/>
      </w:r>
    </w:p>
    <w:p>
      <w:pPr>
        <w:pStyle w:val="TextBody"/>
        <w:bidi w:val="0"/>
        <w:spacing w:before="0" w:after="0"/>
        <w:ind w:left="0" w:right="0" w:hanging="0"/>
        <w:jc w:val="center"/>
        <w:rPr>
          <w:rFonts w:ascii="Times New Roman" w:hAnsi="Times New Roman"/>
          <w:b/>
          <w:sz w:val="20"/>
          <w:bdr w:val="single" w:sz="8" w:space="1" w:color="000000"/>
        </w:rPr>
      </w:pPr>
      <w:bookmarkStart w:id="5" w:name="supptx190758_3"/>
      <w:bookmarkEnd w:id="5"/>
      <w:r>
        <w:rPr>
          <w:rFonts w:ascii="Times New Roman" w:hAnsi="Times New Roman"/>
          <w:b/>
          <w:sz w:val="20"/>
          <w:bdr w:val="single" w:sz="8" w:space="1" w:color="000000"/>
        </w:rPr>
        <w:t xml:space="preserve">PROSPECTUS SUPPLEMENT SUMMARY </w:t>
      </w:r>
    </w:p>
    <w:p>
      <w:pPr>
        <w:pStyle w:val="TextBody"/>
        <w:bidi w:val="0"/>
        <w:spacing w:before="24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This summary highlights selected information about us and this offering and does not contain all of the information that you should consider before investing in our common stock. You should read this prospectus supplement, the accompanying prospectus and the documents incorporated by reference herein and therein carefully, especially those associated with the risks of investing in our common stock discussed under “Risk Factors” beginning on page S-11 of this prospectus supplement and page 10 in the accompanying prospectus and in the section entitled “Risk Factors” of our quarterly report on Form 10-Q for the quarter ended June 30, 2026, filed with the SEC on July 30, 2026, and any subsequent reports we file with the SEC after the date of this prospectus supplement, which are incorporated by reference in this prospectus supplement, along with our consolidated financial statements and notes to those consolidated financial statements and the other information incorporated by reference in this prospectus supplement, before making an investment decision.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Company Overview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are a clinical-stage biopharmaceutical company focused on the discovery, development, and commercialization of novel treatments for patients suffering from serious hematologic diseases. We have assembled a portfolio of clinical and preclinical product candidates that aim to modify fundamental biological pathways associated with the formation and function of red blood cells, specifically heme biosynthesis and iron homeostasis. Our current pipeline includes bitopertin for the treatment of erythropoietic porphyrias, or EPs, including erythropoietic protoporphyria, or EPP, and X-linked protoporphyria, or XLP; selcodebart (DISC-0974) for the treatment of anemia of myelofibrosis, or MF, and anemia of inflammatory bowel disease, or IBD; and DISC-3405 for the treatment of polycythemia vera, or PV, sickle cell disease, or SCD, and other hematologic disorders. In addition, our preclinical programs include DISC-0998 for the treatment of anemia associated with inflammatory diseases. Our approach to product candidate development leverages well-understood molecular mechanisms that have been validated in humans. We believe that each of our product candidates, if approved, has the potential to improve the lives of patients suffering from hematologic diseases. </w:t>
      </w:r>
    </w:p>
    <w:p>
      <w:pPr>
        <w:pStyle w:val="TextBody"/>
        <w:bidi w:val="0"/>
        <w:spacing w:before="36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Heme Biosynthesis: Bitopertin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Bitopertin is the lead product candidate in our heme biosynthesis modulation portfolio. Bitopertin was previously evaluated by F. Hoffmann-La Roche Ltd and Hoffmann-La Roche Inc., or collectively, Roche, in a comprehensive clinical program in over 4,000 individuals in other indications which demonstrated the activity of bitopertin as a glycine transporter 1 inhibitor and its effect on heme biosynthesis. We are initially developing bitopertin for the treatment of EPs, including EPP and XLP, which are part of a group of severe diseases, known as porphyrias, caused by defects in the heme biosynthesis pathway that cause an accumulation of toxic metabolites referred to as porphyrins, resulting in skin hypersensitivity to sunlight and some types of artificial light. In October 2026, we announced positive topline results from APOLLO, a randomized, double-blind, pivotal Phase 3 trial evaluating the safety and efficacy of bitopertin versus placebo in adults and adolescents aged 12 or older with EPP or XLP.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have also completed two Phase 2 clinical trials of bitopertin: BEACON, an open-label, parallel-dose clinical trial in EPP and XLP patients conducted at sites in Australia, and AURORA, a randomized, double-blind, placebo-controlled clinical trial in EPP patients conducted at sites in the United States. In both trials, bitopertin significantly reduced the toxic metabolite, protoporphyrin IX, or PPIX, and was associated with improvements in measures of time spent in sunlight and quality of life. In addition, bitopertin was generally well-tolerated. All participants in AURORA and BEACON were eligible to participate in HELIOS, an ongoing open-label, long-term extension study of bitopertin in EPP and XLP patients. Interim data from HELIOS, presented in June 2025 and June 2026, demonstrated that longer term treatment of bitopertin was associated with sustained reductions in PPIX, as well as improvements in quality of life and liver biomarkers.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S-5 </w:t>
      </w:r>
      <w:r>
        <w:br w:type="page"/>
      </w:r>
    </w:p>
    <w:p>
      <w:pPr>
        <w:pStyle w:val="HorizontalLine"/>
        <w:pBdr>
          <w:bottom w:val="double" w:sz="6" w:space="0" w:color="808080"/>
        </w:pBdr>
        <w:bidi w:val="0"/>
        <w:jc w:val="left"/>
        <w:rPr/>
      </w:pPr>
      <w:r>
        <w:rPr/>
      </w:r>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In September 2025 we submitted a New Drug Application, or NDA, for accelerated approval of bitopertin in EPP and XLP in the United States based on our Phase 2 data. The U.S. Food and Drug Administration, or FDA, accepted our NDA for review in November 2025 and in February 2026 issued a complete response letter, or CRL. The FDA concluded that the AURORA and BEACON trials did not show evidence of association between percent change in PPIX and sunlight exposure-based endpoints as measured in the trials, resulting in uncertainty regarding whether bitopertin’s effect on PPIX is reasonably likely to predict clinical benefit, despite the strong mechanistic and biological plausibility supporting the use of the PPIX biomarker in protoporphyria. In our Type A meeting during the second quarter of 2026, the FDA indicated that results of the Phase 3 APOLLO trial, if successful, could serve as the basis for a response to the CRL and could potentially support a traditional approval. With the positive topline results from APOLLO, we plan to resubmit an NDA to the FDA by the end of 2026 and would then anticipate an FDA decision on our NDA by mid-2027.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Our APOLLO clinical trial is also intended to serve as a registrational trial with respect to any potential future marketing applications for bitopertin in EPP and XLP outside the United States. We continue to evaluate potential additional trials of bitopertin in other indications. </w:t>
      </w:r>
    </w:p>
    <w:p>
      <w:pPr>
        <w:pStyle w:val="TextBody"/>
        <w:bidi w:val="0"/>
        <w:spacing w:before="36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Iron Homeostasis: Selcodebart (DISC-0974) and DISC-3405 </w:t>
      </w:r>
    </w:p>
    <w:p>
      <w:pPr>
        <w:pStyle w:val="TextBody"/>
        <w:bidi w:val="0"/>
        <w:spacing w:before="12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Selcodebart (DISC-0974)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Selcodebart is the lead product candidate in our iron homeostasis portfolio and was licensed from AbbVie Deutschland GmbH &amp; Co. KG, or AbbVie. Selcodebart is designed to suppress hepcidin production and increase serum iron levels. We completed a Phase 1 clinical trial in healthy volunteers in the United States in June 2022, with results showing an acceptable tolerability profile and evidence of target engagement, iron mobilization and augmented erythropoiesis. We initiated a Phase 1b/2 clinical trial in June 2022 in patients with anemia of MF, with results from the Phase 1b portion of this clinical trial showing substantial and sustained reductions in hepcidin levels and increases in iron alongside strong hematologic responses across patient types and an acceptable tolerability profile. We initiated RALLY-MF, the open-label Phase 2 portion of this clinical trial, in December 2024 and reported initial data in December 2025 and interim data in June 2026, with results demonstrating meaningful overall anemia responses across all patient subgroups, regardless of baseline transfusion status and independent of concomitant Janus Kinase, or JAK, inhibitor therapy use. We expect to share additional data and hold an end-of-Phase 2 meeting with the FDA for selcodebart in anemia of MF by the end of 2026. We anticipate initiating a Phase 3 clinical program for selcodebart in anemia of MF in the first half of 2027, subject to the outcome of our end-of-Phase 2 meeting with the FDA. We also initiated RALLY-IBD, a Phase 2 clinical trial of selcodebart in patients with IBD and anemia in the first quarter of 2026, with initial data anticipated in 2027, and we are planning exploratory studies in additional patient populations with anemia of chronic disease. We are also developing a preclinical anti-hemojuvelin, or HJV, monoclonal antibody, DISC-0998, which also targets hepcidin suppression and was licensed from AbbVie. DISC-0998 is designed to increase serum iron levels and has an extended serum half-life as compared to selcodebart. We believe this profile may be desirable in certain subsets of patients with anemia associated with inflammatory diseases. </w:t>
      </w:r>
    </w:p>
    <w:p>
      <w:pPr>
        <w:pStyle w:val="TextBody"/>
        <w:bidi w:val="0"/>
        <w:spacing w:before="36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DISC-3405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are also developing DISC-3405, a monoclonal antibody against Transmembrane Serine Protease 6, or TMPRSS6, that we licensed from Mabwell Therapeutics, Inc. DISC-3405 is part of our iron homeostasis portfolio and is designed to induce hepcidin production and reduce serum iron levels. We initiated a Phase 1 clinical trial of DISC-3405 in healthy adult volunteers in October 2023, with results showing an acceptable tolerability profile and evidence of target engagement, including dose-related increases in serum hepcidin and corresponding reductions in serum iron across all dose levels. We are developing DISC-3405 for the treatment of PV, SCD, and other hematologic disorders. We initiated RESTORE-PV, an open-label Phase 2 clinical trial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S-6 </w:t>
      </w:r>
      <w:r>
        <w:br w:type="page"/>
      </w:r>
    </w:p>
    <w:p>
      <w:pPr>
        <w:pStyle w:val="HorizontalLine"/>
        <w:pBdr>
          <w:bottom w:val="double" w:sz="6" w:space="0" w:color="808080"/>
        </w:pBdr>
        <w:bidi w:val="0"/>
        <w:jc w:val="left"/>
        <w:rPr/>
      </w:pPr>
      <w:r>
        <w:rPr/>
      </w:r>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DISC-3405 in patients with PV, in June 2025, and reported initial efficacy data from Cohort A of this trial in September 2026, with results demonstrating that treatment with DISC-3405 increased hepcidin and lowered serum iron, translating to reduction in phlebotomy events, controlled hematocrit, and improved symptom burden in patients with PV. In this initial data, DISC-3405 was generally well-tolerated in participants in Cohort A and Cohort B with adverse events that were consistent with underlying disease and a low rate of injection site reactions, which were mild and self-limited. We expect to report additional data from our RESTORE-PV clinical trial by the end of 2026 and topline data in 2027. If positive, and subject to engagement with the FDA, we anticipate initiating a Phase 3 clinical program for DISC-3405 in PV in 2027. We also initiated a Phase 1b, open-label clinical trial of DISC-3405 in patients with SCD in October 2025, with initial data expected in the fourth quarter of 2026, and plan to explore the role of therapeutic iron restriction in other indications. </w:t>
      </w:r>
    </w:p>
    <w:p>
      <w:pPr>
        <w:pStyle w:val="TextBody"/>
        <w:bidi w:val="0"/>
        <w:spacing w:before="0" w:after="0"/>
        <w:jc w:val="left"/>
        <w:rPr>
          <w:bdr w:val="single" w:sz="8" w:space="1" w:color="000000"/>
        </w:rPr>
      </w:pPr>
      <w:r>
        <w:rPr>
          <w:bdr w:val="single" w:sz="8" w:space="1" w:color="000000"/>
        </w:rPr>
        <w:t>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Recent Developments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On October 19, 2026, we announced positive topline results from APOLLO Phase 3 trial of bitopertin in EPP, including XLP. The trial met all its primary and secondary endpoints.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APOLLO is a randomized, double-blind pivotal Phase 3 trial evaluating the safety and efficacy of bitopertin versus placebo in adults and adolescents aged 12 or older with EPP or XLP. The trial enrolled 183 patients across the United States, Canada, Europe, and Australia, who were stratified by baseline light tolerance and geography and randomized 1:1 to receive 60 mg oral bitopertin or placebo once daily for 6 months. </w:t>
      </w:r>
    </w:p>
    <w:p>
      <w:pPr>
        <w:pStyle w:val="TextBody"/>
        <w:bidi w:val="0"/>
        <w:spacing w:before="36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Bitopertin: Summary of Phase 3 APOLLO Topline Data Results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Bitopertin achieved statistical significance on both co-primary endpoints vs. placebo: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019"/>
        <w:gridCol w:w="204"/>
        <w:gridCol w:w="102"/>
        <w:gridCol w:w="8880"/>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Reduction in whole-blood metal-free PPIX from baseline (-41.4% vs. placebo, p&lt;0.0001)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020"/>
        <w:gridCol w:w="203"/>
        <w:gridCol w:w="100"/>
        <w:gridCol w:w="8882"/>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Increase in average monthly total time in light without pain during month 6 (+12.2 hours vs. placebo, p=0.0010)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Bitopertin achieved statistical significance on all secondary endpoints vs. placebo, including: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020"/>
        <w:gridCol w:w="204"/>
        <w:gridCol w:w="101"/>
        <w:gridCol w:w="8880"/>
      </w:tblGrid>
      <w:tr>
        <w:trPr/>
        <w:tc>
          <w:tcPr>
            <w:tcW w:w="102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Reduction in incidence rate of phototoxic reactions over the 6-month treatment period vs. placebo (p&lt;0.0001)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Increase in cumulative total time in light without pain over the 6-month treatment period vs. placebo (p&lt;0.0001)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Increase in change from baseline in average daily sunlight exposure time to prodrome vs. placebo (p=0.0077, adults only)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Bitopertin demonstrated additional quality of life benefits vs. placebo, including improved Patient Global Impression of Change (PGIC) score (p&lt;0.0001) and Patient Global Impression of Severity (PGIS) score (p&lt;0.0001)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Bitopertin was generally well-tolerated. Consistent with prior studies, dizziness was the most commonly reported treatment emergent adverse event, or TEAE, in the bitopertin group (50%) and was mild or moderate and generally transient. There were no TEAEs above Grade 3. </w:t>
            </w:r>
          </w:p>
        </w:tc>
      </w:tr>
    </w:tbl>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APOLLO clinical trial adds to an extensive clinical data package supporting bitopertin’s potential in EPP. Based on these results, we plan to resubmit an NDA to the FDA by the end of 2026, with an FDA decision anticipated by mid-2027.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S-7 </w:t>
      </w:r>
      <w:r>
        <w:br w:type="page"/>
      </w:r>
    </w:p>
    <w:p>
      <w:pPr>
        <w:pStyle w:val="HorizontalLine"/>
        <w:pBdr>
          <w:bottom w:val="double" w:sz="6" w:space="0" w:color="808080"/>
        </w:pBdr>
        <w:bidi w:val="0"/>
        <w:jc w:val="left"/>
        <w:rPr/>
      </w:pPr>
      <w:r>
        <w:rPr/>
      </w:r>
    </w:p>
    <w:p>
      <w:pPr>
        <w:pStyle w:val="TextBody"/>
        <w:bidi w:val="0"/>
        <w:spacing w:before="0" w:after="0"/>
        <w:ind w:left="0" w:right="0" w:hanging="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Preliminary Unaudited Financial Information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Based upon preliminary estimates and information available to us as of the date of this prospectus supplement, as of September 30, 2026, we had approximately $682.8 million in cash, cash equivalents and marketable securities.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The foregoing estimate as of September 30, 2026 is preliminary. We are in the process of finalizing the actual results of operations as of and for the nine months ended September 30, 2026 and therefore final results are not yet available. This preliminary estimate is based solely upon information available to us as of the date of this prospectus supplement and our actual results may differ from this estimate due to the completion of our financial statement closing procedures, final adjustments, and developments that may arise between now and the time our financial results as of and for the nine months ended September 30, 2026 are finalized. Additionally, our independent registered public accounting firm has not yet completed its review of our condensed consolidated financial statements as of and for the nine months ended September 30, 2026. Additional information and disclosure would be required for a more complete understanding of our financial position and results of operations as of and for the nine months ended September 30, 2026. Investors should refer to the actual results and the unaudited condensed consolidated financial statements as of and for the nine months ended September 30, 2026 once they become available upon filing of our Quarterly Report on Form 10-Q.</w:t>
      </w:r>
    </w:p>
    <w:p>
      <w:pPr>
        <w:pStyle w:val="TextBody"/>
        <w:bidi w:val="0"/>
        <w:spacing w:before="0" w:after="0"/>
        <w:jc w:val="left"/>
        <w:rPr>
          <w:bdr w:val="single" w:sz="8" w:space="1" w:color="000000"/>
        </w:rPr>
      </w:pPr>
      <w:r>
        <w:rPr>
          <w:bdr w:val="single" w:sz="8" w:space="1" w:color="000000"/>
        </w:rPr>
        <w:t>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Our independent registered public accounting firm has not audited, reviewed or performed any procedures with respect to these preliminary estimates and, accordingly, does not express an opinion or any other form of assurance about them.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Corporate History and Information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Disc Medicine, Inc. was originally incorporated under the laws of the state of Delaware in October 2017, and changed its name to Disc Medicine Opco, Inc., or Disc Opco, in December 2022. On December 29, 2022, we completed our business combination with Gemini Therapeutics, Inc., or Gemini, in accordance with the terms of the Agreement and Plan of Merger and Reorganization, dated as of August 9, 2022, or the Merger Agreement, by and among Gemini, us and Gemstone Merger Sub, Inc., a Delaware corporation and a wholly owned subsidiary of Gemini, Merger Sub, pursuant to which, among other matters, Merger Sub merged with and into Disc Opco, with Disc Opco continuing as a wholly owned subsidiary of us and the surviving corporation of the merger, or the Merger. In connection with the closing of the Merger, Gemini changed its name to Disc Medicine, Inc.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Our principal executive offices are located at 321 Arsenal Street, Suite 101, Watertown, MA 02472, and our telephone number is (617) 674-9274. We maintain an Internet website at the following address: www.discmedicine.com. Information contained on or accessible through our website is not a part of or incorporated by reference into this prospectus supplement or the accompanying prospectus, and you should not consider any information on, or that can be accessed from, our website as part of this prospectus supplement or the accompanying 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S-8 </w:t>
      </w:r>
      <w:r>
        <w:br w:type="page"/>
      </w:r>
    </w:p>
    <w:p>
      <w:pPr>
        <w:pStyle w:val="HorizontalLine"/>
        <w:pBdr>
          <w:bottom w:val="double" w:sz="6" w:space="0" w:color="808080"/>
        </w:pBdr>
        <w:bidi w:val="0"/>
        <w:jc w:val="left"/>
        <w:rPr/>
      </w:pPr>
      <w:r>
        <w:rPr/>
      </w:r>
    </w:p>
    <w:p>
      <w:pPr>
        <w:pStyle w:val="TextBody"/>
        <w:bidi w:val="0"/>
        <w:spacing w:before="0" w:after="0"/>
        <w:ind w:left="0" w:right="0" w:hanging="0"/>
        <w:jc w:val="center"/>
        <w:rPr>
          <w:rFonts w:ascii="Times New Roman" w:hAnsi="Times New Roman"/>
          <w:b/>
          <w:sz w:val="20"/>
          <w:bdr w:val="single" w:sz="8" w:space="1" w:color="000000"/>
        </w:rPr>
      </w:pPr>
      <w:r>
        <w:rPr>
          <w:rFonts w:ascii="Times New Roman" w:hAnsi="Times New Roman"/>
          <w:b/>
          <w:sz w:val="20"/>
          <w:bdr w:val="single" w:sz="8" w:space="1" w:color="000000"/>
        </w:rPr>
        <w:t xml:space="preserve">THE OFFERING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Issuer </w:t>
            </w:r>
          </w:p>
        </w:tc>
        <w:tc>
          <w:tcPr>
            <w:tcW w:w="6328" w:type="dxa"/>
            <w:tcBorders/>
          </w:tcPr>
          <w:p>
            <w:pPr>
              <w:pStyle w:val="TableContents"/>
              <w:bidi w:val="0"/>
              <w:spacing w:before="0" w:after="283"/>
              <w:jc w:val="left"/>
              <w:rPr/>
            </w:pPr>
            <w:r>
              <w:rPr/>
              <w:t xml:space="preserve">Disc Medicine, Inc.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Common stock offered by us </w:t>
            </w:r>
          </w:p>
        </w:tc>
        <w:tc>
          <w:tcPr>
            <w:tcW w:w="6327" w:type="dxa"/>
            <w:tcBorders/>
          </w:tcPr>
          <w:p>
            <w:pPr>
              <w:pStyle w:val="TableContents"/>
              <w:bidi w:val="0"/>
              <w:spacing w:before="0" w:after="283"/>
              <w:jc w:val="left"/>
              <w:rPr/>
            </w:pPr>
            <w:r>
              <w:rPr/>
              <w:t xml:space="preserve">6,000,000 shares.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sz w:val="20"/>
              </w:rPr>
              <w:t>Common stock to be outstanding immediately after</w:t>
              <w:br/>
              <w:t xml:space="preserve">this offering </w:t>
            </w:r>
          </w:p>
        </w:tc>
        <w:tc>
          <w:tcPr>
            <w:tcW w:w="6328" w:type="dxa"/>
            <w:tcBorders/>
          </w:tcPr>
          <w:p>
            <w:pPr>
              <w:pStyle w:val="TableContents"/>
              <w:bidi w:val="0"/>
              <w:spacing w:before="0" w:after="283"/>
              <w:jc w:val="left"/>
              <w:rPr/>
            </w:pPr>
            <w:r>
              <w:rPr/>
              <w:t xml:space="preserve">44,345,666 shares (or 45,245,666 shares, if the underwriters exercise their option in full to purchase additional shares).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Option to purchase additional shares </w:t>
            </w:r>
          </w:p>
        </w:tc>
        <w:tc>
          <w:tcPr>
            <w:tcW w:w="6327" w:type="dxa"/>
            <w:tcBorders/>
          </w:tcPr>
          <w:p>
            <w:pPr>
              <w:pStyle w:val="TableContents"/>
              <w:bidi w:val="0"/>
              <w:spacing w:before="0" w:after="283"/>
              <w:jc w:val="left"/>
              <w:rPr/>
            </w:pPr>
            <w:r>
              <w:rPr/>
              <w:t xml:space="preserve">We have granted the underwriters a 30-day option to purchase up to 900,000 additional shares of our common stock at the public offering price less the underwriting discounts and commissions.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Use of proceeds </w:t>
            </w:r>
          </w:p>
        </w:tc>
        <w:tc>
          <w:tcPr>
            <w:tcW w:w="6328" w:type="dxa"/>
            <w:tcBorders/>
          </w:tcPr>
          <w:p>
            <w:pPr>
              <w:pStyle w:val="TableContents"/>
              <w:bidi w:val="0"/>
              <w:spacing w:before="0" w:after="283"/>
              <w:jc w:val="left"/>
              <w:rPr/>
            </w:pPr>
            <w:r>
              <w:rPr/>
              <w:t xml:space="preserve">We currently intend to use the net proceeds from this offering, together with our existing cash, cash equivalents and marketable securities, to fund research and clinical development of our current or additional product candidates, to support the potential commercialization of bitopertin for EPP and XLP, and additional pre-commercialization activities for our other product candidates, and the remainder for working capital and other general corporate purposes. We may also use a portion of the net proceeds to in-license, acquire or invest in complementary businesses or technologies to continue to build our pipeline, research and development capabilities and our intellectual property position. See “Use of Proceeds” on page S-16 of this prospectus supplement.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Risk factors </w:t>
            </w:r>
          </w:p>
        </w:tc>
        <w:tc>
          <w:tcPr>
            <w:tcW w:w="6328" w:type="dxa"/>
            <w:tcBorders/>
          </w:tcPr>
          <w:p>
            <w:pPr>
              <w:pStyle w:val="TableContents"/>
              <w:bidi w:val="0"/>
              <w:spacing w:before="0" w:after="283"/>
              <w:jc w:val="left"/>
              <w:rPr/>
            </w:pPr>
            <w:r>
              <w:rPr/>
              <w:t xml:space="preserve">Your investment involves a high degree of risk. You should read the “Risk Factors” sections of this prospectus supplement beginning on page S-11 and page 10 in the accompanying prospectus and in our Quarterly Report on Form 10-Q for the quarter ended June 30, 2026, as well as the other documents incorporated by reference in this prospectus supplement and the accompanying prospectus for a discussion of factors to consider carefully before deciding to invest in our securities.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Nasdaq Global Market symbol </w:t>
            </w:r>
          </w:p>
        </w:tc>
        <w:tc>
          <w:tcPr>
            <w:tcW w:w="6329" w:type="dxa"/>
            <w:tcBorders/>
          </w:tcPr>
          <w:p>
            <w:pPr>
              <w:pStyle w:val="TableContents"/>
              <w:bidi w:val="0"/>
              <w:spacing w:before="0" w:after="283"/>
              <w:jc w:val="left"/>
              <w:rPr/>
            </w:pPr>
            <w:r>
              <w:rPr/>
              <w:t>“</w:t>
            </w:r>
            <w:r>
              <w:rPr/>
              <w:t xml:space="preserve">IRON”. </w:t>
            </w:r>
          </w:p>
        </w:tc>
      </w:tr>
    </w:tbl>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number of shares of our common stock that will be outstanding immediately after this offering as shown above is based on 38,345,666 shares outstanding as of June 30, 2026. The number of shares outstanding as of June 30, 2026 as used throughout this prospectus supplement, unless otherwise indicated, excludes: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3,706,349 shares of common stock issuable upon the exercise of stock options outstanding as of June 30, 2026, at a weighted average exercise price of $44.95 per share;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37,023 shares of common stock issuable upon the exercise of stock options granted subsequent to June 30, 2026, at a weighted average exercise price of $68.55 per share;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1,348,329 shares of common stock issuable upon the vesting of restricted stock units outstanding as of June 30, 2026;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S-9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55,857 shares of common stock issuable upon the vesting of restricted stock units granted subsequent to June 30, 2026;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1,656,017 shares of common stock available for issuance under our Amended and Restated 2021 Stock Option and Incentive Plan as of June 30, 2026;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313,206 shares of common stock available for future issuance under our Amended and Restated 2021 Employee Stock Purchase Plan as of June 30, 2026;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445,422 shares of common stock issuable upon the exercise of pre-funded warrants outstanding as of June 30, 2026. </w:t>
            </w:r>
          </w:p>
        </w:tc>
      </w:tr>
    </w:tbl>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Except as otherwise indicated, all information in this prospectus supplement: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assumes no exercise of the underwriters’ option to purchase up to 900,000 additional shares of common stock in this offering;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assumes no exercise of the outstanding stock options or pre-funded warrants or vesting of restricted stock units as described above;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does not reflect the potential issuance of up to $189.9 million of common stock that remains available for sale as of the date of this prospectus supplement under our Controlled Equity OfferingSM Sales Agreement, or Sales Agreement, with Cantor Fitzgerald &amp; Co. dated November 15, 2024.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S-10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6" w:name="supptx190758_4"/>
      <w:bookmarkEnd w:id="6"/>
      <w:r>
        <w:rPr>
          <w:rFonts w:ascii="Times New Roman" w:hAnsi="Times New Roman"/>
          <w:b/>
          <w:sz w:val="20"/>
        </w:rPr>
        <w:t xml:space="preserve">RISK FACTORS </w:t>
      </w:r>
    </w:p>
    <w:p>
      <w:pPr>
        <w:pStyle w:val="TextBody"/>
        <w:bidi w:val="0"/>
        <w:spacing w:before="240" w:after="0"/>
        <w:jc w:val="left"/>
        <w:rPr>
          <w:rFonts w:ascii="Times New Roman" w:hAnsi="Times New Roman"/>
          <w:i/>
          <w:sz w:val="20"/>
        </w:rPr>
      </w:pPr>
      <w:r>
        <w:rPr>
          <w:rFonts w:ascii="Times New Roman" w:hAnsi="Times New Roman"/>
          <w:i/>
          <w:sz w:val="20"/>
        </w:rPr>
        <w:t xml:space="preserve">Your investment in our common stock or involves a high degree of risk. Before deciding whether to invest in our common stock, you should carefully consider the risks discussed under the section captioned “Risk Factors” contained in our Quarterly Report on Form 10-Q for the quarter ended June 30, 2026 which is incorporated by reference in this prospectus supplement and the accompanying prospectus in its entirety, together with other information in this prospectus supplement, the accompanying prospectus and in our other filings with the SEC that we have incorporated by reference herein and therein. If any of these risks actually occurs, our business, financial condition, results of operations or cash flow could be seriously harmed. This could cause the trading price of our common stock to decline, resulting in a loss of all or part of your investment.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Related to this Offering </w:t>
      </w:r>
    </w:p>
    <w:p>
      <w:pPr>
        <w:pStyle w:val="TextBody"/>
        <w:bidi w:val="0"/>
        <w:spacing w:before="120" w:after="0"/>
        <w:jc w:val="left"/>
        <w:rPr>
          <w:rFonts w:ascii="Times New Roman" w:hAnsi="Times New Roman"/>
          <w:b/>
          <w:i/>
          <w:sz w:val="20"/>
        </w:rPr>
      </w:pPr>
      <w:r>
        <w:rPr>
          <w:rFonts w:ascii="Times New Roman" w:hAnsi="Times New Roman"/>
          <w:b/>
          <w:i/>
          <w:sz w:val="20"/>
        </w:rPr>
        <w:t xml:space="preserve">If you purchase shares of our common stock sold in this offering, you will experience immediate and substantial dilution. In addition, we may issue additional equity or convertible securities in the future, which may result in additional dilution to you. </w:t>
      </w:r>
    </w:p>
    <w:p>
      <w:pPr>
        <w:pStyle w:val="TextBody"/>
        <w:bidi w:val="0"/>
        <w:spacing w:before="120" w:after="0"/>
        <w:jc w:val="left"/>
        <w:rPr>
          <w:rFonts w:ascii="Times New Roman" w:hAnsi="Times New Roman"/>
          <w:sz w:val="20"/>
        </w:rPr>
      </w:pPr>
      <w:r>
        <w:rPr>
          <w:rFonts w:ascii="Times New Roman" w:hAnsi="Times New Roman"/>
          <w:sz w:val="20"/>
        </w:rPr>
        <w:t xml:space="preserve">Since the price per share of our common stock being offered is higher than the net tangible book value per share of our common stock, you will suffer dilution with respect to the net tangible book value of the shares of common stock you purchase in this offering. Based on the public offering price of $75.00 per share of our common stock and our net tangible book value as of June 30, 2026, if you purchase shares of common stock in this offering, you will suffer immediate dilution of $50.95 per share with respect to the net tangible book value of the common stock. For a more detailed discussion of the foregoing, see the section entitled “Dilution” below. To the extent outstanding stock options are exercised, or restricted stock units vest and settle, there will be further dilution to investors. In addition, to the extent we need to raise additional capital in the future, under our Sales Agreement with Cantor Fitzgerald &amp; Co. or otherwise, and we issue additional shares of common stock or securities convertible or exchangeable for our common stock, our then existing stockholders may experience dilution and the new securities may have rights senior to those of our common stock offered in this offering.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have broad discretion in the use of the net proceeds from this offering and may use them in ways that you and other stockholders may not approve. </w:t>
      </w:r>
    </w:p>
    <w:p>
      <w:pPr>
        <w:pStyle w:val="TextBody"/>
        <w:bidi w:val="0"/>
        <w:spacing w:before="120" w:after="0"/>
        <w:jc w:val="left"/>
        <w:rPr>
          <w:rFonts w:ascii="Times New Roman" w:hAnsi="Times New Roman"/>
          <w:sz w:val="20"/>
        </w:rPr>
      </w:pPr>
      <w:r>
        <w:rPr>
          <w:rFonts w:ascii="Times New Roman" w:hAnsi="Times New Roman"/>
          <w:sz w:val="20"/>
        </w:rPr>
        <w:t xml:space="preserve">We currently expect to use the net proceeds of this offering to fund research and clinical development of our current or additional product candidates, to support the potential commercialization of bitopertin for EPP and XLP, and additional pre-commercialization activities for our other product candidates, and the remainder for working capital and other general corporate purposes. We may also use a portion of the net proceeds to in-license, acquire or invest in complementary businesses or technologies to continue to build our pipeline, research and development capabilities and our intellectual property position. Because of the number and variability of factors that will determine our use of the net proceeds from this offering, their ultimate use may vary substantially from their currently intended use. Our management will have broad discretion in the application of the net proceeds from this offering and you will not have the opportunity as part of your investment decision to assess whether the net proceeds are being used appropriately. Our management might not spend the net proceeds in ways that improve our results of operations or enhance the value of our common stock. The failure by our management to apply these funds effectively could result in financial losses that could have a material adverse effect on our business, cause the price of our common stock to decline and delay the development of our product candidates. Pending their use, we may invest the net proceeds from this offering in a manner that does not produce income or that loses value. See “Use of Proceeds.” </w:t>
      </w:r>
    </w:p>
    <w:p>
      <w:pPr>
        <w:pStyle w:val="TextBody"/>
        <w:bidi w:val="0"/>
        <w:spacing w:before="360" w:after="0"/>
        <w:jc w:val="left"/>
        <w:rPr>
          <w:rFonts w:ascii="Times New Roman" w:hAnsi="Times New Roman"/>
          <w:b/>
          <w:i/>
          <w:sz w:val="20"/>
        </w:rPr>
      </w:pPr>
      <w:r>
        <w:rPr>
          <w:rFonts w:ascii="Times New Roman" w:hAnsi="Times New Roman"/>
          <w:b/>
          <w:i/>
          <w:sz w:val="20"/>
        </w:rPr>
        <w:t xml:space="preserve">You may experience future dilution as a result of future equity offerings. </w:t>
      </w:r>
    </w:p>
    <w:p>
      <w:pPr>
        <w:pStyle w:val="TextBody"/>
        <w:bidi w:val="0"/>
        <w:spacing w:before="120" w:after="0"/>
        <w:jc w:val="left"/>
        <w:rPr>
          <w:rFonts w:ascii="Times New Roman" w:hAnsi="Times New Roman"/>
          <w:sz w:val="20"/>
        </w:rPr>
      </w:pPr>
      <w:r>
        <w:rPr>
          <w:rFonts w:ascii="Times New Roman" w:hAnsi="Times New Roman"/>
          <w:sz w:val="20"/>
        </w:rPr>
        <w:t xml:space="preserve">To raise additional capital, we may in the future offer additional shares of our common stock or other securities convertible into or exchangeable for our common stock at prices that may not be the same as the price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per share in this offering. We may sell shares or other securities in any other offering at a price per share that is less than the price per share paid by investors in this offering, and investors purchasing shares or other securities in the future could have rights superior to existing stockholders. The price per share at which we sell additional shares of our common stock, or securities convertible or exchangeable into common stock, in future transactions may be higher or lower than the price per share paid by investors in this offering. </w:t>
      </w:r>
    </w:p>
    <w:p>
      <w:pPr>
        <w:pStyle w:val="TextBody"/>
        <w:bidi w:val="0"/>
        <w:spacing w:before="360" w:after="0"/>
        <w:jc w:val="left"/>
        <w:rPr>
          <w:rFonts w:ascii="Times New Roman" w:hAnsi="Times New Roman"/>
          <w:b/>
          <w:i/>
          <w:sz w:val="20"/>
        </w:rPr>
      </w:pPr>
      <w:r>
        <w:rPr>
          <w:rFonts w:ascii="Times New Roman" w:hAnsi="Times New Roman"/>
          <w:b/>
          <w:i/>
          <w:sz w:val="20"/>
        </w:rPr>
        <w:t xml:space="preserve">Sales of a substantial number of shares of our common stock in the public market after this offering could cause our stock price to fall. </w:t>
      </w:r>
    </w:p>
    <w:p>
      <w:pPr>
        <w:pStyle w:val="TextBody"/>
        <w:bidi w:val="0"/>
        <w:spacing w:before="120" w:after="0"/>
        <w:jc w:val="left"/>
        <w:rPr>
          <w:rFonts w:ascii="Times New Roman" w:hAnsi="Times New Roman"/>
          <w:sz w:val="20"/>
        </w:rPr>
      </w:pPr>
      <w:r>
        <w:rPr>
          <w:rFonts w:ascii="Times New Roman" w:hAnsi="Times New Roman"/>
          <w:sz w:val="20"/>
        </w:rPr>
        <w:t xml:space="preserve">Sales of a substantial number of shares of our common stock in the public market could occur at any time. If our stockholders sell, or the market perceives that our stockholders intend to sell, substantial amounts of our common stock in the public market, the market price of our common stock could decline significantly. We had 38,345,666 shares of common stock outstanding as of June 30, 2026. We filed an automatic registration statement on Form S-3 (Registration No. 333-281359) that became automatically effective on August 8, 2024, and which registers the offer and sale from time to time of a variety of securities, including common stock, preferred stock, debt securities, warrants or units pursuant to one or more offerings at prices and terms to be determined at the time of sale. In addition, we filed a registration statement on Form S-3 (Registration No. 333-269270) that became effective on January 24, 2023, and which registers the offer and sale from time to time of our common stock by certain of our stockholders, pursuant to one or more offerings at prices and terms to be determined at the time of sale. To the extent shares are sold into the market pursuant to these registration statements on Form S-3, under Rule 144 of the Securities Act or otherwise, particularly in substantial quantities, the market price of our common stock could decline. </w:t>
      </w:r>
    </w:p>
    <w:p>
      <w:pPr>
        <w:pStyle w:val="TextBody"/>
        <w:bidi w:val="0"/>
        <w:spacing w:before="240" w:after="0"/>
        <w:jc w:val="left"/>
        <w:rPr>
          <w:rFonts w:ascii="Times New Roman" w:hAnsi="Times New Roman"/>
          <w:sz w:val="20"/>
        </w:rPr>
      </w:pPr>
      <w:r>
        <w:rPr>
          <w:rFonts w:ascii="Times New Roman" w:hAnsi="Times New Roman"/>
          <w:sz w:val="20"/>
        </w:rPr>
        <w:t xml:space="preserve">We cannot predict what effect, if any, sales of our shares in the public market or the availability of shares for sale will have on the market price of our common stock. However, future sales of substantial amounts of our common stock in the public market, including shares issued upon exercise of outstanding options or pre-funded warrants, or the perception that such sales may occur, could adversely affect the market price of our common stock. </w:t>
      </w:r>
    </w:p>
    <w:p>
      <w:pPr>
        <w:pStyle w:val="TextBody"/>
        <w:bidi w:val="0"/>
        <w:spacing w:before="240" w:after="0"/>
        <w:jc w:val="left"/>
        <w:rPr>
          <w:rFonts w:ascii="Times New Roman" w:hAnsi="Times New Roman"/>
          <w:sz w:val="20"/>
        </w:rPr>
      </w:pPr>
      <w:r>
        <w:rPr>
          <w:rFonts w:ascii="Times New Roman" w:hAnsi="Times New Roman"/>
          <w:sz w:val="20"/>
        </w:rPr>
        <w:t xml:space="preserve">We may raise money through additional public or private offerings of our equity securities or equity-linked securities. For example, in November 2024, we entered into the Sales Agreement pursuant to which we may offer and sell, from time to time to or through Cantor Fitzgerald &amp; Co., acting as our sales agent, shares of common stock having an aggregate offering price of up to $200.0 million. As of the date of this prospectus supplement, we may issue and sell shares of our common stock having an aggregate offering price of up to $189.9 million under our “at-the-market” offering program. Any sales of our equity or equity-linked securities could have a material adverse effect on the market price of our common stock.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this offering, we, our directors and executive officers have entered into lock-up agreements covering some or all of their equity ownership for a period of 45 days following this offering. The lock-up agreements are subject to various exceptions, and we, our directors and executive officers may be released from the lock-up agreements prior to the expiration of the lock-up period at the sole discretion of Jefferies LLC, Leerink Partners LLC and Morgan Stanley &amp; Co. LLC. See the section entitled “Underwriting.” Upon expiration or earlier release of the lock-up agreements, we and our directors and executive officers may sell previously locked-up shares into the market, which could adversely affect the market price of shares of our common stock. </w:t>
      </w:r>
    </w:p>
    <w:p>
      <w:pPr>
        <w:pStyle w:val="TextBody"/>
        <w:bidi w:val="0"/>
        <w:spacing w:before="240" w:after="0"/>
        <w:jc w:val="left"/>
        <w:rPr>
          <w:rFonts w:ascii="Times New Roman" w:hAnsi="Times New Roman"/>
          <w:sz w:val="20"/>
        </w:rPr>
      </w:pPr>
      <w:r>
        <w:rPr>
          <w:rFonts w:ascii="Times New Roman" w:hAnsi="Times New Roman"/>
          <w:sz w:val="20"/>
        </w:rPr>
        <w:t xml:space="preserve">We also expect that significant additional capital may be needed in the future to continue our planned operations. To raise capital, we may sell common stock, convertible securities or other equity securities in one or more transactions at prices and in a manner we determine from time to time. These sales, or the perception in the market that the holders of a large number of shares intend to sell shares, could reduce the market price of our common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addition, we have a significant number of stock options and restricted stock units outstanding and our board of directors intends to grant additional stock options, and may also choose to issue additional restricted stock units, common stock, or securities convertible into or exchangeable for common stock, in the future in connection with a financing, an acquisition, employee arrangements or otherwise. In the event that the outstanding options are exercised or that we make additional issuances of common stock or other convertible or exchangeable securities, you could experience additional dilution. Furthermore, we cannot assure you that we will be able to issue shares or other securities in any other offering at a price per share that is equal to or greater than the price per share paid by investors in this offering, and investors purchasing our securities in the future may have rights superior to investors purchasing shares in this offering.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trading price of the shares of our common stock has been, and may continue to be, highly volatile, and purchasers of our common stock could incur substantial losses. </w:t>
      </w:r>
    </w:p>
    <w:p>
      <w:pPr>
        <w:pStyle w:val="TextBody"/>
        <w:bidi w:val="0"/>
        <w:spacing w:before="120" w:after="0"/>
        <w:jc w:val="left"/>
        <w:rPr>
          <w:rFonts w:ascii="Times New Roman" w:hAnsi="Times New Roman"/>
          <w:sz w:val="20"/>
        </w:rPr>
      </w:pPr>
      <w:r>
        <w:rPr>
          <w:rFonts w:ascii="Times New Roman" w:hAnsi="Times New Roman"/>
          <w:sz w:val="20"/>
        </w:rPr>
        <w:t xml:space="preserve">The volatility of our common stock may affect the price at which you could sell the shares of our common stock, and the sale of substantial amounts of our common stock could adversely affect the price of our common stock. Our stock price is likely to continue to be volatile and subject to significant price and volume fluctuations in response to market and other factors, including those described in the sections captioned “Risk Factors” in this prospectus supplement, the accompanying prospectus and the documents incorporated by reference herein and therein. </w:t>
      </w:r>
    </w:p>
    <w:p>
      <w:pPr>
        <w:pStyle w:val="TextBody"/>
        <w:bidi w:val="0"/>
        <w:spacing w:before="240" w:after="0"/>
        <w:jc w:val="left"/>
        <w:rPr>
          <w:rFonts w:ascii="Times New Roman" w:hAnsi="Times New Roman"/>
          <w:sz w:val="20"/>
        </w:rPr>
      </w:pPr>
      <w:r>
        <w:rPr>
          <w:rFonts w:ascii="Times New Roman" w:hAnsi="Times New Roman"/>
          <w:sz w:val="20"/>
        </w:rPr>
        <w:t xml:space="preserve">As a result, you may not be able to sell your shares of common stock at or above the price at which you purchase them. In addition, the stock market in general, and the Nasdaq Global Market and the stock of biotechnology and emerging pharmaceutical companies in particular, have experienced extreme price and volume fluctuations that have often been unrelated or disproportionate to the operating performance of these companies. Broad market and industry factors may negatively affect the market price of our common stock, regardless of our actual operating performance. </w:t>
      </w:r>
    </w:p>
    <w:p>
      <w:pPr>
        <w:pStyle w:val="TextBody"/>
        <w:bidi w:val="0"/>
        <w:spacing w:before="240" w:after="0"/>
        <w:jc w:val="left"/>
        <w:rPr>
          <w:rFonts w:ascii="Times New Roman" w:hAnsi="Times New Roman"/>
          <w:sz w:val="20"/>
        </w:rPr>
      </w:pPr>
      <w:r>
        <w:rPr>
          <w:rFonts w:ascii="Times New Roman" w:hAnsi="Times New Roman"/>
          <w:sz w:val="20"/>
        </w:rPr>
        <w:t xml:space="preserve">The stock market in general and the market for pharmaceutical and biotechnology companies in particular have experienced extreme volatility that has often been unrelated to the operating performance of particular companies. The market price for our common stock may be influenced by many factors,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issuance of new equity securities pursuant to a future offering, including issuances of preferred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interest rates;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develop our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competitive developments, including announcements by competitors of new products or services or significant contracts, acquisitions, strategic partnerships, joint ventures, or capital commitments;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variations in quarterly operating results or those of companies that are perceived to be similar to 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depth and liquidity of the market for our common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investor perceptions of our company and the pharmaceutical and biotechnology industries generally;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failure to meet or exceed financial and development projections we may provide to the public;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failure to meet or exceed the financial and development projections of the investment community;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degree of success of competitive products or technologies;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results of clinical trials and preclinical studies of our product candidates or those of our competitors;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regulatory or legal developments in the U.S. and other countries; actions taken by regulatory agencies with respect to our product candidates, clinical studies, and manufacturing processes;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S-13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receipt of, or failure to obtain, regulatory approvals, including approvals of NDAs from the FDA and our ability to use and benefit from any accelerated regulatory pathways;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developments or disputes concerning patent applications, issued patents, or other proprietary rights;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recruitment or departure of key personnel;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significant legal proceedings or lawsuits, including patent or stockholder litigation;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success of our corporate strategy and goals;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level of expenses related to our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results of our efforts to discover, develop, acquire, or in-license additional technologies or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actual or anticipated changes in estimates as to financial results, development timelines, or recommendations by securities analysts;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rumors or announcements regarding transactions involving our company or our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market conditions in the pharmaceutical and biotechnology sectors;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general economic, industry, and market conditions and other national conditions;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other factors described in this “Risk Factors” section.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S-14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7" w:name="supptx190758_5"/>
      <w:bookmarkEnd w:id="7"/>
      <w:r>
        <w:rPr>
          <w:rFonts w:ascii="Times New Roman" w:hAnsi="Times New Roman"/>
          <w:b/>
          <w:sz w:val="20"/>
        </w:rPr>
        <w:t xml:space="preserve">DIVIDEND POLICY </w:t>
      </w:r>
    </w:p>
    <w:p>
      <w:pPr>
        <w:pStyle w:val="TextBody"/>
        <w:bidi w:val="0"/>
        <w:spacing w:before="240" w:after="0"/>
        <w:jc w:val="left"/>
        <w:rPr>
          <w:rFonts w:ascii="Times New Roman" w:hAnsi="Times New Roman"/>
          <w:sz w:val="20"/>
        </w:rPr>
      </w:pPr>
      <w:r>
        <w:rPr>
          <w:rFonts w:ascii="Times New Roman" w:hAnsi="Times New Roman"/>
          <w:sz w:val="20"/>
        </w:rPr>
        <w:t xml:space="preserve">We have never declared or paid cash dividends on our capital stock. We currently plan to retain all of our future earnings, if any, to finance the operation, development and growth of our business. We do not expect to pay any cash dividends on our common stock in the foreseeable future. Payment of future dividends, if any, will be at the discretion of our board of directors and will depend on our financial condition, results of operations, capital requirements, restrictions contained in current or future financing instruments, provisions of applicable law and other factors the board deems relevant. Our ability to pay dividends on our common stock is restricted by the terms of our loan and security agreement with Hercules Capital, Inc., and may be restricted by the terms of any of our future indebtedness.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S-15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8" w:name="supptx190758_6"/>
      <w:bookmarkEnd w:id="8"/>
      <w:r>
        <w:rPr>
          <w:rFonts w:ascii="Times New Roman" w:hAnsi="Times New Roman"/>
          <w:b/>
          <w:sz w:val="20"/>
        </w:rPr>
        <w:t xml:space="preserve">USE OF PROCEEDS </w:t>
      </w:r>
    </w:p>
    <w:p>
      <w:pPr>
        <w:pStyle w:val="TextBody"/>
        <w:bidi w:val="0"/>
        <w:spacing w:before="240" w:after="0"/>
        <w:jc w:val="left"/>
        <w:rPr>
          <w:rFonts w:ascii="Times New Roman" w:hAnsi="Times New Roman"/>
          <w:sz w:val="20"/>
        </w:rPr>
      </w:pPr>
      <w:r>
        <w:rPr>
          <w:rFonts w:ascii="Times New Roman" w:hAnsi="Times New Roman"/>
          <w:sz w:val="20"/>
        </w:rPr>
        <w:t xml:space="preserve">We estimate that the net proceeds to us from the sale of the shares of common stock that we are offering will be approximately $422.4 million after deducting underwriting discounts and commissions and estimated offering expenses payable by us. </w:t>
      </w:r>
    </w:p>
    <w:p>
      <w:pPr>
        <w:pStyle w:val="TextBody"/>
        <w:bidi w:val="0"/>
        <w:spacing w:before="240" w:after="0"/>
        <w:jc w:val="left"/>
        <w:rPr>
          <w:rFonts w:ascii="Times New Roman" w:hAnsi="Times New Roman"/>
          <w:sz w:val="20"/>
        </w:rPr>
      </w:pPr>
      <w:r>
        <w:rPr>
          <w:rFonts w:ascii="Times New Roman" w:hAnsi="Times New Roman"/>
          <w:sz w:val="20"/>
        </w:rPr>
        <w:t xml:space="preserve">We currently intend to use the net proceeds from this offering, together with our existing cash, cash equivalents and marketable securities, to fund research and clinical development of our current or additional product candidates, to support the potential commercialization of bitopertin for EPP and XLP, and additional pre-commercialization activities for our other product candidates, and the remainder for working capital and other general corporate purposes. We may also use a portion of the net proceeds to in-license, acquire or invest in complementary businesses or technologies to continue to build our pipeline, research and development capabilities and our intellectual property position. </w:t>
      </w:r>
    </w:p>
    <w:p>
      <w:pPr>
        <w:pStyle w:val="TextBody"/>
        <w:bidi w:val="0"/>
        <w:spacing w:before="240" w:after="0"/>
        <w:jc w:val="left"/>
        <w:rPr>
          <w:rFonts w:ascii="Times New Roman" w:hAnsi="Times New Roman"/>
          <w:sz w:val="20"/>
        </w:rPr>
      </w:pPr>
      <w:r>
        <w:rPr>
          <w:rFonts w:ascii="Times New Roman" w:hAnsi="Times New Roman"/>
          <w:sz w:val="20"/>
        </w:rPr>
        <w:t xml:space="preserve">The expected use of net proceeds from this offering represents our intentions based upon our current plans and business conditions, which could change in the future as our plans and business conditions evolve. The amounts and timing of our actual expenditures may vary significantly depending on numerous factors, including the progress of our development, feedback and decisions from regulatory authorities, the status of and results from clinical trials, as well as any collaborations that we may enter into with third parties for our product candidates, and any unforeseen cash needs. As a result, our management will retain broad discretion over the allocation of the net proceeds from this offering. We may find it necessary or advisable to use the net proceeds from this offering for other purposes, and we will have broad discretion in the application of net proceeds. Pending use of the proceeds as described above, we intend to invest the proceeds in a variety of capital preservation instruments, including high quality, investment grade instruments, certificates of deposit or direct or guaranteed obligations of the U.S. government, or may hold such proceeds as cash, until they are used for their stated purpose. </w:t>
      </w:r>
    </w:p>
    <w:p>
      <w:pPr>
        <w:pStyle w:val="TextBody"/>
        <w:bidi w:val="0"/>
        <w:spacing w:before="240" w:after="0"/>
        <w:jc w:val="left"/>
        <w:rPr>
          <w:rFonts w:ascii="Times New Roman" w:hAnsi="Times New Roman"/>
          <w:sz w:val="20"/>
        </w:rPr>
      </w:pPr>
      <w:r>
        <w:rPr>
          <w:rFonts w:ascii="Times New Roman" w:hAnsi="Times New Roman"/>
          <w:sz w:val="20"/>
        </w:rPr>
        <w:t xml:space="preserve">After the completion of this offering, assuming net proceeds to us, after deducting underwriting discounts and commissions and estimated offering expenses payable by us, of approximately $422.4 million, we expect that our cash, cash equivalents and marketable securities, will be sufficient to fund our current operating and capital expenditure plans and our debt service obligations into 2030. Without the proceeds of this offering, we anticipate that our existing cash, cash equivalents and marketable securities will be sufficient to fund our operating and capital expenditure plans and our debt service obligations into 2029. These expectations do not take into account any potential net cash inflows from bitopertin or any other marketed product, if approved during such period. Our future capital requirements will depend on many factors, including those discussed in “Liquidity and Capital Resources” of our Quarterly Report on Form 10-Q for the quarter ended June 30, 2026. </w:t>
      </w:r>
    </w:p>
    <w:p>
      <w:pPr>
        <w:pStyle w:val="TextBody"/>
        <w:bidi w:val="0"/>
        <w:spacing w:before="240" w:after="0"/>
        <w:jc w:val="left"/>
        <w:rPr>
          <w:rFonts w:ascii="Times New Roman" w:hAnsi="Times New Roman"/>
          <w:sz w:val="20"/>
        </w:rPr>
      </w:pPr>
      <w:r>
        <w:rPr>
          <w:rFonts w:ascii="Times New Roman" w:hAnsi="Times New Roman"/>
          <w:sz w:val="20"/>
        </w:rPr>
        <w:t xml:space="preserve">We have based our estimates on assumptions that may prove to be wrong. In addition, we could use our available capital resources sooner than we currently expect, in which case we would need to obtain additional funding, which may not be available to us on acceptable terms, or at all. See the “Risk Factors” sections of this prospectus supplement, the accompanying prospectus and the documents incorporated by reference for a discussion of the risks affecting our business that could have an adverse effect on our available capital resources.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S-16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9" w:name="supptx190758_7"/>
      <w:bookmarkEnd w:id="9"/>
      <w:r>
        <w:rPr>
          <w:rFonts w:ascii="Times New Roman" w:hAnsi="Times New Roman"/>
          <w:b/>
          <w:sz w:val="20"/>
        </w:rPr>
        <w:t xml:space="preserve">DILUTION </w:t>
      </w:r>
    </w:p>
    <w:p>
      <w:pPr>
        <w:pStyle w:val="TextBody"/>
        <w:bidi w:val="0"/>
        <w:spacing w:before="240" w:after="0"/>
        <w:jc w:val="left"/>
        <w:rPr>
          <w:rFonts w:ascii="Times New Roman" w:hAnsi="Times New Roman"/>
          <w:sz w:val="20"/>
        </w:rPr>
      </w:pPr>
      <w:r>
        <w:rPr>
          <w:rFonts w:ascii="Times New Roman" w:hAnsi="Times New Roman"/>
          <w:sz w:val="20"/>
        </w:rPr>
        <w:t xml:space="preserve">If you purchase shares of our common stock in this offering, your ownership interest will be diluted to the extent of the difference between the price per share of our common stock you pay in this offering and the net tangible book value per share of our common stock immediately after this offering. </w:t>
      </w:r>
    </w:p>
    <w:p>
      <w:pPr>
        <w:pStyle w:val="TextBody"/>
        <w:bidi w:val="0"/>
        <w:spacing w:before="240" w:after="0"/>
        <w:jc w:val="left"/>
        <w:rPr>
          <w:rFonts w:ascii="Times New Roman" w:hAnsi="Times New Roman"/>
          <w:sz w:val="20"/>
        </w:rPr>
      </w:pPr>
      <w:r>
        <w:rPr>
          <w:rFonts w:ascii="Times New Roman" w:hAnsi="Times New Roman"/>
          <w:sz w:val="20"/>
        </w:rPr>
        <w:t xml:space="preserve">Our net tangible book value as of June 30, 2026 was approximately $644.2 million, or $16.80 per share of common stock, based upon 38,345,666 shares outstanding as of that date. Net tangible book value per share is equal to our total tangible assets, less our total liabilities, divided by the total number of shares outstanding. </w:t>
      </w:r>
    </w:p>
    <w:p>
      <w:pPr>
        <w:pStyle w:val="TextBody"/>
        <w:bidi w:val="0"/>
        <w:spacing w:before="240" w:after="0"/>
        <w:jc w:val="left"/>
        <w:rPr>
          <w:rFonts w:ascii="Times New Roman" w:hAnsi="Times New Roman"/>
          <w:sz w:val="20"/>
        </w:rPr>
      </w:pPr>
      <w:r>
        <w:rPr>
          <w:rFonts w:ascii="Times New Roman" w:hAnsi="Times New Roman"/>
          <w:sz w:val="20"/>
        </w:rPr>
        <w:t xml:space="preserve">After giving effect to our issuance and sale of shares of our common stock at the public offering price of $75.00 per share, after deducting underwriting discounts and commissions and estimated offering expenses payable by us, our adjusted net tangible book value as of June 30, 2026 would have been $1,066.6 million, or $24.05 per share. This represents an immediate increase in net tangible book value of $7.25 per share to our existing stockholders, and an immediate dilution of $50.95 per share to investors purchasing shares of common stock in the offering. Dilution per share to investors purchasing securities in this offering is determined by subtracting as adjusted net tangible book value per share after this offering from the public offering price per share of common stock paid by investors.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illustrates this calculation on a per share basis: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5614"/>
        <w:gridCol w:w="301"/>
        <w:gridCol w:w="141"/>
        <w:gridCol w:w="566"/>
        <w:gridCol w:w="60"/>
        <w:gridCol w:w="301"/>
        <w:gridCol w:w="141"/>
        <w:gridCol w:w="566"/>
        <w:gridCol w:w="65"/>
      </w:tblGrid>
      <w:tr>
        <w:trPr/>
        <w:tc>
          <w:tcPr>
            <w:tcW w:w="5614" w:type="dxa"/>
            <w:tcBorders/>
            <w:vAlign w:val="center"/>
          </w:tcPr>
          <w:p>
            <w:pPr>
              <w:pStyle w:val="TableContents"/>
              <w:bidi w:val="0"/>
              <w:spacing w:before="0" w:after="283"/>
              <w:jc w:val="left"/>
              <w:rPr>
                <w:sz w:val="4"/>
                <w:szCs w:val="4"/>
              </w:rPr>
            </w:pPr>
            <w:r>
              <w:rPr>
                <w:sz w:val="4"/>
                <w:szCs w:val="4"/>
              </w:rPr>
            </w:r>
          </w:p>
        </w:tc>
        <w:tc>
          <w:tcPr>
            <w:tcW w:w="301" w:type="dxa"/>
            <w:tcBorders/>
            <w:vAlign w:val="bottom"/>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1" w:type="dxa"/>
            <w:tcBorders/>
            <w:vAlign w:val="bottom"/>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561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Public offering price per share</w:t>
            </w:r>
          </w:p>
        </w:tc>
        <w:tc>
          <w:tcPr>
            <w:tcW w:w="301"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sz w:val="4"/>
                <w:szCs w:val="4"/>
              </w:rPr>
            </w:pPr>
            <w:r>
              <w:rPr>
                <w:sz w:val="4"/>
                <w:szCs w:val="4"/>
              </w:rPr>
            </w:r>
          </w:p>
        </w:tc>
        <w:tc>
          <w:tcPr>
            <w:tcW w:w="56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01"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w:t>
            </w:r>
          </w:p>
        </w:tc>
        <w:tc>
          <w:tcPr>
            <w:tcW w:w="566" w:type="dxa"/>
            <w:tcBorders/>
            <w:shd w:fill="CCEEFF" w:val="clear"/>
            <w:vAlign w:val="bottom"/>
          </w:tcPr>
          <w:p>
            <w:pPr>
              <w:pStyle w:val="TableContents"/>
              <w:bidi w:val="0"/>
              <w:spacing w:before="0" w:after="283"/>
              <w:jc w:val="right"/>
              <w:rPr/>
            </w:pPr>
            <w:r>
              <w:rPr/>
              <w:t>75.00</w:t>
            </w:r>
          </w:p>
        </w:tc>
        <w:tc>
          <w:tcPr>
            <w:tcW w:w="65" w:type="dxa"/>
            <w:tcBorders/>
            <w:shd w:fill="CCEEFF" w:val="clear"/>
            <w:vAlign w:val="bottom"/>
          </w:tcPr>
          <w:p>
            <w:pPr>
              <w:pStyle w:val="TableContents"/>
              <w:bidi w:val="0"/>
              <w:spacing w:before="0" w:after="283"/>
              <w:jc w:val="left"/>
              <w:rPr/>
            </w:pPr>
            <w:r>
              <w:rPr/>
              <w:t> </w:t>
            </w:r>
          </w:p>
        </w:tc>
      </w:tr>
      <w:tr>
        <w:trPr/>
        <w:tc>
          <w:tcPr>
            <w:tcW w:w="5614" w:type="dxa"/>
            <w:tcBorders/>
          </w:tcPr>
          <w:p>
            <w:pPr>
              <w:pStyle w:val="TableContents"/>
              <w:bidi w:val="0"/>
              <w:spacing w:before="0" w:after="0"/>
              <w:jc w:val="left"/>
              <w:rPr>
                <w:rFonts w:ascii="Times New Roman" w:hAnsi="Times New Roman"/>
                <w:sz w:val="20"/>
              </w:rPr>
            </w:pPr>
            <w:r>
              <w:rPr>
                <w:rFonts w:ascii="Times New Roman" w:hAnsi="Times New Roman"/>
                <w:sz w:val="20"/>
              </w:rPr>
              <w:t>Historical net tangible book value per share as of June 30, 2026</w:t>
            </w:r>
          </w:p>
        </w:tc>
        <w:tc>
          <w:tcPr>
            <w:tcW w:w="301"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w:t>
            </w:r>
          </w:p>
        </w:tc>
        <w:tc>
          <w:tcPr>
            <w:tcW w:w="566" w:type="dxa"/>
            <w:tcBorders/>
            <w:vAlign w:val="bottom"/>
          </w:tcPr>
          <w:p>
            <w:pPr>
              <w:pStyle w:val="TableContents"/>
              <w:bidi w:val="0"/>
              <w:spacing w:before="0" w:after="283"/>
              <w:jc w:val="right"/>
              <w:rPr/>
            </w:pPr>
            <w:r>
              <w:rPr/>
              <w:t>16.80</w:t>
            </w:r>
          </w:p>
        </w:tc>
        <w:tc>
          <w:tcPr>
            <w:tcW w:w="60" w:type="dxa"/>
            <w:tcBorders/>
            <w:vAlign w:val="bottom"/>
          </w:tcPr>
          <w:p>
            <w:pPr>
              <w:pStyle w:val="TableContents"/>
              <w:bidi w:val="0"/>
              <w:spacing w:before="0" w:after="283"/>
              <w:jc w:val="left"/>
              <w:rPr/>
            </w:pPr>
            <w:r>
              <w:rPr/>
              <w:t> </w:t>
            </w:r>
          </w:p>
        </w:tc>
        <w:tc>
          <w:tcPr>
            <w:tcW w:w="301"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sz w:val="4"/>
                <w:szCs w:val="4"/>
              </w:rPr>
            </w:pPr>
            <w:r>
              <w:rPr>
                <w:sz w:val="4"/>
                <w:szCs w:val="4"/>
              </w:rPr>
            </w:r>
          </w:p>
        </w:tc>
        <w:tc>
          <w:tcPr>
            <w:tcW w:w="566"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sz w:val="4"/>
                <w:szCs w:val="4"/>
              </w:rPr>
            </w:pPr>
            <w:r>
              <w:rPr>
                <w:sz w:val="4"/>
                <w:szCs w:val="4"/>
              </w:rPr>
            </w:r>
          </w:p>
        </w:tc>
      </w:tr>
      <w:tr>
        <w:trPr/>
        <w:tc>
          <w:tcPr>
            <w:tcW w:w="561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Increase in net tangible book value per share attributable to investors purchasing shares of common stock in this offering</w:t>
            </w:r>
          </w:p>
        </w:tc>
        <w:tc>
          <w:tcPr>
            <w:tcW w:w="301"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566" w:type="dxa"/>
            <w:tcBorders/>
            <w:shd w:fill="CCEEFF" w:val="clear"/>
            <w:vAlign w:val="bottom"/>
          </w:tcPr>
          <w:p>
            <w:pPr>
              <w:pStyle w:val="TableContents"/>
              <w:bidi w:val="0"/>
              <w:spacing w:before="0" w:after="283"/>
              <w:jc w:val="right"/>
              <w:rPr/>
            </w:pPr>
            <w:r>
              <w:rPr/>
              <w:t>7.25</w:t>
            </w:r>
          </w:p>
        </w:tc>
        <w:tc>
          <w:tcPr>
            <w:tcW w:w="60"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sz w:val="4"/>
                <w:szCs w:val="4"/>
              </w:rPr>
            </w:pPr>
            <w:r>
              <w:rPr>
                <w:sz w:val="4"/>
                <w:szCs w:val="4"/>
              </w:rPr>
            </w:r>
          </w:p>
        </w:tc>
        <w:tc>
          <w:tcPr>
            <w:tcW w:w="566" w:type="dxa"/>
            <w:tcBorders/>
            <w:shd w:fill="CCEEFF" w:val="clear"/>
            <w:vAlign w:val="bottom"/>
          </w:tcPr>
          <w:p>
            <w:pPr>
              <w:pStyle w:val="TableContents"/>
              <w:bidi w:val="0"/>
              <w:spacing w:before="0" w:after="283"/>
              <w:jc w:val="left"/>
              <w:rPr>
                <w:sz w:val="4"/>
                <w:szCs w:val="4"/>
              </w:rPr>
            </w:pPr>
            <w:r>
              <w:rPr>
                <w:sz w:val="4"/>
                <w:szCs w:val="4"/>
              </w:rPr>
            </w:r>
          </w:p>
        </w:tc>
        <w:tc>
          <w:tcPr>
            <w:tcW w:w="65" w:type="dxa"/>
            <w:tcBorders/>
            <w:shd w:fill="CCEEFF" w:val="clear"/>
            <w:vAlign w:val="bottom"/>
          </w:tcPr>
          <w:p>
            <w:pPr>
              <w:pStyle w:val="TableContents"/>
              <w:bidi w:val="0"/>
              <w:spacing w:before="0" w:after="283"/>
              <w:jc w:val="left"/>
              <w:rPr>
                <w:sz w:val="4"/>
                <w:szCs w:val="4"/>
              </w:rPr>
            </w:pPr>
            <w:r>
              <w:rPr>
                <w:sz w:val="4"/>
                <w:szCs w:val="4"/>
              </w:rPr>
            </w:r>
          </w:p>
        </w:tc>
      </w:tr>
      <w:tr>
        <w:trPr/>
        <w:tc>
          <w:tcPr>
            <w:tcW w:w="5614" w:type="dxa"/>
            <w:tcBorders/>
            <w:vAlign w:val="bottom"/>
          </w:tcPr>
          <w:p>
            <w:pPr>
              <w:pStyle w:val="TableContents"/>
              <w:bidi w:val="0"/>
              <w:spacing w:before="0" w:after="283"/>
              <w:jc w:val="left"/>
              <w:rPr>
                <w:sz w:val="4"/>
                <w:szCs w:val="4"/>
              </w:rPr>
            </w:pPr>
            <w:r>
              <w:rPr>
                <w:sz w:val="4"/>
                <w:szCs w:val="4"/>
              </w:rPr>
            </w:r>
          </w:p>
        </w:tc>
        <w:tc>
          <w:tcPr>
            <w:tcW w:w="301"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single" w:sz="2" w:space="1" w:color="000000"/>
              </w:pBdr>
              <w:bidi w:val="0"/>
              <w:spacing w:before="0" w:after="0"/>
              <w:jc w:val="left"/>
              <w:rPr/>
            </w:pPr>
            <w:r>
              <w:rPr/>
              <w:t> </w:t>
            </w:r>
          </w:p>
        </w:tc>
        <w:tc>
          <w:tcPr>
            <w:tcW w:w="56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01"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sz w:val="4"/>
                <w:szCs w:val="4"/>
              </w:rPr>
            </w:pPr>
            <w:r>
              <w:rPr>
                <w:sz w:val="4"/>
                <w:szCs w:val="4"/>
              </w:rPr>
            </w:r>
          </w:p>
        </w:tc>
        <w:tc>
          <w:tcPr>
            <w:tcW w:w="566"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sz w:val="4"/>
                <w:szCs w:val="4"/>
              </w:rPr>
            </w:pPr>
            <w:r>
              <w:rPr>
                <w:sz w:val="4"/>
                <w:szCs w:val="4"/>
              </w:rPr>
            </w:r>
          </w:p>
        </w:tc>
      </w:tr>
      <w:tr>
        <w:trPr/>
        <w:tc>
          <w:tcPr>
            <w:tcW w:w="5614" w:type="dxa"/>
            <w:tcBorders/>
          </w:tcPr>
          <w:p>
            <w:pPr>
              <w:pStyle w:val="TableContents"/>
              <w:bidi w:val="0"/>
              <w:spacing w:before="0" w:after="0"/>
              <w:jc w:val="left"/>
              <w:rPr>
                <w:rFonts w:ascii="Times New Roman" w:hAnsi="Times New Roman"/>
                <w:sz w:val="20"/>
              </w:rPr>
            </w:pPr>
            <w:r>
              <w:rPr>
                <w:rFonts w:ascii="Times New Roman" w:hAnsi="Times New Roman"/>
                <w:sz w:val="20"/>
              </w:rPr>
              <w:t>As adjusted net tangible book value per share as of June 30, 2026 after giving effect to this offering</w:t>
            </w:r>
          </w:p>
        </w:tc>
        <w:tc>
          <w:tcPr>
            <w:tcW w:w="301"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sz w:val="4"/>
                <w:szCs w:val="4"/>
              </w:rPr>
            </w:pPr>
            <w:r>
              <w:rPr>
                <w:sz w:val="4"/>
                <w:szCs w:val="4"/>
              </w:rPr>
            </w:r>
          </w:p>
        </w:tc>
        <w:tc>
          <w:tcPr>
            <w:tcW w:w="56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01"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566" w:type="dxa"/>
            <w:tcBorders/>
            <w:vAlign w:val="bottom"/>
          </w:tcPr>
          <w:p>
            <w:pPr>
              <w:pStyle w:val="TableContents"/>
              <w:bidi w:val="0"/>
              <w:spacing w:before="0" w:after="283"/>
              <w:jc w:val="right"/>
              <w:rPr/>
            </w:pPr>
            <w:r>
              <w:rPr/>
              <w:t>24.05</w:t>
            </w:r>
          </w:p>
        </w:tc>
        <w:tc>
          <w:tcPr>
            <w:tcW w:w="65" w:type="dxa"/>
            <w:tcBorders/>
            <w:vAlign w:val="bottom"/>
          </w:tcPr>
          <w:p>
            <w:pPr>
              <w:pStyle w:val="TableContents"/>
              <w:bidi w:val="0"/>
              <w:spacing w:before="0" w:after="283"/>
              <w:jc w:val="left"/>
              <w:rPr/>
            </w:pPr>
            <w:r>
              <w:rPr/>
              <w:t> </w:t>
            </w:r>
          </w:p>
        </w:tc>
      </w:tr>
      <w:tr>
        <w:trPr/>
        <w:tc>
          <w:tcPr>
            <w:tcW w:w="5614" w:type="dxa"/>
            <w:tcBorders/>
            <w:vAlign w:val="bottom"/>
          </w:tcPr>
          <w:p>
            <w:pPr>
              <w:pStyle w:val="TableContents"/>
              <w:bidi w:val="0"/>
              <w:spacing w:before="0" w:after="283"/>
              <w:jc w:val="left"/>
              <w:rPr>
                <w:sz w:val="4"/>
                <w:szCs w:val="4"/>
              </w:rPr>
            </w:pPr>
            <w:r>
              <w:rPr>
                <w:sz w:val="4"/>
                <w:szCs w:val="4"/>
              </w:rPr>
            </w:r>
          </w:p>
        </w:tc>
        <w:tc>
          <w:tcPr>
            <w:tcW w:w="301"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sz w:val="4"/>
                <w:szCs w:val="4"/>
              </w:rPr>
            </w:pPr>
            <w:r>
              <w:rPr>
                <w:sz w:val="4"/>
                <w:szCs w:val="4"/>
              </w:rPr>
            </w:r>
          </w:p>
        </w:tc>
        <w:tc>
          <w:tcPr>
            <w:tcW w:w="56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01"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single" w:sz="2" w:space="1" w:color="000000"/>
              </w:pBdr>
              <w:bidi w:val="0"/>
              <w:spacing w:before="0" w:after="0"/>
              <w:jc w:val="left"/>
              <w:rPr/>
            </w:pPr>
            <w:r>
              <w:rPr/>
              <w:t> </w:t>
            </w:r>
          </w:p>
        </w:tc>
        <w:tc>
          <w:tcPr>
            <w:tcW w:w="566"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561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Dilution in as adjusted net tangible book value per share to investors in this offering</w:t>
            </w:r>
          </w:p>
        </w:tc>
        <w:tc>
          <w:tcPr>
            <w:tcW w:w="301"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sz w:val="4"/>
                <w:szCs w:val="4"/>
              </w:rPr>
            </w:pPr>
            <w:r>
              <w:rPr>
                <w:sz w:val="4"/>
                <w:szCs w:val="4"/>
              </w:rPr>
            </w:r>
          </w:p>
        </w:tc>
        <w:tc>
          <w:tcPr>
            <w:tcW w:w="56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01"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w:t>
            </w:r>
          </w:p>
        </w:tc>
        <w:tc>
          <w:tcPr>
            <w:tcW w:w="566" w:type="dxa"/>
            <w:tcBorders/>
            <w:shd w:fill="CCEEFF" w:val="clear"/>
            <w:vAlign w:val="bottom"/>
          </w:tcPr>
          <w:p>
            <w:pPr>
              <w:pStyle w:val="TableContents"/>
              <w:bidi w:val="0"/>
              <w:spacing w:before="0" w:after="283"/>
              <w:jc w:val="right"/>
              <w:rPr/>
            </w:pPr>
            <w:r>
              <w:rPr/>
              <w:t>50.95</w:t>
            </w:r>
          </w:p>
        </w:tc>
        <w:tc>
          <w:tcPr>
            <w:tcW w:w="65" w:type="dxa"/>
            <w:tcBorders/>
            <w:shd w:fill="CCEEFF" w:val="clear"/>
            <w:vAlign w:val="bottom"/>
          </w:tcPr>
          <w:p>
            <w:pPr>
              <w:pStyle w:val="TableContents"/>
              <w:bidi w:val="0"/>
              <w:spacing w:before="0" w:after="283"/>
              <w:jc w:val="left"/>
              <w:rPr/>
            </w:pPr>
            <w:r>
              <w:rPr/>
              <w:t> </w:t>
            </w:r>
          </w:p>
        </w:tc>
      </w:tr>
      <w:tr>
        <w:trPr/>
        <w:tc>
          <w:tcPr>
            <w:tcW w:w="5614" w:type="dxa"/>
            <w:tcBorders/>
            <w:vAlign w:val="bottom"/>
          </w:tcPr>
          <w:p>
            <w:pPr>
              <w:pStyle w:val="TableContents"/>
              <w:bidi w:val="0"/>
              <w:spacing w:before="0" w:after="283"/>
              <w:jc w:val="left"/>
              <w:rPr>
                <w:sz w:val="4"/>
                <w:szCs w:val="4"/>
              </w:rPr>
            </w:pPr>
            <w:r>
              <w:rPr>
                <w:sz w:val="4"/>
                <w:szCs w:val="4"/>
              </w:rPr>
            </w:r>
          </w:p>
        </w:tc>
        <w:tc>
          <w:tcPr>
            <w:tcW w:w="301"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sz w:val="4"/>
                <w:szCs w:val="4"/>
              </w:rPr>
            </w:pPr>
            <w:r>
              <w:rPr>
                <w:sz w:val="4"/>
                <w:szCs w:val="4"/>
              </w:rPr>
            </w:r>
          </w:p>
        </w:tc>
        <w:tc>
          <w:tcPr>
            <w:tcW w:w="56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01"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double" w:sz="6" w:space="1" w:color="000000"/>
              </w:pBdr>
              <w:bidi w:val="0"/>
              <w:spacing w:before="0" w:after="0"/>
              <w:jc w:val="left"/>
              <w:rPr/>
            </w:pPr>
            <w:r>
              <w:rPr/>
              <w:t> </w:t>
            </w:r>
          </w:p>
        </w:tc>
        <w:tc>
          <w:tcPr>
            <w:tcW w:w="566" w:type="dxa"/>
            <w:tcBorders/>
            <w:vAlign w:val="bottom"/>
          </w:tcPr>
          <w:p>
            <w:pPr>
              <w:pStyle w:val="TableContents"/>
              <w:pBdr>
                <w:top w:val="double" w:sz="6"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the underwriters exercise their option to purchase shares of common stock in full, the as adjusted net tangible book value after this offering would be $24.98 per share, representing an increase in net tangible book value of $8.18 per share to existing stockholders and immediate dilution in net tangible book value of $50.02 per share to investors purchasing our common stock in this offering at the public offering price. </w:t>
      </w:r>
    </w:p>
    <w:p>
      <w:pPr>
        <w:pStyle w:val="TextBody"/>
        <w:bidi w:val="0"/>
        <w:spacing w:before="240" w:after="0"/>
        <w:jc w:val="left"/>
        <w:rPr>
          <w:rFonts w:ascii="Times New Roman" w:hAnsi="Times New Roman"/>
          <w:sz w:val="20"/>
        </w:rPr>
      </w:pPr>
      <w:r>
        <w:rPr>
          <w:rFonts w:ascii="Times New Roman" w:hAnsi="Times New Roman"/>
          <w:sz w:val="20"/>
        </w:rPr>
        <w:t xml:space="preserve">The foregoing tables and calculations are based on 38,345,666 shares of common stock outstanding as of June 30, 2026, and excludes: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3,706,349 shares of common stock issuable upon the exercise of stock options outstanding as of June 30, 2026, at a weighted average exercise price of $44.95 per share;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37,023 shares of common stock issuable upon the exercise of stock options granted subsequent to June 30, 2026, at a weighted average exercise price of $68.55 per share;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1,348,329 shares of common stock issuable upon the vesting of restricted stock units outstanding as of June 30,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55,857 shares of common stock issuable upon the vesting of restricted stock units granted subsequent to June 30,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1,656,017 shares of common stock available for issuance under our Amended and Restated 2021 Stock Option and Incentive Plan as of June 30, 2026;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S-17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313,206 shares of common stock available for future issuance under our Amended and Restated 2021 Employee Stock Purchase Plan as of June 30, 2026;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445,422 shares of common stock issuable upon the exercise of pre-funded warrants outstanding as of June 30, 2026. </w:t>
            </w:r>
          </w:p>
        </w:tc>
      </w:tr>
    </w:tbl>
    <w:p>
      <w:pPr>
        <w:pStyle w:val="TextBody"/>
        <w:bidi w:val="0"/>
        <w:spacing w:before="240" w:after="0"/>
        <w:jc w:val="left"/>
        <w:rPr>
          <w:rFonts w:ascii="Times New Roman" w:hAnsi="Times New Roman"/>
          <w:sz w:val="20"/>
        </w:rPr>
      </w:pPr>
      <w:r>
        <w:rPr>
          <w:rFonts w:ascii="Times New Roman" w:hAnsi="Times New Roman"/>
          <w:sz w:val="20"/>
        </w:rPr>
        <w:t xml:space="preserve">To the extent that outstanding options or pre-funded warrants are exercised, new options or other securities are issued under our equity incentive plans or we issue additional shares of common stock in the future, there will be further dilution to investors participating in this offering. In addition, we may choose to raise additional capital through our Sales Agreement with Cantor Fitzgerald &amp; Co. or otherwise because of market conditions or strategic considerations, even if we believe that we have sufficient funds for our current or future operating plans. If we raise additional capital through the sale of equity or convertible debt securities, the issuance of these securities could result in further dilution to our stockholders.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S-18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10" w:name="supptx190758_9"/>
      <w:bookmarkEnd w:id="10"/>
      <w:r>
        <w:rPr>
          <w:rFonts w:ascii="Times New Roman" w:hAnsi="Times New Roman"/>
          <w:b/>
          <w:sz w:val="20"/>
        </w:rPr>
        <w:t xml:space="preserve">MATERIAL U.S. FEDERAL INCOME TAX CONSIDERATIONS FOR INVESTORS IN OUR COMMON STOCK </w:t>
      </w:r>
    </w:p>
    <w:p>
      <w:pPr>
        <w:pStyle w:val="TextBody"/>
        <w:bidi w:val="0"/>
        <w:spacing w:before="240" w:after="0"/>
        <w:jc w:val="left"/>
        <w:rPr>
          <w:rFonts w:ascii="Times New Roman" w:hAnsi="Times New Roman"/>
          <w:sz w:val="20"/>
        </w:rPr>
      </w:pPr>
      <w:r>
        <w:rPr>
          <w:rFonts w:ascii="Times New Roman" w:hAnsi="Times New Roman"/>
          <w:sz w:val="20"/>
        </w:rPr>
        <w:t xml:space="preserve">The following summary describes the material U.S. federal income tax considerations of the acquisition, ownership and disposition of our common stock acquired in this offering. This discussion does not address all aspects of U.S. federal income taxes, does not discuss the potential application of the alternative minimum tax or Medicare Contribution tax and does not deal with state or local taxes, U.S. federal gift and estate tax laws or any non-U.S. tax consequences that may be relevant to investors in light of their particular circumstances. </w:t>
      </w:r>
    </w:p>
    <w:p>
      <w:pPr>
        <w:pStyle w:val="TextBody"/>
        <w:bidi w:val="0"/>
        <w:spacing w:before="240" w:after="0"/>
        <w:jc w:val="left"/>
        <w:rPr>
          <w:rFonts w:ascii="Times New Roman" w:hAnsi="Times New Roman"/>
          <w:sz w:val="20"/>
        </w:rPr>
      </w:pPr>
      <w:r>
        <w:rPr>
          <w:rFonts w:ascii="Times New Roman" w:hAnsi="Times New Roman"/>
          <w:sz w:val="20"/>
        </w:rPr>
        <w:t xml:space="preserve">Special rules different from those described below may apply to certain investors that are subject to special treatment under the Internal Revenue Code of 1986, as amended, or the Code, such as: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insurance companies, banks and other financial institutions;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tax-exempt organizations (including private foundations) and tax-qualified retirement plans;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foreign governments and international organizations;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broker-dealers and traders in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U.S. expatriates and former citizens or long-term residents of the United States;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Non-U.S. Holders (as defined below) that own or are deemed to own (directly, indirectly or by attribution) more than 5% of our common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required for U.S. federal income tax purposes to conform the timing of income accruals to their financial statements under Section 451(b) of the Code;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pPr>
            <w:r>
              <w:rPr/>
              <w:t>“</w:t>
            </w:r>
            <w:r>
              <w:rPr>
                <w:rFonts w:ascii="Times New Roman" w:hAnsi="Times New Roman"/>
                <w:sz w:val="20"/>
              </w:rPr>
              <w:t xml:space="preserve">controlled foreign corporations,” “passive foreign investment companies” and corporations that accumulate earnings to avoid U.S. federal income tax;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that hold our common stock as part of a “straddle,” “hedge,” “conversion transaction,” “synthetic security” or integrated investment or other risk reduction strategy;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U.S. Holders (as defined below) whose functional currency for U.S. tax purposes is not the U.S. dollar;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who do not hold our common stock as “capital assets” within the meaning of Section 1221 of the Code (generally, for investment purposes);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regulated investment companies;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pension plans;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pPr>
            <w:r>
              <w:rPr/>
              <w:t>“</w:t>
            </w:r>
            <w:r>
              <w:rPr>
                <w:rFonts w:ascii="Times New Roman" w:hAnsi="Times New Roman"/>
                <w:sz w:val="20"/>
              </w:rPr>
              <w:t xml:space="preserve">qualified foreign pension funds” as defined in Section 897(l)(2) of the Code and entities all of the interests of which are held by qualified foreign pension funds;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deemed to sell our common stock under the constructive sale provisions of the Code;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who hold or receive our common stock pursuant to the exercise of any employee stock option or otherwise as compensation.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Such investors are urged to consult their own tax advisors to determine the U.S. federal, state, local and other tax consequences that may be relevant to them. </w:t>
      </w:r>
    </w:p>
    <w:p>
      <w:pPr>
        <w:pStyle w:val="TextBody"/>
        <w:bidi w:val="0"/>
        <w:spacing w:before="240" w:after="0"/>
        <w:jc w:val="left"/>
        <w:rPr>
          <w:rFonts w:ascii="Times New Roman" w:hAnsi="Times New Roman"/>
          <w:sz w:val="20"/>
        </w:rPr>
      </w:pPr>
      <w:r>
        <w:rPr>
          <w:rFonts w:ascii="Times New Roman" w:hAnsi="Times New Roman"/>
          <w:sz w:val="20"/>
        </w:rPr>
        <w:t xml:space="preserve">In addition, this discussion does not address the tax treatment of partnerships or other pass-through entities or persons who hold our common stock through partnerships or other entities which are pass-through entities for U.S. federal income tax purposes. If a partnership or other pass-through entity holds our common stock, the tax treatment of a partner will generally depend upon the status of the partner and the activities of the partnership or other pass-through entity. A partner in a partnership or other pass-through entity that will hold our common stock should consult his, her or its own tax advisor regarding the tax consequences of the ownership and disposition of our common stock through a partnership or other pass-through entity, as applicable.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Furthermore, the discussion below is based upon the provisions of the Code, and Treasury regulations, rulings and judicial decisions thereunder, as of the date hereof, and such authorities may be repealed, revoked or modified, possibly retroactively, and are subject to differing interpretations which could result in U.S. federal income tax consequences different from those discussed below. We have not requested a ruling from the Internal Revenue Service, or the IRS, with respect to the statements made and the conclusions reached in the following summary, and there can be no assurance that the IRS will agree with such statements and conclusions or will not take a contrary position regarding the tax consequences described herein, or that any such contrary position would not be sustained by a court. </w:t>
      </w:r>
    </w:p>
    <w:p>
      <w:pPr>
        <w:pStyle w:val="TextBody"/>
        <w:bidi w:val="0"/>
        <w:spacing w:before="240" w:after="0"/>
        <w:jc w:val="left"/>
        <w:rPr>
          <w:rFonts w:ascii="Times New Roman" w:hAnsi="Times New Roman"/>
          <w:sz w:val="20"/>
        </w:rPr>
      </w:pPr>
      <w:r>
        <w:rPr>
          <w:rFonts w:ascii="Times New Roman" w:hAnsi="Times New Roman"/>
          <w:sz w:val="20"/>
        </w:rPr>
        <w:t xml:space="preserve">For the purposes of this discussion, a “U.S. Holder” means a beneficial owner of our common stock, other than a partnership or other pass-through entity, that is, for U.S. federal income tax purposes, (a) an individual who is a citizen or resident of the United States, (b) a corporation (or other entity taxable as a corporation for U.S. federal income tax purposes), created or organized in or under the laws of the United States, any state thereof or the District of Columbia, (c) an estate the income of which is subject to U.S. federal income taxation regardless of its source, or (d) a trust if it (1) is subject to the primary supervision of a court within the United States and one or more “United States persons” (within the meaning of Section 7701(a)(30) of the Code) have the authority to control all substantial decisions of the trust or (2) has a valid election in effect under applicable U.S. Treasury regulations to be treated as a United States person. </w:t>
      </w:r>
    </w:p>
    <w:p>
      <w:pPr>
        <w:pStyle w:val="TextBody"/>
        <w:bidi w:val="0"/>
        <w:spacing w:before="240" w:after="0"/>
        <w:jc w:val="left"/>
        <w:rPr>
          <w:rFonts w:ascii="Times New Roman" w:hAnsi="Times New Roman"/>
          <w:sz w:val="20"/>
        </w:rPr>
      </w:pPr>
      <w:r>
        <w:rPr>
          <w:rFonts w:ascii="Times New Roman" w:hAnsi="Times New Roman"/>
          <w:sz w:val="20"/>
        </w:rPr>
        <w:t xml:space="preserve">A “Non-U.S. Holder” means a beneficial owner of our common stock, other than a partnership or other pass-through entity, that, for U.S. federal income tax purposes, is (i) a foreign corporation, (ii) nonresident alien individual, or (iii) a foreign estate or trust that in each case is not subject to U.S. federal income tax on a net-income basis on income or gain from common stock. </w:t>
      </w:r>
    </w:p>
    <w:p>
      <w:pPr>
        <w:pStyle w:val="TextBody"/>
        <w:bidi w:val="0"/>
        <w:spacing w:before="240" w:after="0"/>
        <w:jc w:val="left"/>
        <w:rPr>
          <w:rFonts w:ascii="Times New Roman" w:hAnsi="Times New Roman"/>
          <w:sz w:val="20"/>
        </w:rPr>
      </w:pPr>
      <w:r>
        <w:rPr>
          <w:rFonts w:ascii="Times New Roman" w:hAnsi="Times New Roman"/>
          <w:sz w:val="20"/>
        </w:rPr>
        <w:t xml:space="preserve">An individual non-U.S. citizen may, in some cases, be deemed to be a resident alien (as opposed to a nonresident alien) by virtue of being present in the United States for at least 31 days in the calendar year and for an aggregate of at least 183 days during a three-year period ending in the current calendar year. Generally, for this purpose, all the days present in the current year, one-third of the days present in the immediately preceding year, and one-sixth of the days present in the second preceding year, are counted. </w:t>
      </w:r>
    </w:p>
    <w:p>
      <w:pPr>
        <w:pStyle w:val="TextBody"/>
        <w:bidi w:val="0"/>
        <w:spacing w:before="240" w:after="0"/>
        <w:jc w:val="left"/>
        <w:rPr>
          <w:rFonts w:ascii="Times New Roman" w:hAnsi="Times New Roman"/>
          <w:sz w:val="20"/>
        </w:rPr>
      </w:pPr>
      <w:r>
        <w:rPr>
          <w:rFonts w:ascii="Times New Roman" w:hAnsi="Times New Roman"/>
          <w:sz w:val="20"/>
        </w:rPr>
        <w:t xml:space="preserve">Resident aliens are generally subject to U.S. federal income tax as if they were U.S. citizens. Individuals who are uncertain of their status as resident or nonresident aliens for U.S. federal income tax purposes are urged to consult their own tax advisors regarding the U.S. federal income tax consequences of the ownership or disposition of our common stock. </w:t>
      </w:r>
    </w:p>
    <w:p>
      <w:pPr>
        <w:pStyle w:val="TextBody"/>
        <w:bidi w:val="0"/>
        <w:spacing w:before="240" w:after="0"/>
        <w:jc w:val="left"/>
        <w:rPr>
          <w:rFonts w:ascii="Times New Roman" w:hAnsi="Times New Roman"/>
          <w:sz w:val="20"/>
        </w:rPr>
      </w:pPr>
      <w:r>
        <w:rPr>
          <w:rFonts w:ascii="Times New Roman" w:hAnsi="Times New Roman"/>
          <w:sz w:val="20"/>
        </w:rPr>
        <w:t xml:space="preserve">PERSONS CONSIDERING THE PURCHASE OF OUR COMMON STOCK PURSUANT TO THIS OFFERING SHOULD CONSULT THEIR OWN TAX ADVISORS CONCERNING THE U.S. FEDERAL INCOME TAX CONSEQUENCES OF ACQUIRING, OWNING AND DISPOSING OF OUR COMMON STOCK IN LIGHT OF THEIR PARTICULAR SITUATIONS AS WELL AS ANY CONSEQUENCES ARISING UNDER THE LAWS OF ANY OTHER TAXING JURISDICTION, INCLUDING ANY STATE, LOCAL OR NON-U.S. TAX CONSEQUENCES OR ANY U.S. FEDERAL NON-INCOME TAX CONSEQUENCES, AND THE POSSIBLE APPLICATION OF TAX TREATIES. </w:t>
      </w:r>
    </w:p>
    <w:p>
      <w:pPr>
        <w:pStyle w:val="TextBody"/>
        <w:bidi w:val="0"/>
        <w:spacing w:before="360" w:after="0"/>
        <w:jc w:val="left"/>
        <w:rPr>
          <w:rFonts w:ascii="Times New Roman" w:hAnsi="Times New Roman"/>
          <w:b/>
          <w:sz w:val="20"/>
        </w:rPr>
      </w:pPr>
      <w:r>
        <w:rPr>
          <w:rFonts w:ascii="Times New Roman" w:hAnsi="Times New Roman"/>
          <w:b/>
          <w:sz w:val="20"/>
        </w:rPr>
        <w:t xml:space="preserve">Tax Consequences to U.S. Holders </w:t>
      </w:r>
    </w:p>
    <w:p>
      <w:pPr>
        <w:pStyle w:val="TextBody"/>
        <w:bidi w:val="0"/>
        <w:spacing w:before="120" w:after="0"/>
        <w:jc w:val="left"/>
        <w:rPr>
          <w:rFonts w:ascii="Times New Roman" w:hAnsi="Times New Roman"/>
          <w:b/>
          <w:i/>
          <w:sz w:val="20"/>
        </w:rPr>
      </w:pPr>
      <w:r>
        <w:rPr>
          <w:rFonts w:ascii="Times New Roman" w:hAnsi="Times New Roman"/>
          <w:b/>
          <w:i/>
          <w:sz w:val="20"/>
        </w:rPr>
        <w:t xml:space="preserve">Distributions on Common Stock </w:t>
      </w:r>
    </w:p>
    <w:p>
      <w:pPr>
        <w:pStyle w:val="TextBody"/>
        <w:bidi w:val="0"/>
        <w:spacing w:before="120" w:after="0"/>
        <w:jc w:val="left"/>
        <w:rPr>
          <w:rFonts w:ascii="Times New Roman" w:hAnsi="Times New Roman"/>
          <w:sz w:val="20"/>
        </w:rPr>
      </w:pPr>
      <w:r>
        <w:rPr>
          <w:rFonts w:ascii="Times New Roman" w:hAnsi="Times New Roman"/>
          <w:sz w:val="20"/>
        </w:rPr>
        <w:t>As stated under “</w:t>
      </w:r>
      <w:r>
        <w:rPr>
          <w:rFonts w:ascii="Times New Roman" w:hAnsi="Times New Roman"/>
          <w:i/>
          <w:sz w:val="20"/>
        </w:rPr>
        <w:t>Dividend Policy</w:t>
      </w:r>
      <w:r>
        <w:rPr>
          <w:rFonts w:ascii="Times New Roman" w:hAnsi="Times New Roman"/>
          <w:sz w:val="20"/>
        </w:rPr>
        <w:t xml:space="preserve">,” we do not expect to make distributions on our common stock in the foreseeable future. In the event that we do make distributions of cash or other property, distributions paid on common stock will be treated as a dividend to the extent paid out of our current or accumulated earnings and profits (as determined under U.S. federal income tax principles), and will be includible in a U.S. Holder’s income as ordinary income when received. However, with respect to dividends received by individuals, such dividends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are generally taxed at the lower applicable qualified dividends rate, provided certain holding period requirements are satisfied. Distributions in excess of our current and accumulated earnings and profits will be treated as a return of capital to the extent of a U.S. Holder’s tax basis in the common stock and thereafter as capital gain from the sale or exchange of such common stock. The tax treatment of such gain is further described in “-</w:t>
      </w:r>
      <w:r>
        <w:rPr>
          <w:rFonts w:ascii="Times New Roman" w:hAnsi="Times New Roman"/>
          <w:i/>
          <w:sz w:val="20"/>
        </w:rPr>
        <w:t>Sale or Other</w:t>
      </w:r>
      <w:r>
        <w:rPr>
          <w:rFonts w:ascii="Times New Roman" w:hAnsi="Times New Roman"/>
          <w:sz w:val="20"/>
        </w:rPr>
        <w:t xml:space="preserve"> </w:t>
      </w:r>
      <w:r>
        <w:rPr>
          <w:rFonts w:ascii="Times New Roman" w:hAnsi="Times New Roman"/>
          <w:i/>
          <w:sz w:val="20"/>
        </w:rPr>
        <w:t>Disposition of Common Stock</w:t>
      </w:r>
      <w:r>
        <w:rPr>
          <w:rFonts w:ascii="Times New Roman" w:hAnsi="Times New Roman"/>
          <w:sz w:val="20"/>
        </w:rPr>
        <w:t>” below. Dividends received by a corporation may be eligible for a dividends received deduction, subject to applicable limitations. Any such distributions will also be subject to the discussions below under the section titled “-</w:t>
      </w:r>
      <w:r>
        <w:rPr>
          <w:rFonts w:ascii="Times New Roman" w:hAnsi="Times New Roman"/>
          <w:i/>
          <w:sz w:val="20"/>
        </w:rPr>
        <w:t>Information Reporting and Backup Withholding</w:t>
      </w:r>
      <w:r>
        <w:rPr>
          <w:rFonts w:ascii="Times New Roman" w:hAnsi="Times New Roman"/>
          <w:sz w:val="20"/>
        </w:rPr>
        <w:t xml:space="preserve">.” </w:t>
      </w:r>
    </w:p>
    <w:p>
      <w:pPr>
        <w:pStyle w:val="TextBody"/>
        <w:bidi w:val="0"/>
        <w:spacing w:before="360" w:after="0"/>
        <w:jc w:val="left"/>
        <w:rPr>
          <w:rFonts w:ascii="Times New Roman" w:hAnsi="Times New Roman"/>
          <w:b/>
          <w:i/>
          <w:sz w:val="20"/>
        </w:rPr>
      </w:pPr>
      <w:r>
        <w:rPr>
          <w:rFonts w:ascii="Times New Roman" w:hAnsi="Times New Roman"/>
          <w:b/>
          <w:i/>
          <w:sz w:val="20"/>
        </w:rPr>
        <w:t xml:space="preserve">Sale or Other Disposition of Common Stock </w:t>
      </w:r>
    </w:p>
    <w:p>
      <w:pPr>
        <w:pStyle w:val="TextBody"/>
        <w:bidi w:val="0"/>
        <w:spacing w:before="120" w:after="0"/>
        <w:jc w:val="left"/>
        <w:rPr>
          <w:rFonts w:ascii="Times New Roman" w:hAnsi="Times New Roman"/>
          <w:sz w:val="20"/>
        </w:rPr>
      </w:pPr>
      <w:r>
        <w:rPr>
          <w:rFonts w:ascii="Times New Roman" w:hAnsi="Times New Roman"/>
          <w:sz w:val="20"/>
        </w:rPr>
        <w:t xml:space="preserve">For U.S. federal income tax purposes, gain or loss realized on the sale or other disposition of common stock by a U.S. Holder will be capital gain or loss, and will be long-term capital gain or loss if the U.S. Holder has held the common stock for more than one year. The amount of the gain or loss will equal the difference between the U.S. Holder’s adjusted tax basis in the common stock disposed of and the amount realized on the disposition. Long-term capital gains recognized by non-corporate U.S. Holders will be subject to reduced tax rates. The deductibility of capital losses is subject to limitations.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Information Reporting and Backup Withholding </w:t>
      </w:r>
    </w:p>
    <w:p>
      <w:pPr>
        <w:pStyle w:val="TextBody"/>
        <w:bidi w:val="0"/>
        <w:spacing w:before="120" w:after="0"/>
        <w:jc w:val="left"/>
        <w:rPr>
          <w:rFonts w:ascii="Times New Roman" w:hAnsi="Times New Roman"/>
          <w:sz w:val="20"/>
        </w:rPr>
      </w:pPr>
      <w:r>
        <w:rPr>
          <w:rFonts w:ascii="Times New Roman" w:hAnsi="Times New Roman"/>
          <w:sz w:val="20"/>
        </w:rPr>
        <w:t xml:space="preserve">Information reporting requirements generally will apply to any payments of distributions on our common stock and gross proceeds on the sale or other disposition of our common stock, unless the U.S. Holder is an exempt recipient (such as a corporation), regardless of whether any tax was actually withheld. Backup withholding (currently at a 24% rate) will apply to those payments if the U.S. Holder fails to provide its correct taxpayer identification number, or certification of exempt status, or if the U.S. Holder is notified by the IRS that it has failed to report in full payments of interest and dividend income. Any amounts withheld under the backup withholding rules will be allowed as a refund or a credit against a U.S. Holder’s U.S. federal income tax liability provided the required information is furnished timely to the IRS. </w:t>
      </w:r>
    </w:p>
    <w:p>
      <w:pPr>
        <w:pStyle w:val="TextBody"/>
        <w:bidi w:val="0"/>
        <w:spacing w:before="360" w:after="0"/>
        <w:jc w:val="left"/>
        <w:rPr>
          <w:rFonts w:ascii="Times New Roman" w:hAnsi="Times New Roman"/>
          <w:b/>
          <w:sz w:val="20"/>
        </w:rPr>
      </w:pPr>
      <w:r>
        <w:rPr>
          <w:rFonts w:ascii="Times New Roman" w:hAnsi="Times New Roman"/>
          <w:b/>
          <w:sz w:val="20"/>
        </w:rPr>
        <w:t xml:space="preserve">Tax Consequences to Non-U.S. Holders </w:t>
      </w:r>
    </w:p>
    <w:p>
      <w:pPr>
        <w:pStyle w:val="TextBody"/>
        <w:bidi w:val="0"/>
        <w:spacing w:before="120" w:after="0"/>
        <w:jc w:val="left"/>
        <w:rPr>
          <w:rFonts w:ascii="Times New Roman" w:hAnsi="Times New Roman"/>
          <w:b/>
          <w:i/>
          <w:sz w:val="20"/>
        </w:rPr>
      </w:pPr>
      <w:r>
        <w:rPr>
          <w:rFonts w:ascii="Times New Roman" w:hAnsi="Times New Roman"/>
          <w:b/>
          <w:i/>
          <w:sz w:val="20"/>
        </w:rPr>
        <w:t xml:space="preserve">Distributions on Common Stock </w:t>
      </w:r>
    </w:p>
    <w:p>
      <w:pPr>
        <w:pStyle w:val="TextBody"/>
        <w:bidi w:val="0"/>
        <w:spacing w:before="120" w:after="0"/>
        <w:jc w:val="left"/>
        <w:rPr>
          <w:rFonts w:ascii="Times New Roman" w:hAnsi="Times New Roman"/>
          <w:sz w:val="20"/>
        </w:rPr>
      </w:pPr>
      <w:r>
        <w:rPr>
          <w:rFonts w:ascii="Times New Roman" w:hAnsi="Times New Roman"/>
          <w:sz w:val="20"/>
        </w:rPr>
        <w:t>As stated under “</w:t>
      </w:r>
      <w:r>
        <w:rPr>
          <w:rFonts w:ascii="Times New Roman" w:hAnsi="Times New Roman"/>
          <w:i/>
          <w:sz w:val="20"/>
        </w:rPr>
        <w:t>Dividend Policy</w:t>
      </w:r>
      <w:r>
        <w:rPr>
          <w:rFonts w:ascii="Times New Roman" w:hAnsi="Times New Roman"/>
          <w:sz w:val="20"/>
        </w:rPr>
        <w:t>,” we do not expect to make any distributions on our common stock in the foreseeable future. If we do make distributions on our common stock however, such distributions made to a Non-U.S. Holder will constitute dividends for U.S. tax purposes to the extent paid out of our current or accumulated earnings and profits (as determined under U.S. federal income tax principles). Distributions in excess of our current and accumulated earnings and profits will constitute a return of capital that is applied against and reduces, but not below zero, a Non-U.S. Holder’s adjusted tax basis in our common stock. Any remaining excess will be treated as gain realized as described below under the section titled “-</w:t>
      </w:r>
      <w:r>
        <w:rPr>
          <w:rFonts w:ascii="Times New Roman" w:hAnsi="Times New Roman"/>
          <w:i/>
          <w:sz w:val="20"/>
        </w:rPr>
        <w:t>Sale or Other Disposition of Common Stock</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Any distribution on our common stock that is treated as a dividend paid to a Non-U.S. Holder that is not effectively connected with the holder’s conduct of a trade or business in the United States will generally be subject to withholding tax at a 30% rate or such lower rate as may be specified by an applicable income tax treaty between the United States and the Non-U.S. Holder’s country of residence. To obtain a reduced rate of withholding under a treaty, a Non-U.S. Holder generally will be required to provide the applicable withholding agent with a properly executed IRS Form W-8BEN, IRS Form W-8BEN-E or other appropriate form, certifying the Non-U.S. Holder’s entitlement to benefits under that treaty. Such form must be provided prior to the payment of dividends and must be updated periodically. If a Non-U.S. Holder holds stock through a financial institution or other agent acting on the holder’s behalf, the holder will be required to provide appropriate documentation to such agent. The holder’s agent may then be required to provide certification to the applicable withholding agent, either directly or through other intermediaries. A Non-U.S. Holder that is eligible for a reduced rate of U.S. withholding tax under an income tax treaty should consult with its own tax advisor to determine if such holder is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able to obtain a refund or credit of any excess amounts withheld by timely filing an appropriate claim for a refund with the IRS. </w:t>
      </w:r>
    </w:p>
    <w:p>
      <w:pPr>
        <w:pStyle w:val="TextBody"/>
        <w:bidi w:val="0"/>
        <w:spacing w:before="240" w:after="0"/>
        <w:jc w:val="left"/>
        <w:rPr>
          <w:rFonts w:ascii="Times New Roman" w:hAnsi="Times New Roman"/>
          <w:sz w:val="20"/>
        </w:rPr>
      </w:pPr>
      <w:r>
        <w:rPr>
          <w:rFonts w:ascii="Times New Roman" w:hAnsi="Times New Roman"/>
          <w:sz w:val="20"/>
        </w:rPr>
        <w:t xml:space="preserve">We (or any applicable withholding agent) generally are not required to withhold tax on dividends paid (or constructive dividends deemed paid) to a Non-U.S. Holder that are effectively connected with the holder’s conduct of a trade or business within the United States (and, if required by an applicable income tax treaty, are attributable to a permanent establishment or fixed base that the holder maintains in the United States) if a properly executed IRS Form W-8ECI, stating that the dividends are so connected, is furnished to us (or, if shares of our common stock are held through a financial institution or other agent, to the applicable withholding agent). In general, such effectively connected dividends will be subject to U.S. federal income tax on a net income basis at the regular rates applicable to U.S. persons, unless a specific treaty exemption applies. A corporate Non-U.S. Holder receiving effectively connected dividends may also be subject to an additional “branch profits tax,” which is imposed, under certain circumstances, at a rate of 30% (or such lower rate as may be specified by an applicable treaty) on the corporate Non-U.S. Holder’s effectively connected earnings and profits, subject to certain adjustments. </w:t>
      </w:r>
    </w:p>
    <w:p>
      <w:pPr>
        <w:pStyle w:val="TextBody"/>
        <w:bidi w:val="0"/>
        <w:spacing w:before="240" w:after="0"/>
        <w:jc w:val="left"/>
        <w:rPr>
          <w:rFonts w:ascii="Times New Roman" w:hAnsi="Times New Roman"/>
          <w:sz w:val="20"/>
        </w:rPr>
      </w:pPr>
      <w:r>
        <w:rPr>
          <w:rFonts w:ascii="Times New Roman" w:hAnsi="Times New Roman"/>
          <w:sz w:val="20"/>
        </w:rPr>
        <w:t>See also the section below titled “-</w:t>
      </w:r>
      <w:r>
        <w:rPr>
          <w:rFonts w:ascii="Times New Roman" w:hAnsi="Times New Roman"/>
          <w:i/>
          <w:sz w:val="20"/>
        </w:rPr>
        <w:t>Foreign Accounts</w:t>
      </w:r>
      <w:r>
        <w:rPr>
          <w:rFonts w:ascii="Times New Roman" w:hAnsi="Times New Roman"/>
          <w:sz w:val="20"/>
        </w:rPr>
        <w:t xml:space="preserve">” for additional withholding rules that may apply to dividends paid to certain foreign financial institutions or non-financial foreign entities.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Sale or Other Disposition of Common Stock </w:t>
      </w:r>
    </w:p>
    <w:p>
      <w:pPr>
        <w:pStyle w:val="TextBody"/>
        <w:bidi w:val="0"/>
        <w:spacing w:before="120" w:after="0"/>
        <w:jc w:val="left"/>
        <w:rPr>
          <w:rFonts w:ascii="Times New Roman" w:hAnsi="Times New Roman"/>
          <w:sz w:val="20"/>
        </w:rPr>
      </w:pPr>
      <w:r>
        <w:rPr>
          <w:rFonts w:ascii="Times New Roman" w:hAnsi="Times New Roman"/>
          <w:sz w:val="20"/>
        </w:rPr>
        <w:t>Subject to the discussion below under the sections titled “-</w:t>
      </w:r>
      <w:r>
        <w:rPr>
          <w:rFonts w:ascii="Times New Roman" w:hAnsi="Times New Roman"/>
          <w:i/>
          <w:sz w:val="20"/>
        </w:rPr>
        <w:t>Information Reporting and Backup Withholding</w:t>
      </w:r>
      <w:r>
        <w:rPr>
          <w:rFonts w:ascii="Times New Roman" w:hAnsi="Times New Roman"/>
          <w:sz w:val="20"/>
        </w:rPr>
        <w:t>” and “-</w:t>
      </w:r>
      <w:r>
        <w:rPr>
          <w:rFonts w:ascii="Times New Roman" w:hAnsi="Times New Roman"/>
          <w:i/>
          <w:sz w:val="20"/>
        </w:rPr>
        <w:t>Foreign Accounts</w:t>
      </w:r>
      <w:r>
        <w:rPr>
          <w:rFonts w:ascii="Times New Roman" w:hAnsi="Times New Roman"/>
          <w:sz w:val="20"/>
        </w:rPr>
        <w:t xml:space="preserve">,” a Non-U.S. Holder generally will not be subject to U.S. federal income or withholding tax with respect to gain realized on a sale or other disposition of our common stock unless (a) the gain is effectively connected with a trade or business of the holder in the United States (and, if required by an applicable income tax treaty, is attributable to a permanent establishment or fixed base that the holder maintains in the United States), (b) the Non-U.S. Holder is a nonresident alien individual and is present in the United States for a period or periods aggregating 183 or more days in the taxable year of the disposition and certain other conditions are met, or (c) we are or have been a “United States real property holding corporation” within the meaning of Code Section 897(c)(2), unless any class of our stock is regularly traded on an established securities market and the Non-U.S. Holder disposes of such class of stock and holds no more than 5% of such class of stock, directly or indirectly, actually or constructively, during the shorter of the 5-year period ending on the date of the disposition or the period that the Non-U.S. Holder held such class of stock. </w:t>
      </w:r>
    </w:p>
    <w:p>
      <w:pPr>
        <w:pStyle w:val="TextBody"/>
        <w:bidi w:val="0"/>
        <w:spacing w:before="240" w:after="0"/>
        <w:jc w:val="left"/>
        <w:rPr>
          <w:rFonts w:ascii="Times New Roman" w:hAnsi="Times New Roman"/>
          <w:sz w:val="20"/>
        </w:rPr>
      </w:pPr>
      <w:r>
        <w:rPr>
          <w:rFonts w:ascii="Times New Roman" w:hAnsi="Times New Roman"/>
          <w:sz w:val="20"/>
        </w:rPr>
        <w:t xml:space="preserve">If you are a Non-U.S. Holder described in (a) above, you will be required to pay tax on the net gain derived from the sale at the regular U.S. federal income tax rates applicable to U.S. persons, unless a specific treaty exemption applies. Corporate Non-U.S. Holders described in (a) above may also be subject to the additional branch profits tax at a 30% rate or such lower rate as may be specified by an applicable income tax treaty. An individual Non-U.S. Holder described in (b) above will be required to pay a flat 30% tax on the gain derived from the sale, which gain may be offset by certain U.S. source capital losses (even though such holder is not considered a resident of the United States), provided such holder has timely filed U.S. federal income tax returns with respect to such losses. With respect to (c) above, in general, we would be a U.S. real property holding corporation if interests in U.S. real estate comprised (by fair market value) at least half of our worldwide real property interests plus our other assets used or held for use in a trade or business. We believe that we are not, and do not anticipate becoming, a U.S. real property holding corporation. However, there can be no assurance that we will not become a U.S. real property holding corporation in the future. </w:t>
      </w:r>
    </w:p>
    <w:p>
      <w:pPr>
        <w:pStyle w:val="TextBody"/>
        <w:bidi w:val="0"/>
        <w:spacing w:before="360" w:after="0"/>
        <w:jc w:val="left"/>
        <w:rPr>
          <w:rFonts w:ascii="Times New Roman" w:hAnsi="Times New Roman"/>
          <w:b/>
          <w:i/>
          <w:sz w:val="20"/>
        </w:rPr>
      </w:pPr>
      <w:r>
        <w:rPr>
          <w:rFonts w:ascii="Times New Roman" w:hAnsi="Times New Roman"/>
          <w:b/>
          <w:i/>
          <w:sz w:val="20"/>
        </w:rPr>
        <w:t xml:space="preserve">Information Reporting and Backup Withholding </w:t>
      </w:r>
    </w:p>
    <w:p>
      <w:pPr>
        <w:pStyle w:val="TextBody"/>
        <w:bidi w:val="0"/>
        <w:spacing w:before="120" w:after="0"/>
        <w:jc w:val="left"/>
        <w:rPr>
          <w:rFonts w:ascii="Times New Roman" w:hAnsi="Times New Roman"/>
          <w:sz w:val="20"/>
        </w:rPr>
      </w:pPr>
      <w:r>
        <w:rPr>
          <w:rFonts w:ascii="Times New Roman" w:hAnsi="Times New Roman"/>
          <w:sz w:val="20"/>
        </w:rPr>
        <w:t xml:space="preserve">Generally, we or certain financial middlemen must report information to the IRS with respect to any distributions we pay on our common stock including the amount of any such distributions, the name and address of the recipient, and the amount, if any, of tax withheld. A similar report is sent to the holder to whom any such distributions are paid. Pursuant to tax treaties or certain other agreements, the IRS may make its reports available to tax authorities in the recipient’s country of residence.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Dividends paid by us (or our paying agents) to a Non-U.S. Holder may also be subject to U.S. backup withholding. U.S. backup withholding generally will not apply to a Non-U.S. Holder who provides a properly executed IRS Form W-8BEN or IRS Form W-8BEN-E, as applicable, or otherwise establishes an exemption, provided that the applicable withholding agent does not have actual knowledge or reason to know the holder is a U.S. person. </w:t>
      </w:r>
    </w:p>
    <w:p>
      <w:pPr>
        <w:pStyle w:val="TextBody"/>
        <w:bidi w:val="0"/>
        <w:spacing w:before="240" w:after="0"/>
        <w:jc w:val="left"/>
        <w:rPr>
          <w:rFonts w:ascii="Times New Roman" w:hAnsi="Times New Roman"/>
          <w:sz w:val="20"/>
        </w:rPr>
      </w:pPr>
      <w:r>
        <w:rPr>
          <w:rFonts w:ascii="Times New Roman" w:hAnsi="Times New Roman"/>
          <w:sz w:val="20"/>
        </w:rPr>
        <w:t xml:space="preserve">Under current U.S. federal income tax law, U.S. information reporting and backup withholding requirements generally will apply to the proceeds of a disposition of our common stock effected by or through a U.S. office of any broker, U.S. or non-U.S., unless the Non-U.S. Holder provides a properly executed IRS Form W-8BEN or IRS Form W-8BEN-E, as applicable, or otherwise meets documentary evidence requirements for establishing non-U.S. person status or otherwise establishes an exemption. Generally, U.S. information reporting and backup withholding requirements will not apply to a payment of disposition proceeds to a Non-U.S. Holder where the transaction is effected outside the United States through a non-U.S. office of a non-U.S. broker. Information reporting and backup withholding requirements may, however, apply to a payment of disposition proceeds if the broker has actual knowledge, or reason to know, that the holder is, in fact, a U.S. person. For information reporting purposes, certain brokers with substantial U.S. ownership or operations will generally be treated in a manner similar to U.S. brokers. </w:t>
      </w:r>
    </w:p>
    <w:p>
      <w:pPr>
        <w:pStyle w:val="TextBody"/>
        <w:bidi w:val="0"/>
        <w:spacing w:before="240" w:after="0"/>
        <w:jc w:val="left"/>
        <w:rPr>
          <w:rFonts w:ascii="Times New Roman" w:hAnsi="Times New Roman"/>
          <w:sz w:val="20"/>
        </w:rPr>
      </w:pPr>
      <w:r>
        <w:rPr>
          <w:rFonts w:ascii="Times New Roman" w:hAnsi="Times New Roman"/>
          <w:sz w:val="20"/>
        </w:rPr>
        <w:t xml:space="preserve">Backup withholding is not an additional tax. If backup withholding is applied to a Non-U.S. Holder, such Non-U.S. Holder should consult with its own tax advisor to determine whether such Non-U.S. Holder has overpaid U.S. federal income tax, and whether such Non-U.S. Holder is able to obtain a tax refund or credit of the overpaid amount. </w:t>
      </w:r>
    </w:p>
    <w:p>
      <w:pPr>
        <w:pStyle w:val="TextBody"/>
        <w:bidi w:val="0"/>
        <w:spacing w:before="360" w:after="0"/>
        <w:jc w:val="left"/>
        <w:rPr>
          <w:rFonts w:ascii="Times New Roman" w:hAnsi="Times New Roman"/>
          <w:b/>
          <w:sz w:val="20"/>
        </w:rPr>
      </w:pPr>
      <w:r>
        <w:rPr>
          <w:rFonts w:ascii="Times New Roman" w:hAnsi="Times New Roman"/>
          <w:b/>
          <w:sz w:val="20"/>
        </w:rPr>
        <w:t xml:space="preserve">Foreign Accounts </w:t>
      </w:r>
    </w:p>
    <w:p>
      <w:pPr>
        <w:pStyle w:val="TextBody"/>
        <w:bidi w:val="0"/>
        <w:spacing w:before="120" w:after="0"/>
        <w:jc w:val="left"/>
        <w:rPr>
          <w:rFonts w:ascii="Times New Roman" w:hAnsi="Times New Roman"/>
          <w:sz w:val="20"/>
        </w:rPr>
      </w:pPr>
      <w:r>
        <w:rPr>
          <w:rFonts w:ascii="Times New Roman" w:hAnsi="Times New Roman"/>
          <w:sz w:val="20"/>
        </w:rPr>
        <w:t xml:space="preserve">In addition to, and separately from the withholding rules described above, U.S. federal withholding taxes may apply under the Foreign Account Tax Compliance Act, or FATCA, on certain types of payments, including dividends to non-U.S. financial institutions and certain other non-U.S. entities. Specifically, a 30% withholding tax may be imposed on dividends paid in respect of our common stock and the gross proceeds of the disposition of our common stock paid to a “foreign financial institution” or a “non-financial foreign entity” (each as defined in the Code), unless (1) the foreign financial institution agrees to undertake certain diligence and reporting obligations, (2) the non-financial foreign entity either certifies it does not have any “substantial United States owners” (as defined in the Code) or furnishes identifying information regarding each substantial United States owner, or (3) the foreign financial institution or non-financial foreign entity otherwise qualifies for an exemption from these rules. The 30% federal withholding tax described in this paragraph cannot be reduced under an income tax treaty with the United States. If the payee is a foreign financial institution and is subject to the diligence and reporting requirements in (1) above, it must enter into an agreement with the U.S. Department of the Treasury requiring, among other things, that it undertake to identify accounts held by certain “specified United States persons” or “United States-owned foreign entities” (each as defined in the Code), annually report certain information about such accounts, and withhold 30% on certain payments to non-compliant foreign financial institutions and certain other account holders. Foreign financial institutions located in jurisdictions that have an intergovernmental agreement with the United States governing FATCA may be subject to different rules. </w:t>
      </w:r>
    </w:p>
    <w:p>
      <w:pPr>
        <w:pStyle w:val="TextBody"/>
        <w:bidi w:val="0"/>
        <w:spacing w:before="240" w:after="0"/>
        <w:jc w:val="left"/>
        <w:rPr>
          <w:rFonts w:ascii="Times New Roman" w:hAnsi="Times New Roman"/>
          <w:sz w:val="20"/>
        </w:rPr>
      </w:pPr>
      <w:r>
        <w:rPr>
          <w:rFonts w:ascii="Times New Roman" w:hAnsi="Times New Roman"/>
          <w:sz w:val="20"/>
        </w:rPr>
        <w:t xml:space="preserve">The Treasury Secretary has issued proposed regulations providing that the withholding provisions under FATCA do not apply with respect to payment of gross proceeds from a sale or other disposition, which may be relied upon by taxpayers until final regulations are issued. Prospective investors should consult their tax advisors regarding the potential application of withholding under FATCA to their investment in our common stock. </w:t>
      </w:r>
    </w:p>
    <w:p>
      <w:pPr>
        <w:pStyle w:val="TextBody"/>
        <w:bidi w:val="0"/>
        <w:spacing w:before="240" w:after="0"/>
        <w:jc w:val="left"/>
        <w:rPr>
          <w:rFonts w:ascii="Times New Roman" w:hAnsi="Times New Roman"/>
          <w:sz w:val="20"/>
        </w:rPr>
      </w:pPr>
      <w:r>
        <w:rPr>
          <w:rFonts w:ascii="Times New Roman" w:hAnsi="Times New Roman"/>
          <w:sz w:val="20"/>
        </w:rPr>
        <w:t xml:space="preserve">EACH PROSPECTIVE INVESTOR SHOULD CONSULT ITS OWN TAX ADVISOR REGARDING THE TAX CONSEQUENCES OF PURCHASING, HOLDING AND DISPOSING OF OUR COMMON STOCK, INCLUDING THE CONSEQUENCES OF ANY PROPOSED CHANGE IN APPLICABLE LAW, AS WELL AS TAX CONSEQUENCES ARISING UNDER ANY STATE, LOCAL, NON-U.S. OR U.S. FEDERAL NON-INCOME TAX LAWS SUCH AS ESTATE AND GIFT TAX.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S-23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11" w:name="supptx190758_10"/>
      <w:bookmarkEnd w:id="11"/>
      <w:r>
        <w:rPr>
          <w:rFonts w:ascii="Times New Roman" w:hAnsi="Times New Roman"/>
          <w:b/>
          <w:sz w:val="20"/>
        </w:rPr>
        <w:t xml:space="preserve">UNDERWRITING </w:t>
      </w:r>
    </w:p>
    <w:p>
      <w:pPr>
        <w:pStyle w:val="TextBody"/>
        <w:bidi w:val="0"/>
        <w:spacing w:before="240" w:after="0"/>
        <w:jc w:val="left"/>
        <w:rPr>
          <w:rFonts w:ascii="Times New Roman" w:hAnsi="Times New Roman"/>
          <w:sz w:val="20"/>
        </w:rPr>
      </w:pPr>
      <w:r>
        <w:rPr>
          <w:rFonts w:ascii="Times New Roman" w:hAnsi="Times New Roman"/>
          <w:sz w:val="20"/>
        </w:rPr>
        <w:t xml:space="preserve">We are offering the shares of common stock described in this prospectus supplement through a number of underwriters. Jefferies LLC, Leerink Partners LLC, Morgan Stanley &amp; Co. LLC and Cantor Fitzgerald &amp; Co. are acting as joint book-running managers of the offering and as representatives of the underwriters. Subject to the terms and conditions of the underwriting agreement, dated October 20, 2026, among us and the representatives of the underwriters, we have agreed to sell to the underwriters, and each underwriter has severally agreed to purchase, at the public offering price less the underwriting discounts and commissions set forth on the cover page of this prospectus supplement, the number of shares of common stock listed next to its name in the following table: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5460"/>
        <w:gridCol w:w="282"/>
        <w:gridCol w:w="65"/>
        <w:gridCol w:w="1069"/>
        <w:gridCol w:w="63"/>
      </w:tblGrid>
      <w:tr>
        <w:trPr/>
        <w:tc>
          <w:tcPr>
            <w:tcW w:w="5460" w:type="dxa"/>
            <w:tcBorders/>
            <w:vAlign w:val="center"/>
          </w:tcPr>
          <w:p>
            <w:pPr>
              <w:pStyle w:val="TableContents"/>
              <w:bidi w:val="0"/>
              <w:spacing w:before="0" w:after="283"/>
              <w:jc w:val="left"/>
              <w:rPr>
                <w:sz w:val="4"/>
                <w:szCs w:val="4"/>
              </w:rPr>
            </w:pPr>
            <w:r>
              <w:rPr>
                <w:sz w:val="4"/>
                <w:szCs w:val="4"/>
              </w:rPr>
            </w:r>
          </w:p>
        </w:tc>
        <w:tc>
          <w:tcPr>
            <w:tcW w:w="282" w:type="dxa"/>
            <w:tcBorders/>
            <w:vAlign w:val="bottom"/>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5460"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w:t>
            </w:r>
          </w:p>
        </w:tc>
        <w:tc>
          <w:tcPr>
            <w:tcW w:w="282" w:type="dxa"/>
            <w:tcBorders/>
            <w:vAlign w:val="bottom"/>
          </w:tcPr>
          <w:p>
            <w:pPr>
              <w:pStyle w:val="TableContents"/>
              <w:bidi w:val="0"/>
              <w:spacing w:before="0" w:after="283"/>
              <w:jc w:val="left"/>
              <w:rPr/>
            </w:pPr>
            <w:r>
              <w:rPr/>
              <w:t>  </w:t>
            </w:r>
          </w:p>
        </w:tc>
        <w:tc>
          <w:tcPr>
            <w:tcW w:w="113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 of</w:t>
              <w:br/>
              <w:t>Shares</w:t>
            </w:r>
          </w:p>
        </w:tc>
        <w:tc>
          <w:tcPr>
            <w:tcW w:w="63" w:type="dxa"/>
            <w:tcBorders/>
            <w:vAlign w:val="bottom"/>
          </w:tcPr>
          <w:p>
            <w:pPr>
              <w:pStyle w:val="TableContents"/>
              <w:bidi w:val="0"/>
              <w:spacing w:before="0" w:after="283"/>
              <w:jc w:val="left"/>
              <w:rPr/>
            </w:pPr>
            <w:r>
              <w:rPr/>
              <w:t> </w:t>
            </w:r>
          </w:p>
        </w:tc>
      </w:tr>
      <w:tr>
        <w:trPr/>
        <w:tc>
          <w:tcPr>
            <w:tcW w:w="54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Jefferies LLC</w:t>
            </w:r>
          </w:p>
        </w:tc>
        <w:tc>
          <w:tcPr>
            <w:tcW w:w="282"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1069" w:type="dxa"/>
            <w:tcBorders/>
            <w:shd w:fill="CCEEFF" w:val="clear"/>
            <w:vAlign w:val="bottom"/>
          </w:tcPr>
          <w:p>
            <w:pPr>
              <w:pStyle w:val="TableContents"/>
              <w:bidi w:val="0"/>
              <w:spacing w:before="0" w:after="283"/>
              <w:jc w:val="right"/>
              <w:rPr/>
            </w:pPr>
            <w:r>
              <w:rPr/>
              <w:t>1,620,000</w:t>
            </w:r>
          </w:p>
        </w:tc>
        <w:tc>
          <w:tcPr>
            <w:tcW w:w="63" w:type="dxa"/>
            <w:tcBorders/>
            <w:shd w:fill="CCEEFF" w:val="clear"/>
            <w:vAlign w:val="bottom"/>
          </w:tcPr>
          <w:p>
            <w:pPr>
              <w:pStyle w:val="TableContents"/>
              <w:bidi w:val="0"/>
              <w:spacing w:before="0" w:after="283"/>
              <w:jc w:val="left"/>
              <w:rPr/>
            </w:pPr>
            <w:r>
              <w:rPr/>
              <w:t> </w:t>
            </w:r>
          </w:p>
        </w:tc>
      </w:tr>
      <w:tr>
        <w:trPr/>
        <w:tc>
          <w:tcPr>
            <w:tcW w:w="5460" w:type="dxa"/>
            <w:tcBorders/>
          </w:tcPr>
          <w:p>
            <w:pPr>
              <w:pStyle w:val="TableContents"/>
              <w:bidi w:val="0"/>
              <w:spacing w:before="0" w:after="0"/>
              <w:jc w:val="left"/>
              <w:rPr>
                <w:rFonts w:ascii="Times New Roman" w:hAnsi="Times New Roman"/>
                <w:sz w:val="20"/>
              </w:rPr>
            </w:pPr>
            <w:r>
              <w:rPr>
                <w:rFonts w:ascii="Times New Roman" w:hAnsi="Times New Roman"/>
                <w:sz w:val="20"/>
              </w:rPr>
              <w:t>Leerink Partners LLC</w:t>
            </w:r>
          </w:p>
        </w:tc>
        <w:tc>
          <w:tcPr>
            <w:tcW w:w="282"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1069" w:type="dxa"/>
            <w:tcBorders/>
            <w:vAlign w:val="bottom"/>
          </w:tcPr>
          <w:p>
            <w:pPr>
              <w:pStyle w:val="TableContents"/>
              <w:bidi w:val="0"/>
              <w:spacing w:before="0" w:after="283"/>
              <w:jc w:val="right"/>
              <w:rPr/>
            </w:pPr>
            <w:r>
              <w:rPr/>
              <w:t>1,440,000</w:t>
            </w:r>
          </w:p>
        </w:tc>
        <w:tc>
          <w:tcPr>
            <w:tcW w:w="63" w:type="dxa"/>
            <w:tcBorders/>
            <w:vAlign w:val="bottom"/>
          </w:tcPr>
          <w:p>
            <w:pPr>
              <w:pStyle w:val="TableContents"/>
              <w:bidi w:val="0"/>
              <w:spacing w:before="0" w:after="283"/>
              <w:jc w:val="left"/>
              <w:rPr/>
            </w:pPr>
            <w:r>
              <w:rPr/>
              <w:t> </w:t>
            </w:r>
          </w:p>
        </w:tc>
      </w:tr>
      <w:tr>
        <w:trPr/>
        <w:tc>
          <w:tcPr>
            <w:tcW w:w="54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Morgan Stanley &amp; Co. LLC</w:t>
            </w:r>
          </w:p>
        </w:tc>
        <w:tc>
          <w:tcPr>
            <w:tcW w:w="282"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1069" w:type="dxa"/>
            <w:tcBorders/>
            <w:shd w:fill="CCEEFF" w:val="clear"/>
            <w:vAlign w:val="bottom"/>
          </w:tcPr>
          <w:p>
            <w:pPr>
              <w:pStyle w:val="TableContents"/>
              <w:bidi w:val="0"/>
              <w:spacing w:before="0" w:after="283"/>
              <w:jc w:val="right"/>
              <w:rPr/>
            </w:pPr>
            <w:r>
              <w:rPr/>
              <w:t>1,140,000</w:t>
            </w:r>
          </w:p>
        </w:tc>
        <w:tc>
          <w:tcPr>
            <w:tcW w:w="63" w:type="dxa"/>
            <w:tcBorders/>
            <w:shd w:fill="CCEEFF" w:val="clear"/>
            <w:vAlign w:val="bottom"/>
          </w:tcPr>
          <w:p>
            <w:pPr>
              <w:pStyle w:val="TableContents"/>
              <w:bidi w:val="0"/>
              <w:spacing w:before="0" w:after="283"/>
              <w:jc w:val="left"/>
              <w:rPr/>
            </w:pPr>
            <w:r>
              <w:rPr/>
              <w:t> </w:t>
            </w:r>
          </w:p>
        </w:tc>
      </w:tr>
      <w:tr>
        <w:trPr/>
        <w:tc>
          <w:tcPr>
            <w:tcW w:w="5460" w:type="dxa"/>
            <w:tcBorders/>
          </w:tcPr>
          <w:p>
            <w:pPr>
              <w:pStyle w:val="TableContents"/>
              <w:bidi w:val="0"/>
              <w:spacing w:before="0" w:after="0"/>
              <w:jc w:val="left"/>
              <w:rPr>
                <w:rFonts w:ascii="Times New Roman" w:hAnsi="Times New Roman"/>
                <w:sz w:val="20"/>
              </w:rPr>
            </w:pPr>
            <w:r>
              <w:rPr>
                <w:rFonts w:ascii="Times New Roman" w:hAnsi="Times New Roman"/>
                <w:sz w:val="20"/>
              </w:rPr>
              <w:t>Cantor Fitzgerald &amp; Co.</w:t>
            </w:r>
          </w:p>
        </w:tc>
        <w:tc>
          <w:tcPr>
            <w:tcW w:w="282"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1069" w:type="dxa"/>
            <w:tcBorders/>
            <w:vAlign w:val="bottom"/>
          </w:tcPr>
          <w:p>
            <w:pPr>
              <w:pStyle w:val="TableContents"/>
              <w:bidi w:val="0"/>
              <w:spacing w:before="0" w:after="283"/>
              <w:jc w:val="right"/>
              <w:rPr/>
            </w:pPr>
            <w:r>
              <w:rPr/>
              <w:t>930,000</w:t>
            </w:r>
          </w:p>
        </w:tc>
        <w:tc>
          <w:tcPr>
            <w:tcW w:w="63" w:type="dxa"/>
            <w:tcBorders/>
            <w:vAlign w:val="bottom"/>
          </w:tcPr>
          <w:p>
            <w:pPr>
              <w:pStyle w:val="TableContents"/>
              <w:bidi w:val="0"/>
              <w:spacing w:before="0" w:after="283"/>
              <w:jc w:val="left"/>
              <w:rPr/>
            </w:pPr>
            <w:r>
              <w:rPr/>
              <w:t> </w:t>
            </w:r>
          </w:p>
        </w:tc>
      </w:tr>
      <w:tr>
        <w:trPr/>
        <w:tc>
          <w:tcPr>
            <w:tcW w:w="54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LifeSci Capital LLC</w:t>
            </w:r>
          </w:p>
        </w:tc>
        <w:tc>
          <w:tcPr>
            <w:tcW w:w="282"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1069" w:type="dxa"/>
            <w:tcBorders/>
            <w:shd w:fill="CCEEFF" w:val="clear"/>
            <w:vAlign w:val="bottom"/>
          </w:tcPr>
          <w:p>
            <w:pPr>
              <w:pStyle w:val="TableContents"/>
              <w:bidi w:val="0"/>
              <w:spacing w:before="0" w:after="283"/>
              <w:jc w:val="right"/>
              <w:rPr/>
            </w:pPr>
            <w:r>
              <w:rPr/>
              <w:t>330,000</w:t>
            </w:r>
          </w:p>
        </w:tc>
        <w:tc>
          <w:tcPr>
            <w:tcW w:w="63" w:type="dxa"/>
            <w:tcBorders/>
            <w:shd w:fill="CCEEFF" w:val="clear"/>
            <w:vAlign w:val="bottom"/>
          </w:tcPr>
          <w:p>
            <w:pPr>
              <w:pStyle w:val="TableContents"/>
              <w:bidi w:val="0"/>
              <w:spacing w:before="0" w:after="283"/>
              <w:jc w:val="left"/>
              <w:rPr/>
            </w:pPr>
            <w:r>
              <w:rPr/>
              <w:t> </w:t>
            </w:r>
          </w:p>
        </w:tc>
      </w:tr>
      <w:tr>
        <w:trPr/>
        <w:tc>
          <w:tcPr>
            <w:tcW w:w="5460" w:type="dxa"/>
            <w:tcBorders/>
          </w:tcPr>
          <w:p>
            <w:pPr>
              <w:pStyle w:val="TableContents"/>
              <w:bidi w:val="0"/>
              <w:spacing w:before="0" w:after="0"/>
              <w:jc w:val="left"/>
              <w:rPr>
                <w:rFonts w:ascii="Times New Roman" w:hAnsi="Times New Roman"/>
                <w:sz w:val="20"/>
              </w:rPr>
            </w:pPr>
            <w:r>
              <w:rPr>
                <w:rFonts w:ascii="Times New Roman" w:hAnsi="Times New Roman"/>
                <w:sz w:val="20"/>
              </w:rPr>
              <w:t>BMO Capital Markets Corp.</w:t>
            </w:r>
          </w:p>
        </w:tc>
        <w:tc>
          <w:tcPr>
            <w:tcW w:w="282"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1069" w:type="dxa"/>
            <w:tcBorders/>
            <w:vAlign w:val="bottom"/>
          </w:tcPr>
          <w:p>
            <w:pPr>
              <w:pStyle w:val="TableContents"/>
              <w:bidi w:val="0"/>
              <w:spacing w:before="0" w:after="283"/>
              <w:jc w:val="right"/>
              <w:rPr/>
            </w:pPr>
            <w:r>
              <w:rPr/>
              <w:t>360,000</w:t>
            </w:r>
          </w:p>
        </w:tc>
        <w:tc>
          <w:tcPr>
            <w:tcW w:w="63" w:type="dxa"/>
            <w:tcBorders/>
            <w:vAlign w:val="bottom"/>
          </w:tcPr>
          <w:p>
            <w:pPr>
              <w:pStyle w:val="TableContents"/>
              <w:bidi w:val="0"/>
              <w:spacing w:before="0" w:after="283"/>
              <w:jc w:val="left"/>
              <w:rPr/>
            </w:pPr>
            <w:r>
              <w:rPr/>
              <w:t> </w:t>
            </w:r>
          </w:p>
        </w:tc>
      </w:tr>
      <w:tr>
        <w:trPr/>
        <w:tc>
          <w:tcPr>
            <w:tcW w:w="54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H.C. Wainwright &amp; Co., LLC</w:t>
            </w:r>
          </w:p>
        </w:tc>
        <w:tc>
          <w:tcPr>
            <w:tcW w:w="282"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1069" w:type="dxa"/>
            <w:tcBorders/>
            <w:shd w:fill="CCEEFF" w:val="clear"/>
            <w:vAlign w:val="bottom"/>
          </w:tcPr>
          <w:p>
            <w:pPr>
              <w:pStyle w:val="TableContents"/>
              <w:bidi w:val="0"/>
              <w:spacing w:before="0" w:after="283"/>
              <w:jc w:val="right"/>
              <w:rPr/>
            </w:pPr>
            <w:r>
              <w:rPr/>
              <w:t>180,000</w:t>
            </w:r>
          </w:p>
        </w:tc>
        <w:tc>
          <w:tcPr>
            <w:tcW w:w="63" w:type="dxa"/>
            <w:tcBorders/>
            <w:shd w:fill="CCEEFF" w:val="clear"/>
            <w:vAlign w:val="bottom"/>
          </w:tcPr>
          <w:p>
            <w:pPr>
              <w:pStyle w:val="TableContents"/>
              <w:bidi w:val="0"/>
              <w:spacing w:before="0" w:after="283"/>
              <w:jc w:val="left"/>
              <w:rPr/>
            </w:pPr>
            <w:r>
              <w:rPr/>
              <w:t> </w:t>
            </w:r>
          </w:p>
        </w:tc>
      </w:tr>
      <w:tr>
        <w:trPr/>
        <w:tc>
          <w:tcPr>
            <w:tcW w:w="5460" w:type="dxa"/>
            <w:tcBorders/>
            <w:vAlign w:val="bottom"/>
          </w:tcPr>
          <w:p>
            <w:pPr>
              <w:pStyle w:val="TableContents"/>
              <w:bidi w:val="0"/>
              <w:spacing w:before="0" w:after="283"/>
              <w:jc w:val="left"/>
              <w:rPr>
                <w:sz w:val="4"/>
                <w:szCs w:val="4"/>
              </w:rPr>
            </w:pPr>
            <w:r>
              <w:rPr>
                <w:sz w:val="4"/>
                <w:szCs w:val="4"/>
              </w:rPr>
            </w:r>
          </w:p>
        </w:tc>
        <w:tc>
          <w:tcPr>
            <w:tcW w:w="282" w:type="dxa"/>
            <w:tcBorders/>
            <w:vAlign w:val="bottom"/>
          </w:tcPr>
          <w:p>
            <w:pPr>
              <w:pStyle w:val="TableContents"/>
              <w:bidi w:val="0"/>
              <w:spacing w:before="0" w:after="283"/>
              <w:jc w:val="left"/>
              <w:rPr/>
            </w:pPr>
            <w:r>
              <w:rPr/>
              <w:t>  </w:t>
            </w:r>
          </w:p>
        </w:tc>
        <w:tc>
          <w:tcPr>
            <w:tcW w:w="65" w:type="dxa"/>
            <w:tcBorders/>
            <w:vAlign w:val="bottom"/>
          </w:tcPr>
          <w:p>
            <w:pPr>
              <w:pStyle w:val="TableContents"/>
              <w:pBdr>
                <w:top w:val="single" w:sz="2" w:space="1" w:color="000000"/>
              </w:pBdr>
              <w:bidi w:val="0"/>
              <w:spacing w:before="0" w:after="0"/>
              <w:jc w:val="left"/>
              <w:rPr/>
            </w:pPr>
            <w:r>
              <w:rPr/>
              <w:t> </w:t>
            </w:r>
          </w:p>
        </w:tc>
        <w:tc>
          <w:tcPr>
            <w:tcW w:w="1069"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5460" w:type="dxa"/>
            <w:tcBorders/>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282"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1069" w:type="dxa"/>
            <w:tcBorders/>
            <w:vAlign w:val="bottom"/>
          </w:tcPr>
          <w:p>
            <w:pPr>
              <w:pStyle w:val="TableContents"/>
              <w:bidi w:val="0"/>
              <w:spacing w:before="0" w:after="283"/>
              <w:jc w:val="right"/>
              <w:rPr/>
            </w:pPr>
            <w:r>
              <w:rPr/>
              <w:t>6,000,000</w:t>
            </w:r>
          </w:p>
        </w:tc>
        <w:tc>
          <w:tcPr>
            <w:tcW w:w="63" w:type="dxa"/>
            <w:tcBorders/>
            <w:vAlign w:val="bottom"/>
          </w:tcPr>
          <w:p>
            <w:pPr>
              <w:pStyle w:val="TableContents"/>
              <w:bidi w:val="0"/>
              <w:spacing w:before="0" w:after="283"/>
              <w:jc w:val="left"/>
              <w:rPr/>
            </w:pPr>
            <w:r>
              <w:rPr/>
              <w:t> </w:t>
            </w:r>
          </w:p>
        </w:tc>
      </w:tr>
      <w:tr>
        <w:trPr/>
        <w:tc>
          <w:tcPr>
            <w:tcW w:w="5460" w:type="dxa"/>
            <w:tcBorders/>
            <w:vAlign w:val="bottom"/>
          </w:tcPr>
          <w:p>
            <w:pPr>
              <w:pStyle w:val="TableContents"/>
              <w:bidi w:val="0"/>
              <w:spacing w:before="0" w:after="283"/>
              <w:jc w:val="left"/>
              <w:rPr>
                <w:sz w:val="4"/>
                <w:szCs w:val="4"/>
              </w:rPr>
            </w:pPr>
            <w:r>
              <w:rPr>
                <w:sz w:val="4"/>
                <w:szCs w:val="4"/>
              </w:rPr>
            </w:r>
          </w:p>
        </w:tc>
        <w:tc>
          <w:tcPr>
            <w:tcW w:w="282" w:type="dxa"/>
            <w:tcBorders/>
            <w:vAlign w:val="bottom"/>
          </w:tcPr>
          <w:p>
            <w:pPr>
              <w:pStyle w:val="TableContents"/>
              <w:bidi w:val="0"/>
              <w:spacing w:before="0" w:after="283"/>
              <w:jc w:val="left"/>
              <w:rPr/>
            </w:pPr>
            <w:r>
              <w:rPr/>
              <w:t>  </w:t>
            </w:r>
          </w:p>
        </w:tc>
        <w:tc>
          <w:tcPr>
            <w:tcW w:w="65" w:type="dxa"/>
            <w:tcBorders/>
            <w:vAlign w:val="bottom"/>
          </w:tcPr>
          <w:p>
            <w:pPr>
              <w:pStyle w:val="TableContents"/>
              <w:pBdr>
                <w:top w:val="double" w:sz="6" w:space="1" w:color="000000"/>
              </w:pBdr>
              <w:bidi w:val="0"/>
              <w:spacing w:before="0" w:after="0"/>
              <w:jc w:val="left"/>
              <w:rPr/>
            </w:pPr>
            <w:r>
              <w:rPr/>
              <w:t> </w:t>
            </w:r>
          </w:p>
        </w:tc>
        <w:tc>
          <w:tcPr>
            <w:tcW w:w="1069" w:type="dxa"/>
            <w:tcBorders/>
            <w:vAlign w:val="bottom"/>
          </w:tcPr>
          <w:p>
            <w:pPr>
              <w:pStyle w:val="TableContents"/>
              <w:pBdr>
                <w:top w:val="double" w:sz="6"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underwriters are committed to purchase all the shares of common stock offered by us if they purchase any shares. The underwriting agreement also provides that if an underwriter defaults, the purchase commitments of non-defaulting underwriters may also be increased or the offering may be terminated. </w:t>
      </w:r>
    </w:p>
    <w:p>
      <w:pPr>
        <w:pStyle w:val="TextBody"/>
        <w:bidi w:val="0"/>
        <w:spacing w:before="240" w:after="0"/>
        <w:jc w:val="left"/>
        <w:rPr>
          <w:rFonts w:ascii="Times New Roman" w:hAnsi="Times New Roman"/>
          <w:sz w:val="20"/>
        </w:rPr>
      </w:pPr>
      <w:r>
        <w:rPr>
          <w:rFonts w:ascii="Times New Roman" w:hAnsi="Times New Roman"/>
          <w:sz w:val="20"/>
        </w:rPr>
        <w:t xml:space="preserve">The underwriters propose to offer the shares of common stock directly to the public at the public offering price set forth on the cover page of this prospectus supplement and to certain dealers at that price less a concession not in excess of $2.7000 per share. After the initial offering of the shares to the public, if all of the shares are not sold at the public offering price, the underwriters may change the offering price and the other selling terms. Sales of any shares made outside of the United States may be made by affiliates of the underwriters. The offering of the shares by the underwriters is subject to receipt and acceptance and subject to the underwriters’ right to reject any order in whole or in part. </w:t>
      </w:r>
    </w:p>
    <w:p>
      <w:pPr>
        <w:pStyle w:val="TextBody"/>
        <w:bidi w:val="0"/>
        <w:spacing w:before="240" w:after="0"/>
        <w:jc w:val="left"/>
        <w:rPr>
          <w:rFonts w:ascii="Times New Roman" w:hAnsi="Times New Roman"/>
          <w:sz w:val="20"/>
        </w:rPr>
      </w:pPr>
      <w:r>
        <w:rPr>
          <w:rFonts w:ascii="Times New Roman" w:hAnsi="Times New Roman"/>
          <w:sz w:val="20"/>
        </w:rPr>
        <w:t xml:space="preserve">We have granted to the underwriters an option, exercisable for 30 days from the date of this prospectus supplement, to purchase, from time to time, in whole or in part, up to an aggregate of 900,000 shares of our common stock from us at the public offering price set forth on the cover page of this prospectus supplement, less underwriting discounts and commissions. If the underwriters exercise this option, each underwriter will be obligated, subject to specified conditions, to purchase a number of additional shares of common stock proportionate to that underwriter’s initial purchase commitment as indicated in the table above. </w:t>
      </w:r>
    </w:p>
    <w:p>
      <w:pPr>
        <w:pStyle w:val="TextBody"/>
        <w:bidi w:val="0"/>
        <w:spacing w:before="240" w:after="0"/>
        <w:jc w:val="left"/>
        <w:rPr>
          <w:rFonts w:ascii="Times New Roman" w:hAnsi="Times New Roman"/>
          <w:sz w:val="20"/>
        </w:rPr>
      </w:pPr>
      <w:r>
        <w:rPr>
          <w:rFonts w:ascii="Times New Roman" w:hAnsi="Times New Roman"/>
          <w:sz w:val="20"/>
        </w:rPr>
        <w:t xml:space="preserve">The underwriting fee is equal to the public offering price per share of common stock less the amount paid by the underwriters to us per share of common stock. The underwriting fee is $4.50 per share. The following table shows the per share and total underwriting discounts and commissions to be paid to the underwriters, assuming both no exercise and full exercise of the underwriters’ option to purchase additional shares.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4672"/>
        <w:gridCol w:w="196"/>
        <w:gridCol w:w="147"/>
        <w:gridCol w:w="588"/>
        <w:gridCol w:w="60"/>
        <w:gridCol w:w="196"/>
        <w:gridCol w:w="156"/>
        <w:gridCol w:w="1448"/>
        <w:gridCol w:w="60"/>
        <w:gridCol w:w="196"/>
        <w:gridCol w:w="156"/>
        <w:gridCol w:w="1448"/>
        <w:gridCol w:w="65"/>
      </w:tblGrid>
      <w:tr>
        <w:trPr/>
        <w:tc>
          <w:tcPr>
            <w:tcW w:w="4672" w:type="dxa"/>
            <w:tcBorders/>
            <w:vAlign w:val="center"/>
          </w:tcPr>
          <w:p>
            <w:pPr>
              <w:pStyle w:val="TableContents"/>
              <w:bidi w:val="0"/>
              <w:spacing w:before="0" w:after="283"/>
              <w:jc w:val="left"/>
              <w:rPr>
                <w:sz w:val="4"/>
                <w:szCs w:val="4"/>
              </w:rPr>
            </w:pPr>
            <w:r>
              <w:rPr>
                <w:sz w:val="4"/>
                <w:szCs w:val="4"/>
              </w:rPr>
            </w:r>
          </w:p>
        </w:tc>
        <w:tc>
          <w:tcPr>
            <w:tcW w:w="196" w:type="dxa"/>
            <w:tcBorders/>
            <w:vAlign w:val="bottom"/>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6" w:type="dxa"/>
            <w:tcBorders/>
            <w:vAlign w:val="bottom"/>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44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6" w:type="dxa"/>
            <w:tcBorders/>
            <w:vAlign w:val="bottom"/>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448"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4672"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735"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3464" w:type="dxa"/>
            <w:gridSpan w:val="6"/>
            <w:tcBorders>
              <w:bottom w:val="single" w:sz="8" w:space="0" w:color="000000"/>
            </w:tcBorders>
            <w:tcMar>
              <w:bottom w:w="28" w:type="dxa"/>
            </w:tcMar>
            <w:vAlign w:val="bottom"/>
          </w:tcPr>
          <w:p>
            <w:pPr>
              <w:pStyle w:val="TableContents"/>
              <w:bidi w:val="0"/>
              <w:spacing w:before="0" w:after="283"/>
              <w:jc w:val="center"/>
              <w:rPr>
                <w:b/>
              </w:rPr>
            </w:pPr>
            <w:r>
              <w:rPr>
                <w:b/>
              </w:rPr>
              <w:t>Total</w:t>
            </w:r>
          </w:p>
        </w:tc>
        <w:tc>
          <w:tcPr>
            <w:tcW w:w="65" w:type="dxa"/>
            <w:tcBorders/>
            <w:vAlign w:val="bottom"/>
          </w:tcPr>
          <w:p>
            <w:pPr>
              <w:pStyle w:val="TableContents"/>
              <w:bidi w:val="0"/>
              <w:spacing w:before="0" w:after="283"/>
              <w:jc w:val="left"/>
              <w:rPr/>
            </w:pPr>
            <w:r>
              <w:rPr/>
              <w:t> </w:t>
            </w:r>
          </w:p>
        </w:tc>
      </w:tr>
      <w:tr>
        <w:trPr/>
        <w:tc>
          <w:tcPr>
            <w:tcW w:w="4672"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735" w:type="dxa"/>
            <w:gridSpan w:val="2"/>
            <w:tcBorders/>
            <w:vAlign w:val="bottom"/>
          </w:tcPr>
          <w:p>
            <w:pPr>
              <w:pStyle w:val="TableContents"/>
              <w:bidi w:val="0"/>
              <w:spacing w:before="0" w:after="283"/>
              <w:jc w:val="center"/>
              <w:rPr>
                <w:b/>
              </w:rPr>
            </w:pPr>
            <w:r>
              <w:rPr>
                <w:b/>
              </w:rPr>
              <w:t>Per</w:t>
              <w:br/>
              <w:t>Share</w:t>
            </w:r>
          </w:p>
        </w:tc>
        <w:tc>
          <w:tcPr>
            <w:tcW w:w="60"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604" w:type="dxa"/>
            <w:gridSpan w:val="2"/>
            <w:tcBorders/>
            <w:vAlign w:val="bottom"/>
          </w:tcPr>
          <w:p>
            <w:pPr>
              <w:pStyle w:val="TableContents"/>
              <w:bidi w:val="0"/>
              <w:spacing w:before="0" w:after="283"/>
              <w:jc w:val="center"/>
              <w:rPr>
                <w:b/>
              </w:rPr>
            </w:pPr>
            <w:r>
              <w:rPr>
                <w:b/>
              </w:rPr>
              <w:t>Without</w:t>
              <w:br/>
              <w:t>option to</w:t>
              <w:br/>
              <w:t>purchase</w:t>
              <w:br/>
              <w:t>additional</w:t>
              <w:br/>
              <w:t>shares exercise</w:t>
            </w:r>
          </w:p>
        </w:tc>
        <w:tc>
          <w:tcPr>
            <w:tcW w:w="60"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604" w:type="dxa"/>
            <w:gridSpan w:val="2"/>
            <w:tcBorders/>
            <w:vAlign w:val="bottom"/>
          </w:tcPr>
          <w:p>
            <w:pPr>
              <w:pStyle w:val="TableContents"/>
              <w:bidi w:val="0"/>
              <w:spacing w:before="0" w:after="283"/>
              <w:jc w:val="center"/>
              <w:rPr>
                <w:b/>
              </w:rPr>
            </w:pPr>
            <w:r>
              <w:rPr>
                <w:b/>
              </w:rPr>
              <w:t>With full</w:t>
              <w:br/>
              <w:t>option to</w:t>
              <w:br/>
              <w:t>purchase</w:t>
              <w:br/>
              <w:t>additional</w:t>
              <w:br/>
              <w:t>shares exercise</w:t>
            </w:r>
          </w:p>
        </w:tc>
        <w:tc>
          <w:tcPr>
            <w:tcW w:w="65" w:type="dxa"/>
            <w:tcBorders/>
            <w:vAlign w:val="bottom"/>
          </w:tcPr>
          <w:p>
            <w:pPr>
              <w:pStyle w:val="TableContents"/>
              <w:bidi w:val="0"/>
              <w:spacing w:before="0" w:after="283"/>
              <w:jc w:val="left"/>
              <w:rPr/>
            </w:pPr>
            <w:r>
              <w:rPr/>
              <w:t> </w:t>
            </w:r>
          </w:p>
        </w:tc>
      </w:tr>
      <w:tr>
        <w:trPr/>
        <w:tc>
          <w:tcPr>
            <w:tcW w:w="467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Public Offering Price</w:t>
            </w:r>
          </w:p>
        </w:tc>
        <w:tc>
          <w:tcPr>
            <w:tcW w:w="196"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w:t>
            </w:r>
          </w:p>
        </w:tc>
        <w:tc>
          <w:tcPr>
            <w:tcW w:w="588" w:type="dxa"/>
            <w:tcBorders/>
            <w:shd w:fill="CCEEFF" w:val="clear"/>
            <w:vAlign w:val="bottom"/>
          </w:tcPr>
          <w:p>
            <w:pPr>
              <w:pStyle w:val="TableContents"/>
              <w:bidi w:val="0"/>
              <w:spacing w:before="0" w:after="283"/>
              <w:jc w:val="right"/>
              <w:rPr/>
            </w:pPr>
            <w:r>
              <w:rPr/>
              <w:t>75.00</w:t>
            </w:r>
          </w:p>
        </w:tc>
        <w:tc>
          <w:tcPr>
            <w:tcW w:w="60"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w:t>
            </w:r>
          </w:p>
        </w:tc>
        <w:tc>
          <w:tcPr>
            <w:tcW w:w="1448" w:type="dxa"/>
            <w:tcBorders/>
            <w:shd w:fill="CCEEFF" w:val="clear"/>
            <w:vAlign w:val="bottom"/>
          </w:tcPr>
          <w:p>
            <w:pPr>
              <w:pStyle w:val="TableContents"/>
              <w:bidi w:val="0"/>
              <w:spacing w:before="0" w:after="283"/>
              <w:jc w:val="right"/>
              <w:rPr/>
            </w:pPr>
            <w:r>
              <w:rPr/>
              <w:t>450,000,000</w:t>
            </w:r>
          </w:p>
        </w:tc>
        <w:tc>
          <w:tcPr>
            <w:tcW w:w="60"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w:t>
            </w:r>
          </w:p>
        </w:tc>
        <w:tc>
          <w:tcPr>
            <w:tcW w:w="1448" w:type="dxa"/>
            <w:tcBorders/>
            <w:shd w:fill="CCEEFF" w:val="clear"/>
            <w:vAlign w:val="bottom"/>
          </w:tcPr>
          <w:p>
            <w:pPr>
              <w:pStyle w:val="TableContents"/>
              <w:bidi w:val="0"/>
              <w:spacing w:before="0" w:after="283"/>
              <w:jc w:val="right"/>
              <w:rPr/>
            </w:pPr>
            <w:r>
              <w:rPr/>
              <w:t>517,500,000</w:t>
            </w:r>
          </w:p>
        </w:tc>
        <w:tc>
          <w:tcPr>
            <w:tcW w:w="65" w:type="dxa"/>
            <w:tcBorders/>
            <w:shd w:fill="CCEEFF" w:val="clear"/>
            <w:vAlign w:val="bottom"/>
          </w:tcPr>
          <w:p>
            <w:pPr>
              <w:pStyle w:val="TableContents"/>
              <w:bidi w:val="0"/>
              <w:spacing w:before="0" w:after="283"/>
              <w:jc w:val="left"/>
              <w:rPr/>
            </w:pPr>
            <w:r>
              <w:rPr/>
              <w:t> </w:t>
            </w:r>
          </w:p>
        </w:tc>
      </w:tr>
      <w:tr>
        <w:trPr/>
        <w:tc>
          <w:tcPr>
            <w:tcW w:w="4672" w:type="dxa"/>
            <w:tcBorders/>
          </w:tcPr>
          <w:p>
            <w:pPr>
              <w:pStyle w:val="TableContents"/>
              <w:bidi w:val="0"/>
              <w:spacing w:before="0" w:after="0"/>
              <w:jc w:val="left"/>
              <w:rPr>
                <w:rFonts w:ascii="Times New Roman" w:hAnsi="Times New Roman"/>
                <w:sz w:val="20"/>
              </w:rPr>
            </w:pPr>
            <w:r>
              <w:rPr>
                <w:rFonts w:ascii="Times New Roman" w:hAnsi="Times New Roman"/>
                <w:sz w:val="20"/>
              </w:rPr>
              <w:t>Underwriting discounts and commissions to be paid by us</w:t>
            </w:r>
          </w:p>
        </w:tc>
        <w:tc>
          <w:tcPr>
            <w:tcW w:w="196"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w:t>
            </w:r>
          </w:p>
        </w:tc>
        <w:tc>
          <w:tcPr>
            <w:tcW w:w="588" w:type="dxa"/>
            <w:tcBorders/>
            <w:vAlign w:val="bottom"/>
          </w:tcPr>
          <w:p>
            <w:pPr>
              <w:pStyle w:val="TableContents"/>
              <w:bidi w:val="0"/>
              <w:spacing w:before="0" w:after="283"/>
              <w:jc w:val="right"/>
              <w:rPr/>
            </w:pPr>
            <w:r>
              <w:rPr/>
              <w:t>4.50</w:t>
            </w:r>
          </w:p>
        </w:tc>
        <w:tc>
          <w:tcPr>
            <w:tcW w:w="60"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w:t>
            </w:r>
          </w:p>
        </w:tc>
        <w:tc>
          <w:tcPr>
            <w:tcW w:w="1448" w:type="dxa"/>
            <w:tcBorders/>
            <w:vAlign w:val="bottom"/>
          </w:tcPr>
          <w:p>
            <w:pPr>
              <w:pStyle w:val="TableContents"/>
              <w:bidi w:val="0"/>
              <w:spacing w:before="0" w:after="283"/>
              <w:jc w:val="right"/>
              <w:rPr/>
            </w:pPr>
            <w:r>
              <w:rPr/>
              <w:t>27,000,000</w:t>
            </w:r>
          </w:p>
        </w:tc>
        <w:tc>
          <w:tcPr>
            <w:tcW w:w="60"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w:t>
            </w:r>
          </w:p>
        </w:tc>
        <w:tc>
          <w:tcPr>
            <w:tcW w:w="1448" w:type="dxa"/>
            <w:tcBorders/>
            <w:vAlign w:val="bottom"/>
          </w:tcPr>
          <w:p>
            <w:pPr>
              <w:pStyle w:val="TableContents"/>
              <w:bidi w:val="0"/>
              <w:spacing w:before="0" w:after="283"/>
              <w:jc w:val="right"/>
              <w:rPr/>
            </w:pPr>
            <w:r>
              <w:rPr/>
              <w:t>31,050,000</w:t>
            </w:r>
          </w:p>
        </w:tc>
        <w:tc>
          <w:tcPr>
            <w:tcW w:w="65" w:type="dxa"/>
            <w:tcBorders/>
            <w:vAlign w:val="bottom"/>
          </w:tcPr>
          <w:p>
            <w:pPr>
              <w:pStyle w:val="TableContents"/>
              <w:bidi w:val="0"/>
              <w:spacing w:before="0" w:after="283"/>
              <w:jc w:val="left"/>
              <w:rPr/>
            </w:pPr>
            <w:r>
              <w:rPr/>
              <w:t> </w:t>
            </w:r>
          </w:p>
        </w:tc>
      </w:tr>
      <w:tr>
        <w:trPr/>
        <w:tc>
          <w:tcPr>
            <w:tcW w:w="467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Proceeds,before expenses, to us</w:t>
            </w:r>
          </w:p>
        </w:tc>
        <w:tc>
          <w:tcPr>
            <w:tcW w:w="196"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w:t>
            </w:r>
          </w:p>
        </w:tc>
        <w:tc>
          <w:tcPr>
            <w:tcW w:w="588" w:type="dxa"/>
            <w:tcBorders/>
            <w:shd w:fill="CCEEFF" w:val="clear"/>
            <w:vAlign w:val="bottom"/>
          </w:tcPr>
          <w:p>
            <w:pPr>
              <w:pStyle w:val="TableContents"/>
              <w:bidi w:val="0"/>
              <w:spacing w:before="0" w:after="283"/>
              <w:jc w:val="right"/>
              <w:rPr/>
            </w:pPr>
            <w:r>
              <w:rPr/>
              <w:t>70.50</w:t>
            </w:r>
          </w:p>
        </w:tc>
        <w:tc>
          <w:tcPr>
            <w:tcW w:w="60"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w:t>
            </w:r>
          </w:p>
        </w:tc>
        <w:tc>
          <w:tcPr>
            <w:tcW w:w="1448" w:type="dxa"/>
            <w:tcBorders/>
            <w:shd w:fill="CCEEFF" w:val="clear"/>
            <w:vAlign w:val="bottom"/>
          </w:tcPr>
          <w:p>
            <w:pPr>
              <w:pStyle w:val="TableContents"/>
              <w:bidi w:val="0"/>
              <w:spacing w:before="0" w:after="283"/>
              <w:jc w:val="right"/>
              <w:rPr/>
            </w:pPr>
            <w:r>
              <w:rPr/>
              <w:t>423,000,000</w:t>
            </w:r>
          </w:p>
        </w:tc>
        <w:tc>
          <w:tcPr>
            <w:tcW w:w="60"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w:t>
            </w:r>
          </w:p>
        </w:tc>
        <w:tc>
          <w:tcPr>
            <w:tcW w:w="1448" w:type="dxa"/>
            <w:tcBorders/>
            <w:shd w:fill="CCEEFF" w:val="clear"/>
            <w:vAlign w:val="bottom"/>
          </w:tcPr>
          <w:p>
            <w:pPr>
              <w:pStyle w:val="TableContents"/>
              <w:bidi w:val="0"/>
              <w:spacing w:before="0" w:after="283"/>
              <w:jc w:val="right"/>
              <w:rPr/>
            </w:pPr>
            <w:r>
              <w:rPr/>
              <w:t>486,450,000</w:t>
            </w:r>
          </w:p>
        </w:tc>
        <w:tc>
          <w:tcPr>
            <w:tcW w:w="6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We estimate that the total expenses of this offering, including registration, filing and listing fees, printing fees and legal and accounting expenses, but excluding the underwriting discounts and commissions, will be approximately $0.6 million. </w:t>
      </w:r>
    </w:p>
    <w:p>
      <w:pPr>
        <w:pStyle w:val="TextBody"/>
        <w:bidi w:val="0"/>
        <w:spacing w:before="240" w:after="0"/>
        <w:jc w:val="left"/>
        <w:rPr>
          <w:rFonts w:ascii="Times New Roman" w:hAnsi="Times New Roman"/>
          <w:sz w:val="20"/>
        </w:rPr>
      </w:pPr>
      <w:r>
        <w:rPr>
          <w:rFonts w:ascii="Times New Roman" w:hAnsi="Times New Roman"/>
          <w:sz w:val="20"/>
        </w:rPr>
        <w:t xml:space="preserve">A prospectus supplement in electronic format may be made available on the websites maintained by one or more underwriters, or selling group members, if any, participating in the offering. The underwriters may agree to allocate a number of shares to underwriters and selling group members for sale to their online brokerage account holders. Internet distributions will be allocated by the representatives to underwriters and selling group members that may make Internet distributions on the same basis as other allocations. </w:t>
      </w:r>
    </w:p>
    <w:p>
      <w:pPr>
        <w:pStyle w:val="TextBody"/>
        <w:bidi w:val="0"/>
        <w:spacing w:before="240" w:after="0"/>
        <w:jc w:val="left"/>
        <w:rPr>
          <w:rFonts w:ascii="Times New Roman" w:hAnsi="Times New Roman"/>
          <w:sz w:val="20"/>
        </w:rPr>
      </w:pPr>
      <w:r>
        <w:rPr>
          <w:rFonts w:ascii="Times New Roman" w:hAnsi="Times New Roman"/>
          <w:sz w:val="20"/>
        </w:rPr>
        <w:t xml:space="preserve">We and all of our directors and executive officers have agreed that, without the prior written consent of Jefferies LLC, Leerink Partners LLC and Morgan Stanley &amp; Co. LLC, we and they will not, and will not publicly disclose an intention to, during the period ending 45 days after the date of this prospectus supplement, or the restricted period: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offer, pledge, sell, contract to sell, sell any option or contract to purchase, purchase any option or contract to sell, grant any option, right or warrant to purchase, lend or otherwise transfer or dispose of, directly or indirectly, any shares of common stock or any securities convertible into or exercisable or exchangeable for shares of common stock subject to the lock-up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file any registration statement with the SEC relating to the offering of any shares of common stock or any securities convertible into or exercisable or exchangeable for common stock;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enter into any swap or other arrangement that transfers to another, in whole or in part, any of the economic consequences of ownership of the common stock subject to the lock-up agreement; </w:t>
            </w:r>
          </w:p>
        </w:tc>
      </w:tr>
    </w:tbl>
    <w:p>
      <w:pPr>
        <w:pStyle w:val="TextBody"/>
        <w:bidi w:val="0"/>
        <w:spacing w:before="240" w:after="0"/>
        <w:jc w:val="left"/>
        <w:rPr>
          <w:rFonts w:ascii="Times New Roman" w:hAnsi="Times New Roman"/>
          <w:sz w:val="20"/>
        </w:rPr>
      </w:pPr>
      <w:r>
        <w:rPr>
          <w:rFonts w:ascii="Times New Roman" w:hAnsi="Times New Roman"/>
          <w:sz w:val="20"/>
        </w:rPr>
        <w:t xml:space="preserve">whether any such transaction described above is to be settled by delivery of common stock or such other securities, in cash or otherwise. In addition, we and each such person agrees that, without the prior written consent of Jefferies LLC, Leerink Partners LLC and Morgan Stanley &amp; Co. LLC, we or such other person will not, during the restricted period, make any demand for, or exercise any right with respect to, the registration of any shares of common stock subject to the lock-up agreement or any security convertible into or exercisable or exchangeable for common stock. </w:t>
      </w:r>
    </w:p>
    <w:p>
      <w:pPr>
        <w:pStyle w:val="TextBody"/>
        <w:bidi w:val="0"/>
        <w:spacing w:before="240" w:after="0"/>
        <w:jc w:val="left"/>
        <w:rPr>
          <w:rFonts w:ascii="Times New Roman" w:hAnsi="Times New Roman"/>
          <w:sz w:val="20"/>
        </w:rPr>
      </w:pPr>
      <w:r>
        <w:rPr>
          <w:rFonts w:ascii="Times New Roman" w:hAnsi="Times New Roman"/>
          <w:sz w:val="20"/>
        </w:rPr>
        <w:t xml:space="preserve">In relation to us, the restrictions described above do not apply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9800"/>
      </w:tblGrid>
      <w:tr>
        <w:trPr/>
        <w:tc>
          <w:tcPr>
            <w:tcW w:w="405" w:type="dxa"/>
            <w:tcBorders/>
          </w:tcPr>
          <w:p>
            <w:pPr>
              <w:pStyle w:val="TableContents"/>
              <w:bidi w:val="0"/>
              <w:spacing w:before="0" w:after="283"/>
              <w:jc w:val="left"/>
              <w:rPr/>
            </w:pPr>
            <w:r>
              <w:rPr/>
              <w:t>a)</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shares to be sold under the underwriting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b)</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issuance by us of shares of common stock upon the exercise of an option or a warrant or the conversion of a security outstanding on the date of this prospectus supplement in the manner described in this prospectus supplement or the information incorporated by reference herein;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c)</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transactions by any person other than us relating to shares of common stock or other securities acquired in open market transactions after the completion of the offering of the shares; provided that no filing under Section 16(a) of the Exchange Act, is required or voluntarily made in connection with subsequent sales of the common stock or other securities acquired in such open market transactions;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d)</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filing by us of registration statements on Form S-8 with respect to the employee benefit plans described in this prospectus supplement or the documents incorporated by reference herein;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e)</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issuance by us of shares of common stock or options to purchase shares of common stock to our employees, officers, directors, advisors or consultants pursuant to employee benefit plans described in this prospectus supplement or in the information incorporated by reference herein, provided that, prior to the issuance of any such shares or the grant of any such options to any director or executive officer elected or appointed following the date of this prospectus supplement and prior to the end of the Restricted Period, we shall cause each such recipient of such grant or issuance to execute and deliver a “lock-up” agreement;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S-25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f)</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sale or issuance of or entry into an agreement to sell or issue shares of common stock in connection with our acquisition of one or more businesses, products, assets or technologies (whether by means of merger, stock purchase, asset purchase or otherwise) or in connection with joint ventures, collaboration or licensing agreements, marketing or distribution arrangements, commercial relationships or other strategic transactions; provided, that, the aggregate number of shares of our common stock that we may sell or issue or agree to sell or issue may not exceed 5% of the total number of shares of our common stock issued and outstanding immediately following the completion of the transactions contemplated by the underwriting agreement and provided further that we cause each recipient of such shares to execute and a lock up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g)</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facilitating the establishment of a trading plan on behalf of a shareholder, officer or director pursuant to Rule 10b5-1 under the Exchange Act for the transfer of shares of common stock, provided that (i) such plan does not provide for the transfer of common stock during the restricted period and (ii) to the extent a public announcement or filing under the Exchange Act, if any, is required of or voluntarily made by us regarding the establishment of such plan, such announcement or filing shall include a statement to the effect that no transfer of common stock may be made under such plan during the restricted period;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h)</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issuance of shares of our common stock pursuant to a placement made under any “at-the-market” offering program described in the prospectus, provided that no shares may be offered or sold pursuant to such program during the period ending 30 days after the date of the prospectus;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i)</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filing of any prospectus supplement relating to an “at-the-market” offering program that we have established or may establish, provided that no shares may be offered or sold pursuant to such program during the period ending 30 days after the date of the prospectus.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relation to our directors and executive officers, the restrictions described above do not apply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a)</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transactions relating to shares of common stock or other securities acquired in this offering or in open market transactions after the completion of this offering, provided that no filing under Section 16(a) of the Exchange Act shall be required or shall be voluntarily made in connection with subsequent sales of common stock or other securities acquired in this offering or in such open market transactions;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b)</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transfers of shares of common stock or any security convertible into or exercisable or exchangeable for common stock as a bona fide gift or to a charitable organization or educational institution in a transfer not involving a disposition for value;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c)</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transfers or dispositions of shares of common stock or any security convertible into or exercisable or exchangeable for common stock to any immediate family member or any trust for the direct or indirect benefit of any immediate family member in a transaction not involving a disposition for value;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d)</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distributions of shares of common stock or any security convertible into common stock to general or limited partners, members, beneficiaries or other equityholders, direct or indirect affiliates (as defined in Rule 405 promulgated under the Securities Act) or to an investment fund or other entity that controls or manages, or is under common control with certain holders and their affiliates;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e)</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transfers or dispositions of shares of common stock or any security convertible into or exercisable or exchangeable for common stock (i) by will, other testamentary document or intestate succession to the legal representative, heir, beneficiary or a member of their immediate family upon their death or (ii) by operation of law pursuant to orders of a court or regulatory agency, in connection with a negotiated divorce settlement or pursuant to a qualified domestic relations order;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f)</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transfers or dispositions of shares of common stock or any security convertible into or exercisable or exchangeable for common stock to us pursuant to any contractual arrangement in effect on the date of this agreement and disclosed to the underwriter in writing that provides for the repurchase of common stock or other securities by us or in connection with the termination of employment with or service to us; provided that (i) the repurchase price for any such shares or securities shall not exceed the original purchase price (subject to appropriate adjustment in the event of any stock dividend, stock split, combination or other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S-26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3"/>
        <w:gridCol w:w="9802"/>
      </w:tblGrid>
      <w:tr>
        <w:trPr/>
        <w:tc>
          <w:tcPr>
            <w:tcW w:w="403" w:type="dxa"/>
            <w:tcBorders/>
            <w:vAlign w:val="center"/>
          </w:tcPr>
          <w:p>
            <w:pPr>
              <w:pStyle w:val="TableContents"/>
              <w:bidi w:val="0"/>
              <w:spacing w:before="0" w:after="283"/>
              <w:jc w:val="left"/>
              <w:rPr/>
            </w:pPr>
            <w:r>
              <w:rPr/>
              <w:t> </w:t>
            </w:r>
          </w:p>
        </w:tc>
        <w:tc>
          <w:tcPr>
            <w:tcW w:w="9802" w:type="dxa"/>
            <w:tcBorders/>
          </w:tcPr>
          <w:p>
            <w:pPr>
              <w:pStyle w:val="TableContents"/>
              <w:bidi w:val="0"/>
              <w:spacing w:before="0" w:after="283"/>
              <w:jc w:val="left"/>
              <w:rPr/>
            </w:pPr>
            <w:r>
              <w:rPr/>
              <w:t xml:space="preserve">similar recapitalization) paid and (ii) any filing under Section 16(a) of the Exchange Act reporting a reduction in beneficial ownership of shares of common stock shall indicate by footnote disclosure or otherwise the nature of the transfer or disposition;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g)</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transfers or dispositions of shares of common stock or other securities to us in connection with the conversion of any convertible security into, or the exercise of any option or warrant for, shares of common stock (including by way of “net” or “cashless” exercise solely to cover withholding tax obligations in connection with such exercise or transfer to us for the payment of taxes as a result of such exercise); provided that (i) such convertible security, option or warrant is described in the prospectus and is outstanding on the date thereof, (ii) any such shares of common stock received by the undersigned shall be subject to the terms of this agreement and (iii) no filing under Section 16(a) of the Exchange Act, reporting a reduction in beneficial ownership of shares of common stock, shall be required or shall be voluntarily made during the restricted period, other than a filing on a Form 4 that reports such disposition under the transaction code “F,” in which case, the filing shall clearly indicate in the footnotes thereto or comments section thereof that the filing relates to the exercise of a stock option or warrant, as the case may be, that no shares of common stock were sold by the reporting person and that the shares of common stock received upon exercise of the stock option or warrant are subject to a lock-up agreement with the underwriter of the offering;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h)</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transfers or dispositions of shares of common stock or other securities to us in connection with the vesting or settlement of restricted stock units, so long as such sale is effected pursuant to our sell to cover policy solely in an amount sufficient to cover withhold taxes, provided that (i) to the extent a filing under Section 16(a) of the Exchange Act shall be required, the filing shall clearly indicate in the footnotes thereto that the filing relates to the circumstances described herein and (ii) no other public announcement shall be required or shall be made voluntary in connection with such transfer;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9800"/>
      </w:tblGrid>
      <w:tr>
        <w:trPr/>
        <w:tc>
          <w:tcPr>
            <w:tcW w:w="405" w:type="dxa"/>
            <w:tcBorders/>
          </w:tcPr>
          <w:p>
            <w:pPr>
              <w:pStyle w:val="TableContents"/>
              <w:bidi w:val="0"/>
              <w:spacing w:before="0" w:after="283"/>
              <w:jc w:val="left"/>
              <w:rPr/>
            </w:pPr>
            <w:r>
              <w:rPr/>
              <w:t>i)</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establishment of a trading plan on behalf of a stockholder, officer or director pursuant to Rule 10b5-1 under the Exchange Act for the transfer of shares of common stock, provided that (i) such plan does not provide for the transfer of common stock during the restricted period and (ii) to the extent a public announcement or filing under the Exchange Act, if any, is required of or voluntarily made by or on behalf of the undersigned or us regarding the establishment of such plan, such announcement or filing shall include a statement to the effect that no transfer of common stock may be made under such plan during the restricted period;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j)</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transfers of shares of common stock (or any securities convertible into or exercisable or exchangeable for common stock) pursuant to a bona fide third-party tender offer for shares of our capital stock made to all holders of our securities, merger, consolidation or other similar transaction approved by our board of directors and occurring after the closing of this offering, the result of which is that any person (as defined in Section 13(d)(3) of the Exchange Act), or group of persons, other than us, becomes the beneficial owner (as defined in Rules 13d-3 and 13d-5 of the Exchange Act) of more than 50% of the total voting power of our voting stock; provided that in the event that such change of control transaction is not completed, the shares of common stock (or any security convertible into or exercisable or exchangeable for common stock) owned by the stockholder, officer or director shall remain subject to the restrictions contained in the lock-up agreement and title to the such shares shall remain with the applicable stockholder, officer or director;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k)</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sale or transfer of shares of common stock pursuant to a written trading plan pursuant to Rule 10b5-1 under the Exchange Act that has been entered into prior to the date of the lock-up agreement; provided that no amendments or other modifications are made to such plans during the restricted period and that, to the extent a public announcement or filing under the Exchange Act, if any, is required or voluntarily made regarding such sales or transfers, such announcement or filing shall include a statement to the effect that the sale or transfer was made pursuant to a trading plan pursuant to Rule 10b5-1 of the Exchange Act; </w:t>
            </w:r>
          </w:p>
        </w:tc>
      </w:tr>
    </w:tbl>
    <w:p>
      <w:pPr>
        <w:pStyle w:val="TextBody"/>
        <w:bidi w:val="0"/>
        <w:spacing w:before="240" w:after="0"/>
        <w:jc w:val="left"/>
        <w:rPr>
          <w:rFonts w:ascii="Times New Roman" w:hAnsi="Times New Roman"/>
          <w:sz w:val="20"/>
        </w:rPr>
      </w:pPr>
      <w:r>
        <w:rPr>
          <w:rFonts w:ascii="Times New Roman" w:hAnsi="Times New Roman"/>
          <w:sz w:val="20"/>
        </w:rPr>
        <w:t xml:space="preserve">provided that in the case of any transfer or distribution pursuant to clause (b), (c), (d) or (e), (i) each transferee, donee or distributee shall sign and deliver a lock-up agreement substantially in the form of the lock-up agreement signed by the transferor, donor or distributor and (ii) no filing under Section 16(a) of the Exchange Act, reporting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 reduction in beneficial ownership of shares of common stock, shall be required or shall be voluntarily made during the restricted period (other than, with respect to clause (e) only, any Form 4 or Form 5 required to be filed under the Exchange Act if the undersigned is subject to Section 16 reporting under the Exchange Act due to their relationship with us, in which case any such filing will indicate by footnote disclosure or otherwise the nature of the transfer or disposition). </w:t>
      </w:r>
    </w:p>
    <w:p>
      <w:pPr>
        <w:pStyle w:val="TextBody"/>
        <w:bidi w:val="0"/>
        <w:spacing w:before="240" w:after="0"/>
        <w:jc w:val="left"/>
        <w:rPr>
          <w:rFonts w:ascii="Times New Roman" w:hAnsi="Times New Roman"/>
          <w:sz w:val="20"/>
        </w:rPr>
      </w:pPr>
      <w:r>
        <w:rPr>
          <w:rFonts w:ascii="Times New Roman" w:hAnsi="Times New Roman"/>
          <w:sz w:val="20"/>
        </w:rPr>
        <w:t xml:space="preserve">Jefferies LLC, Leerink Partners LLC and Morgan Stanley &amp; Co. LLC, in their sole discretion, may release the securities subject to any of the lock-up agreements with the underwriters described above, in whole or in part at any time. </w:t>
      </w:r>
    </w:p>
    <w:p>
      <w:pPr>
        <w:pStyle w:val="TextBody"/>
        <w:bidi w:val="0"/>
        <w:spacing w:before="240" w:after="0"/>
        <w:jc w:val="left"/>
        <w:rPr>
          <w:rFonts w:ascii="Times New Roman" w:hAnsi="Times New Roman"/>
          <w:sz w:val="20"/>
        </w:rPr>
      </w:pPr>
      <w:r>
        <w:rPr>
          <w:rFonts w:ascii="Times New Roman" w:hAnsi="Times New Roman"/>
          <w:sz w:val="20"/>
        </w:rPr>
        <w:t xml:space="preserve">We have agreed to indemnify the underwriters against certain liabilities, including liabilities under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Our common stock is quoted on the Nasdaq Global Market under the symbol “IRON.”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this offering, the underwriters may engage in stabilizing transactions, which involve making bids for, purchasing and selling shares of common stock in the open market for the purpose of preventing or retarding a decline in the market price of the common stock while this offering is in progress. These stabilizing transactions may include making short sales of common stock, which involve the sale by the underwriters of a greater number of shares of common stock than they are required to purchase in this offering, and purchasing shares of common stock on the open market to cover positions created by short sales. Short sales may be “covered” shorts, which are short positions in an amount not greater than the underwriters’ option to purchase additional shares referred to above, or may be “naked” shorts, which are short positions in excess of that amount. The underwriters may close out any covered short position either by exercising their option to purchase additional shares, in whole or in part, or by purchasing shares in the open market. In making this determination, the underwriters will consider, among other things, the price of shares available for purchase in the open market compared to the price at which the underwriters may purchase shares through the option to purchase additional shares. A naked short position is more likely to be created if the underwriters are concerned that there may be downward pressure on the price of the common stock in the open market that could adversely affect investors who purchase in this offering. To the extent that the underwriters create a naked short position, they will purchase shares in the open market to cover the position. </w:t>
      </w:r>
    </w:p>
    <w:p>
      <w:pPr>
        <w:pStyle w:val="TextBody"/>
        <w:bidi w:val="0"/>
        <w:spacing w:before="240" w:after="0"/>
        <w:jc w:val="left"/>
        <w:rPr>
          <w:rFonts w:ascii="Times New Roman" w:hAnsi="Times New Roman"/>
          <w:sz w:val="20"/>
        </w:rPr>
      </w:pPr>
      <w:r>
        <w:rPr>
          <w:rFonts w:ascii="Times New Roman" w:hAnsi="Times New Roman"/>
          <w:sz w:val="20"/>
        </w:rPr>
        <w:t xml:space="preserve">The underwriters have advised us that, pursuant to Regulation M of the Securities Act, they may also engage in other activities that stabilize, maintain or otherwise affect the price of the common stock, including the imposition of penalty bids. This means that if the representatives of the underwriters purchase common stock in the open market in stabilizing transactions or to cover short sales, the representatives can require the underwriters that sold those shares as part of this offering to repay the underwriting discount received by them. </w:t>
      </w:r>
    </w:p>
    <w:p>
      <w:pPr>
        <w:pStyle w:val="TextBody"/>
        <w:bidi w:val="0"/>
        <w:spacing w:before="240" w:after="0"/>
        <w:jc w:val="left"/>
        <w:rPr>
          <w:rFonts w:ascii="Times New Roman" w:hAnsi="Times New Roman"/>
          <w:sz w:val="20"/>
        </w:rPr>
      </w:pPr>
      <w:r>
        <w:rPr>
          <w:rFonts w:ascii="Times New Roman" w:hAnsi="Times New Roman"/>
          <w:sz w:val="20"/>
        </w:rPr>
        <w:t xml:space="preserve">These activities may have the effect of raising or maintaining the market price of the common stock or preventing or retarding a decline in the market price of the common stock, and, as a result, the price of the common stock may be higher than the price that otherwise might exist in the open market. If the underwriters commence these activities, they may discontinue them at any time. The underwriters may carry out these transactions on the Nasdaq Global Market, in the over-the-counter market or otherwise. </w:t>
      </w:r>
    </w:p>
    <w:p>
      <w:pPr>
        <w:pStyle w:val="TextBody"/>
        <w:bidi w:val="0"/>
        <w:spacing w:before="240" w:after="0"/>
        <w:jc w:val="left"/>
        <w:rPr>
          <w:rFonts w:ascii="Times New Roman" w:hAnsi="Times New Roman"/>
          <w:sz w:val="20"/>
        </w:rPr>
      </w:pPr>
      <w:r>
        <w:rPr>
          <w:rFonts w:ascii="Times New Roman" w:hAnsi="Times New Roman"/>
          <w:sz w:val="20"/>
        </w:rPr>
        <w:t xml:space="preserve">In addition, in connection with this offering certain of the underwriters may engage in passive market making transactions in our common stock on The Nasdaq Stock Market prior to the pricing and completion of this offering. Passive market making consists of displaying bids on The Nasdaq Stock Market no higher than the bid prices of independent market makers and making purchases at prices no higher than these independent bids and effected in response to order flow. Net purchases by a passive market maker on each day are generally limited to a specified percentage of the passive market maker’s average daily trading volume in the common stock during a specified period and must be discontinued when such limit is reached. Passive market making may cause the price of our common stock to be higher than the price that otherwise would exist in the open market in the absence of these transactions. If passive market making is commenced, it may be discontinued at any time.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Selling Restrictions </w:t>
      </w:r>
    </w:p>
    <w:p>
      <w:pPr>
        <w:pStyle w:val="TextBody"/>
        <w:bidi w:val="0"/>
        <w:spacing w:before="120" w:after="0"/>
        <w:jc w:val="left"/>
        <w:rPr>
          <w:rFonts w:ascii="Times New Roman" w:hAnsi="Times New Roman"/>
          <w:sz w:val="20"/>
        </w:rPr>
      </w:pPr>
      <w:r>
        <w:rPr>
          <w:rFonts w:ascii="Times New Roman" w:hAnsi="Times New Roman"/>
          <w:sz w:val="20"/>
        </w:rPr>
        <w:t xml:space="preserve">Other than in the United States, no action has been taken by us or the underwriters that would permit a public offering of the securities offered by this prospectus supplement in any jurisdiction where action for that purpose is required. The securities offered by this prospectus supplement may not be offered or sold, directly or indirectly, nor may this prospectus supplement or any other offering material or advertisements in connection with the offer and sale of any such securities be distributed or published in any jurisdiction, except under circumstances that will result in compliance with the applicable rules and regulations of that jurisdiction. Persons into whose possession this prospectus supplement comes are advised to inform themselves about and to observe any restrictions relating to the offering and the distribution of this prospectus supplement. This prospectus supplement does not constitute an offer to sell or a solicitation of an offer to buy any securities offered by this prospectus supplement in any jurisdiction in which such an offer or a solicitation is unlawful. </w:t>
      </w:r>
    </w:p>
    <w:p>
      <w:pPr>
        <w:pStyle w:val="TextBody"/>
        <w:bidi w:val="0"/>
        <w:spacing w:before="240" w:after="0"/>
        <w:jc w:val="left"/>
        <w:rPr>
          <w:rFonts w:ascii="Times New Roman" w:hAnsi="Times New Roman"/>
          <w:sz w:val="20"/>
        </w:rPr>
      </w:pPr>
      <w:r>
        <w:rPr>
          <w:rFonts w:ascii="Times New Roman" w:hAnsi="Times New Roman"/>
          <w:sz w:val="20"/>
        </w:rPr>
        <w:t xml:space="preserve">Certain of the underwriters and their affiliates have provided in the past to us and our affiliates and may provide from time to time in the future certain commercial banking, financial advisory, investment banking and other services for us and such affiliates in the ordinary course of their business, for which they have received and may continue to receive customary fees and commissions. In addition, from time to time, certain of the underwriters and their affiliates may effect transactions for their own account or the account of customers, and hold on behalf of themselves or their customers, long or short positions in our debt or equity securities or loans, and may do so in the future. For example, we are party to the Sales Agreement with Cantor Fitzgerald &amp; Co., pursuant to which we may offer and sell shares of our common stock from time to time in “at-the-market” offerings. </w:t>
      </w:r>
    </w:p>
    <w:p>
      <w:pPr>
        <w:pStyle w:val="TextBody"/>
        <w:bidi w:val="0"/>
        <w:spacing w:before="360" w:after="0"/>
        <w:jc w:val="left"/>
        <w:rPr>
          <w:rFonts w:ascii="Times New Roman" w:hAnsi="Times New Roman"/>
          <w:b/>
          <w:sz w:val="20"/>
        </w:rPr>
      </w:pPr>
      <w:r>
        <w:rPr>
          <w:rFonts w:ascii="Times New Roman" w:hAnsi="Times New Roman"/>
          <w:b/>
          <w:sz w:val="20"/>
        </w:rPr>
        <w:t xml:space="preserve">European Economic Area </w:t>
      </w:r>
    </w:p>
    <w:p>
      <w:pPr>
        <w:pStyle w:val="TextBody"/>
        <w:bidi w:val="0"/>
        <w:spacing w:before="120" w:after="0"/>
        <w:jc w:val="left"/>
        <w:rPr>
          <w:rFonts w:ascii="Times New Roman" w:hAnsi="Times New Roman"/>
          <w:sz w:val="20"/>
        </w:rPr>
      </w:pPr>
      <w:r>
        <w:rPr>
          <w:rFonts w:ascii="Times New Roman" w:hAnsi="Times New Roman"/>
          <w:sz w:val="20"/>
        </w:rPr>
        <w:t xml:space="preserve">In relation to each Member State of the European Economic Area, or each, a Relevant State, no shares have been offered or will be offered pursuant to the offering to the public in that Relevant State prior to the publication of a prospectus in relation to the shares which has been approved by the competent authority in that Relevant State or, where appropriate, approved in another Relevant State and notified to the competent authority in that Relevant State, all in accordance with the Prospectus Regulation, except that offers of shares may be made to the public in that Relevant State at any time under the following exemptions under the Prospectus Regulation: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any legal entity which is a qualified investor as defined under Article 2 of the Prospectus Regulation;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b)</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fewer than 150 natural or legal persons (other than qualified investors as defined under Article 2 of the Prospectus Regulation), subject to obtaining the prior consent of the representatives for any such offer;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c)</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any other circumstances falling within Article 1(4) of the Prospectus Regulation, </w:t>
            </w:r>
          </w:p>
        </w:tc>
      </w:tr>
    </w:tbl>
    <w:p>
      <w:pPr>
        <w:pStyle w:val="TextBody"/>
        <w:bidi w:val="0"/>
        <w:spacing w:before="240" w:after="0"/>
        <w:jc w:val="left"/>
        <w:rPr>
          <w:rFonts w:ascii="Times New Roman" w:hAnsi="Times New Roman"/>
          <w:i/>
          <w:sz w:val="20"/>
        </w:rPr>
      </w:pPr>
      <w:r>
        <w:rPr>
          <w:rFonts w:ascii="Times New Roman" w:hAnsi="Times New Roman"/>
          <w:i/>
          <w:sz w:val="20"/>
        </w:rPr>
        <w:t xml:space="preserve">provided that no such offer of shares shall require us or any underwriter to publish a prospectus pursuant to Article 3 of the Prospectus Regulation or supplement a prospectus pursuant to Article 23 of the Prospectus Regulation and each person who initially acquires any shares or to whom any offer is made will be deemed to have represented, acknowledged and agreed to and with each of the underwriters and us that it is a “qualified investor” within the meaning of Article 2(e) of the Prospectus Regulation. </w:t>
      </w:r>
    </w:p>
    <w:p>
      <w:pPr>
        <w:pStyle w:val="TextBody"/>
        <w:bidi w:val="0"/>
        <w:spacing w:before="240" w:after="0"/>
        <w:jc w:val="left"/>
        <w:rPr>
          <w:rFonts w:ascii="Times New Roman" w:hAnsi="Times New Roman"/>
          <w:sz w:val="20"/>
        </w:rPr>
      </w:pPr>
      <w:r>
        <w:rPr>
          <w:rFonts w:ascii="Times New Roman" w:hAnsi="Times New Roman"/>
          <w:sz w:val="20"/>
        </w:rPr>
        <w:t xml:space="preserve">In the case of any shares being offered to a financial intermediary as that term is used in the Prospectus Regulation, each such financial intermediary will be deemed to have represented, acknowledged and agreed that the shares acquired by it in the offer have not been acquired on a non-discretionary basis on behalf of, nor have they been acquired with a view to their offer or resale to, persons in circumstances which may give rise to an offer of any shares to the public other than their offer or resale in a Relevant State to qualified investors as so defined or in circumstances in which the prior consent of the underwriters has been obtained to each such proposed offer or resale.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For the purposes of this provision, the expression an “offer to the public” in relation to the shares in any Relevant State means the communication in any form and by any means of sufficient information on the terms of the offer and any shares to be offered so as to enable an investor to decide to purchase or subscribe for any shares, and the expression “Prospectus Regulation” means Regulation (EU) 2017/1129. </w:t>
      </w:r>
    </w:p>
    <w:p>
      <w:pPr>
        <w:pStyle w:val="TextBody"/>
        <w:bidi w:val="0"/>
        <w:spacing w:before="360" w:after="0"/>
        <w:jc w:val="left"/>
        <w:rPr>
          <w:rFonts w:ascii="Times New Roman" w:hAnsi="Times New Roman"/>
          <w:b/>
          <w:sz w:val="20"/>
        </w:rPr>
      </w:pPr>
      <w:r>
        <w:rPr>
          <w:rFonts w:ascii="Times New Roman" w:hAnsi="Times New Roman"/>
          <w:b/>
          <w:sz w:val="20"/>
        </w:rPr>
        <w:t xml:space="preserve">United Kingdom </w:t>
      </w:r>
    </w:p>
    <w:p>
      <w:pPr>
        <w:pStyle w:val="TextBody"/>
        <w:bidi w:val="0"/>
        <w:spacing w:before="120" w:after="0"/>
        <w:jc w:val="left"/>
        <w:rPr>
          <w:rFonts w:ascii="Times New Roman" w:hAnsi="Times New Roman"/>
          <w:sz w:val="20"/>
        </w:rPr>
      </w:pPr>
      <w:r>
        <w:rPr>
          <w:rFonts w:ascii="Times New Roman" w:hAnsi="Times New Roman"/>
          <w:sz w:val="20"/>
        </w:rPr>
        <w:t xml:space="preserve">No shares have been offered or will be offered pursuant to the offering to the public in the United Kingdom prior to the publication of a prospectus in relation to the shares which has been approved by the Financial Conduct Authority, except that the shares may be offered to the public in the United Kingdom at any time: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any legal entity which is a qualified investor as defined under Article 2 of the U.K. Prospectus Regulation;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b)</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fewer than 150 natural or legal persons (other than qualified investors as defined under Article 2 of the U.K. Prospectus Regulation), subject to obtaining the prior consent of the representatives for any such offer;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c)</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any other circumstances falling within Section 86 of the Financial Services and Markets Act 2000, as amended (FSMA); </w:t>
            </w:r>
          </w:p>
        </w:tc>
      </w:tr>
    </w:tbl>
    <w:p>
      <w:pPr>
        <w:pStyle w:val="TextBody"/>
        <w:bidi w:val="0"/>
        <w:spacing w:before="240" w:after="0"/>
        <w:jc w:val="left"/>
        <w:rPr>
          <w:rFonts w:ascii="Times New Roman" w:hAnsi="Times New Roman"/>
          <w:sz w:val="20"/>
        </w:rPr>
      </w:pPr>
      <w:r>
        <w:rPr>
          <w:rFonts w:ascii="Times New Roman" w:hAnsi="Times New Roman"/>
          <w:i/>
          <w:sz w:val="20"/>
        </w:rPr>
        <w:t>provided</w:t>
      </w:r>
      <w:r>
        <w:rPr>
          <w:rFonts w:ascii="Times New Roman" w:hAnsi="Times New Roman"/>
          <w:sz w:val="20"/>
        </w:rPr>
        <w:t xml:space="preserve"> that no such offer of the shares shall require us or any underwriter to publish a prospectus pursuant to Section 85 of the FSMA or supplement a prospectus pursuant to Article 23 of the U.K. Prospectus Regulation. For the purposes of this provision, the expression an “offer to the public” in relation to the shares in the United Kingdom means the communication in any form and by any means of sufficient information on the terms of the offer and any shares to be offered so as to enable an investor to decide to purchase or subscribe for any shares and the expression “U.K. Prospectus Regulation” means Regulation (EU) 2017/1129 as it forms part of domestic law by virtue of the European Union (Withdrawal) Act 2018. </w:t>
      </w:r>
    </w:p>
    <w:p>
      <w:pPr>
        <w:pStyle w:val="TextBody"/>
        <w:bidi w:val="0"/>
        <w:spacing w:before="240" w:after="0"/>
        <w:jc w:val="left"/>
        <w:rPr>
          <w:rFonts w:ascii="Times New Roman" w:hAnsi="Times New Roman"/>
          <w:sz w:val="20"/>
        </w:rPr>
      </w:pPr>
      <w:r>
        <w:rPr>
          <w:rFonts w:ascii="Times New Roman" w:hAnsi="Times New Roman"/>
          <w:sz w:val="20"/>
        </w:rPr>
        <w:t xml:space="preserve">In addition, in the United Kingdom, this document is being distributed only to, and is directed only at, and any offer subsequently made may only be directed at persons who are “qualified investors” (as defined in the U.K. Prospectus Regulation) (i) who have professional experience in matters relating to investments falling within Article 19(5) of the Financial Services and Markets Act 2000 (Financial Promotion) Order 2005, as amended (the Order), and/or (ii) who are high net worth companies (or persons to whom it may otherwise be lawfully communicated) falling within Article 49(2)(a) to (d) of the Order (all such persons together being referred to as “relevant persons”) or otherwise in circumstances which have not resulted and will not result in an offer to the public of the shares in the United Kingdom within the meaning of the FSMA. In the United Kingdom, any investment or investment activity to which this document relates is only available to, and will be engaged in with, relevant persons. Any person in the UK who is not a relevant person must not act on or rely upon this document or any of its contents. </w:t>
      </w:r>
    </w:p>
    <w:p>
      <w:pPr>
        <w:pStyle w:val="TextBody"/>
        <w:bidi w:val="0"/>
        <w:spacing w:before="360" w:after="0"/>
        <w:jc w:val="left"/>
        <w:rPr>
          <w:rFonts w:ascii="Times New Roman" w:hAnsi="Times New Roman"/>
          <w:b/>
          <w:sz w:val="20"/>
        </w:rPr>
      </w:pPr>
      <w:r>
        <w:rPr>
          <w:rFonts w:ascii="Times New Roman" w:hAnsi="Times New Roman"/>
          <w:b/>
          <w:sz w:val="20"/>
        </w:rPr>
        <w:t xml:space="preserve">Notice to Prospective Investors in Canada </w:t>
      </w:r>
    </w:p>
    <w:p>
      <w:pPr>
        <w:pStyle w:val="TextBody"/>
        <w:bidi w:val="0"/>
        <w:spacing w:before="120" w:after="0"/>
        <w:jc w:val="left"/>
        <w:rPr>
          <w:rFonts w:ascii="Times New Roman" w:hAnsi="Times New Roman"/>
          <w:sz w:val="20"/>
        </w:rPr>
      </w:pPr>
      <w:r>
        <w:rPr>
          <w:rFonts w:ascii="Times New Roman" w:hAnsi="Times New Roman"/>
          <w:sz w:val="20"/>
        </w:rPr>
        <w:t xml:space="preserve">The shares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shares must be made in accordance with an exemption from, or in a transaction not subject to, the prospectus requirements of applicable securities laws. </w:t>
      </w:r>
    </w:p>
    <w:p>
      <w:pPr>
        <w:pStyle w:val="TextBody"/>
        <w:bidi w:val="0"/>
        <w:spacing w:before="240" w:after="0"/>
        <w:jc w:val="left"/>
        <w:rPr>
          <w:rFonts w:ascii="Times New Roman" w:hAnsi="Times New Roman"/>
          <w:sz w:val="20"/>
        </w:rPr>
      </w:pPr>
      <w:r>
        <w:rPr>
          <w:rFonts w:ascii="Times New Roman" w:hAnsi="Times New Roman"/>
          <w:sz w:val="20"/>
        </w:rPr>
        <w:t xml:space="preserve">Securities legislation in certain provinces or territories of Canada may provide a purchaser with remedies for rescission or damages if this prospectus supplement (including any amendment thereto) contains a misrepresentation, provided that the remedies for rescission or damages are exercised by the purchaser within the time limit prescribed by the securities legislation of the purchaser’s province or territory. The purchaser should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refer to any applicable provisions of the securities legislation of the purchaser’s province or territory for particulars of these rights or consult with a legal advisor. </w:t>
      </w:r>
    </w:p>
    <w:p>
      <w:pPr>
        <w:pStyle w:val="TextBody"/>
        <w:bidi w:val="0"/>
        <w:spacing w:before="240" w:after="0"/>
        <w:jc w:val="left"/>
        <w:rPr>
          <w:rFonts w:ascii="Times New Roman" w:hAnsi="Times New Roman"/>
          <w:sz w:val="20"/>
        </w:rPr>
      </w:pPr>
      <w:r>
        <w:rPr>
          <w:rFonts w:ascii="Times New Roman" w:hAnsi="Times New Roman"/>
          <w:sz w:val="20"/>
        </w:rPr>
        <w:t xml:space="preserve">Pursuant to section 3A.3 of National Instrument 33-105 Underwriting Conflicts (NI 33-105), the underwriters are not required to comply with the disclosure requirements of NI 33-105 regarding underwriter conflicts of interest in connection with this offering. </w:t>
      </w:r>
    </w:p>
    <w:p>
      <w:pPr>
        <w:pStyle w:val="TextBody"/>
        <w:bidi w:val="0"/>
        <w:spacing w:before="360" w:after="0"/>
        <w:jc w:val="left"/>
        <w:rPr>
          <w:rFonts w:ascii="Times New Roman" w:hAnsi="Times New Roman"/>
          <w:b/>
          <w:sz w:val="20"/>
        </w:rPr>
      </w:pPr>
      <w:r>
        <w:rPr>
          <w:rFonts w:ascii="Times New Roman" w:hAnsi="Times New Roman"/>
          <w:b/>
          <w:sz w:val="20"/>
        </w:rPr>
        <w:t xml:space="preserve">Notice to Prospective Investors in Switzerland </w:t>
      </w:r>
    </w:p>
    <w:p>
      <w:pPr>
        <w:pStyle w:val="TextBody"/>
        <w:bidi w:val="0"/>
        <w:spacing w:before="120" w:after="0"/>
        <w:jc w:val="left"/>
        <w:rPr>
          <w:rFonts w:ascii="Times New Roman" w:hAnsi="Times New Roman"/>
          <w:sz w:val="20"/>
        </w:rPr>
      </w:pPr>
      <w:r>
        <w:rPr>
          <w:rFonts w:ascii="Times New Roman" w:hAnsi="Times New Roman"/>
          <w:sz w:val="20"/>
        </w:rPr>
        <w:t xml:space="preserve">The shares may not be publicly offered in Switzerland and will not be listed on the SIX Swiss Exchange (SIX), or on any other stock exchange or regulated trading facility in Switzerland. This document does not constitute a prospectus within the meaning of, and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document nor any other offering or marketing material relating to the shares, or the offering may be publicly distributed or otherwise made publicly available in Switzerland. </w:t>
      </w:r>
    </w:p>
    <w:p>
      <w:pPr>
        <w:pStyle w:val="TextBody"/>
        <w:bidi w:val="0"/>
        <w:spacing w:before="240" w:after="0"/>
        <w:jc w:val="left"/>
        <w:rPr>
          <w:rFonts w:ascii="Times New Roman" w:hAnsi="Times New Roman"/>
          <w:sz w:val="20"/>
        </w:rPr>
      </w:pPr>
      <w:r>
        <w:rPr>
          <w:rFonts w:ascii="Times New Roman" w:hAnsi="Times New Roman"/>
          <w:sz w:val="20"/>
        </w:rPr>
        <w:t xml:space="preserve">Neither this document nor any other offering or marketing material relating to the offering, the Company, the shares have been or will be filed with or approved by any Swiss regulatory authority. In particular, this document will not be filed with, and the offer of shares will not be supervised by, the Swiss Financial Market Supervisory Authority (FINMA), and the offer of shares has not been and will not be authorized under the Swiss Federal Act on Collective Investment Schemes (CISA). The investor protection afforded to acquirers of interests in collective investment schemes under the CISA does not extend to acquirers of shares. </w:t>
      </w:r>
    </w:p>
    <w:p>
      <w:pPr>
        <w:pStyle w:val="TextBody"/>
        <w:bidi w:val="0"/>
        <w:spacing w:before="360" w:after="0"/>
        <w:jc w:val="left"/>
        <w:rPr>
          <w:rFonts w:ascii="Times New Roman" w:hAnsi="Times New Roman"/>
          <w:b/>
          <w:sz w:val="20"/>
        </w:rPr>
      </w:pPr>
      <w:r>
        <w:rPr>
          <w:rFonts w:ascii="Times New Roman" w:hAnsi="Times New Roman"/>
          <w:b/>
          <w:sz w:val="20"/>
        </w:rPr>
        <w:t xml:space="preserve">Notice to Prospective Investors in Hong Kong </w:t>
      </w:r>
    </w:p>
    <w:p>
      <w:pPr>
        <w:pStyle w:val="TextBody"/>
        <w:bidi w:val="0"/>
        <w:spacing w:before="120" w:after="0"/>
        <w:jc w:val="left"/>
        <w:rPr>
          <w:rFonts w:ascii="Times New Roman" w:hAnsi="Times New Roman"/>
          <w:sz w:val="20"/>
        </w:rPr>
      </w:pPr>
      <w:r>
        <w:rPr>
          <w:rFonts w:ascii="Times New Roman" w:hAnsi="Times New Roman"/>
          <w:sz w:val="20"/>
        </w:rPr>
        <w:t xml:space="preserve">The shares have not been offered or sold and will not be offered or sold in Hong Kong, by means of any document, other than (a) to “professional investors” as defined in the Securities and Futures Ordinance (Cap. 571 of the Laws of Hong Kong) (the SFO), of Hong Kong and any rules made thereunder; or (b) in other circumstances which do not result in the document being a “prospectus” as defined in the Companies (Winding Up and Miscellaneous Provisions) Ordinance (Cap. 32) of Hong Kong) (the CO), or which do not constitute an offer to the public within the meaning of the CO. No advertisement, invitation or document relating to the shares has been or may be issued or has been or may be in the possession of any person for the purposes of issue, whether in Hong Kong or elsewhere, which is directed at, or the contents of which are likely to be accessed or read by, the public of Hong Kong (except if permitted to do so under the securities laws of Hong Kong) other than with respect to shares which are or are intended to be disposed of only to persons outside Hong Kong or only to “professional investors” as defined in the SFO and any rules made thereunder. </w:t>
      </w:r>
    </w:p>
    <w:p>
      <w:pPr>
        <w:pStyle w:val="TextBody"/>
        <w:bidi w:val="0"/>
        <w:spacing w:before="360" w:after="0"/>
        <w:jc w:val="left"/>
        <w:rPr>
          <w:rFonts w:ascii="Times New Roman" w:hAnsi="Times New Roman"/>
          <w:b/>
          <w:sz w:val="20"/>
        </w:rPr>
      </w:pPr>
      <w:r>
        <w:rPr>
          <w:rFonts w:ascii="Times New Roman" w:hAnsi="Times New Roman"/>
          <w:b/>
          <w:sz w:val="20"/>
        </w:rPr>
        <w:t xml:space="preserve">Notice to Prospective Investors in Singapore </w:t>
      </w:r>
    </w:p>
    <w:p>
      <w:pPr>
        <w:pStyle w:val="TextBody"/>
        <w:bidi w:val="0"/>
        <w:spacing w:before="120" w:after="0"/>
        <w:jc w:val="left"/>
        <w:rPr>
          <w:rFonts w:ascii="Times New Roman" w:hAnsi="Times New Roman"/>
          <w:sz w:val="20"/>
        </w:rPr>
      </w:pPr>
      <w:r>
        <w:rPr>
          <w:rFonts w:ascii="Times New Roman" w:hAnsi="Times New Roman"/>
          <w:sz w:val="20"/>
        </w:rPr>
        <w:t xml:space="preserve">The representatives have acknowledged that this prospectus supplement and the accompanying prospectus have not been registered as a prospectus with the Monetary Authority of Singapore. Accordingly, the representatives have represented and agreed that it has not offered or sold any shares or caused the shares to be made the subject of an invitation for subscription or purchase and will not offer or sell any shares or cause the shares to be made the subject of an invitation for subscription or purchase, and has not circulated or distributed, nor will it circulate or distribute, this prospectus supplement and the accompanying prospectus or any other document or material in connection with the offer or sale, or invitation for subscription or purchase, of the shares, whether directly or indirectly, to any person in Singapore other than: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9800"/>
      </w:tblGrid>
      <w:tr>
        <w:trPr/>
        <w:tc>
          <w:tcPr>
            <w:tcW w:w="405" w:type="dxa"/>
            <w:tcBorders/>
          </w:tcPr>
          <w:p>
            <w:pPr>
              <w:pStyle w:val="TableContents"/>
              <w:bidi w:val="0"/>
              <w:spacing w:before="0" w:after="283"/>
              <w:jc w:val="left"/>
              <w:rPr/>
            </w:pPr>
            <w:r>
              <w:rPr/>
              <w:t>a)</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an institutional investor (as defined in Section 4A of the Securities and Futures Act (Chapter 289) of Singapore, as modified or amended from time to time (the SFA)) pursuant to Section 274 of the SFA;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S-31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b)</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 relevant person (as defined in Section 275(2) of the SFA) pursuant to Section 275(1) of the SFA, or any person pursuant to Section 275(1A) of the SFA, and in accordance with the conditions specified in Section 275 of the SFA;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c)</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otherwise pursuant to, and in accordance with the conditions of, any other applicable provision of the SFA. </w:t>
            </w:r>
          </w:p>
        </w:tc>
      </w:tr>
    </w:tbl>
    <w:p>
      <w:pPr>
        <w:pStyle w:val="TextBody"/>
        <w:bidi w:val="0"/>
        <w:spacing w:before="240" w:after="0"/>
        <w:jc w:val="left"/>
        <w:rPr>
          <w:rFonts w:ascii="Times New Roman" w:hAnsi="Times New Roman"/>
          <w:sz w:val="20"/>
        </w:rPr>
      </w:pPr>
      <w:r>
        <w:rPr>
          <w:rFonts w:ascii="Times New Roman" w:hAnsi="Times New Roman"/>
          <w:sz w:val="20"/>
        </w:rPr>
        <w:t xml:space="preserve">Where the shares are subscribed or purchased under Section 275 of the SFA by a relevant person which is: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a)</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corporation (which is not an accredited investor (as defined in Section 4A of the SFA)) the sole business of which is to hold investments and the entire share capital of which is owned by one or more individuals, each of whom is an accredited investor;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9800"/>
      </w:tblGrid>
      <w:tr>
        <w:trPr/>
        <w:tc>
          <w:tcPr>
            <w:tcW w:w="405" w:type="dxa"/>
            <w:tcBorders/>
          </w:tcPr>
          <w:p>
            <w:pPr>
              <w:pStyle w:val="TableContents"/>
              <w:bidi w:val="0"/>
              <w:spacing w:before="0" w:after="283"/>
              <w:jc w:val="left"/>
              <w:rPr/>
            </w:pPr>
            <w:r>
              <w:rPr/>
              <w:t>b)</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trust (where the trustee is not an accredited investor) whose sole purpose is to hold investments and each beneficiary of the trust is an individual who is an accredited investor, </w:t>
            </w:r>
          </w:p>
        </w:tc>
      </w:tr>
    </w:tbl>
    <w:p>
      <w:pPr>
        <w:pStyle w:val="TextBody"/>
        <w:bidi w:val="0"/>
        <w:spacing w:before="240" w:after="0"/>
        <w:jc w:val="left"/>
        <w:rPr>
          <w:rFonts w:ascii="Times New Roman" w:hAnsi="Times New Roman"/>
          <w:sz w:val="20"/>
        </w:rPr>
      </w:pPr>
      <w:r>
        <w:rPr>
          <w:rFonts w:ascii="Times New Roman" w:hAnsi="Times New Roman"/>
          <w:sz w:val="20"/>
        </w:rPr>
        <w:t xml:space="preserve">securities or securities-based derivatives contracts (each term as defined in Section 2(1) of the SFA) of that corporation or the beneficiaries’ rights and interest (howsoever described) in that trust shall not be transferred within six months after that corporation or that trust has acquired the shares pursuant to an offer made under Section 275 of the SFA except: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i.</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an institutional investor or to a relevant person, or to any person arising from an offer referred to in Section 275(1A) or Section 276(4)(i)(B) of the SFA;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ii.</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where no consideration is or will be given for the transfer;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iii.</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where the transfer is by operation of law;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iv.</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 specified in Section 276(7) of the SFA;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v.</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 specified in Regulation 37A of the Securities and Futures (Offers of Investments) (Securities and Securities-based Derivatives Contracts) Regulations 2018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Notice to Prospective Investors in Japan </w:t>
      </w:r>
    </w:p>
    <w:p>
      <w:pPr>
        <w:pStyle w:val="TextBody"/>
        <w:bidi w:val="0"/>
        <w:spacing w:before="120" w:after="0"/>
        <w:jc w:val="left"/>
        <w:rPr>
          <w:rFonts w:ascii="Times New Roman" w:hAnsi="Times New Roman"/>
          <w:sz w:val="20"/>
        </w:rPr>
      </w:pPr>
      <w:r>
        <w:rPr>
          <w:rFonts w:ascii="Times New Roman" w:hAnsi="Times New Roman"/>
          <w:sz w:val="20"/>
        </w:rPr>
        <w:t xml:space="preserve">The shares have not been and will not be registered pursuant to Article 4, Paragraph 1 of the Financial Instruments and Exchange Act. Accordingly, none of the shares, nor any interest therein may be offered or sold,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 resident of Japan, except pursuant to an exemption from the registration requirements of, and otherwise in compliance with, the Financial Instruments and Exchange Act and any other applicable laws, regulations and ministerial guidelines of Japan in effect at the relevant time. </w:t>
      </w:r>
    </w:p>
    <w:p>
      <w:pPr>
        <w:pStyle w:val="TextBody"/>
        <w:bidi w:val="0"/>
        <w:spacing w:before="360" w:after="0"/>
        <w:jc w:val="left"/>
        <w:rPr>
          <w:rFonts w:ascii="Times New Roman" w:hAnsi="Times New Roman"/>
          <w:b/>
          <w:sz w:val="20"/>
        </w:rPr>
      </w:pPr>
      <w:r>
        <w:rPr>
          <w:rFonts w:ascii="Times New Roman" w:hAnsi="Times New Roman"/>
          <w:b/>
          <w:sz w:val="20"/>
        </w:rPr>
        <w:t xml:space="preserve">Notice to Prospective Investors in the United Arab Emirates </w:t>
      </w:r>
    </w:p>
    <w:p>
      <w:pPr>
        <w:pStyle w:val="TextBody"/>
        <w:bidi w:val="0"/>
        <w:spacing w:before="120" w:after="0"/>
        <w:jc w:val="left"/>
        <w:rPr>
          <w:rFonts w:ascii="Times New Roman" w:hAnsi="Times New Roman"/>
          <w:sz w:val="20"/>
        </w:rPr>
      </w:pPr>
      <w:r>
        <w:rPr>
          <w:rFonts w:ascii="Times New Roman" w:hAnsi="Times New Roman"/>
          <w:sz w:val="20"/>
        </w:rPr>
        <w:t xml:space="preserve">The shares have not been, and are not being, publicly offered, sold, promoted or advertised in the United Arab Emirates (including the Dubai International Financial Centre) other than in compliance with the laws of the United Arab Emirates (and the Dubai International Financial Centre) governing the issue, offering and sale of securities. Further, this prospectus supplement does not constitute a public offer of securities in the United Arab Emirates (including the Dubai International Financial Centre) and is not intended to be a public offer. This prospectus supplement has not been approved by or filed with the Central Bank of the United Arab Emirates, the Securities and Commodities Authority or the Dubai Financial Services Authority. </w:t>
      </w:r>
    </w:p>
    <w:p>
      <w:pPr>
        <w:pStyle w:val="TextBody"/>
        <w:bidi w:val="0"/>
        <w:spacing w:before="360" w:after="0"/>
        <w:jc w:val="left"/>
        <w:rPr>
          <w:rFonts w:ascii="Times New Roman" w:hAnsi="Times New Roman"/>
          <w:b/>
          <w:sz w:val="20"/>
        </w:rPr>
      </w:pPr>
      <w:r>
        <w:rPr>
          <w:rFonts w:ascii="Times New Roman" w:hAnsi="Times New Roman"/>
          <w:b/>
          <w:sz w:val="20"/>
        </w:rPr>
        <w:t xml:space="preserve">Notice to Prospective Investors in Israel </w:t>
      </w:r>
    </w:p>
    <w:p>
      <w:pPr>
        <w:pStyle w:val="TextBody"/>
        <w:bidi w:val="0"/>
        <w:spacing w:before="120" w:after="0"/>
        <w:jc w:val="left"/>
        <w:rPr>
          <w:rFonts w:ascii="Times New Roman" w:hAnsi="Times New Roman"/>
          <w:sz w:val="20"/>
        </w:rPr>
      </w:pPr>
      <w:r>
        <w:rPr>
          <w:rFonts w:ascii="Times New Roman" w:hAnsi="Times New Roman"/>
          <w:sz w:val="20"/>
        </w:rPr>
        <w:t xml:space="preserve">In the State of Israel this prospectus supplement shall not be regarded as an offer to the public to purchase shares of common stock under the Israeli Securities Law, 5728—1968, which requires a prospectus to be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published and authorized by the Israel Securities Authority, if it complies with certain provisions of Section 15 of the Israeli Securities Law, 5728–1968, including, inter alia, if: (i) the offer is made, distributed or directed to not more than 35 investors, subject to certain conditions, or the Addressed Investors, or (ii) the offer is made, distributed or directed to certain qualified investors defined in the First Addendum of the Israeli Securities Law, 5728—1968, subject to certain conditions, or the Qualified Investors. The Qualified Investors shall not be taken into account in the count of the Addressed Investors and may be offered to purchase securities in addition to the 35 Addressed Investors. The company has not and will not take any action that would require it to publish a prospectus in accordance with and subject to the Israeli Securities Law, 5728—1968. We have not and will not distribute this prospectus supplement or make, distribute or direct an offer to subscribe for our common stock to any person within the State of Israel, other than to Qualified Investors and up to 35 Addressed Investors. </w:t>
      </w:r>
    </w:p>
    <w:p>
      <w:pPr>
        <w:pStyle w:val="TextBody"/>
        <w:bidi w:val="0"/>
        <w:spacing w:before="240" w:after="0"/>
        <w:jc w:val="left"/>
        <w:rPr>
          <w:rFonts w:ascii="Times New Roman" w:hAnsi="Times New Roman"/>
          <w:sz w:val="20"/>
        </w:rPr>
      </w:pPr>
      <w:r>
        <w:rPr>
          <w:rFonts w:ascii="Times New Roman" w:hAnsi="Times New Roman"/>
          <w:sz w:val="20"/>
        </w:rPr>
        <w:t xml:space="preserve">Qualified Investors may have to submit written evidence that they meet the definitions set out in of the First Addendum to the Israeli Securities Law, 5728—1968. In particular, we may request, as a condition to be offered common stock, that Qualified Investors will each represent, warrant and certify to us and/or to anyone acting on our behalf: (i) that it is an investor falling within one of the categories listed in the First Addendum to the Israeli Securities Law, 5728—1968; (ii) which of the categories listed in the First Addendum to the Israeli Securities Law, 5728—1968 regarding Qualified Investors is applicable to it; (iii) that it will abide by all provisions set forth in the Israeli Securities Law, 5728—1968 and the regulations promulgated thereunder in connection with the offer to be issued common stock; (iv) that the shares of common stock that it will be issued are, subject to exemptions available under the Israeli Securities Law, 5728—1968: (a) for its own account; (b) for investment purposes only; and (c) not issued with a view to resale within the State of Israel, other than in accordance with the provisions of the Israeli Securities Law, 5728—1968; and (v) that it is willing to provide further evidence of its Qualified Investor status. Addressed Investors may have to submit written evidence in respect of their identity and may have to sign and submit a declaration containing, inter alia, the Addressed Investor’s name, address and passport number or Israeli identification number.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S-33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12" w:name="supptx190758_11"/>
      <w:bookmarkEnd w:id="12"/>
      <w:r>
        <w:rPr>
          <w:rFonts w:ascii="Times New Roman" w:hAnsi="Times New Roman"/>
          <w:b/>
          <w:sz w:val="20"/>
        </w:rPr>
        <w:t xml:space="preserve">LEGAL MATTERS </w:t>
      </w:r>
    </w:p>
    <w:p>
      <w:pPr>
        <w:pStyle w:val="TextBody"/>
        <w:bidi w:val="0"/>
        <w:spacing w:before="240" w:after="0"/>
        <w:jc w:val="left"/>
        <w:rPr>
          <w:rFonts w:ascii="Times New Roman" w:hAnsi="Times New Roman"/>
          <w:sz w:val="20"/>
        </w:rPr>
      </w:pPr>
      <w:r>
        <w:rPr>
          <w:rFonts w:ascii="Times New Roman" w:hAnsi="Times New Roman"/>
          <w:sz w:val="20"/>
        </w:rPr>
        <w:t xml:space="preserve">The validity of the shares of common stock offered hereby will be passed upon for us by Goodwin Procter LLP, Boston, Massachusetts. Wilmer Cutler Pickering Hale and Dorr LLP, New York, New York, is acting as counsel to the underwriters in connection with this offering. </w:t>
      </w:r>
    </w:p>
    <w:p>
      <w:pPr>
        <w:pStyle w:val="TextBody"/>
        <w:bidi w:val="0"/>
        <w:spacing w:before="480" w:after="0"/>
        <w:jc w:val="center"/>
        <w:rPr>
          <w:rFonts w:ascii="Times New Roman" w:hAnsi="Times New Roman"/>
          <w:b/>
          <w:sz w:val="20"/>
        </w:rPr>
      </w:pPr>
      <w:bookmarkStart w:id="13" w:name="supptx190758_12"/>
      <w:bookmarkEnd w:id="13"/>
      <w:r>
        <w:rPr>
          <w:rFonts w:ascii="Times New Roman" w:hAnsi="Times New Roman"/>
          <w:b/>
          <w:sz w:val="20"/>
        </w:rPr>
        <w:t xml:space="preserve">EXPERTS </w:t>
      </w:r>
    </w:p>
    <w:p>
      <w:pPr>
        <w:pStyle w:val="TextBody"/>
        <w:bidi w:val="0"/>
        <w:spacing w:before="240" w:after="0"/>
        <w:jc w:val="left"/>
        <w:rPr>
          <w:rFonts w:ascii="Times New Roman" w:hAnsi="Times New Roman"/>
          <w:sz w:val="20"/>
        </w:rPr>
      </w:pPr>
      <w:r>
        <w:rPr>
          <w:rFonts w:ascii="Times New Roman" w:hAnsi="Times New Roman"/>
          <w:sz w:val="20"/>
        </w:rPr>
        <w:t xml:space="preserve">The consolidated financial statements of Disc Medicine, Inc. appearing in Disc Medicine, Inc.’s Annual Report (Form 10-K) for the year ended December 31, 2025, and the effectiveness of Disc Medicine Inc.’s internal control over financial reporting as of December 31, 2025 have been audited by Ernst &amp; Young LLP, independent registered public accounting firm, as set forth in its reports thereon, included therein, and incorporated herein by reference. Such consolidated financial statements are incorporated herein by reference in reliance upon such reports given on the authority of such firm as experts in accounting and auditing. </w:t>
      </w:r>
    </w:p>
    <w:p>
      <w:pPr>
        <w:pStyle w:val="TextBody"/>
        <w:bidi w:val="0"/>
        <w:spacing w:before="480" w:after="0"/>
        <w:jc w:val="center"/>
        <w:rPr>
          <w:rFonts w:ascii="Times New Roman" w:hAnsi="Times New Roman"/>
          <w:b/>
          <w:sz w:val="20"/>
        </w:rPr>
      </w:pPr>
      <w:bookmarkStart w:id="14" w:name="supptx190758_13"/>
      <w:bookmarkEnd w:id="14"/>
      <w:r>
        <w:rPr>
          <w:rFonts w:ascii="Times New Roman" w:hAnsi="Times New Roman"/>
          <w:b/>
          <w:sz w:val="20"/>
        </w:rPr>
        <w:t xml:space="preserve">WHERE YOU CAN FIND MORE INFORMATION </w:t>
      </w:r>
    </w:p>
    <w:p>
      <w:pPr>
        <w:pStyle w:val="TextBody"/>
        <w:bidi w:val="0"/>
        <w:spacing w:before="240" w:after="0"/>
        <w:jc w:val="left"/>
        <w:rPr>
          <w:rFonts w:ascii="Times New Roman" w:hAnsi="Times New Roman"/>
          <w:sz w:val="20"/>
        </w:rPr>
      </w:pPr>
      <w:r>
        <w:rPr>
          <w:rFonts w:ascii="Times New Roman" w:hAnsi="Times New Roman"/>
          <w:sz w:val="20"/>
        </w:rPr>
        <w:t xml:space="preserve">We file annual, quarterly and current reports, proxy statements and other information with the SEC. Our SEC filings are available to the public over the Internet at the SEC’s website at www.sec.gov and on our investor website at www.discmedicine.com. Information contained on, or accessible through, our website, is not a part of or incorporated by reference into this prospectus supplement or the accompanying prospectus, and you should not consider any information on, or that can be accessed from, our website as part of this prospectus supplement or the accompanying prospectus.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supplement is part of a registration statement that we have filed with the SEC. Certain information in the registration statement has been omitted from this prospectus supplement in accordance with the rules of the SEC. For more detail about us and any securities that may be offered by this prospectus supplement, you may examine the registration statement of which this prospectus supplement forms a part, including its exhibits and schedules. Statements contained in this prospectus supplement and the accompanying prospectus as to the contents of any contract or other document are not necessarily complete, and in each instance we refer you to the copy of the contract or document filed as an exhibit to the registration statement, each such statement being qualified in all respects by such reference.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S-34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15" w:name="supptx190758_14"/>
      <w:bookmarkEnd w:id="15"/>
      <w:r>
        <w:rPr>
          <w:rFonts w:ascii="Times New Roman" w:hAnsi="Times New Roman"/>
          <w:b/>
          <w:sz w:val="20"/>
        </w:rPr>
        <w:t xml:space="preserve">INCORPORATION OF CERTAIN INFORMATION BY REFERENCE </w:t>
      </w:r>
    </w:p>
    <w:p>
      <w:pPr>
        <w:pStyle w:val="TextBody"/>
        <w:bidi w:val="0"/>
        <w:spacing w:before="240" w:after="0"/>
        <w:jc w:val="left"/>
        <w:rPr>
          <w:rFonts w:ascii="Times New Roman" w:hAnsi="Times New Roman"/>
          <w:sz w:val="20"/>
        </w:rPr>
      </w:pPr>
      <w:r>
        <w:rPr>
          <w:rFonts w:ascii="Times New Roman" w:hAnsi="Times New Roman"/>
          <w:sz w:val="20"/>
        </w:rPr>
        <w:t xml:space="preserve">The SEC allows us to incorporate by reference in this prospectus supplement much of the information we file with the SEC, which means that we can disclose important information to you by referring you to those publicly available documents. The information that we incorporate by reference in this prospectus supplement and the accompanying prospectus is considered to be part of this prospectus supplement. Because we are incorporating by reference future filings with the SEC, this prospectus supplement is continually updated and those future filings may modify or supersede some of the information included or incorporated in this prospectus supplement. This means that you must look at all of the SEC filings that we incorporate by reference to determine if any of the statements in this prospectus supplement or in any document previously incorporated by reference have been modified or superseded. This prospectus supplement incorporates by reference the documents listed below and any future filings we make with the SEC under Sections 13(a), 13(c), 14 or 15(d) of the Exchange Act, except as to any portion of any future report or document that is not deemed filed under such provisions until the offering of the securities offered hereby is terminated or completed: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Annual Report on </w:t>
            </w:r>
            <w:hyperlink r:id="rId3">
              <w:r>
                <w:rPr>
                  <w:rStyle w:val="InternetLink"/>
                  <w:rFonts w:ascii="Times New Roman" w:hAnsi="Times New Roman"/>
                  <w:sz w:val="20"/>
                </w:rPr>
                <w:t>Form 10-K</w:t>
              </w:r>
            </w:hyperlink>
            <w:r>
              <w:rPr>
                <w:rFonts w:ascii="Times New Roman" w:hAnsi="Times New Roman"/>
                <w:sz w:val="20"/>
              </w:rPr>
              <w:t xml:space="preserve"> for the fiscal year ended December 31, 2025, filed with the SEC on February 26,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pPr>
            <w:r>
              <w:rPr>
                <w:rFonts w:ascii="Times New Roman" w:hAnsi="Times New Roman"/>
                <w:sz w:val="20"/>
              </w:rPr>
              <w:t xml:space="preserve">The information specifically incorporated by reference into our Annual Report on Form 10-K for the year ended December  31, 2025 from our Definitive Proxy Statement on </w:t>
            </w:r>
            <w:hyperlink r:id="rId4">
              <w:r>
                <w:rPr>
                  <w:rStyle w:val="InternetLink"/>
                  <w:rFonts w:ascii="Times New Roman" w:hAnsi="Times New Roman"/>
                  <w:sz w:val="20"/>
                </w:rPr>
                <w:t>Schedule 14A</w:t>
              </w:r>
            </w:hyperlink>
            <w:r>
              <w:rPr>
                <w:rFonts w:ascii="Times New Roman" w:hAnsi="Times New Roman"/>
                <w:sz w:val="20"/>
              </w:rPr>
              <w:t xml:space="preserve">, filed with the SEC on April 28,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Quarterly Reports on Form 10-Q for the quarters ended March 31, 2026 and June 30, 2026, filed with the SEC on </w:t>
            </w:r>
            <w:hyperlink r:id="rId5">
              <w:r>
                <w:rPr>
                  <w:rStyle w:val="InternetLink"/>
                  <w:rFonts w:ascii="Times New Roman" w:hAnsi="Times New Roman"/>
                  <w:sz w:val="20"/>
                </w:rPr>
                <w:t>May  5, 2026</w:t>
              </w:r>
            </w:hyperlink>
            <w:r>
              <w:rPr>
                <w:rFonts w:ascii="Times New Roman" w:hAnsi="Times New Roman"/>
                <w:sz w:val="20"/>
              </w:rPr>
              <w:t xml:space="preserve"> and </w:t>
            </w:r>
            <w:hyperlink r:id="rId6">
              <w:r>
                <w:rPr>
                  <w:rStyle w:val="InternetLink"/>
                  <w:rFonts w:ascii="Times New Roman" w:hAnsi="Times New Roman"/>
                  <w:sz w:val="20"/>
                </w:rPr>
                <w:t>July 30, 2026</w:t>
              </w:r>
            </w:hyperlink>
            <w:r>
              <w:rPr>
                <w:rFonts w:ascii="Times New Roman" w:hAnsi="Times New Roman"/>
                <w:sz w:val="20"/>
              </w:rPr>
              <w:t xml:space="preserve">, respectively;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pPr>
            <w:r>
              <w:rPr>
                <w:rFonts w:ascii="Times New Roman" w:hAnsi="Times New Roman"/>
                <w:sz w:val="20"/>
              </w:rPr>
              <w:t xml:space="preserve">Current Reports on Form 8-K filed with the SEC on </w:t>
            </w:r>
            <w:hyperlink r:id="rId7">
              <w:r>
                <w:rPr>
                  <w:rStyle w:val="InternetLink"/>
                  <w:rFonts w:ascii="Times New Roman" w:hAnsi="Times New Roman"/>
                  <w:sz w:val="20"/>
                </w:rPr>
                <w:t>February 13, 2026</w:t>
              </w:r>
            </w:hyperlink>
            <w:r>
              <w:rPr>
                <w:rFonts w:ascii="Times New Roman" w:hAnsi="Times New Roman"/>
                <w:sz w:val="20"/>
              </w:rPr>
              <w:t xml:space="preserve">, </w:t>
            </w:r>
            <w:hyperlink r:id="rId8">
              <w:r>
                <w:rPr>
                  <w:rStyle w:val="InternetLink"/>
                  <w:rFonts w:ascii="Times New Roman" w:hAnsi="Times New Roman"/>
                  <w:sz w:val="20"/>
                </w:rPr>
                <w:t>February  27, 2026</w:t>
              </w:r>
            </w:hyperlink>
            <w:r>
              <w:rPr>
                <w:rFonts w:ascii="Times New Roman" w:hAnsi="Times New Roman"/>
                <w:sz w:val="20"/>
              </w:rPr>
              <w:t xml:space="preserve">, </w:t>
            </w:r>
            <w:hyperlink r:id="rId9">
              <w:r>
                <w:rPr>
                  <w:rStyle w:val="InternetLink"/>
                  <w:rFonts w:ascii="Times New Roman" w:hAnsi="Times New Roman"/>
                  <w:sz w:val="20"/>
                </w:rPr>
                <w:t>June  24, 2026</w:t>
              </w:r>
            </w:hyperlink>
            <w:r>
              <w:rPr>
                <w:rFonts w:ascii="Times New Roman" w:hAnsi="Times New Roman"/>
                <w:sz w:val="20"/>
              </w:rPr>
              <w:t xml:space="preserve">, </w:t>
            </w:r>
            <w:hyperlink r:id="rId10">
              <w:r>
                <w:rPr>
                  <w:rStyle w:val="InternetLink"/>
                  <w:rFonts w:ascii="Times New Roman" w:hAnsi="Times New Roman"/>
                  <w:sz w:val="20"/>
                </w:rPr>
                <w:t>June  30, 2026</w:t>
              </w:r>
            </w:hyperlink>
            <w:r>
              <w:rPr>
                <w:rFonts w:ascii="Times New Roman" w:hAnsi="Times New Roman"/>
                <w:sz w:val="20"/>
              </w:rPr>
              <w:t xml:space="preserve">, </w:t>
            </w:r>
            <w:hyperlink r:id="rId11">
              <w:r>
                <w:rPr>
                  <w:rStyle w:val="InternetLink"/>
                  <w:rFonts w:ascii="Times New Roman" w:hAnsi="Times New Roman"/>
                  <w:sz w:val="20"/>
                </w:rPr>
                <w:t>September  10, 2026</w:t>
              </w:r>
            </w:hyperlink>
            <w:r>
              <w:rPr>
                <w:rFonts w:ascii="Times New Roman" w:hAnsi="Times New Roman"/>
                <w:sz w:val="20"/>
              </w:rPr>
              <w:t xml:space="preserve"> and </w:t>
            </w:r>
            <w:hyperlink r:id="rId12">
              <w:r>
                <w:rPr>
                  <w:rStyle w:val="InternetLink"/>
                  <w:rFonts w:ascii="Times New Roman" w:hAnsi="Times New Roman"/>
                  <w:sz w:val="20"/>
                </w:rPr>
                <w:t>October 19, 2026</w:t>
              </w:r>
            </w:hyperlink>
            <w:r>
              <w:rPr>
                <w:rFonts w:ascii="Times New Roman" w:hAnsi="Times New Roman"/>
                <w:sz w:val="20"/>
              </w:rPr>
              <w:t xml:space="preserve"> (in each case, excluding information furnished pursuant to Items 2.02 and 7.01);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pPr>
            <w:r>
              <w:rPr>
                <w:rFonts w:ascii="Times New Roman" w:hAnsi="Times New Roman"/>
                <w:sz w:val="20"/>
              </w:rPr>
              <w:t xml:space="preserve">The description of our common stock contained in our Registration Statement on </w:t>
            </w:r>
            <w:hyperlink r:id="rId13">
              <w:r>
                <w:rPr>
                  <w:rStyle w:val="InternetLink"/>
                  <w:rFonts w:ascii="Times New Roman" w:hAnsi="Times New Roman"/>
                  <w:sz w:val="20"/>
                </w:rPr>
                <w:t>Form 8-A</w:t>
              </w:r>
            </w:hyperlink>
            <w:r>
              <w:rPr>
                <w:rFonts w:ascii="Times New Roman" w:hAnsi="Times New Roman"/>
                <w:sz w:val="20"/>
              </w:rPr>
              <w:t xml:space="preserve"> filed with the SEC on August  10, 2020, and as set forth by the description of our common stock set forth in </w:t>
            </w:r>
            <w:hyperlink r:id="rId14">
              <w:r>
                <w:rPr>
                  <w:rStyle w:val="InternetLink"/>
                  <w:rFonts w:ascii="Times New Roman" w:hAnsi="Times New Roman"/>
                  <w:sz w:val="20"/>
                </w:rPr>
                <w:t>Exhibit 4.4</w:t>
              </w:r>
            </w:hyperlink>
            <w:r>
              <w:rPr>
                <w:rFonts w:ascii="Times New Roman" w:hAnsi="Times New Roman"/>
                <w:sz w:val="20"/>
              </w:rPr>
              <w:t xml:space="preserve"> to our Annual Report on Form 10-K for the year ended December 31, 2021, filed with the SEC on March  10, 2022, and as further supplemented by the description of our common stock set forth in our Registration Statement on </w:t>
            </w:r>
            <w:hyperlink r:id="rId15">
              <w:r>
                <w:rPr>
                  <w:rStyle w:val="InternetLink"/>
                  <w:rFonts w:ascii="Times New Roman" w:hAnsi="Times New Roman"/>
                  <w:sz w:val="20"/>
                </w:rPr>
                <w:t>Form S-4/A</w:t>
              </w:r>
            </w:hyperlink>
            <w:r>
              <w:rPr>
                <w:rFonts w:ascii="Times New Roman" w:hAnsi="Times New Roman"/>
                <w:sz w:val="20"/>
              </w:rPr>
              <w:t xml:space="preserve">, filed with the SEC on December 1, 2022, including any amendments or reports filed for the purpose of updating such description.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You may request a copy of these filings, at no cost, by writing or telephoning us at the following address or telephone number: </w:t>
      </w:r>
    </w:p>
    <w:p>
      <w:pPr>
        <w:pStyle w:val="TextBody"/>
        <w:bidi w:val="0"/>
        <w:spacing w:before="120" w:after="0"/>
        <w:jc w:val="center"/>
        <w:rPr>
          <w:rFonts w:ascii="Times New Roman" w:hAnsi="Times New Roman"/>
          <w:sz w:val="20"/>
        </w:rPr>
      </w:pPr>
      <w:r>
        <w:rPr>
          <w:rFonts w:ascii="Times New Roman" w:hAnsi="Times New Roman"/>
          <w:sz w:val="20"/>
        </w:rPr>
        <w:t xml:space="preserve">Disc Medicine, Inc. </w:t>
      </w:r>
    </w:p>
    <w:p>
      <w:pPr>
        <w:pStyle w:val="TextBody"/>
        <w:bidi w:val="0"/>
        <w:spacing w:before="0" w:after="0"/>
        <w:jc w:val="center"/>
        <w:rPr>
          <w:rFonts w:ascii="Times New Roman" w:hAnsi="Times New Roman"/>
          <w:sz w:val="20"/>
        </w:rPr>
      </w:pPr>
      <w:r>
        <w:rPr>
          <w:rFonts w:ascii="Times New Roman" w:hAnsi="Times New Roman"/>
          <w:sz w:val="20"/>
        </w:rPr>
        <w:t xml:space="preserve">321 Arsenal Street, Suite 101 </w:t>
      </w:r>
    </w:p>
    <w:p>
      <w:pPr>
        <w:pStyle w:val="TextBody"/>
        <w:bidi w:val="0"/>
        <w:spacing w:before="0" w:after="0"/>
        <w:jc w:val="center"/>
        <w:rPr>
          <w:rFonts w:ascii="Times New Roman" w:hAnsi="Times New Roman"/>
          <w:sz w:val="20"/>
        </w:rPr>
      </w:pPr>
      <w:r>
        <w:rPr>
          <w:rFonts w:ascii="Times New Roman" w:hAnsi="Times New Roman"/>
          <w:sz w:val="20"/>
        </w:rPr>
        <w:t xml:space="preserve">Watertown, MA 02472 </w:t>
      </w:r>
    </w:p>
    <w:p>
      <w:pPr>
        <w:pStyle w:val="TextBody"/>
        <w:bidi w:val="0"/>
        <w:spacing w:before="0" w:after="0"/>
        <w:jc w:val="center"/>
        <w:rPr>
          <w:rFonts w:ascii="Times New Roman" w:hAnsi="Times New Roman"/>
          <w:sz w:val="20"/>
        </w:rPr>
      </w:pPr>
      <w:r>
        <w:rPr>
          <w:rFonts w:ascii="Times New Roman" w:hAnsi="Times New Roman"/>
          <w:sz w:val="20"/>
        </w:rPr>
        <w:t xml:space="preserve">Attn: Investor Relations </w:t>
      </w:r>
    </w:p>
    <w:p>
      <w:pPr>
        <w:pStyle w:val="TextBody"/>
        <w:bidi w:val="0"/>
        <w:spacing w:before="0" w:after="0"/>
        <w:jc w:val="center"/>
        <w:rPr>
          <w:rFonts w:ascii="Times New Roman" w:hAnsi="Times New Roman"/>
          <w:sz w:val="20"/>
        </w:rPr>
      </w:pPr>
      <w:r>
        <w:rPr>
          <w:rFonts w:ascii="Times New Roman" w:hAnsi="Times New Roman"/>
          <w:sz w:val="20"/>
        </w:rPr>
        <w:t xml:space="preserve">(617) 674-9274 </w:t>
      </w:r>
    </w:p>
    <w:p>
      <w:pPr>
        <w:pStyle w:val="TextBody"/>
        <w:bidi w:val="0"/>
        <w:spacing w:before="240" w:after="0"/>
        <w:jc w:val="left"/>
        <w:rPr>
          <w:rFonts w:ascii="Times New Roman" w:hAnsi="Times New Roman"/>
          <w:sz w:val="20"/>
        </w:rPr>
      </w:pPr>
      <w:r>
        <w:rPr>
          <w:rFonts w:ascii="Times New Roman" w:hAnsi="Times New Roman"/>
          <w:sz w:val="20"/>
        </w:rPr>
        <w:t xml:space="preserve">You may also access these documents, free of charge on the SEC’s website at </w:t>
      </w:r>
      <w:r>
        <w:rPr>
          <w:rFonts w:ascii="Times New Roman" w:hAnsi="Times New Roman"/>
          <w:i/>
          <w:sz w:val="20"/>
        </w:rPr>
        <w:t>www.sec.gov</w:t>
      </w:r>
      <w:r>
        <w:rPr>
          <w:rFonts w:ascii="Times New Roman" w:hAnsi="Times New Roman"/>
          <w:sz w:val="20"/>
        </w:rPr>
        <w:t xml:space="preserve"> or on our website at </w:t>
      </w:r>
      <w:r>
        <w:rPr>
          <w:rFonts w:ascii="Times New Roman" w:hAnsi="Times New Roman"/>
          <w:i/>
          <w:sz w:val="20"/>
        </w:rPr>
        <w:t>www.discmedicine.com</w:t>
      </w:r>
      <w:r>
        <w:rPr>
          <w:rFonts w:ascii="Times New Roman" w:hAnsi="Times New Roman"/>
          <w:sz w:val="20"/>
        </w:rPr>
        <w:t xml:space="preserve">. Information contained, or accessible through, on our website, is not a part of or incorporated by reference into this prospectus supplement or the accompanying prospectus, and you should not consider any information on, or that can be accessed from, our website as part of this prospectus supplement or the accompanying prospectus.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foregoing, unless specifically stated to the contrary, information that we furnish (and that is not deemed “filed” with the SEC) under Items 2.02 and 7.01 of any Current Report on Form 8-K, including the related exhibits under Item 9.01, is not incorporated by reference into this prospectus supplement or the accompanying 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accordance with Rule 412 of the Securities Act, any statement contained in a document incorporated by reference herein shall be deemed modified or superseded to the extent that a statement contained herein or in any other subsequently filed document which also is or is deemed to be incorporated by reference herein modifies or supersedes such statement.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PROSPECTUS </w:t>
      </w:r>
    </w:p>
    <w:p>
      <w:pPr>
        <w:pStyle w:val="TextBody"/>
        <w:bidi w:val="0"/>
        <w:spacing w:before="0" w:after="0"/>
        <w:jc w:val="left"/>
        <w:rPr/>
      </w:pPr>
      <w:r>
        <w:rPr/>
        <w:t> </w:t>
      </w:r>
    </w:p>
    <w:p>
      <w:pPr>
        <w:pStyle w:val="TextBody"/>
        <w:bidi w:val="0"/>
        <w:spacing w:before="0" w:after="0"/>
        <w:jc w:val="center"/>
        <w:rPr/>
      </w:pPr>
      <w:r>
        <w:rPr/>
        <w:drawing>
          <wp:inline distT="0" distB="0" distL="0" distR="0">
            <wp:extent cx="4162425" cy="6572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16"/>
                    <a:stretch>
                      <a:fillRect/>
                    </a:stretch>
                  </pic:blipFill>
                  <pic:spPr bwMode="auto">
                    <a:xfrm>
                      <a:off x="0" y="0"/>
                      <a:ext cx="4162425" cy="657225"/>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28"/>
        </w:rPr>
      </w:pPr>
      <w:r>
        <w:rPr>
          <w:rFonts w:ascii="Times New Roman" w:hAnsi="Times New Roman"/>
          <w:b/>
          <w:sz w:val="28"/>
        </w:rPr>
        <w:t xml:space="preserve">Common Stock </w:t>
      </w:r>
    </w:p>
    <w:p>
      <w:pPr>
        <w:pStyle w:val="TextBody"/>
        <w:bidi w:val="0"/>
        <w:spacing w:before="0" w:after="0"/>
        <w:jc w:val="center"/>
        <w:rPr>
          <w:rFonts w:ascii="Times New Roman" w:hAnsi="Times New Roman"/>
          <w:b/>
          <w:sz w:val="28"/>
        </w:rPr>
      </w:pPr>
      <w:r>
        <w:rPr>
          <w:rFonts w:ascii="Times New Roman" w:hAnsi="Times New Roman"/>
          <w:b/>
          <w:sz w:val="28"/>
        </w:rPr>
        <w:t xml:space="preserve">Preferred Stock </w:t>
      </w:r>
    </w:p>
    <w:p>
      <w:pPr>
        <w:pStyle w:val="TextBody"/>
        <w:bidi w:val="0"/>
        <w:spacing w:before="0" w:after="0"/>
        <w:jc w:val="center"/>
        <w:rPr>
          <w:rFonts w:ascii="Times New Roman" w:hAnsi="Times New Roman"/>
          <w:b/>
          <w:sz w:val="28"/>
        </w:rPr>
      </w:pPr>
      <w:r>
        <w:rPr>
          <w:rFonts w:ascii="Times New Roman" w:hAnsi="Times New Roman"/>
          <w:b/>
          <w:sz w:val="28"/>
        </w:rPr>
        <w:t xml:space="preserve">Debt Securities </w:t>
      </w:r>
    </w:p>
    <w:p>
      <w:pPr>
        <w:pStyle w:val="TextBody"/>
        <w:bidi w:val="0"/>
        <w:spacing w:before="0" w:after="0"/>
        <w:jc w:val="center"/>
        <w:rPr>
          <w:rFonts w:ascii="Times New Roman" w:hAnsi="Times New Roman"/>
          <w:b/>
          <w:sz w:val="28"/>
        </w:rPr>
      </w:pPr>
      <w:r>
        <w:rPr>
          <w:rFonts w:ascii="Times New Roman" w:hAnsi="Times New Roman"/>
          <w:b/>
          <w:sz w:val="28"/>
        </w:rPr>
        <w:t xml:space="preserve">Warrants </w:t>
      </w:r>
    </w:p>
    <w:p>
      <w:pPr>
        <w:pStyle w:val="TextBody"/>
        <w:bidi w:val="0"/>
        <w:spacing w:before="0" w:after="0"/>
        <w:jc w:val="center"/>
        <w:rPr>
          <w:rFonts w:ascii="Times New Roman" w:hAnsi="Times New Roman"/>
          <w:b/>
          <w:sz w:val="28"/>
        </w:rPr>
      </w:pPr>
      <w:r>
        <w:rPr>
          <w:rFonts w:ascii="Times New Roman" w:hAnsi="Times New Roman"/>
          <w:b/>
          <w:sz w:val="28"/>
        </w:rPr>
        <w:t xml:space="preserve">Units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From time to time, we may offer and sell, in one or more series or classes, our Common Stock, Preferred Stock, Debt Securities, Warrants or Units, in each case in one or more issuances and at prices and on terms that we will determine at the time of the offering.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describes the general manner in which any of these securities may be offered using this prospectus. We will specify in an accompanying prospectus supplement the terms of the securities offered and other details regarding the offering thereof. The supplement may also add, update or change information contained in this prospectus with respect to that offering. </w:t>
      </w:r>
    </w:p>
    <w:p>
      <w:pPr>
        <w:pStyle w:val="TextBody"/>
        <w:bidi w:val="0"/>
        <w:spacing w:before="240" w:after="0"/>
        <w:jc w:val="left"/>
        <w:rPr>
          <w:rFonts w:ascii="Times New Roman" w:hAnsi="Times New Roman"/>
          <w:sz w:val="20"/>
        </w:rPr>
      </w:pPr>
      <w:r>
        <w:rPr>
          <w:rFonts w:ascii="Times New Roman" w:hAnsi="Times New Roman"/>
          <w:sz w:val="20"/>
        </w:rPr>
        <w:t xml:space="preserve">Our common stock is listed on The Nasdaq Global Market under the symbol “IRON.” On August 7, 2024, the closing price of our common stock, as reported on The Nasdaq Global Market, was $41.27 per share.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pPr>
      <w:r>
        <w:rPr>
          <w:rFonts w:ascii="Times New Roman" w:hAnsi="Times New Roman"/>
          <w:b/>
          <w:sz w:val="24"/>
        </w:rPr>
        <w:t>Investing in our securities involves risks. You should review carefully the risks and uncertainties described under the heading “</w:t>
      </w:r>
      <w:hyperlink w:anchor="tx190758_6">
        <w:r>
          <w:rPr>
            <w:rStyle w:val="InternetLink"/>
            <w:rFonts w:ascii="Times New Roman" w:hAnsi="Times New Roman"/>
            <w:b/>
            <w:i/>
            <w:sz w:val="24"/>
          </w:rPr>
          <w:t>Risk Factors</w:t>
        </w:r>
      </w:hyperlink>
      <w:r>
        <w:rPr>
          <w:rFonts w:ascii="Times New Roman" w:hAnsi="Times New Roman"/>
          <w:sz w:val="24"/>
        </w:rPr>
        <w:t xml:space="preserve">” </w:t>
      </w:r>
      <w:r>
        <w:rPr>
          <w:rFonts w:ascii="Times New Roman" w:hAnsi="Times New Roman"/>
          <w:b/>
          <w:sz w:val="24"/>
        </w:rPr>
        <w:t>on page 10 of this prospectus and under any similar heading in the documents that are incorporated by reference into this prospectus, as well as “</w:t>
      </w:r>
      <w:r>
        <w:rPr>
          <w:rFonts w:ascii="Times New Roman" w:hAnsi="Times New Roman"/>
          <w:b/>
          <w:i/>
          <w:sz w:val="24"/>
        </w:rPr>
        <w:t>Special Note Regarding Forward-Looking Statements</w:t>
      </w:r>
      <w:r>
        <w:rPr>
          <w:rFonts w:ascii="Times New Roman" w:hAnsi="Times New Roman"/>
          <w:sz w:val="24"/>
        </w:rPr>
        <w:t xml:space="preserve">” </w:t>
      </w:r>
      <w:r>
        <w:rPr>
          <w:rFonts w:ascii="Times New Roman" w:hAnsi="Times New Roman"/>
          <w:b/>
          <w:sz w:val="24"/>
        </w:rPr>
        <w:t xml:space="preserve">on page 4 of this prospectus. You should read the entire prospectus and any applicable prospectus supplement carefully before you make your investment decision. </w:t>
      </w:r>
    </w:p>
    <w:p>
      <w:pPr>
        <w:pStyle w:val="TextBody"/>
        <w:bidi w:val="0"/>
        <w:spacing w:before="240" w:after="0"/>
        <w:jc w:val="left"/>
        <w:rPr>
          <w:rFonts w:ascii="Times New Roman" w:hAnsi="Times New Roman"/>
          <w:sz w:val="20"/>
        </w:rPr>
      </w:pPr>
      <w:r>
        <w:rPr>
          <w:rFonts w:ascii="Times New Roman" w:hAnsi="Times New Roman"/>
          <w:sz w:val="20"/>
        </w:rPr>
        <w:t>The securities covered by this prospectus may be sold directly by us to investors, through agents designated by us from time to time or through underwriters or dealers at prices and on terms to be determined at the time of offering. We will include in an applicable prospectus supplement the names of any underwriters or agents and any applicable commissions or discounts. Additional information on the methods of sale appears under “</w:t>
      </w:r>
      <w:r>
        <w:rPr>
          <w:rFonts w:ascii="Times New Roman" w:hAnsi="Times New Roman"/>
          <w:i/>
          <w:sz w:val="20"/>
        </w:rPr>
        <w:t>Plan of Distribution</w:t>
      </w:r>
      <w:r>
        <w:rPr>
          <w:rFonts w:ascii="Times New Roman" w:hAnsi="Times New Roman"/>
          <w:sz w:val="20"/>
        </w:rPr>
        <w:t xml:space="preserve">” in this prospectus. We will also describe in an applicable prospectus supplement the way(s) in which we expect to use the net proceeds we receive from any sale. </w:t>
      </w:r>
    </w:p>
    <w:p>
      <w:pPr>
        <w:pStyle w:val="TextBody"/>
        <w:bidi w:val="0"/>
        <w:spacing w:before="240" w:after="0"/>
        <w:jc w:val="left"/>
        <w:rPr>
          <w:rFonts w:ascii="Times New Roman" w:hAnsi="Times New Roman"/>
          <w:b/>
          <w:sz w:val="20"/>
        </w:rPr>
      </w:pPr>
      <w:r>
        <w:rPr>
          <w:rFonts w:ascii="Times New Roman" w:hAnsi="Times New Roman"/>
          <w:b/>
          <w:sz w:val="20"/>
        </w:rPr>
        <w:t xml:space="preserve">Neither the Securities and Exchange Commission nor any state securities commission has approved or disapproved of these securities or determined if this prospectus is truthful or complete. Any representation to the contrary is a criminal offense. </w:t>
      </w:r>
    </w:p>
    <w:p>
      <w:pPr>
        <w:pStyle w:val="TextBody"/>
        <w:bidi w:val="0"/>
        <w:spacing w:before="240" w:after="0"/>
        <w:jc w:val="left"/>
        <w:rPr>
          <w:rFonts w:ascii="Times New Roman" w:hAnsi="Times New Roman"/>
          <w:b/>
          <w:sz w:val="20"/>
        </w:rPr>
      </w:pPr>
      <w:r>
        <w:rPr>
          <w:rFonts w:ascii="Times New Roman" w:hAnsi="Times New Roman"/>
          <w:b/>
          <w:sz w:val="20"/>
        </w:rPr>
        <w:t xml:space="preserve">This prospectus may not be used to offer or sell any securities unless accompanied by a prospectus supplement.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The date of this prospectus is August 8, 2024.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bookmarkStart w:id="16" w:name="toc1"/>
      <w:bookmarkEnd w:id="16"/>
      <w:r>
        <w:rPr>
          <w:rFonts w:ascii="Times New Roman" w:hAnsi="Times New Roman"/>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310"/>
        <w:gridCol w:w="342"/>
        <w:gridCol w:w="90"/>
        <w:gridCol w:w="400"/>
        <w:gridCol w:w="63"/>
      </w:tblGrid>
      <w:tr>
        <w:trPr/>
        <w:tc>
          <w:tcPr>
            <w:tcW w:w="9310" w:type="dxa"/>
            <w:tcBorders/>
            <w:vAlign w:val="center"/>
          </w:tcPr>
          <w:p>
            <w:pPr>
              <w:pStyle w:val="TableContents"/>
              <w:bidi w:val="0"/>
              <w:spacing w:before="0" w:after="283"/>
              <w:jc w:val="left"/>
              <w:rPr>
                <w:sz w:val="4"/>
                <w:szCs w:val="4"/>
              </w:rPr>
            </w:pPr>
            <w:r>
              <w:rPr>
                <w:sz w:val="4"/>
                <w:szCs w:val="4"/>
              </w:rPr>
            </w:r>
          </w:p>
        </w:tc>
        <w:tc>
          <w:tcPr>
            <w:tcW w:w="342" w:type="dxa"/>
            <w:tcBorders/>
            <w:vAlign w:val="bottom"/>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9310" w:type="dxa"/>
            <w:tcBorders/>
            <w:vAlign w:val="bottom"/>
          </w:tcPr>
          <w:p>
            <w:pPr>
              <w:pStyle w:val="TableContents"/>
              <w:bidi w:val="0"/>
              <w:spacing w:before="0" w:after="283"/>
              <w:jc w:val="left"/>
              <w:rPr/>
            </w:pPr>
            <w:r>
              <w:rPr/>
              <w:t> </w:t>
            </w:r>
          </w:p>
        </w:tc>
        <w:tc>
          <w:tcPr>
            <w:tcW w:w="342" w:type="dxa"/>
            <w:tcBorders/>
            <w:vAlign w:val="bottom"/>
          </w:tcPr>
          <w:p>
            <w:pPr>
              <w:pStyle w:val="TableContents"/>
              <w:bidi w:val="0"/>
              <w:spacing w:before="0" w:after="283"/>
              <w:jc w:val="left"/>
              <w:rPr/>
            </w:pPr>
            <w:r>
              <w:rPr/>
              <w:t>  </w:t>
            </w:r>
          </w:p>
        </w:tc>
        <w:tc>
          <w:tcPr>
            <w:tcW w:w="490" w:type="dxa"/>
            <w:gridSpan w:val="2"/>
            <w:tcBorders/>
            <w:vAlign w:val="bottom"/>
          </w:tcPr>
          <w:p>
            <w:pPr>
              <w:pStyle w:val="TableContents"/>
              <w:bidi w:val="0"/>
              <w:spacing w:before="0" w:after="283"/>
              <w:jc w:val="center"/>
              <w:rPr/>
            </w:pPr>
            <w:r>
              <w:rPr/>
              <w:t>Page</w:t>
            </w:r>
          </w:p>
        </w:tc>
        <w:tc>
          <w:tcPr>
            <w:tcW w:w="63" w:type="dxa"/>
            <w:tcBorders/>
            <w:vAlign w:val="bottom"/>
          </w:tcPr>
          <w:p>
            <w:pPr>
              <w:pStyle w:val="TableContents"/>
              <w:bidi w:val="0"/>
              <w:spacing w:before="0" w:after="283"/>
              <w:jc w:val="left"/>
              <w:rPr/>
            </w:pPr>
            <w:r>
              <w:rPr/>
              <w:t> </w:t>
            </w:r>
          </w:p>
        </w:tc>
      </w:tr>
      <w:tr>
        <w:trPr/>
        <w:tc>
          <w:tcPr>
            <w:tcW w:w="9310" w:type="dxa"/>
            <w:tcBorders/>
          </w:tcPr>
          <w:p>
            <w:pPr>
              <w:pStyle w:val="TableContents"/>
              <w:bidi w:val="0"/>
              <w:spacing w:before="0" w:after="0"/>
              <w:jc w:val="left"/>
              <w:rPr/>
            </w:pPr>
            <w:hyperlink w:anchor="tx190758_1">
              <w:r>
                <w:rPr>
                  <w:rStyle w:val="InternetLink"/>
                  <w:rFonts w:ascii="Times New Roman" w:hAnsi="Times New Roman"/>
                  <w:sz w:val="20"/>
                </w:rPr>
                <w:t>ABOUT THIS PROSPECTUS</w:t>
              </w:r>
            </w:hyperlink>
          </w:p>
        </w:tc>
        <w:tc>
          <w:tcPr>
            <w:tcW w:w="342"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right"/>
              <w:rPr/>
            </w:pPr>
            <w:r>
              <w:rPr/>
              <w:t>1</w:t>
            </w:r>
          </w:p>
        </w:tc>
        <w:tc>
          <w:tcPr>
            <w:tcW w:w="63" w:type="dxa"/>
            <w:tcBorders/>
            <w:vAlign w:val="bottom"/>
          </w:tcPr>
          <w:p>
            <w:pPr>
              <w:pStyle w:val="TableContents"/>
              <w:bidi w:val="0"/>
              <w:spacing w:before="0" w:after="283"/>
              <w:jc w:val="left"/>
              <w:rPr/>
            </w:pPr>
            <w:r>
              <w:rPr/>
              <w:t> </w:t>
            </w:r>
          </w:p>
        </w:tc>
      </w:tr>
      <w:tr>
        <w:trPr/>
        <w:tc>
          <w:tcPr>
            <w:tcW w:w="9310" w:type="dxa"/>
            <w:tcBorders/>
          </w:tcPr>
          <w:p>
            <w:pPr>
              <w:pStyle w:val="TableContents"/>
              <w:bidi w:val="0"/>
              <w:spacing w:before="0" w:after="0"/>
              <w:jc w:val="left"/>
              <w:rPr/>
            </w:pPr>
            <w:hyperlink w:anchor="tx190758_2">
              <w:r>
                <w:rPr>
                  <w:rStyle w:val="InternetLink"/>
                  <w:rFonts w:ascii="Times New Roman" w:hAnsi="Times New Roman"/>
                  <w:sz w:val="20"/>
                </w:rPr>
                <w:t>WHERE YOU CAN FIND MORE INFORMATION</w:t>
              </w:r>
            </w:hyperlink>
          </w:p>
        </w:tc>
        <w:tc>
          <w:tcPr>
            <w:tcW w:w="342"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right"/>
              <w:rPr/>
            </w:pPr>
            <w:r>
              <w:rPr/>
              <w:t>1</w:t>
            </w:r>
          </w:p>
        </w:tc>
        <w:tc>
          <w:tcPr>
            <w:tcW w:w="63" w:type="dxa"/>
            <w:tcBorders/>
            <w:vAlign w:val="bottom"/>
          </w:tcPr>
          <w:p>
            <w:pPr>
              <w:pStyle w:val="TableContents"/>
              <w:bidi w:val="0"/>
              <w:spacing w:before="0" w:after="283"/>
              <w:jc w:val="left"/>
              <w:rPr/>
            </w:pPr>
            <w:r>
              <w:rPr/>
              <w:t> </w:t>
            </w:r>
          </w:p>
        </w:tc>
      </w:tr>
      <w:tr>
        <w:trPr/>
        <w:tc>
          <w:tcPr>
            <w:tcW w:w="9310" w:type="dxa"/>
            <w:tcBorders/>
          </w:tcPr>
          <w:p>
            <w:pPr>
              <w:pStyle w:val="TableContents"/>
              <w:bidi w:val="0"/>
              <w:spacing w:before="0" w:after="0"/>
              <w:jc w:val="left"/>
              <w:rPr/>
            </w:pPr>
            <w:hyperlink w:anchor="tx190758_3">
              <w:r>
                <w:rPr>
                  <w:rStyle w:val="InternetLink"/>
                  <w:rFonts w:ascii="Times New Roman" w:hAnsi="Times New Roman"/>
                  <w:sz w:val="20"/>
                </w:rPr>
                <w:t>INCORPORATION OF CERTAIN INFORMATION BY REFERENCE</w:t>
              </w:r>
            </w:hyperlink>
          </w:p>
        </w:tc>
        <w:tc>
          <w:tcPr>
            <w:tcW w:w="342"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right"/>
              <w:rPr/>
            </w:pPr>
            <w:r>
              <w:rPr/>
              <w:t>2</w:t>
            </w:r>
          </w:p>
        </w:tc>
        <w:tc>
          <w:tcPr>
            <w:tcW w:w="63" w:type="dxa"/>
            <w:tcBorders/>
            <w:vAlign w:val="bottom"/>
          </w:tcPr>
          <w:p>
            <w:pPr>
              <w:pStyle w:val="TableContents"/>
              <w:bidi w:val="0"/>
              <w:spacing w:before="0" w:after="283"/>
              <w:jc w:val="left"/>
              <w:rPr/>
            </w:pPr>
            <w:r>
              <w:rPr/>
              <w:t> </w:t>
            </w:r>
          </w:p>
        </w:tc>
      </w:tr>
      <w:tr>
        <w:trPr/>
        <w:tc>
          <w:tcPr>
            <w:tcW w:w="9310" w:type="dxa"/>
            <w:tcBorders/>
          </w:tcPr>
          <w:p>
            <w:pPr>
              <w:pStyle w:val="TableContents"/>
              <w:bidi w:val="0"/>
              <w:spacing w:before="0" w:after="0"/>
              <w:jc w:val="left"/>
              <w:rPr/>
            </w:pPr>
            <w:hyperlink w:anchor="tx190758_4">
              <w:r>
                <w:rPr>
                  <w:rStyle w:val="InternetLink"/>
                  <w:rFonts w:ascii="Times New Roman" w:hAnsi="Times New Roman"/>
                  <w:sz w:val="20"/>
                </w:rPr>
                <w:t>SPECIAL NOTE REGARDING FORWARD-LOOKING STATEMENTS</w:t>
              </w:r>
            </w:hyperlink>
          </w:p>
        </w:tc>
        <w:tc>
          <w:tcPr>
            <w:tcW w:w="342"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right"/>
              <w:rPr/>
            </w:pPr>
            <w:r>
              <w:rPr/>
              <w:t>4</w:t>
            </w:r>
          </w:p>
        </w:tc>
        <w:tc>
          <w:tcPr>
            <w:tcW w:w="63" w:type="dxa"/>
            <w:tcBorders/>
            <w:vAlign w:val="bottom"/>
          </w:tcPr>
          <w:p>
            <w:pPr>
              <w:pStyle w:val="TableContents"/>
              <w:bidi w:val="0"/>
              <w:spacing w:before="0" w:after="283"/>
              <w:jc w:val="left"/>
              <w:rPr/>
            </w:pPr>
            <w:r>
              <w:rPr/>
              <w:t> </w:t>
            </w:r>
          </w:p>
        </w:tc>
      </w:tr>
      <w:tr>
        <w:trPr/>
        <w:tc>
          <w:tcPr>
            <w:tcW w:w="9310" w:type="dxa"/>
            <w:tcBorders/>
          </w:tcPr>
          <w:p>
            <w:pPr>
              <w:pStyle w:val="TableContents"/>
              <w:bidi w:val="0"/>
              <w:spacing w:before="0" w:after="0"/>
              <w:jc w:val="left"/>
              <w:rPr/>
            </w:pPr>
            <w:hyperlink w:anchor="tx190758_5">
              <w:r>
                <w:rPr>
                  <w:rStyle w:val="InternetLink"/>
                  <w:rFonts w:ascii="Times New Roman" w:hAnsi="Times New Roman"/>
                  <w:sz w:val="20"/>
                </w:rPr>
                <w:t>ABOUT THE COMPANY</w:t>
              </w:r>
            </w:hyperlink>
          </w:p>
        </w:tc>
        <w:tc>
          <w:tcPr>
            <w:tcW w:w="342"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right"/>
              <w:rPr/>
            </w:pPr>
            <w:r>
              <w:rPr/>
              <w:t>7</w:t>
            </w:r>
          </w:p>
        </w:tc>
        <w:tc>
          <w:tcPr>
            <w:tcW w:w="63" w:type="dxa"/>
            <w:tcBorders/>
            <w:vAlign w:val="bottom"/>
          </w:tcPr>
          <w:p>
            <w:pPr>
              <w:pStyle w:val="TableContents"/>
              <w:bidi w:val="0"/>
              <w:spacing w:before="0" w:after="283"/>
              <w:jc w:val="left"/>
              <w:rPr/>
            </w:pPr>
            <w:r>
              <w:rPr/>
              <w:t> </w:t>
            </w:r>
          </w:p>
        </w:tc>
      </w:tr>
      <w:tr>
        <w:trPr/>
        <w:tc>
          <w:tcPr>
            <w:tcW w:w="9310" w:type="dxa"/>
            <w:tcBorders/>
          </w:tcPr>
          <w:p>
            <w:pPr>
              <w:pStyle w:val="TableContents"/>
              <w:bidi w:val="0"/>
              <w:spacing w:before="0" w:after="0"/>
              <w:jc w:val="left"/>
              <w:rPr/>
            </w:pPr>
            <w:hyperlink w:anchor="tx190758_6">
              <w:r>
                <w:rPr>
                  <w:rStyle w:val="InternetLink"/>
                  <w:rFonts w:ascii="Times New Roman" w:hAnsi="Times New Roman"/>
                  <w:sz w:val="20"/>
                </w:rPr>
                <w:t>RISK FACTORS</w:t>
              </w:r>
            </w:hyperlink>
          </w:p>
        </w:tc>
        <w:tc>
          <w:tcPr>
            <w:tcW w:w="342"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right"/>
              <w:rPr/>
            </w:pPr>
            <w:r>
              <w:rPr/>
              <w:t>10</w:t>
            </w:r>
          </w:p>
        </w:tc>
        <w:tc>
          <w:tcPr>
            <w:tcW w:w="63" w:type="dxa"/>
            <w:tcBorders/>
            <w:vAlign w:val="bottom"/>
          </w:tcPr>
          <w:p>
            <w:pPr>
              <w:pStyle w:val="TableContents"/>
              <w:bidi w:val="0"/>
              <w:spacing w:before="0" w:after="283"/>
              <w:jc w:val="left"/>
              <w:rPr/>
            </w:pPr>
            <w:r>
              <w:rPr/>
              <w:t> </w:t>
            </w:r>
          </w:p>
        </w:tc>
      </w:tr>
      <w:tr>
        <w:trPr/>
        <w:tc>
          <w:tcPr>
            <w:tcW w:w="9310" w:type="dxa"/>
            <w:tcBorders/>
          </w:tcPr>
          <w:p>
            <w:pPr>
              <w:pStyle w:val="TableContents"/>
              <w:bidi w:val="0"/>
              <w:spacing w:before="0" w:after="0"/>
              <w:jc w:val="left"/>
              <w:rPr/>
            </w:pPr>
            <w:hyperlink w:anchor="tx190758_8">
              <w:r>
                <w:rPr>
                  <w:rStyle w:val="InternetLink"/>
                  <w:rFonts w:ascii="Times New Roman" w:hAnsi="Times New Roman"/>
                  <w:sz w:val="20"/>
                </w:rPr>
                <w:t>USE OF PROCEEDS</w:t>
              </w:r>
            </w:hyperlink>
          </w:p>
        </w:tc>
        <w:tc>
          <w:tcPr>
            <w:tcW w:w="342"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right"/>
              <w:rPr/>
            </w:pPr>
            <w:r>
              <w:rPr/>
              <w:t>11</w:t>
            </w:r>
          </w:p>
        </w:tc>
        <w:tc>
          <w:tcPr>
            <w:tcW w:w="63" w:type="dxa"/>
            <w:tcBorders/>
            <w:vAlign w:val="bottom"/>
          </w:tcPr>
          <w:p>
            <w:pPr>
              <w:pStyle w:val="TableContents"/>
              <w:bidi w:val="0"/>
              <w:spacing w:before="0" w:after="283"/>
              <w:jc w:val="left"/>
              <w:rPr/>
            </w:pPr>
            <w:r>
              <w:rPr/>
              <w:t> </w:t>
            </w:r>
          </w:p>
        </w:tc>
      </w:tr>
      <w:tr>
        <w:trPr/>
        <w:tc>
          <w:tcPr>
            <w:tcW w:w="9310" w:type="dxa"/>
            <w:tcBorders/>
          </w:tcPr>
          <w:p>
            <w:pPr>
              <w:pStyle w:val="TableContents"/>
              <w:bidi w:val="0"/>
              <w:spacing w:before="0" w:after="0"/>
              <w:jc w:val="left"/>
              <w:rPr/>
            </w:pPr>
            <w:hyperlink w:anchor="tx190758_9">
              <w:r>
                <w:rPr>
                  <w:rStyle w:val="InternetLink"/>
                  <w:rFonts w:ascii="Times New Roman" w:hAnsi="Times New Roman"/>
                  <w:sz w:val="20"/>
                </w:rPr>
                <w:t>DIVIDEND POLICY</w:t>
              </w:r>
            </w:hyperlink>
          </w:p>
        </w:tc>
        <w:tc>
          <w:tcPr>
            <w:tcW w:w="342"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right"/>
              <w:rPr/>
            </w:pPr>
            <w:r>
              <w:rPr/>
              <w:t>12</w:t>
            </w:r>
          </w:p>
        </w:tc>
        <w:tc>
          <w:tcPr>
            <w:tcW w:w="63" w:type="dxa"/>
            <w:tcBorders/>
            <w:vAlign w:val="bottom"/>
          </w:tcPr>
          <w:p>
            <w:pPr>
              <w:pStyle w:val="TableContents"/>
              <w:bidi w:val="0"/>
              <w:spacing w:before="0" w:after="283"/>
              <w:jc w:val="left"/>
              <w:rPr/>
            </w:pPr>
            <w:r>
              <w:rPr/>
              <w:t> </w:t>
            </w:r>
          </w:p>
        </w:tc>
      </w:tr>
      <w:tr>
        <w:trPr/>
        <w:tc>
          <w:tcPr>
            <w:tcW w:w="9310" w:type="dxa"/>
            <w:tcBorders/>
          </w:tcPr>
          <w:p>
            <w:pPr>
              <w:pStyle w:val="TableContents"/>
              <w:bidi w:val="0"/>
              <w:spacing w:before="0" w:after="0"/>
              <w:jc w:val="left"/>
              <w:rPr/>
            </w:pPr>
            <w:hyperlink w:anchor="tx190758_10">
              <w:r>
                <w:rPr>
                  <w:rStyle w:val="InternetLink"/>
                  <w:rFonts w:ascii="Times New Roman" w:hAnsi="Times New Roman"/>
                  <w:sz w:val="20"/>
                </w:rPr>
                <w:t>GENERAL DESCRIPTION OF SECURITIES</w:t>
              </w:r>
            </w:hyperlink>
          </w:p>
        </w:tc>
        <w:tc>
          <w:tcPr>
            <w:tcW w:w="342"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right"/>
              <w:rPr/>
            </w:pPr>
            <w:r>
              <w:rPr/>
              <w:t>13</w:t>
            </w:r>
          </w:p>
        </w:tc>
        <w:tc>
          <w:tcPr>
            <w:tcW w:w="63" w:type="dxa"/>
            <w:tcBorders/>
            <w:vAlign w:val="bottom"/>
          </w:tcPr>
          <w:p>
            <w:pPr>
              <w:pStyle w:val="TableContents"/>
              <w:bidi w:val="0"/>
              <w:spacing w:before="0" w:after="283"/>
              <w:jc w:val="left"/>
              <w:rPr/>
            </w:pPr>
            <w:r>
              <w:rPr/>
              <w:t> </w:t>
            </w:r>
          </w:p>
        </w:tc>
      </w:tr>
      <w:tr>
        <w:trPr/>
        <w:tc>
          <w:tcPr>
            <w:tcW w:w="9310" w:type="dxa"/>
            <w:tcBorders/>
          </w:tcPr>
          <w:p>
            <w:pPr>
              <w:pStyle w:val="TableContents"/>
              <w:bidi w:val="0"/>
              <w:spacing w:before="0" w:after="0"/>
              <w:jc w:val="left"/>
              <w:rPr/>
            </w:pPr>
            <w:hyperlink w:anchor="tx190758_11">
              <w:r>
                <w:rPr>
                  <w:rStyle w:val="InternetLink"/>
                  <w:rFonts w:ascii="Times New Roman" w:hAnsi="Times New Roman"/>
                  <w:sz w:val="20"/>
                </w:rPr>
                <w:t>DESCRIPTION OF CAPITAL STOCK</w:t>
              </w:r>
            </w:hyperlink>
          </w:p>
        </w:tc>
        <w:tc>
          <w:tcPr>
            <w:tcW w:w="342"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right"/>
              <w:rPr/>
            </w:pPr>
            <w:r>
              <w:rPr/>
              <w:t>14</w:t>
            </w:r>
          </w:p>
        </w:tc>
        <w:tc>
          <w:tcPr>
            <w:tcW w:w="63" w:type="dxa"/>
            <w:tcBorders/>
            <w:vAlign w:val="bottom"/>
          </w:tcPr>
          <w:p>
            <w:pPr>
              <w:pStyle w:val="TableContents"/>
              <w:bidi w:val="0"/>
              <w:spacing w:before="0" w:after="283"/>
              <w:jc w:val="left"/>
              <w:rPr/>
            </w:pPr>
            <w:r>
              <w:rPr/>
              <w:t> </w:t>
            </w:r>
          </w:p>
        </w:tc>
      </w:tr>
      <w:tr>
        <w:trPr/>
        <w:tc>
          <w:tcPr>
            <w:tcW w:w="9310" w:type="dxa"/>
            <w:tcBorders/>
          </w:tcPr>
          <w:p>
            <w:pPr>
              <w:pStyle w:val="TableContents"/>
              <w:bidi w:val="0"/>
              <w:spacing w:before="0" w:after="0"/>
              <w:jc w:val="left"/>
              <w:rPr/>
            </w:pPr>
            <w:hyperlink w:anchor="tx190758_12">
              <w:r>
                <w:rPr>
                  <w:rStyle w:val="InternetLink"/>
                  <w:rFonts w:ascii="Times New Roman" w:hAnsi="Times New Roman"/>
                  <w:sz w:val="20"/>
                </w:rPr>
                <w:t>DESCRIPTION OF DEBT SECURITIES</w:t>
              </w:r>
            </w:hyperlink>
          </w:p>
        </w:tc>
        <w:tc>
          <w:tcPr>
            <w:tcW w:w="342"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right"/>
              <w:rPr/>
            </w:pPr>
            <w:r>
              <w:rPr/>
              <w:t>21</w:t>
            </w:r>
          </w:p>
        </w:tc>
        <w:tc>
          <w:tcPr>
            <w:tcW w:w="63" w:type="dxa"/>
            <w:tcBorders/>
            <w:vAlign w:val="bottom"/>
          </w:tcPr>
          <w:p>
            <w:pPr>
              <w:pStyle w:val="TableContents"/>
              <w:bidi w:val="0"/>
              <w:spacing w:before="0" w:after="283"/>
              <w:jc w:val="left"/>
              <w:rPr/>
            </w:pPr>
            <w:r>
              <w:rPr/>
              <w:t> </w:t>
            </w:r>
          </w:p>
        </w:tc>
      </w:tr>
      <w:tr>
        <w:trPr/>
        <w:tc>
          <w:tcPr>
            <w:tcW w:w="9310" w:type="dxa"/>
            <w:tcBorders/>
          </w:tcPr>
          <w:p>
            <w:pPr>
              <w:pStyle w:val="TableContents"/>
              <w:bidi w:val="0"/>
              <w:spacing w:before="0" w:after="0"/>
              <w:jc w:val="left"/>
              <w:rPr/>
            </w:pPr>
            <w:hyperlink w:anchor="tx190758_13">
              <w:r>
                <w:rPr>
                  <w:rStyle w:val="InternetLink"/>
                  <w:rFonts w:ascii="Times New Roman" w:hAnsi="Times New Roman"/>
                  <w:sz w:val="20"/>
                </w:rPr>
                <w:t>DESCRIPTION OF WARRANTS</w:t>
              </w:r>
            </w:hyperlink>
          </w:p>
        </w:tc>
        <w:tc>
          <w:tcPr>
            <w:tcW w:w="342"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right"/>
              <w:rPr/>
            </w:pPr>
            <w:r>
              <w:rPr/>
              <w:t>28</w:t>
            </w:r>
          </w:p>
        </w:tc>
        <w:tc>
          <w:tcPr>
            <w:tcW w:w="63" w:type="dxa"/>
            <w:tcBorders/>
            <w:vAlign w:val="bottom"/>
          </w:tcPr>
          <w:p>
            <w:pPr>
              <w:pStyle w:val="TableContents"/>
              <w:bidi w:val="0"/>
              <w:spacing w:before="0" w:after="283"/>
              <w:jc w:val="left"/>
              <w:rPr/>
            </w:pPr>
            <w:r>
              <w:rPr/>
              <w:t> </w:t>
            </w:r>
          </w:p>
        </w:tc>
      </w:tr>
      <w:tr>
        <w:trPr/>
        <w:tc>
          <w:tcPr>
            <w:tcW w:w="9310" w:type="dxa"/>
            <w:tcBorders/>
          </w:tcPr>
          <w:p>
            <w:pPr>
              <w:pStyle w:val="TableContents"/>
              <w:bidi w:val="0"/>
              <w:spacing w:before="0" w:after="0"/>
              <w:jc w:val="left"/>
              <w:rPr/>
            </w:pPr>
            <w:hyperlink w:anchor="tx190758_14">
              <w:r>
                <w:rPr>
                  <w:rStyle w:val="InternetLink"/>
                  <w:rFonts w:ascii="Times New Roman" w:hAnsi="Times New Roman"/>
                  <w:sz w:val="20"/>
                </w:rPr>
                <w:t>DESCRIPTION OF UNITS</w:t>
              </w:r>
            </w:hyperlink>
          </w:p>
        </w:tc>
        <w:tc>
          <w:tcPr>
            <w:tcW w:w="342"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right"/>
              <w:rPr/>
            </w:pPr>
            <w:r>
              <w:rPr/>
              <w:t>29</w:t>
            </w:r>
          </w:p>
        </w:tc>
        <w:tc>
          <w:tcPr>
            <w:tcW w:w="63" w:type="dxa"/>
            <w:tcBorders/>
            <w:vAlign w:val="bottom"/>
          </w:tcPr>
          <w:p>
            <w:pPr>
              <w:pStyle w:val="TableContents"/>
              <w:bidi w:val="0"/>
              <w:spacing w:before="0" w:after="283"/>
              <w:jc w:val="left"/>
              <w:rPr/>
            </w:pPr>
            <w:r>
              <w:rPr/>
              <w:t> </w:t>
            </w:r>
          </w:p>
        </w:tc>
      </w:tr>
      <w:tr>
        <w:trPr/>
        <w:tc>
          <w:tcPr>
            <w:tcW w:w="9310" w:type="dxa"/>
            <w:tcBorders/>
          </w:tcPr>
          <w:p>
            <w:pPr>
              <w:pStyle w:val="TableContents"/>
              <w:bidi w:val="0"/>
              <w:spacing w:before="0" w:after="0"/>
              <w:jc w:val="left"/>
              <w:rPr/>
            </w:pPr>
            <w:hyperlink w:anchor="tx190758_15">
              <w:r>
                <w:rPr>
                  <w:rStyle w:val="InternetLink"/>
                  <w:rFonts w:ascii="Times New Roman" w:hAnsi="Times New Roman"/>
                  <w:sz w:val="20"/>
                </w:rPr>
                <w:t>PLAN OF DISTRIBUTION</w:t>
              </w:r>
            </w:hyperlink>
          </w:p>
        </w:tc>
        <w:tc>
          <w:tcPr>
            <w:tcW w:w="342"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right"/>
              <w:rPr/>
            </w:pPr>
            <w:r>
              <w:rPr/>
              <w:t>32</w:t>
            </w:r>
          </w:p>
        </w:tc>
        <w:tc>
          <w:tcPr>
            <w:tcW w:w="63" w:type="dxa"/>
            <w:tcBorders/>
            <w:vAlign w:val="bottom"/>
          </w:tcPr>
          <w:p>
            <w:pPr>
              <w:pStyle w:val="TableContents"/>
              <w:bidi w:val="0"/>
              <w:spacing w:before="0" w:after="283"/>
              <w:jc w:val="left"/>
              <w:rPr/>
            </w:pPr>
            <w:r>
              <w:rPr/>
              <w:t> </w:t>
            </w:r>
          </w:p>
        </w:tc>
      </w:tr>
      <w:tr>
        <w:trPr/>
        <w:tc>
          <w:tcPr>
            <w:tcW w:w="9310" w:type="dxa"/>
            <w:tcBorders/>
          </w:tcPr>
          <w:p>
            <w:pPr>
              <w:pStyle w:val="TableContents"/>
              <w:bidi w:val="0"/>
              <w:spacing w:before="0" w:after="0"/>
              <w:jc w:val="left"/>
              <w:rPr/>
            </w:pPr>
            <w:hyperlink w:anchor="tx190758_16">
              <w:r>
                <w:rPr>
                  <w:rStyle w:val="InternetLink"/>
                  <w:rFonts w:ascii="Times New Roman" w:hAnsi="Times New Roman"/>
                  <w:sz w:val="20"/>
                </w:rPr>
                <w:t>LEGAL MATTERS</w:t>
              </w:r>
            </w:hyperlink>
          </w:p>
        </w:tc>
        <w:tc>
          <w:tcPr>
            <w:tcW w:w="342"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right"/>
              <w:rPr/>
            </w:pPr>
            <w:r>
              <w:rPr/>
              <w:t>35</w:t>
            </w:r>
          </w:p>
        </w:tc>
        <w:tc>
          <w:tcPr>
            <w:tcW w:w="63" w:type="dxa"/>
            <w:tcBorders/>
            <w:vAlign w:val="bottom"/>
          </w:tcPr>
          <w:p>
            <w:pPr>
              <w:pStyle w:val="TableContents"/>
              <w:bidi w:val="0"/>
              <w:spacing w:before="0" w:after="283"/>
              <w:jc w:val="left"/>
              <w:rPr/>
            </w:pPr>
            <w:r>
              <w:rPr/>
              <w:t> </w:t>
            </w:r>
          </w:p>
        </w:tc>
      </w:tr>
      <w:tr>
        <w:trPr/>
        <w:tc>
          <w:tcPr>
            <w:tcW w:w="9310" w:type="dxa"/>
            <w:tcBorders/>
          </w:tcPr>
          <w:p>
            <w:pPr>
              <w:pStyle w:val="TableContents"/>
              <w:bidi w:val="0"/>
              <w:spacing w:before="0" w:after="0"/>
              <w:jc w:val="left"/>
              <w:rPr/>
            </w:pPr>
            <w:hyperlink w:anchor="tx190758_17">
              <w:r>
                <w:rPr>
                  <w:rStyle w:val="InternetLink"/>
                  <w:rFonts w:ascii="Times New Roman" w:hAnsi="Times New Roman"/>
                  <w:sz w:val="20"/>
                </w:rPr>
                <w:t>EXPERTS</w:t>
              </w:r>
            </w:hyperlink>
          </w:p>
        </w:tc>
        <w:tc>
          <w:tcPr>
            <w:tcW w:w="342"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right"/>
              <w:rPr/>
            </w:pPr>
            <w:r>
              <w:rPr/>
              <w:t>35</w:t>
            </w:r>
          </w:p>
        </w:tc>
        <w:tc>
          <w:tcPr>
            <w:tcW w:w="63" w:type="dxa"/>
            <w:tcBorders/>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b/>
          <w:sz w:val="20"/>
        </w:rPr>
      </w:pPr>
      <w:r>
        <w:rPr>
          <w:rFonts w:ascii="Times New Roman" w:hAnsi="Times New Roman"/>
          <w:b/>
          <w:sz w:val="20"/>
        </w:rPr>
        <w:t xml:space="preserve">You should rely only on the information contained or incorporated by reference in this prospectus and in an applicable prospectus supplement to this prospectus. We have not authorized any other person to provide you with different or additional information. If anyone provides you with different, additional or inconsistent information, you should not rely on it. We do not take responsibility for, and can provide no assurance as to the reliability of, any other information that others may give you. We are not making an offer to sell these securities or soliciting any offer to buy these securities in any jurisdiction where the offer or sale is not permitted. You should assume that the information appearing in this prospectus, any applicable prospectus supplement or any free writing prospectus we authorize to be delivered to you is accurate only as of the date of that document or any other date set forth in that document. Additionally, any information we have incorporated by reference in this prospectus or in any applicable prospectus supplement is accurate only as of the date of the document incorporated by reference or other date set forth in that document, regardless of the time of delivery of this prospectus, any applicable prospectus supplement or any sale of securities. Our business, financial condition, results of operations, cash flow and prospects may have changed since that date. </w:t>
      </w:r>
    </w:p>
    <w:p>
      <w:pPr>
        <w:pStyle w:val="TextBody"/>
        <w:bidi w:val="0"/>
        <w:spacing w:before="240" w:after="0"/>
        <w:jc w:val="left"/>
        <w:rPr>
          <w:rFonts w:ascii="Times New Roman" w:hAnsi="Times New Roman"/>
          <w:b/>
          <w:sz w:val="20"/>
        </w:rPr>
      </w:pPr>
      <w:r>
        <w:rPr>
          <w:rFonts w:ascii="Times New Roman" w:hAnsi="Times New Roman"/>
          <w:b/>
          <w:sz w:val="20"/>
        </w:rPr>
        <w:t xml:space="preserve">On December 29, 2022, we acquired Disc Medicine Opco, Inc. (formerly Disc Medicine, Inc.), or Private Disc, pursuant to an agreement and plan of merger, or the Merger, and we changed our name to Disc Medicine, Inc. on December 29, 2022. As used in this prospectus, unless the context otherwise requires, references to “Disc,” the “Company,” “we,” “us” and “our” refer to (i) prior to the date of the Merger, Private Disc, and its wholly owned, consolidated subsidiaries, or either or all of them as the context may require, and (ii) following the date of the Merger, Disc Medicine, Inc., and its wholly owned, consolidated subsidiaries, or either or all of them as the context may require.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17" w:name="tx190758_1"/>
      <w:bookmarkEnd w:id="17"/>
      <w:r>
        <w:rPr>
          <w:rFonts w:ascii="Times New Roman" w:hAnsi="Times New Roman"/>
          <w:b/>
          <w:sz w:val="20"/>
        </w:rPr>
        <w:t xml:space="preserve">ABOUT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is part of an automatic shelf registration statement on Form S-3 that we have filed with the Securities and Exchange Commission, or the SEC, as a “well-known seasoned issuer” as defined in Rule 405 of the Securities Act of 1933, as amended, or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Under this process, we may sell the securities described in this prospectus in one or more offerings. This prospectus describes the general manner in which we may offer the securities described in this prospectus. Each time we sell securities pursuant to this registration statement, we will provide a prospectus supplement that will contain specific information about the offering and the securities offered, and may also add, update or change information contained in this prospectus. We may also authorize one or more free writing prospectuses to be provided to you that may contain material information relating to these offerings. If there is any inconsistency between information in this prospectus and any accompanying prospectus supplement or free writing prospectus, you should rely on the information in the most recent applicable prospectus supplement or free writing prospectus and documents incorporated by reference herein and therein. This prospectus may not be used to offer to sell, solicit an offer to buy or consummate a sale of our securities unless it is accompanied by a prospectus supplement. </w:t>
      </w:r>
    </w:p>
    <w:p>
      <w:pPr>
        <w:pStyle w:val="TextBody"/>
        <w:bidi w:val="0"/>
        <w:spacing w:before="240" w:after="0"/>
        <w:jc w:val="left"/>
        <w:rPr>
          <w:rFonts w:ascii="Times New Roman" w:hAnsi="Times New Roman"/>
          <w:sz w:val="20"/>
        </w:rPr>
      </w:pPr>
      <w:r>
        <w:rPr>
          <w:rFonts w:ascii="Times New Roman" w:hAnsi="Times New Roman"/>
          <w:sz w:val="20"/>
        </w:rPr>
        <w:t>This prospectus, together with any accompanying prospectus supplement together with any additional information incorporated by reference, contains important information you should know before investing in our securities, including important information about us and the securities being offered. You should carefully read both documents, as well as the additional information contained in the documents described under “</w:t>
      </w:r>
      <w:r>
        <w:rPr>
          <w:rFonts w:ascii="Times New Roman" w:hAnsi="Times New Roman"/>
          <w:i/>
          <w:sz w:val="20"/>
        </w:rPr>
        <w:t xml:space="preserve">Where You Can Find More Information” </w:t>
      </w:r>
      <w:r>
        <w:rPr>
          <w:rFonts w:ascii="Times New Roman" w:hAnsi="Times New Roman"/>
          <w:sz w:val="20"/>
        </w:rPr>
        <w:t>and “</w:t>
      </w:r>
      <w:r>
        <w:rPr>
          <w:rFonts w:ascii="Times New Roman" w:hAnsi="Times New Roman"/>
          <w:i/>
          <w:sz w:val="20"/>
        </w:rPr>
        <w:t>Incorporation of Certain Information by Reference</w:t>
      </w:r>
      <w:r>
        <w:rPr>
          <w:rFonts w:ascii="Times New Roman" w:hAnsi="Times New Roman"/>
          <w:sz w:val="20"/>
        </w:rPr>
        <w:t xml:space="preserve">” in both this prospectus and the applicable prospectus supplement, and in particular the annual, quarterly and current reports and other documents we file with the SEC. Neither this prospectus nor any accompanying prospectus supplement is an offer to sell these securities or is soliciting an offer to buy these securities in any jurisdiction where the offer or sale is not permitted. </w:t>
      </w:r>
    </w:p>
    <w:p>
      <w:pPr>
        <w:pStyle w:val="TextBody"/>
        <w:bidi w:val="0"/>
        <w:spacing w:before="480" w:after="0"/>
        <w:jc w:val="center"/>
        <w:rPr>
          <w:rFonts w:ascii="Times New Roman" w:hAnsi="Times New Roman"/>
          <w:b/>
          <w:sz w:val="20"/>
        </w:rPr>
      </w:pPr>
      <w:bookmarkStart w:id="18" w:name="tx190758_2"/>
      <w:bookmarkEnd w:id="18"/>
      <w:r>
        <w:rPr>
          <w:rFonts w:ascii="Times New Roman" w:hAnsi="Times New Roman"/>
          <w:b/>
          <w:sz w:val="20"/>
        </w:rPr>
        <w:t xml:space="preserve">WHERE YOU CAN FIND MORE INFORMATION </w:t>
      </w:r>
    </w:p>
    <w:p>
      <w:pPr>
        <w:pStyle w:val="TextBody"/>
        <w:bidi w:val="0"/>
        <w:spacing w:before="240" w:after="0"/>
        <w:jc w:val="left"/>
        <w:rPr>
          <w:rFonts w:ascii="Times New Roman" w:hAnsi="Times New Roman"/>
          <w:sz w:val="20"/>
        </w:rPr>
      </w:pPr>
      <w:r>
        <w:rPr>
          <w:rFonts w:ascii="Times New Roman" w:hAnsi="Times New Roman"/>
          <w:sz w:val="20"/>
        </w:rPr>
        <w:t xml:space="preserve">We have filed with the SEC a registration statement on Form S-3 under the Securities Act of 1933, as amended, or the Securities Act, with respect to the securities offered by this prospectus and any applicable prospectus supplement. This prospectus and the applicable prospectus supplement do not contain all of the information set forth in the registration statement and its exhibits and schedules in accordance with SEC rules and regulations. For further information with respect to us and the securities being offered by this prospectus and the applicable prospectus supplement, you should read the registration statement, including its exhibits and schedules. Statements contained in this prospectus and the applicable prospectus supplement, including documents that we have incorporated by reference, as to the contents of any contract or other document referred to are not necessarily complete, and, with respect to any contract or other document filed as an exhibit to the registration statement or any other such document, each such statement is qualified in all respects by reference to the corresponding exhibit. You should review the complete contract or other document to evaluate these statements. You may obtain copies of the registration statement and its exhibits via the SEC’s EDGAR database or our website. </w:t>
      </w:r>
    </w:p>
    <w:p>
      <w:pPr>
        <w:pStyle w:val="TextBody"/>
        <w:bidi w:val="0"/>
        <w:spacing w:before="240" w:after="0"/>
        <w:jc w:val="left"/>
        <w:rPr>
          <w:rFonts w:ascii="Times New Roman" w:hAnsi="Times New Roman"/>
          <w:sz w:val="20"/>
        </w:rPr>
      </w:pPr>
      <w:r>
        <w:rPr>
          <w:rFonts w:ascii="Times New Roman" w:hAnsi="Times New Roman"/>
          <w:sz w:val="20"/>
        </w:rPr>
        <w:t xml:space="preserve">We file annual, quarterly and current reports, proxy statements and other documents with the SEC under the U.S. Securities Exchange Act of 1934, as amended, or the Exchange Act. The SEC maintains a website that contains reports, proxy and information statements and other information regarding issuers, including us, that file electronically with the SEC. You may obtain documents that we file with the SEC at </w:t>
      </w:r>
      <w:r>
        <w:rPr>
          <w:rFonts w:ascii="Times New Roman" w:hAnsi="Times New Roman"/>
          <w:i/>
          <w:sz w:val="20"/>
        </w:rPr>
        <w:t>www.sec.gov</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We also make these documents available on our website at </w:t>
      </w:r>
      <w:r>
        <w:rPr>
          <w:rFonts w:ascii="Times New Roman" w:hAnsi="Times New Roman"/>
          <w:i/>
          <w:sz w:val="20"/>
        </w:rPr>
        <w:t>www.discmedicine.com</w:t>
      </w:r>
      <w:r>
        <w:rPr>
          <w:rFonts w:ascii="Times New Roman" w:hAnsi="Times New Roman"/>
          <w:sz w:val="20"/>
        </w:rPr>
        <w:t xml:space="preserve">. Our website and the information contained or connected to our website is not incorporated by reference in this prospectus or any prospectus supplement, and you should not consider it part of this prospectus or any prospectus supplement.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19" w:name="tx190758_3"/>
      <w:bookmarkEnd w:id="19"/>
      <w:r>
        <w:rPr>
          <w:rFonts w:ascii="Times New Roman" w:hAnsi="Times New Roman"/>
          <w:b/>
          <w:sz w:val="20"/>
        </w:rPr>
        <w:t xml:space="preserve">INCORPORATION OF CERTAIN INFORMATION BY REFERENCE </w:t>
      </w:r>
    </w:p>
    <w:p>
      <w:pPr>
        <w:pStyle w:val="TextBody"/>
        <w:bidi w:val="0"/>
        <w:spacing w:before="240" w:after="0"/>
        <w:jc w:val="left"/>
        <w:rPr>
          <w:rFonts w:ascii="Times New Roman" w:hAnsi="Times New Roman"/>
          <w:sz w:val="20"/>
        </w:rPr>
      </w:pPr>
      <w:r>
        <w:rPr>
          <w:rFonts w:ascii="Times New Roman" w:hAnsi="Times New Roman"/>
          <w:sz w:val="20"/>
        </w:rPr>
        <w:t xml:space="preserve">SEC rules permit us to incorporate information by reference in this prospectus and any applicable prospectus supplement. This means that we can disclose important information to you by referring you to another document filed separately with the SEC. The information incorporated by reference is considered to be part of this prospectus and any applicable prospectus supplement, except for information superseded by information contained in this prospectus or the applicable prospectus supplement itself or in any subsequently filed incorporated document. This prospectus and any applicable prospectus supplement incorporate by reference the documents set forth below that we have previously filed with the SEC, other than information in such documents that is deemed to be furnished and not filed. These documents contain important information about us and our business and financial condition.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pPr>
            <w:r>
              <w:rPr>
                <w:rFonts w:ascii="Times New Roman" w:hAnsi="Times New Roman"/>
                <w:sz w:val="20"/>
              </w:rPr>
              <w:t xml:space="preserve">Annual Report on Form 10-K for the fiscal year ended December 31, 2023, filed with the SEC on </w:t>
            </w:r>
            <w:hyperlink r:id="rId17">
              <w:r>
                <w:rPr>
                  <w:rStyle w:val="InternetLink"/>
                  <w:rFonts w:ascii="Times New Roman" w:hAnsi="Times New Roman"/>
                  <w:sz w:val="20"/>
                </w:rPr>
                <w:t>March 21, 2024</w:t>
              </w:r>
            </w:hyperlink>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pPr>
            <w:r>
              <w:rPr>
                <w:rFonts w:ascii="Times New Roman" w:hAnsi="Times New Roman"/>
                <w:sz w:val="20"/>
              </w:rPr>
              <w:t>Quarterly Reports on Form 10-Q for the quarters ended March 31, 2024 and June 30, 2024, filed with the SEC on </w:t>
            </w:r>
            <w:hyperlink r:id="rId18">
              <w:r>
                <w:rPr>
                  <w:rStyle w:val="InternetLink"/>
                  <w:rFonts w:ascii="Times New Roman" w:hAnsi="Times New Roman"/>
                  <w:sz w:val="20"/>
                </w:rPr>
                <w:t>May  9, 2024</w:t>
              </w:r>
            </w:hyperlink>
            <w:r>
              <w:rPr>
                <w:rFonts w:ascii="Times New Roman" w:hAnsi="Times New Roman"/>
                <w:sz w:val="20"/>
              </w:rPr>
              <w:t xml:space="preserve"> and </w:t>
            </w:r>
            <w:hyperlink r:id="rId19">
              <w:r>
                <w:rPr>
                  <w:rStyle w:val="InternetLink"/>
                  <w:rFonts w:ascii="Times New Roman" w:hAnsi="Times New Roman"/>
                  <w:sz w:val="20"/>
                </w:rPr>
                <w:t>August 8, 2024</w:t>
              </w:r>
            </w:hyperlink>
            <w:r>
              <w:rPr>
                <w:rFonts w:ascii="Times New Roman" w:hAnsi="Times New Roman"/>
                <w:sz w:val="20"/>
              </w:rPr>
              <w:t xml:space="preserve">, respectively;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pPr>
            <w:r>
              <w:rPr>
                <w:rFonts w:ascii="Times New Roman" w:hAnsi="Times New Roman"/>
                <w:sz w:val="20"/>
              </w:rPr>
              <w:t xml:space="preserve">Current Reports on Form 8-K filed with the SEC on </w:t>
            </w:r>
            <w:hyperlink r:id="rId20">
              <w:r>
                <w:rPr>
                  <w:rStyle w:val="InternetLink"/>
                  <w:rFonts w:ascii="Times New Roman" w:hAnsi="Times New Roman"/>
                  <w:sz w:val="20"/>
                </w:rPr>
                <w:t>February 7, 2024</w:t>
              </w:r>
            </w:hyperlink>
            <w:r>
              <w:rPr>
                <w:rFonts w:ascii="Times New Roman" w:hAnsi="Times New Roman"/>
                <w:sz w:val="20"/>
              </w:rPr>
              <w:t xml:space="preserve">, </w:t>
            </w:r>
            <w:hyperlink r:id="rId21">
              <w:r>
                <w:rPr>
                  <w:rStyle w:val="InternetLink"/>
                  <w:rFonts w:ascii="Times New Roman" w:hAnsi="Times New Roman"/>
                  <w:sz w:val="20"/>
                </w:rPr>
                <w:t>April  2, 2024</w:t>
              </w:r>
            </w:hyperlink>
            <w:r>
              <w:rPr>
                <w:rFonts w:ascii="Times New Roman" w:hAnsi="Times New Roman"/>
                <w:sz w:val="20"/>
              </w:rPr>
              <w:t xml:space="preserve">, </w:t>
            </w:r>
            <w:hyperlink r:id="rId22">
              <w:r>
                <w:rPr>
                  <w:rStyle w:val="InternetLink"/>
                  <w:rFonts w:ascii="Times New Roman" w:hAnsi="Times New Roman"/>
                  <w:sz w:val="20"/>
                </w:rPr>
                <w:t>June  14, 2024</w:t>
              </w:r>
            </w:hyperlink>
            <w:r>
              <w:rPr>
                <w:rFonts w:ascii="Times New Roman" w:hAnsi="Times New Roman"/>
                <w:sz w:val="20"/>
              </w:rPr>
              <w:t xml:space="preserve">, </w:t>
            </w:r>
            <w:hyperlink r:id="rId23">
              <w:r>
                <w:rPr>
                  <w:rStyle w:val="InternetLink"/>
                  <w:rFonts w:ascii="Times New Roman" w:hAnsi="Times New Roman"/>
                  <w:sz w:val="20"/>
                </w:rPr>
                <w:t>June  14, 2024</w:t>
              </w:r>
            </w:hyperlink>
            <w:r>
              <w:rPr>
                <w:rFonts w:ascii="Times New Roman" w:hAnsi="Times New Roman"/>
                <w:sz w:val="20"/>
              </w:rPr>
              <w:t xml:space="preserve"> (in each case, excluding information furnished pursuant to Item 7.01) and </w:t>
            </w:r>
            <w:hyperlink r:id="rId24">
              <w:r>
                <w:rPr>
                  <w:rStyle w:val="InternetLink"/>
                  <w:rFonts w:ascii="Times New Roman" w:hAnsi="Times New Roman"/>
                  <w:sz w:val="20"/>
                </w:rPr>
                <w:t>June 14, 2024</w:t>
              </w:r>
            </w:hyperlink>
            <w:r>
              <w:rPr>
                <w:rFonts w:ascii="Times New Roman" w:hAnsi="Times New Roman"/>
                <w:sz w:val="20"/>
              </w:rPr>
              <w:t xml:space="preserv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2"/>
        <w:gridCol w:w="9798"/>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0"/>
              <w:jc w:val="left"/>
              <w:rPr/>
            </w:pPr>
            <w:r>
              <w:rPr>
                <w:rFonts w:ascii="Times New Roman" w:hAnsi="Times New Roman"/>
                <w:sz w:val="20"/>
              </w:rPr>
              <w:t xml:space="preserve">The description of our common stock contained in our Registration Statement on Form 8-A filed with the SEC on </w:t>
            </w:r>
            <w:hyperlink r:id="rId25">
              <w:r>
                <w:rPr>
                  <w:rStyle w:val="InternetLink"/>
                  <w:rFonts w:ascii="Times New Roman" w:hAnsi="Times New Roman"/>
                  <w:sz w:val="20"/>
                </w:rPr>
                <w:t>August 10, 2020</w:t>
              </w:r>
            </w:hyperlink>
            <w:r>
              <w:rPr>
                <w:rFonts w:ascii="Times New Roman" w:hAnsi="Times New Roman"/>
                <w:sz w:val="20"/>
              </w:rPr>
              <w:t xml:space="preserve">, and as set forth by the description of the Registrant’s common stock set forth in </w:t>
            </w:r>
            <w:hyperlink r:id="rId26">
              <w:r>
                <w:rPr>
                  <w:rStyle w:val="InternetLink"/>
                  <w:rFonts w:ascii="Times New Roman" w:hAnsi="Times New Roman"/>
                  <w:sz w:val="20"/>
                </w:rPr>
                <w:t>Exhibit 4.4</w:t>
              </w:r>
            </w:hyperlink>
            <w:r>
              <w:rPr>
                <w:rFonts w:ascii="Times New Roman" w:hAnsi="Times New Roman"/>
                <w:sz w:val="20"/>
              </w:rPr>
              <w:t xml:space="preserve"> to the Registrant’s Annual Report on Form 10-K for the year ended December 31, 2021, filed with the SEC on </w:t>
            </w:r>
            <w:hyperlink r:id="rId27">
              <w:r>
                <w:rPr>
                  <w:rStyle w:val="InternetLink"/>
                  <w:rFonts w:ascii="Times New Roman" w:hAnsi="Times New Roman"/>
                  <w:sz w:val="20"/>
                </w:rPr>
                <w:t>March 10, 2022</w:t>
              </w:r>
            </w:hyperlink>
            <w:r>
              <w:rPr>
                <w:rFonts w:ascii="Times New Roman" w:hAnsi="Times New Roman"/>
                <w:sz w:val="20"/>
              </w:rPr>
              <w:t xml:space="preserve">, and as further supplemented by the description of the Registrant’s common stock set forth in the Registrant’s Registration Statement on Form S-4/A, filed with the SEC on </w:t>
            </w:r>
            <w:hyperlink r:id="rId28">
              <w:r>
                <w:rPr>
                  <w:rStyle w:val="InternetLink"/>
                  <w:rFonts w:ascii="Times New Roman" w:hAnsi="Times New Roman"/>
                  <w:sz w:val="20"/>
                </w:rPr>
                <w:t>December 1, 2022</w:t>
              </w:r>
            </w:hyperlink>
            <w:r>
              <w:rPr>
                <w:rFonts w:ascii="Times New Roman" w:hAnsi="Times New Roman"/>
                <w:sz w:val="20"/>
              </w:rPr>
              <w:t xml:space="preserve">, including any amendments or reports filed for the purpose of updating such description.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All documents that we file (but not those that we furnish) pursuant to Section 13(a), 13(c), 14 or 15(d) of the Exchange Act, after the date of the initial registration statement of which this prospectus is a part and prior to the effectiveness of the registration statement shall be deemed to be incorporated by reference into this prospectus and will automatically update and supersede the information in this prospectus, and any previously filed documents. All documents that we file (but not those that we furnish) pursuant to Section 13(a), 13(c), 14 or 15(d) of the Exchange Act on or after the date of this prospectus and prior to the termination of the offering of any of the securities covered under this prospectus shall be deemed to be incorporated by reference into this prospectus and will automatically update and supersede the information in this prospectus, the applicable prospectus supplement and any previously filed documents. </w:t>
      </w:r>
    </w:p>
    <w:p>
      <w:pPr>
        <w:pStyle w:val="TextBody"/>
        <w:bidi w:val="0"/>
        <w:spacing w:before="240" w:after="0"/>
        <w:jc w:val="left"/>
        <w:rPr>
          <w:rFonts w:ascii="Times New Roman" w:hAnsi="Times New Roman"/>
          <w:sz w:val="20"/>
        </w:rPr>
      </w:pPr>
      <w:r>
        <w:rPr>
          <w:rFonts w:ascii="Times New Roman" w:hAnsi="Times New Roman"/>
          <w:sz w:val="20"/>
        </w:rPr>
        <w:t xml:space="preserve">Any statement contained herein or in a document incorporated or deemed to be incorporated by reference in this prospectus or the applicable prospectus supplement shall be deemed to be modified or superseded for purposes of this prospectus and such applicable prospectus supplement to the extent that a statement contained in this prospectus or such applicable prospectus supplement, or in any other subsequently filed document which also is or is deemed to be incorporated by reference in this prospectus and such applicable prospectus supplement, modifies or supersedes such earlier statement. Any statement so modified or superseded shall not be deemed, except as so modified or superseded, to constitute a part of this prospectus or such applicable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Documents incorporated by reference are available from us without charge, excluding all exhibits unless specifically incorporated by reference as an exhibit to this prospectus and the applicable prospectus supplement.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Prospective investors may obtain documents incorporated by reference in this prospectus and the applicable prospectus supplement at no cost by requesting them in writing or by telephone from us at our executive offices at: </w:t>
      </w:r>
    </w:p>
    <w:p>
      <w:pPr>
        <w:pStyle w:val="TextBody"/>
        <w:bidi w:val="0"/>
        <w:spacing w:before="120" w:after="0"/>
        <w:jc w:val="center"/>
        <w:rPr>
          <w:rFonts w:ascii="Times New Roman" w:hAnsi="Times New Roman"/>
          <w:sz w:val="20"/>
        </w:rPr>
      </w:pPr>
      <w:r>
        <w:rPr>
          <w:rFonts w:ascii="Times New Roman" w:hAnsi="Times New Roman"/>
          <w:sz w:val="20"/>
        </w:rPr>
        <w:t xml:space="preserve">Disc Medicine, Inc. </w:t>
      </w:r>
    </w:p>
    <w:p>
      <w:pPr>
        <w:pStyle w:val="TextBody"/>
        <w:bidi w:val="0"/>
        <w:spacing w:before="0" w:after="0"/>
        <w:jc w:val="center"/>
        <w:rPr>
          <w:rFonts w:ascii="Times New Roman" w:hAnsi="Times New Roman"/>
          <w:sz w:val="20"/>
        </w:rPr>
      </w:pPr>
      <w:r>
        <w:rPr>
          <w:rFonts w:ascii="Times New Roman" w:hAnsi="Times New Roman"/>
          <w:sz w:val="20"/>
        </w:rPr>
        <w:t xml:space="preserve">321 Arsenal Street, Suite 101 </w:t>
      </w:r>
    </w:p>
    <w:p>
      <w:pPr>
        <w:pStyle w:val="TextBody"/>
        <w:bidi w:val="0"/>
        <w:spacing w:before="0" w:after="0"/>
        <w:jc w:val="center"/>
        <w:rPr>
          <w:rFonts w:ascii="Times New Roman" w:hAnsi="Times New Roman"/>
          <w:sz w:val="20"/>
        </w:rPr>
      </w:pPr>
      <w:r>
        <w:rPr>
          <w:rFonts w:ascii="Times New Roman" w:hAnsi="Times New Roman"/>
          <w:sz w:val="20"/>
        </w:rPr>
        <w:t xml:space="preserve">Watertown, MA 02472 </w:t>
      </w:r>
    </w:p>
    <w:p>
      <w:pPr>
        <w:pStyle w:val="TextBody"/>
        <w:bidi w:val="0"/>
        <w:spacing w:before="0" w:after="0"/>
        <w:jc w:val="center"/>
        <w:rPr>
          <w:rFonts w:ascii="Times New Roman" w:hAnsi="Times New Roman"/>
          <w:sz w:val="20"/>
        </w:rPr>
      </w:pPr>
      <w:r>
        <w:rPr>
          <w:rFonts w:ascii="Times New Roman" w:hAnsi="Times New Roman"/>
          <w:sz w:val="20"/>
        </w:rPr>
        <w:t xml:space="preserve">Attention: Investor Relations </w:t>
      </w:r>
    </w:p>
    <w:p>
      <w:pPr>
        <w:pStyle w:val="TextBody"/>
        <w:bidi w:val="0"/>
        <w:spacing w:before="0" w:after="0"/>
        <w:jc w:val="center"/>
        <w:rPr>
          <w:rFonts w:ascii="Times New Roman" w:hAnsi="Times New Roman"/>
          <w:sz w:val="20"/>
        </w:rPr>
      </w:pPr>
      <w:r>
        <w:rPr>
          <w:rFonts w:ascii="Times New Roman" w:hAnsi="Times New Roman"/>
          <w:sz w:val="20"/>
        </w:rPr>
        <w:t>(617) 674-9274</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20" w:name="tx190758_4"/>
      <w:bookmarkEnd w:id="20"/>
      <w:r>
        <w:rPr>
          <w:rFonts w:ascii="Times New Roman" w:hAnsi="Times New Roman"/>
          <w:b/>
          <w:sz w:val="20"/>
        </w:rPr>
        <w:t xml:space="preserve">SPECIAL NOTE REGARDING FORWARD-LOOKING STATEMENTS </w:t>
      </w:r>
    </w:p>
    <w:p>
      <w:pPr>
        <w:pStyle w:val="TextBody"/>
        <w:bidi w:val="0"/>
        <w:spacing w:before="240" w:after="0"/>
        <w:jc w:val="left"/>
        <w:rPr>
          <w:rFonts w:ascii="Times New Roman" w:hAnsi="Times New Roman"/>
          <w:sz w:val="20"/>
        </w:rPr>
      </w:pPr>
      <w:r>
        <w:rPr>
          <w:rFonts w:ascii="Times New Roman" w:hAnsi="Times New Roman"/>
          <w:sz w:val="20"/>
        </w:rPr>
        <w:t>This prospectus, together with any accompanying prospectus supplement, includes and incorporates by reference “forward-looking statements” within the meaning of the U.S. Private Securities Litigation Reform Act of 1995 and releases issued by the SEC and within the meaning of Section 27A of the Securities Act, and Section 21E of the Exchange Act. All statements other than statements of historical facts contained in this prospectus, including statements regarding our strategy, future operations, future financial position, future revenue, projected costs, prospects, plan, objectives of management and expected market growth, are forward-looking statements. You can identify these forward-looking statements by the use of words such as “aim,” “anticipate,” “assume,” “believe,” “contemplate,” “continue,” “could,” “design,” “due,” “estimate,” “expect,” “goal,” “intend,” “may,” “objective,” “plan,” “positioned,” “potential,” “predict,” “seek,” “should,” “target,” “will,” “would” and other similar expressions that are predictions of or indicate future events and future trends, or the negative of these terms or other comparable terminology. Such forward-looking statements are subject to various risks and uncertainties. Accordingly, there are or will be important factors that could cause actual outcomes or results to differ materially from those indicated in these statements. We believe these factors include, but are not limited to, those described under “</w:t>
      </w:r>
      <w:r>
        <w:rPr>
          <w:rFonts w:ascii="Times New Roman" w:hAnsi="Times New Roman"/>
          <w:i/>
          <w:sz w:val="20"/>
        </w:rPr>
        <w:t>Risk Factors</w:t>
      </w:r>
      <w:r>
        <w:rPr>
          <w:rFonts w:ascii="Times New Roman" w:hAnsi="Times New Roman"/>
          <w:sz w:val="20"/>
        </w:rPr>
        <w:t xml:space="preserve">” and include, among other things: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initiation, timing, progress, results, and cost of our research and development programs and our current and future preclinical studies and clinical trials, including our ongoing Phase 1b/2 clinical trials of DISC-0974 and our ongoing Phase 1 clinical trial of DISC-3405, and including statements regarding the timing of initiation and completion of studies or trials and related preparatory work, the period during which the results of the trials will become available, and our research and development programs;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efficiently discover and develop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and the potential to successfully manufacture our drug substances and product candidates for preclinical use, for clinical trials and on a larger scale for commercial use, if approved;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obtain funding for our operations necessary to complete further development and commercialization of our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obtain and maintain regulatory approval of our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commercialize our products, if approved;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pricing and reimbursement of our product candidates, if approved;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implementation of our business model, and strategic plans for our business and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scope of protection we are able to establish and maintain for intellectual property rights covering our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estimates of our future expenses, revenues, capital requirements, and our needs for additional financing;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potential benefits of strategic collaboration agreements, our ability to enter into strategic collaborations or arrangements, and our ability to attract collaborators with development, regulatory and commercialization expertise;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future agreements with third parties in connection with the commercialization of product candidates and any other approved product;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size and growth potential of the markets for our product candidates, and our ability to serve those markets;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financial performance;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rate and degree of market acceptance of our product candidates;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regulatory developments in the United States and foreign countries;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contract with third-party suppliers and manufacturers and their ability to perform adequately;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produce our products or product candidates with advantages in turnaround times or manufacturing cost;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success of competing therapies that are or may become available;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attract and retain key scientific or management personnel;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impact of laws and regulations;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developments relating to our competitors and our industry;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impact of global economic and political developments on our business, including rising inflation and capital market disruptions, the current conflicts between Russia and Ukraine and between Israel and Hamas, economic sanctions and economic slowdowns or recessions that may result from such developments which could harm our research and development efforts as well as the value of our common stock and our ability to access capital markets;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other risks and uncertainties, including those listed under the caption “</w:t>
            </w:r>
            <w:r>
              <w:rPr>
                <w:rFonts w:ascii="Times New Roman" w:hAnsi="Times New Roman"/>
                <w:i/>
                <w:sz w:val="20"/>
              </w:rPr>
              <w:t>Risk Factors</w:t>
            </w:r>
            <w:r>
              <w:rPr>
                <w:rFonts w:ascii="Times New Roman" w:hAnsi="Times New Roman"/>
                <w:sz w:val="20"/>
              </w:rPr>
              <w:t xml:space="preserve">.” </w:t>
            </w:r>
          </w:p>
        </w:tc>
      </w:tr>
    </w:tbl>
    <w:p>
      <w:pPr>
        <w:pStyle w:val="TextBody"/>
        <w:bidi w:val="0"/>
        <w:spacing w:before="240" w:after="0"/>
        <w:jc w:val="left"/>
        <w:rPr>
          <w:rFonts w:ascii="Times New Roman" w:hAnsi="Times New Roman"/>
          <w:sz w:val="20"/>
        </w:rPr>
      </w:pPr>
      <w:r>
        <w:rPr>
          <w:rFonts w:ascii="Times New Roman" w:hAnsi="Times New Roman"/>
          <w:sz w:val="20"/>
        </w:rPr>
        <w:t>These statements relate to future events or to our future financial performance and involve known and unknown risks, uncertainties and other factors that may cause our actual results, performance or achievements to be materially different from any future results, performance or achievements expressed or implied by these forward-looking statements. In evaluating such forward-looking statements, you should specifically consider various factors that may cause actual results to differ materially from current expectations, including the risks outlined under the heading “</w:t>
      </w:r>
      <w:r>
        <w:rPr>
          <w:rFonts w:ascii="Times New Roman" w:hAnsi="Times New Roman"/>
          <w:i/>
          <w:sz w:val="20"/>
        </w:rPr>
        <w:t>Risk Factors</w:t>
      </w:r>
      <w:r>
        <w:rPr>
          <w:rFonts w:ascii="Times New Roman" w:hAnsi="Times New Roman"/>
          <w:sz w:val="20"/>
        </w:rPr>
        <w:t xml:space="preserve">” contained in this prospectus and any related prospectus supplement or free writing prospectus, and in any other documents incorporated herein or therein (including in our most recent annual report on Form 10-K, subsequent quarterly reports on Form 10-Q and other filings we make with the SEC pursuant to Section 13(a), 13(c), 14 or 15(d) of the Exchange Act). Any forward-looking statement in this prospectus or any related prospectus supplement or free writing prospectus reflects our current view with respect to future events and is subject to these and other risks, uncertainties and assumptions relating to our operations, results of operations, industry and future growth. Given these uncertainties, you should not place undue reliance on these forward-looking statements. Except as required by law, we assume no obligation to update or revise these forward-looking statements for any reason, even if new information becomes available in the future. </w:t>
      </w:r>
    </w:p>
    <w:p>
      <w:pPr>
        <w:pStyle w:val="TextBody"/>
        <w:bidi w:val="0"/>
        <w:spacing w:before="360" w:after="0"/>
        <w:jc w:val="left"/>
        <w:rPr>
          <w:rFonts w:ascii="Times New Roman" w:hAnsi="Times New Roman"/>
          <w:b/>
          <w:sz w:val="20"/>
        </w:rPr>
      </w:pPr>
      <w:r>
        <w:rPr>
          <w:rFonts w:ascii="Times New Roman" w:hAnsi="Times New Roman"/>
          <w:b/>
          <w:sz w:val="20"/>
        </w:rPr>
        <w:t xml:space="preserve">Market and Industry Data and Estimates </w:t>
      </w:r>
    </w:p>
    <w:p>
      <w:pPr>
        <w:pStyle w:val="TextBody"/>
        <w:bidi w:val="0"/>
        <w:spacing w:before="120" w:after="0"/>
        <w:jc w:val="left"/>
        <w:rPr>
          <w:rFonts w:ascii="Times New Roman" w:hAnsi="Times New Roman"/>
          <w:sz w:val="20"/>
        </w:rPr>
      </w:pPr>
      <w:r>
        <w:rPr>
          <w:rFonts w:ascii="Times New Roman" w:hAnsi="Times New Roman"/>
          <w:sz w:val="20"/>
        </w:rPr>
        <w:t xml:space="preserve">This prospectus, together with any accompanying prospectus supplement and the information incorporated herein or therein by reference, also contains estimates, projections and other information concerning our industry, our business and the markets for our product candidates, including data regarding the estimated size of those markets, their projected growth rates and the incidence of certain medical conditions. Information that is based on estimates, forecasts, projections or similar methodologies is inherently subject to uncertainties and actual events or circumstances may differ materially from events and circumstances reflected in this information. Unless otherwise expressly stated, we obtained these industry, business, market and other data from reports, research surveys, studies and similar data prepared by third parties, industry, medical and general publications, government data and similar sources. We have not independently verified the accuracy and completeness of such data, and in some cases, we do not expressly refer to the sources from which these data are derived. </w:t>
      </w:r>
    </w:p>
    <w:p>
      <w:pPr>
        <w:pStyle w:val="TextBody"/>
        <w:bidi w:val="0"/>
        <w:spacing w:before="360" w:after="0"/>
        <w:jc w:val="left"/>
        <w:rPr>
          <w:rFonts w:ascii="Times New Roman" w:hAnsi="Times New Roman"/>
          <w:b/>
          <w:sz w:val="20"/>
        </w:rPr>
      </w:pPr>
      <w:r>
        <w:rPr>
          <w:rFonts w:ascii="Times New Roman" w:hAnsi="Times New Roman"/>
          <w:b/>
          <w:sz w:val="20"/>
        </w:rPr>
        <w:t xml:space="preserve">Trademarks </w:t>
      </w:r>
    </w:p>
    <w:p>
      <w:pPr>
        <w:pStyle w:val="TextBody"/>
        <w:bidi w:val="0"/>
        <w:spacing w:before="120" w:after="0"/>
        <w:jc w:val="left"/>
        <w:rPr>
          <w:rFonts w:ascii="Times New Roman" w:hAnsi="Times New Roman"/>
          <w:sz w:val="20"/>
        </w:rPr>
      </w:pPr>
      <w:r>
        <w:rPr>
          <w:rFonts w:ascii="Times New Roman" w:hAnsi="Times New Roman"/>
          <w:sz w:val="20"/>
        </w:rPr>
        <w:t xml:space="preserve">Disc Medicine, Inc., the Disc logo and our other registered or common law trademarks, trade names or service marks appearing in this prospectus are owned by us. This prospectus, any applicable prospectus supplement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any information incorporated herein or therein may contain references to our trademarks and to trademarks belonging to other entities. Solely for convenience, trademarks and trade names referred to in this prospectus, including logos, artwork and other visual displays, generally appear without the ® or TM symbols, but such references are not intended to indicate, in any way, that we will not assert, to the fullest extent under applicable law, our rights or the rights of the applicable licensor to these trademarks and trade names. We do not intend our use or display of other companies’ trade names or trademarks to imply a relationship with, or endorsement or sponsorship of us by, any other companies. All trademarks, service marks and trade names included or incorporated by reference in this prospectus, any applicable prospectus supplement or any related free writing prospectus are the property of their respective owners.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21" w:name="tx190758_5"/>
      <w:bookmarkEnd w:id="21"/>
      <w:r>
        <w:rPr>
          <w:rFonts w:ascii="Times New Roman" w:hAnsi="Times New Roman"/>
          <w:b/>
          <w:sz w:val="20"/>
        </w:rPr>
        <w:t xml:space="preserve">ABOUT THE COMPANY </w:t>
      </w:r>
    </w:p>
    <w:p>
      <w:pPr>
        <w:pStyle w:val="TextBody"/>
        <w:bidi w:val="0"/>
        <w:spacing w:before="240" w:after="0"/>
        <w:jc w:val="left"/>
        <w:rPr>
          <w:rFonts w:ascii="Times New Roman" w:hAnsi="Times New Roman"/>
          <w:i/>
          <w:sz w:val="20"/>
        </w:rPr>
      </w:pPr>
      <w:r>
        <w:rPr>
          <w:rFonts w:ascii="Times New Roman" w:hAnsi="Times New Roman"/>
          <w:i/>
          <w:sz w:val="20"/>
        </w:rPr>
        <w:t xml:space="preserve">The following highlights information about the Registrant and our business contained elsewhere or incorporated by reference in this prospectus. It is not complete and does not contain all of the information that you should consider before investing in any of our securities. You should carefully read this prospectus together with the more detailed information incorporated by reference in this prospectus. </w:t>
      </w:r>
    </w:p>
    <w:p>
      <w:pPr>
        <w:pStyle w:val="TextBody"/>
        <w:bidi w:val="0"/>
        <w:spacing w:before="360" w:after="0"/>
        <w:jc w:val="left"/>
        <w:rPr>
          <w:rFonts w:ascii="Times New Roman" w:hAnsi="Times New Roman"/>
          <w:b/>
          <w:sz w:val="20"/>
        </w:rPr>
      </w:pPr>
      <w:r>
        <w:rPr>
          <w:rFonts w:ascii="Times New Roman" w:hAnsi="Times New Roman"/>
          <w:b/>
          <w:sz w:val="20"/>
        </w:rPr>
        <w:t xml:space="preserve">Overview </w:t>
      </w:r>
    </w:p>
    <w:p>
      <w:pPr>
        <w:pStyle w:val="TextBody"/>
        <w:bidi w:val="0"/>
        <w:spacing w:before="120" w:after="0"/>
        <w:jc w:val="left"/>
        <w:rPr>
          <w:rFonts w:ascii="Times New Roman" w:hAnsi="Times New Roman"/>
          <w:sz w:val="20"/>
        </w:rPr>
      </w:pPr>
      <w:r>
        <w:rPr>
          <w:rFonts w:ascii="Times New Roman" w:hAnsi="Times New Roman"/>
          <w:sz w:val="20"/>
        </w:rPr>
        <w:t xml:space="preserve">We are a clinical-stage biopharmaceutical company focused on the discovery, development, and commercialization of novel treatments for patients suffering from serious hematologic diseases. We have assembled a portfolio of clinical and preclinical product candidates that aim to modify fundamental biological pathways associated with the formation and function of red blood cells, specifically heme biosynthesis and iron homeostasis. Our current pipeline includes bitopertin for the treatment of erythropoietic porphyrias, or EPs, including erythropoietic protoporphyria, or EPP, and X-linked protoporphyria, or XLP, and Diamond-Blackfan Anemia, or DBA; DISC-0974 for the treatment of anemia of myelofibrosis, or MF, and anemia of chronic kidney disease, or CKD; and DISC-3405 (formerly MWTX-003) for the treatment of polycythemia vera, or PV, and other hematologic disorders. In addition, our preclinical programs also include DISC-0998, for the treatment of anemia associated with inflammatory diseases. Our approach to product candidate development leverages well-understood molecular mechanisms that have been validated in humans. We believe that each of our product candidates, if approved, has the potential to improve the lives of patients suffering from hematologic diseases. </w:t>
      </w:r>
    </w:p>
    <w:p>
      <w:pPr>
        <w:pStyle w:val="TextBody"/>
        <w:bidi w:val="0"/>
        <w:spacing w:before="240" w:after="0"/>
        <w:jc w:val="left"/>
        <w:rPr>
          <w:rFonts w:ascii="Times New Roman" w:hAnsi="Times New Roman"/>
          <w:sz w:val="20"/>
        </w:rPr>
      </w:pPr>
      <w:r>
        <w:rPr>
          <w:rFonts w:ascii="Times New Roman" w:hAnsi="Times New Roman"/>
          <w:sz w:val="20"/>
        </w:rPr>
        <w:t xml:space="preserve">Bitopertin is the lead product candidate in our heme biosynthesis modulation portfolio. Bitopertin was previously evaluated by F. Hoffmann-La Roche Ltd and Hoffmann-La Roche Inc., or collectively, Roche, in a comprehensive clinical program in over 4,000 individuals in other indications which demonstrated the activity of bitopertin as a glycine transporter 1, or GlyT1, inhibitor and its effect on heme biosynthesis. We are initially developing bitopertin for the treatment of EPs, including EPP and XLP. In July 2022, we initiated BEACON, a Phase 2 open-label, parallel-dose clinical trial of bitopertin in EPP and XLP patients that is being conducted at sites in Australia. In October 2022, we initiated AURORA, a Phase 2, randomized, double-blind, placebo-controlled clinical trial of bitopertin in EPP patients that is being conducted at sites in the United States. We presented interim data from BEACON in June and December 2023, and we presented topline data from AURORA in April 2024. Additional analyses of the BEACON and AURORA trials were presented in June 2024. We expect to have regulatory interactions to define optimal registrational endpoints moving forward in EPP in the second half of 2024. We entered into a collaborative research and development agreement with the National Institutes of Health, or NIH, to conduct an NIH-sponsored clinical trial of bitopertin in DBA. The FDA authorized the clinical trial to proceed and the trial began in July 2023. We are planning additional trials of bitopertin in other indications. </w:t>
      </w:r>
    </w:p>
    <w:p>
      <w:pPr>
        <w:pStyle w:val="TextBody"/>
        <w:bidi w:val="0"/>
        <w:spacing w:before="240" w:after="0"/>
        <w:jc w:val="left"/>
        <w:rPr>
          <w:rFonts w:ascii="Times New Roman" w:hAnsi="Times New Roman"/>
          <w:sz w:val="20"/>
        </w:rPr>
      </w:pPr>
      <w:r>
        <w:rPr>
          <w:rFonts w:ascii="Times New Roman" w:hAnsi="Times New Roman"/>
          <w:sz w:val="20"/>
        </w:rPr>
        <w:t xml:space="preserve">DISC-0974 is the lead product candidate in our iron homeostasis portfolio and was in-licensed from AbbVie Deutschland GmbH &amp; Co. KG, or AbbVie. DISC-0974 is designed to suppress hepcidin production and increase serum iron levels. We submitted an IND to the FDA for DISC-0974 in June 2021, received clearance in July 2021, and participants completed a Phase 1 clinical trial in healthy volunteers in the U.S. in June 2022 with results showing an acceptable tolerability profile and evidence of target engagement, iron mobilization and augmented erythropoiesis. We initiated a Phase 1b/2 clinical trial in June 2022 in patients with anemia of MF, and initiated a separate Phase 1b/2 clinical trial in February 2023 in patients with non-dialysis dependent CKD and anemia. We presented interim data from both of these trials in December 2023 and presented additional interim data for anemia of MF in June 2024, including safety and changes in hepcidin, iron, and hemoglobin levels for additional patients, as well as longer follow-up. We anticipate presenting additional interim data for non-dialysis dependent CKD and anemia in second half of 2024. In addition, we are developing a preclinical anti-hemojuvelin, or HJV, monoclonal antibody, DISC-0998, which also targets hepcidin suppression and was </w:t>
      </w:r>
    </w:p>
    <w:p>
      <w:pPr>
        <w:pStyle w:val="TextBody"/>
        <w:bidi w:val="0"/>
        <w:spacing w:before="0" w:after="0"/>
        <w:jc w:val="left"/>
        <w:rPr>
          <w:rFonts w:ascii="Times New Roman" w:hAnsi="Times New Roman"/>
          <w:sz w:val="20"/>
        </w:rPr>
      </w:pPr>
      <w:r>
        <w:rPr>
          <w:rFonts w:ascii="Times New Roman" w:hAnsi="Times New Roman"/>
          <w:sz w:val="20"/>
        </w:rPr>
        <w:t xml:space="preserve">in-licensed from AbbVie. DISC-0998 is designed to increase serum iron levels and has an extended serum half-life as compared to DISC-0974. We believe this profile may be desirable in certain subsets of patients with anemia associated with inflammatory diseases.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Lastly, we are developing DISC-3405, a monoclonal antibody against Transmembrane Serine Protease 6, or TMPRSS6, that we licensed from Mabwell Therapeutics, Inc., or Mabwell. DISC-3405 is part of our iron homeostasis portfolio and is designed to induce hepcidin production and reduce serum iron levels. An IND for DISC-3405 was cleared by the FDA, and a Phase 1 clinical trial in healthy adult volunteers was initiated in October 2023. Interim data was presented from the single-ascending dose (SAD) portion of the Phase 1 clinical trial of DISC-3405 in healthy volunteers in June 2024. We anticipate presenting data from the multiple-ascending dose (MAD) portion of the Phase 1 healthy volunteer study of DISC-3405 in the fourth quarter of 2024. We expect to develop DISC-3405 for the treatment of PV and other hematologic disorders. </w:t>
      </w:r>
    </w:p>
    <w:p>
      <w:pPr>
        <w:pStyle w:val="TextBody"/>
        <w:bidi w:val="0"/>
        <w:spacing w:before="360" w:after="0"/>
        <w:jc w:val="left"/>
        <w:rPr>
          <w:rFonts w:ascii="Times New Roman" w:hAnsi="Times New Roman"/>
          <w:b/>
          <w:sz w:val="20"/>
        </w:rPr>
      </w:pPr>
      <w:r>
        <w:rPr>
          <w:rFonts w:ascii="Times New Roman" w:hAnsi="Times New Roman"/>
          <w:b/>
          <w:sz w:val="20"/>
        </w:rPr>
        <w:t xml:space="preserve">Merger with Gemini </w:t>
      </w:r>
    </w:p>
    <w:p>
      <w:pPr>
        <w:pStyle w:val="TextBody"/>
        <w:bidi w:val="0"/>
        <w:spacing w:before="120" w:after="0"/>
        <w:jc w:val="left"/>
        <w:rPr>
          <w:rFonts w:ascii="Times New Roman" w:hAnsi="Times New Roman"/>
          <w:sz w:val="20"/>
        </w:rPr>
      </w:pPr>
      <w:r>
        <w:rPr>
          <w:rFonts w:ascii="Times New Roman" w:hAnsi="Times New Roman"/>
          <w:sz w:val="20"/>
        </w:rPr>
        <w:t xml:space="preserve">On August 9, 2022, Gemini Therapeutics, Inc., a Delaware corporation (“Gemini”), Gemstone Merger Sub, Inc., a Delaware corporation and a wholly owned subsidiary of Gemini (“Merger Sub”), and Disc Medicine, Inc., a Delaware corporation (“Private Disc”), entered into an Agreement and Plan of Merger and Reorganization (the “Merger Agreement”). The merger was completed on December 29, 2022. In accordance with the Merger Agreement, the Merger Sub merged with and into Private Disc, with Private Disc surviving as a wholly-owned subsidiary of the Company (the “merger”). Gemini changed its name to Disc Medicine Inc., and Private Disc, which remains as a wholly-owned subsidiary of the Company, changed its name to Disc Medicine Opco, Inc. On December 30, 2022, the combined company’s common stock began trading on The Nasdaq Capital Market under the ticker symbol “IRON.” </w:t>
      </w:r>
    </w:p>
    <w:p>
      <w:pPr>
        <w:pStyle w:val="TextBody"/>
        <w:bidi w:val="0"/>
        <w:spacing w:before="240" w:after="0"/>
        <w:jc w:val="left"/>
        <w:rPr>
          <w:rFonts w:ascii="Times New Roman" w:hAnsi="Times New Roman"/>
          <w:sz w:val="20"/>
        </w:rPr>
      </w:pPr>
      <w:r>
        <w:rPr>
          <w:rFonts w:ascii="Times New Roman" w:hAnsi="Times New Roman"/>
          <w:sz w:val="20"/>
        </w:rPr>
        <w:t xml:space="preserve">Except as otherwise indicated, references herein to “Disc,” the “Company,” or the “combined company”, refer to Disc Medicine, Inc. on a post-merger basis, and the term “Private Disc” refers to the business of privately-held Disc Medicine, Inc., prior to completion of the merger. References to Gemini refer to Gemini Therapeutics, Inc. prior to completion of the merger. </w:t>
      </w:r>
    </w:p>
    <w:p>
      <w:pPr>
        <w:pStyle w:val="TextBody"/>
        <w:bidi w:val="0"/>
        <w:spacing w:before="360" w:after="0"/>
        <w:jc w:val="left"/>
        <w:rPr>
          <w:rFonts w:ascii="Times New Roman" w:hAnsi="Times New Roman"/>
          <w:b/>
          <w:sz w:val="20"/>
        </w:rPr>
      </w:pPr>
      <w:r>
        <w:rPr>
          <w:rFonts w:ascii="Times New Roman" w:hAnsi="Times New Roman"/>
          <w:b/>
          <w:sz w:val="20"/>
        </w:rPr>
        <w:t xml:space="preserve">Corporate Information </w:t>
      </w:r>
    </w:p>
    <w:p>
      <w:pPr>
        <w:pStyle w:val="TextBody"/>
        <w:bidi w:val="0"/>
        <w:spacing w:before="120" w:after="0"/>
        <w:jc w:val="left"/>
        <w:rPr>
          <w:rFonts w:ascii="Times New Roman" w:hAnsi="Times New Roman"/>
          <w:sz w:val="20"/>
        </w:rPr>
      </w:pPr>
      <w:r>
        <w:rPr>
          <w:rFonts w:ascii="Times New Roman" w:hAnsi="Times New Roman"/>
          <w:sz w:val="20"/>
        </w:rPr>
        <w:t xml:space="preserve">Disc Medicine, Inc. was originally incorporated under the laws of the state of Delaware in October 2017, and changed its name to Disc Medicine Opco, Inc., or Disc Opco, in December 2022. On December 29, 2022, we completed our business combination with Gemini, in accordance with the terms of the Merger Agreement, pursuant to which, among other matters, Merger Sub merged with and into Disc Opco, with Disc Opco continuing as a wholly owned subsidiary of us and the surviving corporation of the merger, or the Merger. In connection with the closing of the Merger, Gemini changed its name to Disc Medicine, Inc. </w:t>
      </w:r>
    </w:p>
    <w:p>
      <w:pPr>
        <w:pStyle w:val="TextBody"/>
        <w:bidi w:val="0"/>
        <w:spacing w:before="240" w:after="0"/>
        <w:jc w:val="left"/>
        <w:rPr>
          <w:rFonts w:ascii="Times New Roman" w:hAnsi="Times New Roman"/>
          <w:sz w:val="20"/>
        </w:rPr>
      </w:pPr>
      <w:r>
        <w:rPr>
          <w:rFonts w:ascii="Times New Roman" w:hAnsi="Times New Roman"/>
          <w:sz w:val="20"/>
        </w:rPr>
        <w:t xml:space="preserve">Our principal executive offices are located at 321 Arsenal Street, Suite 101, Watertown, MA 02472, and our telephone number is (617) 674-9274. Our website address is www.discmedicine.com. We do not incorporate the information on or accessible through our website into this prospectus, and you should not consider any information on, or that can be accessed through, our website as part of this prospectus. Our common stock is listed on Nasdaq under the symbol “IRON.” </w:t>
      </w:r>
    </w:p>
    <w:p>
      <w:pPr>
        <w:pStyle w:val="TextBody"/>
        <w:bidi w:val="0"/>
        <w:spacing w:before="240" w:after="0"/>
        <w:jc w:val="left"/>
        <w:rPr>
          <w:rFonts w:ascii="Times New Roman" w:hAnsi="Times New Roman"/>
          <w:sz w:val="20"/>
        </w:rPr>
      </w:pPr>
      <w:r>
        <w:rPr>
          <w:rFonts w:ascii="Times New Roman" w:hAnsi="Times New Roman"/>
          <w:sz w:val="20"/>
        </w:rPr>
        <w:t xml:space="preserve">Our Annual Reports on Form 10-K, Quarterly Reports on Form 10-Q and Current Reports on Form 8-K and amendments to those reports filed or furnished pursuant to Section 13(a) or 15(d) of the Exchange Act are available, free of charge, on or through our website as soon as reasonably practicable after such reports and amendments are electronically filed with or furnished to the SEC. The SEC maintains an Internet site that contains reports, proxy and information statements and other information regarding our filings at </w:t>
      </w:r>
      <w:r>
        <w:rPr>
          <w:rFonts w:ascii="Times New Roman" w:hAnsi="Times New Roman"/>
          <w:i/>
          <w:sz w:val="20"/>
        </w:rPr>
        <w:t>www.sec.gov</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For additional information about our Company, please refer to other documents we have filed with the SEC and that are incorporated by reference into this prospectus, as listed under the heading “</w:t>
      </w:r>
      <w:r>
        <w:rPr>
          <w:rFonts w:ascii="Times New Roman" w:hAnsi="Times New Roman"/>
          <w:i/>
          <w:sz w:val="20"/>
        </w:rPr>
        <w:t>Incorporation of Certain Information by Reference</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Implications of Being an Emerging Growth Company and a Smaller Reporting Company </w:t>
      </w:r>
    </w:p>
    <w:p>
      <w:pPr>
        <w:pStyle w:val="TextBody"/>
        <w:bidi w:val="0"/>
        <w:spacing w:before="120" w:after="0"/>
        <w:jc w:val="left"/>
        <w:rPr>
          <w:rFonts w:ascii="Times New Roman" w:hAnsi="Times New Roman"/>
          <w:sz w:val="20"/>
        </w:rPr>
      </w:pPr>
      <w:r>
        <w:rPr>
          <w:rFonts w:ascii="Times New Roman" w:hAnsi="Times New Roman"/>
          <w:sz w:val="20"/>
        </w:rPr>
        <w:t xml:space="preserve">We qualify as an “emerging growth company” as defined in the Jumpstart Our Business Startups Act of 2012, as amended (the “JOBS Act”). As an emerging growth company, we may take advantage of specified reduced disclosure and other requirements that are otherwise applicable generally to public companies. These provisions include: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being permitted to only disclose two years of audited financial statements in addition to any required unaudited interim financial statements with correspondingly reduced “Management’s Discussion and Analysis of Financial Condition and Results of Operations” disclosure;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reduced disclosure about our executive compensation arrangements;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not being required to hold advisory votes on executive compensation or to obtain stockholder approval of any golden parachute arrangements not previously approved;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exemption from the auditor attestation requirement in the assessment of our internal control over financial reporting.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may take advantage of these exemptions until the end of the fiscal year following the fifth anniversary of our initial public offering or such earlier time that we are no longer an emerging growth company. We would cease to be an emerging growth company on the date that is the earliest of (i) the last day of the fiscal year in which we have total annual gross revenue of $1.235 billion or more; (ii) December 31, 2025; (iii) the date on which we have issued more than $1.0 billion in nonconvertible debt during the previous three years; or (iv) the last day of the fiscal year in which we are deemed to be a large accelerated filer under the rules of the SEC, which means the market value of our common stock that is held by non-affiliates exceeds $700 million as of the prior June 30th. We may choose to take advantage of some but not all of these exemptions. We have taken advantage of reduced reporting requirements in this prospectus supplement. Accordingly, the information contained herein may be different from the information you receive from other public companies in which you hold stock. Subject to certain conditions, as an emerging growth company, we may rely on certain of these exemptions, including without limitation, omitting an auditor’s attestation report on our system of internal controls over financial reporting otherwise required by Section 404(b) of the Sarbanes-Oxley Act of 2002. </w:t>
      </w:r>
    </w:p>
    <w:p>
      <w:pPr>
        <w:pStyle w:val="TextBody"/>
        <w:bidi w:val="0"/>
        <w:spacing w:before="240" w:after="0"/>
        <w:jc w:val="left"/>
        <w:rPr>
          <w:rFonts w:ascii="Times New Roman" w:hAnsi="Times New Roman"/>
          <w:sz w:val="20"/>
        </w:rPr>
      </w:pPr>
      <w:r>
        <w:rPr>
          <w:rFonts w:ascii="Times New Roman" w:hAnsi="Times New Roman"/>
          <w:sz w:val="20"/>
        </w:rPr>
        <w:t xml:space="preserve">We are also a “smaller reporting company” as defined in the Exchange Act. We may continue to be a smaller reporting company even after we are no longer an emerging growth company. We may take advantage of certain of the scaled disclosures available to smaller reporting companies until the fiscal year following the determination that our common stock held by non-affiliates is more than $250 million measured on the last business day of our second fiscal quarter, or our annual revenues are less than $100 million during the most recently completed fiscal year and our common stock held by non-affiliates is more than $700 million measured on the last business day of our second fiscal quarter.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22" w:name="tx190758_6"/>
      <w:bookmarkEnd w:id="22"/>
      <w:r>
        <w:rPr>
          <w:rFonts w:ascii="Times New Roman" w:hAnsi="Times New Roman"/>
          <w:b/>
          <w:sz w:val="20"/>
        </w:rPr>
        <w:t xml:space="preserve">RISK FACTORS </w:t>
      </w:r>
    </w:p>
    <w:p>
      <w:pPr>
        <w:pStyle w:val="TextBody"/>
        <w:bidi w:val="0"/>
        <w:spacing w:before="240" w:after="0"/>
        <w:jc w:val="left"/>
        <w:rPr>
          <w:rFonts w:ascii="Times New Roman" w:hAnsi="Times New Roman"/>
          <w:sz w:val="20"/>
        </w:rPr>
      </w:pPr>
      <w:r>
        <w:rPr>
          <w:rFonts w:ascii="Times New Roman" w:hAnsi="Times New Roman"/>
          <w:sz w:val="20"/>
        </w:rPr>
        <w:t>Investing in our securities involves certain risks. Before you invest in any of our common stock, preferred stock, debt securities, warrants or units, in addition to the other information included in, or incorporated by reference into, this prospectus, you should carefully consider the risk factors contained in our most recent Annual Report on Form 10-K, which is on file with the SEC and is incorporated herein by reference, as updated by our subsequent annual, quarterly and other reports we file with the SEC, as well as any amendments thereto, which are incorporated by reference into this prospectus. See “</w:t>
      </w:r>
      <w:r>
        <w:rPr>
          <w:rFonts w:ascii="Times New Roman" w:hAnsi="Times New Roman"/>
          <w:i/>
          <w:sz w:val="20"/>
        </w:rPr>
        <w:t>Where You Can Find More Information</w:t>
      </w:r>
      <w:r>
        <w:rPr>
          <w:rFonts w:ascii="Times New Roman" w:hAnsi="Times New Roman"/>
          <w:sz w:val="20"/>
        </w:rPr>
        <w:t xml:space="preserve">” for information about how to obtain a copy of these documents. You should also carefully consider the risks and other information that may be contained in, or incorporated by reference into, any prospectus supplement relating to specific offerings of securities.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23" w:name="tx190758_8"/>
      <w:bookmarkEnd w:id="23"/>
      <w:r>
        <w:rPr>
          <w:rFonts w:ascii="Times New Roman" w:hAnsi="Times New Roman"/>
          <w:b/>
          <w:sz w:val="20"/>
        </w:rPr>
        <w:t xml:space="preserve">USE OF PROCEEDS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described in the applicable prospectus supplement, we intend to use the net proceeds from the sale of any securities described in this prospectus for general corporate purposes, which may include research and development and preclinical and clinical development costs to support the advancement of our product candidates; working capital; capital expenditures; general and administrative expenses; and other general corporate purposes. </w:t>
      </w:r>
    </w:p>
    <w:p>
      <w:pPr>
        <w:pStyle w:val="TextBody"/>
        <w:bidi w:val="0"/>
        <w:spacing w:before="240" w:after="0"/>
        <w:jc w:val="left"/>
        <w:rPr>
          <w:rFonts w:ascii="Times New Roman" w:hAnsi="Times New Roman"/>
          <w:sz w:val="20"/>
        </w:rPr>
      </w:pPr>
      <w:r>
        <w:rPr>
          <w:rFonts w:ascii="Times New Roman" w:hAnsi="Times New Roman"/>
          <w:sz w:val="20"/>
        </w:rPr>
        <w:t xml:space="preserve">We may set forth additional information concerning our expected use of net proceeds from sales of securities in the applicable prospectus supplement relating to the specific offering. Pending use of net proceeds as described above, we may temporarily invest the net proceeds in a variety of capital preservation instruments, including high quality, investment grade instruments, certificates of deposit or direct or guaranteed obligations of the U.S. government, or may hold such proceeds as cash, until they are used for their stated purpose. We have not determined the amount of net proceeds to be used specifically for such purposes. As a result, management will retain broad discretion over the allocation of net proceeds.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24" w:name="tx190758_9"/>
      <w:bookmarkEnd w:id="24"/>
      <w:r>
        <w:rPr>
          <w:rFonts w:ascii="Times New Roman" w:hAnsi="Times New Roman"/>
          <w:b/>
          <w:sz w:val="20"/>
        </w:rPr>
        <w:t xml:space="preserve">DIVIDEND POLICY </w:t>
      </w:r>
    </w:p>
    <w:p>
      <w:pPr>
        <w:pStyle w:val="TextBody"/>
        <w:bidi w:val="0"/>
        <w:spacing w:before="240" w:after="0"/>
        <w:jc w:val="left"/>
        <w:rPr>
          <w:rFonts w:ascii="Times New Roman" w:hAnsi="Times New Roman"/>
          <w:sz w:val="20"/>
        </w:rPr>
      </w:pPr>
      <w:r>
        <w:rPr>
          <w:rFonts w:ascii="Times New Roman" w:hAnsi="Times New Roman"/>
          <w:sz w:val="20"/>
        </w:rPr>
        <w:t xml:space="preserve">We have never declared or paid any cash dividends on our capital stock and do not anticipate paying any cash dividends in the foreseeable future. Payment of cash dividends, if any, in the future will solely be at the discretion of our board of directors and will depend on then-existing conditions, including our financial condition, operating results, contractual restrictions, capital requirements, business prospects and other factors our board of directors may deem relevant.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25" w:name="tx190758_10"/>
      <w:bookmarkEnd w:id="25"/>
      <w:r>
        <w:rPr>
          <w:rFonts w:ascii="Times New Roman" w:hAnsi="Times New Roman"/>
          <w:b/>
          <w:sz w:val="20"/>
        </w:rPr>
        <w:t xml:space="preserve">GENERAL DESCRIPTION OF SECURITIES </w:t>
      </w:r>
    </w:p>
    <w:p>
      <w:pPr>
        <w:pStyle w:val="TextBody"/>
        <w:bidi w:val="0"/>
        <w:spacing w:before="240" w:after="0"/>
        <w:jc w:val="left"/>
        <w:rPr>
          <w:rFonts w:ascii="Times New Roman" w:hAnsi="Times New Roman"/>
          <w:sz w:val="20"/>
        </w:rPr>
      </w:pPr>
      <w:r>
        <w:rPr>
          <w:rFonts w:ascii="Times New Roman" w:hAnsi="Times New Roman"/>
          <w:sz w:val="20"/>
        </w:rPr>
        <w:t xml:space="preserve">We may offer shares of common or preferred stock, various series of senior or subordinated debt securities, warrants, or units consisting of combinations of the foregoing, in each case from time to time under this prospectus, together with the applicable prospectus supplement, at prices and on terms to be determined by market conditions at the time of offering. This prospectus provides you with a general description of the securities we may offer. At the time we offer a particular type or series of securities, we will provide an applicable prospectus supplement describing the specific amounts, prices and other important terms of the securities, including, to the extent applicable: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designation or classification;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aggregate principal amount or aggregate offering price;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voting or other rights;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rates and times of payment of interest, dividends or other payments;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liquidation preference;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original issue discount;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maturity;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ranking;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restrictive covenants;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redemption, conversion, exercise, exchange, settlement or sinking fund terms, including prices or rates, and any provisions for changes to or adjustments in such prices or rates and in the securities or other property receivable upon conversion, exercise, exchange or settlement;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securities exchange or market listing arrangements;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important U.S. federal income tax considerations.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This prospectus may not be used to offer or sell securities unless accompanied by an applicable prospectus supplement. The applicable prospectus supplement may add, update or change information contained in this prospectus or in documents incorporated by reference in this prospectus. You should read the applicable prospectus supplement related to any securities being offered. </w:t>
      </w:r>
    </w:p>
    <w:p>
      <w:pPr>
        <w:pStyle w:val="TextBody"/>
        <w:bidi w:val="0"/>
        <w:spacing w:before="240" w:after="0"/>
        <w:jc w:val="left"/>
        <w:rPr>
          <w:rFonts w:ascii="Times New Roman" w:hAnsi="Times New Roman"/>
          <w:sz w:val="20"/>
        </w:rPr>
      </w:pPr>
      <w:r>
        <w:rPr>
          <w:rFonts w:ascii="Times New Roman" w:hAnsi="Times New Roman"/>
          <w:sz w:val="20"/>
        </w:rPr>
        <w:t>We may sell the securities to or through underwriters, dealers or agents, directly to purchasers or through a combination of any of these methods of sale or as otherwise set forth under “</w:t>
      </w:r>
      <w:r>
        <w:rPr>
          <w:rFonts w:ascii="Times New Roman" w:hAnsi="Times New Roman"/>
          <w:i/>
          <w:sz w:val="20"/>
        </w:rPr>
        <w:t>Plan of Distribution</w:t>
      </w:r>
      <w:r>
        <w:rPr>
          <w:rFonts w:ascii="Times New Roman" w:hAnsi="Times New Roman"/>
          <w:sz w:val="20"/>
        </w:rPr>
        <w:t xml:space="preserve">”. We and our underwriters, dealers or agents reserve the right to accept or reject all or part of any proposed purchase of securities. If we do offer securities through underwriters or agents, we will include in the applicable prospectus supplement (i) the names of the underwriters or agents and applicable fees, discounts and commissions to be paid to them; (ii) details regarding over-allotment options, if any; and (iii) net proceeds to us. </w:t>
      </w:r>
    </w:p>
    <w:p>
      <w:pPr>
        <w:pStyle w:val="TextBody"/>
        <w:bidi w:val="0"/>
        <w:spacing w:before="240" w:after="0"/>
        <w:jc w:val="left"/>
        <w:rPr>
          <w:rFonts w:ascii="Times New Roman" w:hAnsi="Times New Roman"/>
          <w:sz w:val="20"/>
        </w:rPr>
      </w:pPr>
      <w:r>
        <w:rPr>
          <w:rFonts w:ascii="Times New Roman" w:hAnsi="Times New Roman"/>
          <w:sz w:val="20"/>
        </w:rPr>
        <w:t>The following descriptions are not complete and may not contain all the information you should consider before investing in any securities we may offer hereunder; they are summarized from, and qualified by reference to, our amended and restated certificate of incorporation, amended and restated bylaws and the other documents referred to in the descriptions, all of which are or will be publicly filed with the SEC, as applicable. See “</w:t>
      </w:r>
      <w:r>
        <w:rPr>
          <w:rFonts w:ascii="Times New Roman" w:hAnsi="Times New Roman"/>
          <w:i/>
          <w:sz w:val="20"/>
        </w:rPr>
        <w:t>Where You Can Find More Information</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26" w:name="tx190758_11"/>
      <w:bookmarkEnd w:id="26"/>
      <w:r>
        <w:rPr>
          <w:rFonts w:ascii="Times New Roman" w:hAnsi="Times New Roman"/>
          <w:b/>
          <w:sz w:val="20"/>
        </w:rPr>
        <w:t xml:space="preserve">DESCRIPTION OF CAPITAL STOCK </w:t>
      </w:r>
    </w:p>
    <w:p>
      <w:pPr>
        <w:pStyle w:val="TextBody"/>
        <w:bidi w:val="0"/>
        <w:spacing w:before="240" w:after="0"/>
        <w:jc w:val="left"/>
        <w:rPr>
          <w:rFonts w:ascii="Times New Roman" w:hAnsi="Times New Roman"/>
          <w:sz w:val="20"/>
        </w:rPr>
      </w:pPr>
      <w:r>
        <w:rPr>
          <w:rFonts w:ascii="Times New Roman" w:hAnsi="Times New Roman"/>
          <w:sz w:val="20"/>
        </w:rPr>
        <w:t xml:space="preserve">The following summary description of our common stock and preferred stock, together with the additional information we include in any applicable prospectus supplements, summarizes the material terms and provisions of our capital stock. The following description of our capital stock is intended as a summary only, does not purport to be complete and is subject to, and qualified in its entirety by, our amended and restated certificate of incorporation and amended and restated bylaws, which are exhibits to the registration statement of which this prospectus forms a part, and by applicable law. The terms of our common stock and preferred stock may also be affected by Delaware law. </w:t>
      </w:r>
    </w:p>
    <w:p>
      <w:pPr>
        <w:pStyle w:val="TextBody"/>
        <w:bidi w:val="0"/>
        <w:spacing w:before="360" w:after="0"/>
        <w:jc w:val="left"/>
        <w:rPr>
          <w:rFonts w:ascii="Times New Roman" w:hAnsi="Times New Roman"/>
          <w:b/>
          <w:sz w:val="20"/>
        </w:rPr>
      </w:pPr>
      <w:r>
        <w:rPr>
          <w:rFonts w:ascii="Times New Roman" w:hAnsi="Times New Roman"/>
          <w:b/>
          <w:sz w:val="20"/>
        </w:rPr>
        <w:t xml:space="preserve">Authorized Capital Stock </w:t>
      </w:r>
    </w:p>
    <w:p>
      <w:pPr>
        <w:pStyle w:val="TextBody"/>
        <w:bidi w:val="0"/>
        <w:spacing w:before="120" w:after="0"/>
        <w:jc w:val="left"/>
        <w:rPr>
          <w:rFonts w:ascii="Times New Roman" w:hAnsi="Times New Roman"/>
          <w:sz w:val="20"/>
        </w:rPr>
      </w:pPr>
      <w:r>
        <w:rPr>
          <w:rFonts w:ascii="Times New Roman" w:hAnsi="Times New Roman"/>
          <w:sz w:val="20"/>
        </w:rPr>
        <w:t xml:space="preserve">Our authorized capital stock consists of 100,000,000 shares of common stock, par value $0.0001 per share, and 10,000,000 shares of preferred stock, par value $0.0001 per share, all of which preferred stock is undesignated. As of June 30, 2024, we had 29,707,997 shares of our common stock outstanding and no shares of preferred stock outstanding. Unless our board of directors determines otherwise, we will issue all shares of our capital stock in uncertificated form. </w:t>
      </w:r>
    </w:p>
    <w:p>
      <w:pPr>
        <w:pStyle w:val="TextBody"/>
        <w:bidi w:val="0"/>
        <w:spacing w:before="360" w:after="0"/>
        <w:jc w:val="left"/>
        <w:rPr>
          <w:rFonts w:ascii="Times New Roman" w:hAnsi="Times New Roman"/>
          <w:b/>
          <w:sz w:val="20"/>
        </w:rPr>
      </w:pPr>
      <w:r>
        <w:rPr>
          <w:rFonts w:ascii="Times New Roman" w:hAnsi="Times New Roman"/>
          <w:b/>
          <w:sz w:val="20"/>
        </w:rPr>
        <w:t xml:space="preserve">Common Stock </w:t>
      </w:r>
    </w:p>
    <w:p>
      <w:pPr>
        <w:pStyle w:val="TextBody"/>
        <w:bidi w:val="0"/>
        <w:spacing w:before="120" w:after="0"/>
        <w:jc w:val="left"/>
        <w:rPr>
          <w:rFonts w:ascii="Times New Roman" w:hAnsi="Times New Roman"/>
          <w:sz w:val="20"/>
        </w:rPr>
      </w:pPr>
      <w:r>
        <w:rPr>
          <w:rFonts w:ascii="Times New Roman" w:hAnsi="Times New Roman"/>
          <w:sz w:val="20"/>
        </w:rPr>
        <w:t xml:space="preserve">The holders of our common stock are entitled to one vote for each share held on all matters submitted to a vote of the stockholders. The holders of our common stock do not have any cumulative voting rights. Holders of our common stock are entitled to receive ratably any dividends declared by our board of directors out of funds legally available for that purpose, subject to any preferential dividend rights of any outstanding preferred stock. Our common stock has no preemptive rights, conversion rights or other subscription rights or redemption or sinking fund provisions. </w:t>
      </w:r>
    </w:p>
    <w:p>
      <w:pPr>
        <w:pStyle w:val="TextBody"/>
        <w:bidi w:val="0"/>
        <w:spacing w:before="240" w:after="0"/>
        <w:jc w:val="left"/>
        <w:rPr>
          <w:rFonts w:ascii="Times New Roman" w:hAnsi="Times New Roman"/>
          <w:sz w:val="20"/>
        </w:rPr>
      </w:pPr>
      <w:r>
        <w:rPr>
          <w:rFonts w:ascii="Times New Roman" w:hAnsi="Times New Roman"/>
          <w:sz w:val="20"/>
        </w:rPr>
        <w:t>In the event of our liquidation, dissolution or winding up, holders of our common stock will be entitled to share ratably in all assets remaining after payment of all debts and other liabilities and any liquidation preference of any outstanding preferred stock. When we issue shares of common stock under this prospectus, when issued and paid for, the shares will be validly issued, fully paid and non-assessable.</w:t>
      </w:r>
    </w:p>
    <w:p>
      <w:pPr>
        <w:pStyle w:val="TextBody"/>
        <w:bidi w:val="0"/>
        <w:spacing w:before="360" w:after="0"/>
        <w:jc w:val="left"/>
        <w:rPr>
          <w:rFonts w:ascii="Times New Roman" w:hAnsi="Times New Roman"/>
          <w:b/>
          <w:i/>
          <w:sz w:val="20"/>
        </w:rPr>
      </w:pPr>
      <w:r>
        <w:rPr>
          <w:rFonts w:ascii="Times New Roman" w:hAnsi="Times New Roman"/>
          <w:b/>
          <w:i/>
          <w:sz w:val="20"/>
        </w:rPr>
        <w:t xml:space="preserve">Exchange Listing </w:t>
      </w:r>
    </w:p>
    <w:p>
      <w:pPr>
        <w:pStyle w:val="TextBody"/>
        <w:bidi w:val="0"/>
        <w:spacing w:before="120" w:after="0"/>
        <w:jc w:val="left"/>
        <w:rPr>
          <w:rFonts w:ascii="Times New Roman" w:hAnsi="Times New Roman"/>
          <w:sz w:val="20"/>
        </w:rPr>
      </w:pPr>
      <w:r>
        <w:rPr>
          <w:rFonts w:ascii="Times New Roman" w:hAnsi="Times New Roman"/>
          <w:sz w:val="20"/>
        </w:rPr>
        <w:t xml:space="preserve">Our common stock is listed on The Nasdaq Global Market under the symbol “IRON.” On August 7, 2024, the closing price for our common stock, as reported on The Nasdaq Global Market, was $41.27 per share. As of June 30, 2024, we had estimated approximately 19 stockholders of record. </w:t>
      </w:r>
    </w:p>
    <w:p>
      <w:pPr>
        <w:pStyle w:val="TextBody"/>
        <w:bidi w:val="0"/>
        <w:spacing w:before="360" w:after="0"/>
        <w:jc w:val="left"/>
        <w:rPr>
          <w:rFonts w:ascii="Times New Roman" w:hAnsi="Times New Roman"/>
          <w:b/>
          <w:i/>
          <w:sz w:val="20"/>
        </w:rPr>
      </w:pPr>
      <w:r>
        <w:rPr>
          <w:rFonts w:ascii="Times New Roman" w:hAnsi="Times New Roman"/>
          <w:b/>
          <w:i/>
          <w:sz w:val="20"/>
        </w:rPr>
        <w:t xml:space="preserve">Transfer Agent and Registrar </w:t>
      </w:r>
    </w:p>
    <w:p>
      <w:pPr>
        <w:pStyle w:val="TextBody"/>
        <w:bidi w:val="0"/>
        <w:spacing w:before="120" w:after="0"/>
        <w:jc w:val="left"/>
        <w:rPr>
          <w:rFonts w:ascii="Times New Roman" w:hAnsi="Times New Roman"/>
          <w:sz w:val="20"/>
        </w:rPr>
      </w:pPr>
      <w:r>
        <w:rPr>
          <w:rFonts w:ascii="Times New Roman" w:hAnsi="Times New Roman"/>
          <w:sz w:val="20"/>
        </w:rPr>
        <w:t xml:space="preserve">The transfer agent and registrar for our common stock is Broadridge Corporate Issuer Solutions, LLC. The transfer agent and registrar’s address is 51 Mercedes Way, Edgewood, NY 11717. </w:t>
      </w:r>
    </w:p>
    <w:p>
      <w:pPr>
        <w:pStyle w:val="TextBody"/>
        <w:bidi w:val="0"/>
        <w:spacing w:before="360" w:after="0"/>
        <w:jc w:val="left"/>
        <w:rPr>
          <w:rFonts w:ascii="Times New Roman" w:hAnsi="Times New Roman"/>
          <w:b/>
          <w:sz w:val="20"/>
        </w:rPr>
      </w:pPr>
      <w:r>
        <w:rPr>
          <w:rFonts w:ascii="Times New Roman" w:hAnsi="Times New Roman"/>
          <w:b/>
          <w:sz w:val="20"/>
        </w:rPr>
        <w:t xml:space="preserve">Preferred Stock </w:t>
      </w:r>
    </w:p>
    <w:p>
      <w:pPr>
        <w:pStyle w:val="TextBody"/>
        <w:bidi w:val="0"/>
        <w:spacing w:before="120" w:after="0"/>
        <w:jc w:val="left"/>
        <w:rPr>
          <w:rFonts w:ascii="Times New Roman" w:hAnsi="Times New Roman"/>
          <w:b/>
          <w:i/>
          <w:sz w:val="20"/>
        </w:rPr>
      </w:pPr>
      <w:r>
        <w:rPr>
          <w:rFonts w:ascii="Times New Roman" w:hAnsi="Times New Roman"/>
          <w:b/>
          <w:i/>
          <w:sz w:val="20"/>
        </w:rPr>
        <w:t xml:space="preserve">Undesignated Preferred Stock </w:t>
      </w:r>
    </w:p>
    <w:p>
      <w:pPr>
        <w:pStyle w:val="TextBody"/>
        <w:bidi w:val="0"/>
        <w:spacing w:before="120" w:after="0"/>
        <w:jc w:val="left"/>
        <w:rPr>
          <w:rFonts w:ascii="Times New Roman" w:hAnsi="Times New Roman"/>
          <w:sz w:val="20"/>
        </w:rPr>
      </w:pPr>
      <w:r>
        <w:rPr>
          <w:rFonts w:ascii="Times New Roman" w:hAnsi="Times New Roman"/>
          <w:sz w:val="20"/>
        </w:rPr>
        <w:t xml:space="preserve">Our board of directors has the authority, without further action by our stockholders, to issue up to 10,000,000 shares of preferred stock in one or more series and to fix the rights, preferences, privileges and restrictions thereof. These rights, preferences and privileges could include dividend rights, conversion rights, voting rights, terms of redemption, liquidation preferences, sinking fund terms and the number of shares constituting, or the designation of, such series, any or all of which may be greater than the rights of common stock. The issuance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our preferred stock could adversely affect the voting power of holders of common stock and the likelihood that such holders will receive dividend payments and payments upon our liquidation. In addition, the issuance of preferred stock could have the effect of delaying, deferring or preventing a change in control of our company or other corporate action. We have no shares of preferred stock outstanding, and we have no present plan to issue any shares of preferred stock. </w:t>
      </w:r>
    </w:p>
    <w:p>
      <w:pPr>
        <w:pStyle w:val="TextBody"/>
        <w:bidi w:val="0"/>
        <w:spacing w:before="240" w:after="0"/>
        <w:jc w:val="left"/>
        <w:rPr>
          <w:rFonts w:ascii="Times New Roman" w:hAnsi="Times New Roman"/>
          <w:sz w:val="20"/>
        </w:rPr>
      </w:pPr>
      <w:r>
        <w:rPr>
          <w:rFonts w:ascii="Times New Roman" w:hAnsi="Times New Roman"/>
          <w:sz w:val="20"/>
        </w:rPr>
        <w:t xml:space="preserve">The purpose of authorizing our board of directors to issue preferred stock in one or more series and determine the number of shares in the series and its rights and preferences is to eliminate delays associated with a stockholder vote on specific issuances. Examples of rights and preferences that our board of directors may fix are: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dividend rights;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dividend rates;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conversion rights;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voting rights;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terms of redemption;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liquidation preferences.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existence of authorized but unissued shares of undesignated preferred stock may enable our board of directors to render more difficult or to discourage an attempt to obtain control of us by means of a merger, tender offer, proxy contest or otherwise. For example, if in the due exercise of its fiduciary obligations, our board of directors were to determine that a takeover proposal is not in the best interests of us or our stockholders, our board of directors could cause shares of preferred stock to be issued without stockholder approval in one or more private offerings or other transactions that might dilute the voting or other rights of the proposed acquirer, stockholder or stockholder group. The rights of holders of our common stock described above, will be subject to, and may be adversely affected by, the rights of any preferred stock that we may designate and issue in the future. The issuance of shares of undesignated preferred stock could decrease the amount of earnings and assets available for distribution to holders of shares of common stock. The issuance may also adversely affect the rights and powers, including voting rights, of these holders and may have the effect of delaying, deterring or preventing a change in control of us. </w:t>
      </w:r>
    </w:p>
    <w:p>
      <w:pPr>
        <w:pStyle w:val="TextBody"/>
        <w:bidi w:val="0"/>
        <w:spacing w:before="360" w:after="0"/>
        <w:jc w:val="left"/>
        <w:rPr>
          <w:rFonts w:ascii="Times New Roman" w:hAnsi="Times New Roman"/>
          <w:b/>
          <w:i/>
          <w:sz w:val="20"/>
        </w:rPr>
      </w:pPr>
      <w:r>
        <w:rPr>
          <w:rFonts w:ascii="Times New Roman" w:hAnsi="Times New Roman"/>
          <w:b/>
          <w:i/>
          <w:sz w:val="20"/>
        </w:rPr>
        <w:t xml:space="preserve">Additional Series of Preferred Stock </w:t>
      </w:r>
    </w:p>
    <w:p>
      <w:pPr>
        <w:pStyle w:val="TextBody"/>
        <w:bidi w:val="0"/>
        <w:spacing w:before="120" w:after="0"/>
        <w:jc w:val="left"/>
        <w:rPr>
          <w:rFonts w:ascii="Times New Roman" w:hAnsi="Times New Roman"/>
          <w:sz w:val="20"/>
        </w:rPr>
      </w:pPr>
      <w:r>
        <w:rPr>
          <w:rFonts w:ascii="Times New Roman" w:hAnsi="Times New Roman"/>
          <w:sz w:val="20"/>
        </w:rPr>
        <w:t xml:space="preserve">We will incorporate by reference as an exhibit to the registration statement, which includes this prospectus, the form of any certificate of designation that describes the terms of any additional series of preferred stock we may offer pursuant to this prospectus. This description and the applicable prospectus supplement will include: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title and stated value;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number of shares authorized;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liquidation preference per share;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purchase price;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dividend rate, period and payment date, and method of calculation for dividends;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dividends will be cumulative or non-cumulative and, if cumulative, the date from which dividends will accumulate;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procedures for any auction and remarketing, if 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provisions for a sinking fund, if 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provisions for redemption or repurchase, if applicable, and any restrictions on our ability to exercise those redemption and repurchase rights;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listing of the preferred stock on any securities exchange or market;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the preferred stock will be convertible into our common stock, and, if applicable, the conversion price, or how it will be calculated, and the conversion period;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the preferred stock will be exchangeable into debt securities, and, if applicable, the exchange price, or how it will be calculated, and the exchange period;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voting rights, if any, of the preferred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preemptive rights, if 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restrictions on transfer, sale or other assignment, if 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interests in the preferred stock will be represented by depositary shares;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discussion of any material United States federal income tax considerations applicable to the preferred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relative ranking and preferences of the preferred stock as to dividend rights and rights if we liquidate, dissolve or wind up our affairs;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limitations on issuance of any class or series of preferred stock ranking senior to or on a parity with the series of preferred stock as to dividend rights and rights if we liquidate, dissolve or wind up our affairs;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specific terms, preferences, rights or limitations of, or restrictions on, the preferred stock. </w:t>
            </w:r>
          </w:p>
        </w:tc>
      </w:tr>
    </w:tbl>
    <w:p>
      <w:pPr>
        <w:pStyle w:val="TextBody"/>
        <w:bidi w:val="0"/>
        <w:spacing w:before="240" w:after="0"/>
        <w:jc w:val="left"/>
        <w:rPr>
          <w:rFonts w:ascii="Times New Roman" w:hAnsi="Times New Roman"/>
          <w:sz w:val="20"/>
        </w:rPr>
      </w:pPr>
      <w:r>
        <w:rPr>
          <w:rFonts w:ascii="Times New Roman" w:hAnsi="Times New Roman"/>
          <w:sz w:val="20"/>
        </w:rPr>
        <w:t xml:space="preserve">When we issue shares of preferred stock under this prospectus, the shares will fully be paid and nonassessable and will not be subject to any preemptive or similar rights. </w:t>
      </w:r>
    </w:p>
    <w:p>
      <w:pPr>
        <w:pStyle w:val="TextBody"/>
        <w:bidi w:val="0"/>
        <w:spacing w:before="360" w:after="0"/>
        <w:jc w:val="left"/>
        <w:rPr>
          <w:rFonts w:ascii="Times New Roman" w:hAnsi="Times New Roman"/>
          <w:b/>
          <w:sz w:val="20"/>
        </w:rPr>
      </w:pPr>
      <w:r>
        <w:rPr>
          <w:rFonts w:ascii="Times New Roman" w:hAnsi="Times New Roman"/>
          <w:b/>
          <w:sz w:val="20"/>
        </w:rPr>
        <w:t xml:space="preserve">Registration Rights </w:t>
      </w:r>
    </w:p>
    <w:p>
      <w:pPr>
        <w:pStyle w:val="TextBody"/>
        <w:bidi w:val="0"/>
        <w:spacing w:before="120" w:after="0"/>
        <w:jc w:val="left"/>
        <w:rPr>
          <w:rFonts w:ascii="Times New Roman" w:hAnsi="Times New Roman"/>
          <w:sz w:val="20"/>
        </w:rPr>
      </w:pPr>
      <w:r>
        <w:rPr>
          <w:rFonts w:ascii="Times New Roman" w:hAnsi="Times New Roman"/>
          <w:sz w:val="20"/>
        </w:rPr>
        <w:t xml:space="preserve">The holders of an estimated 5.0 million shares of our common stock, or their transferees, are entitled to the registration rights set forth below with respect to registration of the resale of such shares under the Securities Act pursuant to the investors’ rights agreement, by and among us and certain of our stockholders. Generally, in an underwritten offering, the managing underwriter, if any, has the right, subject to specified conditions and limitations, to limit the number of shares the holders may include. </w:t>
      </w:r>
    </w:p>
    <w:p>
      <w:pPr>
        <w:pStyle w:val="TextBody"/>
        <w:bidi w:val="0"/>
        <w:spacing w:before="360" w:after="0"/>
        <w:jc w:val="left"/>
        <w:rPr>
          <w:rFonts w:ascii="Times New Roman" w:hAnsi="Times New Roman"/>
          <w:b/>
          <w:i/>
          <w:sz w:val="20"/>
        </w:rPr>
      </w:pPr>
      <w:r>
        <w:rPr>
          <w:rFonts w:ascii="Times New Roman" w:hAnsi="Times New Roman"/>
          <w:b/>
          <w:i/>
          <w:sz w:val="20"/>
        </w:rPr>
        <w:t xml:space="preserve">2022 Registration Rights Agreement </w:t>
      </w:r>
    </w:p>
    <w:p>
      <w:pPr>
        <w:pStyle w:val="TextBody"/>
        <w:bidi w:val="0"/>
        <w:spacing w:before="120" w:after="0"/>
        <w:jc w:val="left"/>
        <w:rPr>
          <w:rFonts w:ascii="Times New Roman" w:hAnsi="Times New Roman"/>
          <w:sz w:val="20"/>
        </w:rPr>
      </w:pPr>
      <w:r>
        <w:rPr>
          <w:rFonts w:ascii="Times New Roman" w:hAnsi="Times New Roman"/>
          <w:sz w:val="20"/>
        </w:rPr>
        <w:t xml:space="preserve">We are party to a registration rights agreement, or the 2022 Registration Rights Agreement, with certain holders of our capital stock, or the 2022 Investors, pursuant to which we (i) agreed to register for resale shares of our common stock issued to the 2022 Investors pursuant to the Merger Agreement, or the Registrable Securities, and (ii) granted certain other registration rights to the 2022 Investors. </w:t>
      </w:r>
    </w:p>
    <w:p>
      <w:pPr>
        <w:pStyle w:val="TextBody"/>
        <w:bidi w:val="0"/>
        <w:spacing w:before="240" w:after="0"/>
        <w:jc w:val="left"/>
        <w:rPr>
          <w:rFonts w:ascii="Times New Roman" w:hAnsi="Times New Roman"/>
          <w:sz w:val="20"/>
        </w:rPr>
      </w:pPr>
      <w:r>
        <w:rPr>
          <w:rFonts w:ascii="Times New Roman" w:hAnsi="Times New Roman"/>
          <w:sz w:val="20"/>
        </w:rPr>
        <w:t xml:space="preserve">In particular, the 2022 Registration Rights Agreement provides for the following registration rights: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i/>
                <w:sz w:val="20"/>
              </w:rPr>
              <w:t>Shelf registration rights</w:t>
            </w:r>
            <w:r>
              <w:rPr>
                <w:rFonts w:ascii="Times New Roman" w:hAnsi="Times New Roman"/>
                <w:sz w:val="20"/>
              </w:rPr>
              <w:t xml:space="preserve">. Following the completion of the merger as contemplated by the Merger Agreement, we were required to file with the SEC, a shelf registration statement registering the resale of the Registrable Securities, and use our commercially reasonable efforts to have such registration statement declared effective by the SEC as promptly as possible.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i/>
                <w:sz w:val="20"/>
              </w:rPr>
              <w:t>Expenses and indemnification</w:t>
            </w:r>
            <w:r>
              <w:rPr>
                <w:rFonts w:ascii="Times New Roman" w:hAnsi="Times New Roman"/>
                <w:sz w:val="20"/>
              </w:rPr>
              <w:t xml:space="preserve">. The fees, costs and expenses of registrations pursuant to the registration rights granted to the 2022 Investors under the 2022 Registration Rights Agreement will be borne by us. The 2022 Registration Rights Agreement contains customary cross-indemnification provisions, under which we are obligated to indemnify holders of Registrable Securities in the event of material misstatements or omissions in the registration statement attributable to us, and holders of Registrable Securities are obligated to indemnify us for material misstatements or omissions attributable to them.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i/>
          <w:sz w:val="20"/>
        </w:rPr>
      </w:pPr>
      <w:r>
        <w:rPr>
          <w:rFonts w:ascii="Times New Roman" w:hAnsi="Times New Roman"/>
          <w:b/>
          <w:i/>
          <w:sz w:val="20"/>
        </w:rPr>
        <w:t xml:space="preserve">2021 Registration Rights Agreement </w:t>
      </w:r>
    </w:p>
    <w:p>
      <w:pPr>
        <w:pStyle w:val="TextBody"/>
        <w:bidi w:val="0"/>
        <w:spacing w:before="120" w:after="0"/>
        <w:jc w:val="left"/>
        <w:rPr>
          <w:rFonts w:ascii="Times New Roman" w:hAnsi="Times New Roman"/>
          <w:sz w:val="20"/>
        </w:rPr>
      </w:pPr>
      <w:r>
        <w:rPr>
          <w:rFonts w:ascii="Times New Roman" w:hAnsi="Times New Roman"/>
          <w:sz w:val="20"/>
        </w:rPr>
        <w:t xml:space="preserve">We are a party to a registration rights agreement, or the 2021 Registration Rights Agreement, pursuant to which, among other things, certain holders of capital stock, including certain investors of FS Development Corporation, a Delaware corporation, or the FSDC Investors, certain entities affiliated with Atlas Ventures, entities affiliated with Lightstone Ventures, OrbiMed Private Investments VI, LP, and Wu Capital Investment LLC, or collectively, the Major Investors and together with the FSDC Investors, the Investors, were granted certain registration rights with respect to Registrable Securities, as defined in the 2021 Registration Rights Agreement, held by them, subject to certain conditions and limitations. </w:t>
      </w:r>
    </w:p>
    <w:p>
      <w:pPr>
        <w:pStyle w:val="TextBody"/>
        <w:bidi w:val="0"/>
        <w:spacing w:before="240" w:after="0"/>
        <w:jc w:val="left"/>
        <w:rPr>
          <w:rFonts w:ascii="Times New Roman" w:hAnsi="Times New Roman"/>
          <w:sz w:val="20"/>
        </w:rPr>
      </w:pPr>
      <w:r>
        <w:rPr>
          <w:rFonts w:ascii="Times New Roman" w:hAnsi="Times New Roman"/>
          <w:sz w:val="20"/>
        </w:rPr>
        <w:t xml:space="preserve">In particular, the 2021 Registration Rights Agreement provides for the following registration rights: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i/>
                <w:sz w:val="20"/>
              </w:rPr>
              <w:t>Demand registration rights</w:t>
            </w:r>
            <w:r>
              <w:rPr>
                <w:rFonts w:ascii="Times New Roman" w:hAnsi="Times New Roman"/>
                <w:sz w:val="20"/>
              </w:rPr>
              <w:t xml:space="preserve">. We are required, upon the written request of either (i) FSDC Investors holding a majority of the Registrable Securities held by all FSDC Investors or (ii) Major Investors holding a majority of the Registrable Securities held by all Major Investors, to file a registration statement under the Securities Act on Form S-1 or any similar long-form registration statement or, if then available, on Form S-3, and use reasonable best efforts to effect the registration of all or part of their registrable securities requested to be included in such registration by the Investors.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i/>
                <w:sz w:val="20"/>
              </w:rPr>
              <w:t>Shelf registration rights</w:t>
            </w:r>
            <w:r>
              <w:rPr>
                <w:rFonts w:ascii="Times New Roman" w:hAnsi="Times New Roman"/>
                <w:sz w:val="20"/>
              </w:rPr>
              <w:t xml:space="preserve">. A shelf registration statement pursuant to Rule 415 of Securities Act, was filed on February 17, 2021 and became effective on April 28, 2021. At any time we have an effective shelf registration statement, if we receive a request from Investors holding registrable securities with an estimated market value of at least $5,000,000, to effect an underwritten shelf takedown, we shall use our reasonable best efforts to as expeditiously as possible effect the underwritten shelf takedown.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i/>
                <w:sz w:val="20"/>
              </w:rPr>
              <w:t>Limits on demand registration rights and shelf registration rights.</w:t>
            </w:r>
            <w:r>
              <w:rPr>
                <w:rFonts w:ascii="Times New Roman" w:hAnsi="Times New Roman"/>
                <w:sz w:val="20"/>
              </w:rPr>
              <w:t xml:space="preserve"> We shall not be obligated to effect: (a) more than one (1) demand registration or underwritten shelf takedown during any six-month period; (b) any demand registration at any time there is an effective resale shelf registration statement on file with the SEC; (c) more than two underwritten demand registrations in respect of all registrable securities held by the FSDC Investors, including those made under a shelf registration statement, or (d) more than two underwritten demand registrations in respect of all registrable securities held by the Major Investors, including those made under a shelf registration statement.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i/>
                <w:sz w:val="20"/>
              </w:rPr>
              <w:t>Piggyback registration rights</w:t>
            </w:r>
            <w:r>
              <w:rPr>
                <w:rFonts w:ascii="Times New Roman" w:hAnsi="Times New Roman"/>
                <w:sz w:val="20"/>
              </w:rPr>
              <w:t xml:space="preserve">. At any time after the first anniversary of the closing date, if we propose to file a registration statement to register any of our equity securities under the Securities Act or to conduct a public offering, either for our own account or for the account of any other person, subject to certain exceptions, the Investors are entitled to include their registrable securities in such registration statement, subject to customary cut-back rights.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i/>
                <w:sz w:val="20"/>
              </w:rPr>
              <w:t>Expenses and indemnification</w:t>
            </w:r>
            <w:r>
              <w:rPr>
                <w:rFonts w:ascii="Times New Roman" w:hAnsi="Times New Roman"/>
                <w:sz w:val="20"/>
              </w:rPr>
              <w:t xml:space="preserve">. All fees, costs and expenses of underwritten registrations will be borne by us and underwriting discounts and selling commissions will be borne by the holders of the shares being registered. The 2021 Registration Rights Agreement contains customary cross-indemnification provisions, under which we are obligated to indemnify holders of registrable securities in the event of material misstatements or omissions in the registration statement attributable to us, and holders of registrable securities are obligated to indemnify us for material misstatements or omissions attributable to them.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i/>
                <w:sz w:val="20"/>
              </w:rPr>
              <w:t>Registrable securities</w:t>
            </w:r>
            <w:r>
              <w:rPr>
                <w:rFonts w:ascii="Times New Roman" w:hAnsi="Times New Roman"/>
                <w:sz w:val="20"/>
              </w:rPr>
              <w:t xml:space="preserve">. Securities of ours shall cease to be registrable securities upon the earlier of (i) tenth anniversary of February 5, 2021 and (ii) the date as of which (1) a registration statement with respect to the sale of such securities shall have become effective under the Securities Act and such securities shall have been disposed of in accordance with such registration statement, or (2) such securities shall have been transferred pursuant to Rule 144 of the Securities Act, or with respect to any Investor, securities of such Investor shall cease to be registrable securities, on the earlier of (x) the date such Investor ceases to hold at least 1% of the registrable securities or (y) if such Investor is an individual and such Investor is a director or an executive officer of Disc or FS Development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916"/>
        <w:gridCol w:w="9289"/>
      </w:tblGrid>
      <w:tr>
        <w:trPr/>
        <w:tc>
          <w:tcPr>
            <w:tcW w:w="916" w:type="dxa"/>
            <w:tcBorders/>
            <w:vAlign w:val="center"/>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Corporation as of immediately prior to the consummation of the business combination, the date when such Investor is permitted to sell the Registrable Securities under Rule 144 (or any similar provision) under the Securities Act without limitation on the amount of securities sold or the manner of sale.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Authorized but Unissued Capital Stock </w:t>
      </w:r>
    </w:p>
    <w:p>
      <w:pPr>
        <w:pStyle w:val="TextBody"/>
        <w:bidi w:val="0"/>
        <w:spacing w:before="120" w:after="0"/>
        <w:jc w:val="left"/>
        <w:rPr>
          <w:rFonts w:ascii="Times New Roman" w:hAnsi="Times New Roman"/>
          <w:sz w:val="20"/>
        </w:rPr>
      </w:pPr>
      <w:r>
        <w:rPr>
          <w:rFonts w:ascii="Times New Roman" w:hAnsi="Times New Roman"/>
          <w:sz w:val="20"/>
        </w:rPr>
        <w:t xml:space="preserve">The Delaware General Corporation Law does not require stockholder approval for any issuance of authorized shares. However, the listing requirements of Nasdaq, which would apply so long as our common stock remains listed on Nasdaq, require stockholder approval of certain issuances equal to or exceeding 20% of the then outstanding voting power or then outstanding number of shares of common stock. These additional shares may be used for a variety of corporate purposes, including future public offerings, to raise additional capital or to facilitate acquisitions. </w:t>
      </w:r>
    </w:p>
    <w:p>
      <w:pPr>
        <w:pStyle w:val="TextBody"/>
        <w:bidi w:val="0"/>
        <w:spacing w:before="240" w:after="0"/>
        <w:jc w:val="left"/>
        <w:rPr>
          <w:rFonts w:ascii="Times New Roman" w:hAnsi="Times New Roman"/>
          <w:sz w:val="20"/>
        </w:rPr>
      </w:pPr>
      <w:r>
        <w:rPr>
          <w:rFonts w:ascii="Times New Roman" w:hAnsi="Times New Roman"/>
          <w:sz w:val="20"/>
        </w:rPr>
        <w:t xml:space="preserve">One of the effects of the existence of unissued and unreserved common stock or preferred stock may be to enable our board of directors to issue shares to persons friendly to current management, which issuance could render more difficult or discourage an attempt to obtain control of our company by means of a merger, tender offer, proxy contest or otherwise, and thereby protect the continuity of our management and possibly deprive our stockholders of opportunities to sell their shares of common stock at prices higher than prevailing market prices. </w:t>
      </w:r>
    </w:p>
    <w:p>
      <w:pPr>
        <w:pStyle w:val="TextBody"/>
        <w:bidi w:val="0"/>
        <w:spacing w:before="360" w:after="0"/>
        <w:jc w:val="left"/>
        <w:rPr>
          <w:rFonts w:ascii="Times New Roman" w:hAnsi="Times New Roman"/>
          <w:b/>
          <w:sz w:val="20"/>
        </w:rPr>
      </w:pPr>
      <w:r>
        <w:rPr>
          <w:rFonts w:ascii="Times New Roman" w:hAnsi="Times New Roman"/>
          <w:b/>
          <w:sz w:val="20"/>
        </w:rPr>
        <w:t xml:space="preserve">Anti-Takeover Effects of our Amended and Restated Certificate of Incorporation and Amended and Restated Bylaws and Delaware Law </w:t>
      </w:r>
    </w:p>
    <w:p>
      <w:pPr>
        <w:pStyle w:val="TextBody"/>
        <w:bidi w:val="0"/>
        <w:spacing w:before="120" w:after="0"/>
        <w:jc w:val="left"/>
        <w:rPr>
          <w:rFonts w:ascii="Times New Roman" w:hAnsi="Times New Roman"/>
          <w:sz w:val="20"/>
        </w:rPr>
      </w:pPr>
      <w:r>
        <w:rPr>
          <w:rFonts w:ascii="Times New Roman" w:hAnsi="Times New Roman"/>
          <w:sz w:val="20"/>
        </w:rPr>
        <w:t xml:space="preserve">Certain provisions of Delaware law and our amended and restated certificate of incorporation and our amended and restated bylaws contain provisions that could make the following transactions more difficult: acquisition of us by means of a tender offer; acquisition of us by means of a proxy contest or otherwise; or removal of our incumbent officers and directors. It is possible that these provisions could make it more difficult to accomplish or could deter transactions that stockholders may otherwise consider to be in their best interest or in our best interests, including transactions that might result in a premium over the market price for our shares. </w:t>
      </w:r>
    </w:p>
    <w:p>
      <w:pPr>
        <w:pStyle w:val="TextBody"/>
        <w:bidi w:val="0"/>
        <w:spacing w:before="240" w:after="0"/>
        <w:jc w:val="left"/>
        <w:rPr>
          <w:rFonts w:ascii="Times New Roman" w:hAnsi="Times New Roman"/>
          <w:sz w:val="20"/>
        </w:rPr>
      </w:pPr>
      <w:r>
        <w:rPr>
          <w:rFonts w:ascii="Times New Roman" w:hAnsi="Times New Roman"/>
          <w:sz w:val="20"/>
        </w:rPr>
        <w:t xml:space="preserve">These provisions, summarized below, are expected to discourage coercive takeover practices and inadequate takeover bids. These provisions are also designed to encourage persons seeking to acquire control of us to first negotiate with our board of directors. We believe that the benefits of increased protection of our potential ability to negotiate with the proponent of an unfriendly or unsolicited proposal to acquire or restructure us outweigh the disadvantages of discouraging these proposals because negotiation of these proposals could result in an improvement of their terms. </w:t>
      </w:r>
    </w:p>
    <w:p>
      <w:pPr>
        <w:pStyle w:val="TextBody"/>
        <w:bidi w:val="0"/>
        <w:spacing w:before="360" w:after="0"/>
        <w:jc w:val="left"/>
        <w:rPr>
          <w:rFonts w:ascii="Times New Roman" w:hAnsi="Times New Roman"/>
          <w:b/>
          <w:i/>
          <w:sz w:val="20"/>
        </w:rPr>
      </w:pPr>
      <w:r>
        <w:rPr>
          <w:rFonts w:ascii="Times New Roman" w:hAnsi="Times New Roman"/>
          <w:b/>
          <w:i/>
          <w:sz w:val="20"/>
        </w:rPr>
        <w:t xml:space="preserve">Delaware anti-takeover statute </w:t>
      </w:r>
    </w:p>
    <w:p>
      <w:pPr>
        <w:pStyle w:val="TextBody"/>
        <w:bidi w:val="0"/>
        <w:spacing w:before="120" w:after="0"/>
        <w:jc w:val="left"/>
        <w:rPr>
          <w:rFonts w:ascii="Times New Roman" w:hAnsi="Times New Roman"/>
          <w:sz w:val="20"/>
        </w:rPr>
      </w:pPr>
      <w:r>
        <w:rPr>
          <w:rFonts w:ascii="Times New Roman" w:hAnsi="Times New Roman"/>
          <w:sz w:val="20"/>
        </w:rPr>
        <w:t xml:space="preserve">We are not governed by Section 203 of the Delaware General Corporation Law. </w:t>
      </w:r>
    </w:p>
    <w:p>
      <w:pPr>
        <w:pStyle w:val="TextBody"/>
        <w:bidi w:val="0"/>
        <w:spacing w:before="360" w:after="0"/>
        <w:jc w:val="left"/>
        <w:rPr>
          <w:rFonts w:ascii="Times New Roman" w:hAnsi="Times New Roman"/>
          <w:b/>
          <w:i/>
          <w:sz w:val="20"/>
        </w:rPr>
      </w:pPr>
      <w:r>
        <w:rPr>
          <w:rFonts w:ascii="Times New Roman" w:hAnsi="Times New Roman"/>
          <w:b/>
          <w:i/>
          <w:sz w:val="20"/>
        </w:rPr>
        <w:t xml:space="preserve">Undesignated preferred stock </w:t>
      </w:r>
    </w:p>
    <w:p>
      <w:pPr>
        <w:pStyle w:val="TextBody"/>
        <w:bidi w:val="0"/>
        <w:spacing w:before="120" w:after="0"/>
        <w:jc w:val="left"/>
        <w:rPr>
          <w:rFonts w:ascii="Times New Roman" w:hAnsi="Times New Roman"/>
          <w:sz w:val="20"/>
        </w:rPr>
      </w:pPr>
      <w:r>
        <w:rPr>
          <w:rFonts w:ascii="Times New Roman" w:hAnsi="Times New Roman"/>
          <w:sz w:val="20"/>
        </w:rPr>
        <w:t xml:space="preserve">The ability to authorize undesignated preferred stock makes it possible for our board of directors to issue preferred stock with voting or other rights or preferences that could impede the success of any attempt to effect a change in control of our company. These and other provisions may have the effect of deterring hostile takeovers or delaying changes in control or management of our company. </w:t>
      </w:r>
    </w:p>
    <w:p>
      <w:pPr>
        <w:pStyle w:val="TextBody"/>
        <w:bidi w:val="0"/>
        <w:spacing w:before="360" w:after="0"/>
        <w:jc w:val="left"/>
        <w:rPr>
          <w:rFonts w:ascii="Times New Roman" w:hAnsi="Times New Roman"/>
          <w:b/>
          <w:i/>
          <w:sz w:val="20"/>
        </w:rPr>
      </w:pPr>
      <w:r>
        <w:rPr>
          <w:rFonts w:ascii="Times New Roman" w:hAnsi="Times New Roman"/>
          <w:b/>
          <w:i/>
          <w:sz w:val="20"/>
        </w:rPr>
        <w:t xml:space="preserve">Special stockholder meetings </w:t>
      </w:r>
    </w:p>
    <w:p>
      <w:pPr>
        <w:pStyle w:val="TextBody"/>
        <w:bidi w:val="0"/>
        <w:spacing w:before="120" w:after="0"/>
        <w:jc w:val="left"/>
        <w:rPr>
          <w:rFonts w:ascii="Times New Roman" w:hAnsi="Times New Roman"/>
          <w:sz w:val="20"/>
        </w:rPr>
      </w:pPr>
      <w:r>
        <w:rPr>
          <w:rFonts w:ascii="Times New Roman" w:hAnsi="Times New Roman"/>
          <w:sz w:val="20"/>
        </w:rPr>
        <w:t xml:space="preserve">Our amended and restated certificate of incorporation provides that a special meeting of stockholders may be called at any time by our board of directors, but such special meetings may not be called by the stockholders or any other person or persons.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i/>
          <w:sz w:val="20"/>
        </w:rPr>
      </w:pPr>
      <w:r>
        <w:rPr>
          <w:rFonts w:ascii="Times New Roman" w:hAnsi="Times New Roman"/>
          <w:b/>
          <w:i/>
          <w:sz w:val="20"/>
        </w:rPr>
        <w:t xml:space="preserve">Requirements for advance notification of stockholder nominations and proposals </w:t>
      </w:r>
    </w:p>
    <w:p>
      <w:pPr>
        <w:pStyle w:val="TextBody"/>
        <w:bidi w:val="0"/>
        <w:spacing w:before="120" w:after="0"/>
        <w:jc w:val="left"/>
        <w:rPr>
          <w:rFonts w:ascii="Times New Roman" w:hAnsi="Times New Roman"/>
          <w:sz w:val="20"/>
        </w:rPr>
      </w:pPr>
      <w:r>
        <w:rPr>
          <w:rFonts w:ascii="Times New Roman" w:hAnsi="Times New Roman"/>
          <w:sz w:val="20"/>
        </w:rPr>
        <w:t xml:space="preserve">Our amended and restated bylaws contain advance notice procedures with respect to stockholder proposals and the nomination of candidates for election as directors, other than nominations made by or at the direction of our board of directors or a committee of our board of directors. </w:t>
      </w:r>
    </w:p>
    <w:p>
      <w:pPr>
        <w:pStyle w:val="TextBody"/>
        <w:bidi w:val="0"/>
        <w:spacing w:before="360" w:after="0"/>
        <w:jc w:val="left"/>
        <w:rPr>
          <w:rFonts w:ascii="Times New Roman" w:hAnsi="Times New Roman"/>
          <w:b/>
          <w:i/>
          <w:sz w:val="20"/>
        </w:rPr>
      </w:pPr>
      <w:r>
        <w:rPr>
          <w:rFonts w:ascii="Times New Roman" w:hAnsi="Times New Roman"/>
          <w:b/>
          <w:i/>
          <w:sz w:val="20"/>
        </w:rPr>
        <w:t xml:space="preserve">No stockholder action by written consent </w:t>
      </w:r>
    </w:p>
    <w:p>
      <w:pPr>
        <w:pStyle w:val="TextBody"/>
        <w:bidi w:val="0"/>
        <w:spacing w:before="120" w:after="0"/>
        <w:jc w:val="left"/>
        <w:rPr>
          <w:rFonts w:ascii="Times New Roman" w:hAnsi="Times New Roman"/>
          <w:sz w:val="20"/>
        </w:rPr>
      </w:pPr>
      <w:r>
        <w:rPr>
          <w:rFonts w:ascii="Times New Roman" w:hAnsi="Times New Roman"/>
          <w:sz w:val="20"/>
        </w:rPr>
        <w:t xml:space="preserve">Our amended and restated certificate of incorporation does not allow stockholders to act by written consent without a meeting. </w:t>
      </w:r>
    </w:p>
    <w:p>
      <w:pPr>
        <w:pStyle w:val="TextBody"/>
        <w:bidi w:val="0"/>
        <w:spacing w:before="360" w:after="0"/>
        <w:jc w:val="left"/>
        <w:rPr>
          <w:rFonts w:ascii="Times New Roman" w:hAnsi="Times New Roman"/>
          <w:b/>
          <w:i/>
          <w:sz w:val="20"/>
        </w:rPr>
      </w:pPr>
      <w:r>
        <w:rPr>
          <w:rFonts w:ascii="Times New Roman" w:hAnsi="Times New Roman"/>
          <w:b/>
          <w:i/>
          <w:sz w:val="20"/>
        </w:rPr>
        <w:t xml:space="preserve">Classified board; election and removal of directors; filling vacancies </w:t>
      </w:r>
    </w:p>
    <w:p>
      <w:pPr>
        <w:pStyle w:val="TextBody"/>
        <w:bidi w:val="0"/>
        <w:spacing w:before="240" w:after="0"/>
        <w:jc w:val="left"/>
        <w:rPr>
          <w:rFonts w:ascii="Times New Roman" w:hAnsi="Times New Roman"/>
          <w:sz w:val="20"/>
        </w:rPr>
      </w:pPr>
      <w:r>
        <w:rPr>
          <w:rFonts w:ascii="Times New Roman" w:hAnsi="Times New Roman"/>
          <w:sz w:val="20"/>
        </w:rPr>
        <w:t xml:space="preserve">Our board of directors is divided into three classes, divided as nearly as equal in number as possible. The directors in each class serve for a three-year term, one class being elected each year by our stockholders, with staggered three-year terms. Only one class of directors is elected at each annual meeting of our stockholders, with the other classes continuing for the remainder of their respective three-year terms. Because our stockholders do not have cumulative voting rights, our stockholders holding a majority of the shares of common stock outstanding will be able to elect all of our directors. Our amended and restated certificate of incorporation provides for the removal of any of our directors only for cause and requires a stockholder vote by the holders of at least 66-2/3% of the voting power of the then outstanding voting stock. Any vacancy on our board of directors, however occurring, including a vacancy resulting from an increase in the size of the board, may only be filled by a resolution of the board of directors. </w:t>
      </w:r>
    </w:p>
    <w:p>
      <w:pPr>
        <w:pStyle w:val="TextBody"/>
        <w:bidi w:val="0"/>
        <w:spacing w:before="240" w:after="0"/>
        <w:jc w:val="left"/>
        <w:rPr>
          <w:rFonts w:ascii="Times New Roman" w:hAnsi="Times New Roman"/>
          <w:sz w:val="20"/>
        </w:rPr>
      </w:pPr>
      <w:r>
        <w:rPr>
          <w:rFonts w:ascii="Times New Roman" w:hAnsi="Times New Roman"/>
          <w:sz w:val="20"/>
        </w:rPr>
        <w:t xml:space="preserve">This system of electing and removing directors and filling vacancies may tend to discourage a third party from making a tender offer or otherwise attempting to obtain control of us because it generally makes it more difficult for stockholders to replace a majority of the directors. </w:t>
      </w:r>
    </w:p>
    <w:p>
      <w:pPr>
        <w:pStyle w:val="TextBody"/>
        <w:bidi w:val="0"/>
        <w:spacing w:before="360" w:after="0"/>
        <w:jc w:val="left"/>
        <w:rPr>
          <w:rFonts w:ascii="Times New Roman" w:hAnsi="Times New Roman"/>
          <w:b/>
          <w:i/>
          <w:sz w:val="20"/>
        </w:rPr>
      </w:pPr>
      <w:r>
        <w:rPr>
          <w:rFonts w:ascii="Times New Roman" w:hAnsi="Times New Roman"/>
          <w:b/>
          <w:i/>
          <w:sz w:val="20"/>
        </w:rPr>
        <w:t xml:space="preserve">Choice of forum </w:t>
      </w:r>
    </w:p>
    <w:p>
      <w:pPr>
        <w:pStyle w:val="TextBody"/>
        <w:bidi w:val="0"/>
        <w:spacing w:before="120" w:after="0"/>
        <w:jc w:val="left"/>
        <w:rPr>
          <w:rFonts w:ascii="Times New Roman" w:hAnsi="Times New Roman"/>
          <w:sz w:val="20"/>
        </w:rPr>
      </w:pPr>
      <w:r>
        <w:rPr>
          <w:rFonts w:ascii="Times New Roman" w:hAnsi="Times New Roman"/>
          <w:sz w:val="20"/>
        </w:rPr>
        <w:t xml:space="preserve">Our amended and restated certificate of incorporation and amended and restated bylaws provide that, unless we consent in writing to the selection of an alternative forum, the Court of Chancery of the State of Delaware will be the exclusive forum for the following types of actions or proceedings under Delaware statutory or common law: any derivative action or proceeding brought on our behalf; any action asserting a claim of breach of fiduciary duty owed by any of our directors, officers, employees or stockholders to us or to our stockholders; any action asserting a claim against us arising pursuant to the Delaware General Corporation Law, our amended and restated certificate of incorporation or our amended and restated bylaws (as either may be amended from time to time); any action to interpret, apply, enforce or determine the validity of our amended and restated certificate of incorporation or our amended and restated bylaws; or any action asserting a claim against us that is governed by the internal affairs doctrine. As a result, any action brought by any of our stockholders with regard to any of these matters will need to be filed in the Court of Chancery of the State of Delaware and cannot be filed in any other jurisdiction; provided that, the exclusive forum provision will not apply to suits brought to enforce any liability or duty created by the Exchange Act or the Securities Act. In addition, unless we consent in writing to the selection of an alternative forum, the United States District Court for the District of Massachusetts will be the sole and exclusive forum for resolving any action asserting a claim arising under the Securities Act. Such provision is intended to benefit and may be enforced by us, our officers and directors, employees and agents, including the underwriters and any other professional or entity who has prepared or certified any part of this prospectus. Nothing in our amended and restated certificate of incorporation and amended and restated bylaws preclude stockholders that assert claims under the Exchange Act from bringing such claims in state or federal court, subject to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Although our amended and restated certificate of incorporation and amended and restated bylaws contain the choice of forum provision described above, it is possible that a court could find that such a provision is inapplicable for a particular claim or action or that such provision is unenforceable.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This choice of forum provision may limit a stockholder’s ability to bring a claim in a judicial forum that it finds favorable for disputes with us or any of our directors, officers, other employees or stockholders, which may discourage lawsuits with respect to such claims or make such lawsuits more costly for stockholders, although our stockholders will not be deemed to have waived our compliance with federal securities laws and the rules and regulations thereunder. </w:t>
      </w:r>
    </w:p>
    <w:p>
      <w:pPr>
        <w:pStyle w:val="TextBody"/>
        <w:bidi w:val="0"/>
        <w:spacing w:before="360" w:after="0"/>
        <w:jc w:val="left"/>
        <w:rPr>
          <w:rFonts w:ascii="Times New Roman" w:hAnsi="Times New Roman"/>
          <w:b/>
          <w:i/>
          <w:sz w:val="20"/>
        </w:rPr>
      </w:pPr>
      <w:r>
        <w:rPr>
          <w:rFonts w:ascii="Times New Roman" w:hAnsi="Times New Roman"/>
          <w:b/>
          <w:i/>
          <w:sz w:val="20"/>
        </w:rPr>
        <w:t xml:space="preserve">Amendment of charter provisions or bylaws </w:t>
      </w:r>
    </w:p>
    <w:p>
      <w:pPr>
        <w:pStyle w:val="TextBody"/>
        <w:bidi w:val="0"/>
        <w:spacing w:before="120" w:after="0"/>
        <w:jc w:val="left"/>
        <w:rPr>
          <w:rFonts w:ascii="Times New Roman" w:hAnsi="Times New Roman"/>
          <w:sz w:val="20"/>
        </w:rPr>
      </w:pPr>
      <w:r>
        <w:rPr>
          <w:rFonts w:ascii="Times New Roman" w:hAnsi="Times New Roman"/>
          <w:sz w:val="20"/>
        </w:rPr>
        <w:t xml:space="preserve">Our amended and restated bylaws may be amended or repealed by our board of directors or by the affirmative vote of the holders of not less than two-thirds of the voting power of all of the shares of the capital stock of our Company entitled to vote on such amendment or repeal, voting as one class; provided, however, that if our board of directors recommends that stockholders approve such amendment or repeal, such amendment or repeal shall only require the affirmative vote of the majority of the outstanding shares of capital stock entitled to vote on such amendment or repeal, voting together as a single class. The affirmative vote of the holders of the majority of the outstanding shares of capital stock of our Company entitled to vote thereon as a class, and the affirmative vote of the holders of a majority of the outstanding shares of each class entitled to vote thereon as a class voting together as a single class, will be required to amend certain provisions of our amended and restated certificate of incorporation. </w:t>
      </w:r>
    </w:p>
    <w:p>
      <w:pPr>
        <w:pStyle w:val="TextBody"/>
        <w:bidi w:val="0"/>
        <w:spacing w:before="240" w:after="0"/>
        <w:jc w:val="left"/>
        <w:rPr>
          <w:rFonts w:ascii="Times New Roman" w:hAnsi="Times New Roman"/>
          <w:sz w:val="20"/>
        </w:rPr>
      </w:pPr>
      <w:r>
        <w:rPr>
          <w:rFonts w:ascii="Times New Roman" w:hAnsi="Times New Roman"/>
          <w:sz w:val="20"/>
        </w:rPr>
        <w:t xml:space="preserve">The provisions of the Delaware General Corporation Law, our amended and restated certificate of incorporation and our amended and restated bylaws could have the effect of discouraging others from attempting hostile takeovers and, as a consequence, they may also inhibit temporary fluctuations in the market price of our common stock that often result from actual or rumored hostile takeover attempts. These provisions may also have the effect of preventing changes in our management. It is possible that these provisions could make it more difficult to accomplish transactions that stockholders may otherwise deem to be in their best interests.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27" w:name="tx190758_12"/>
      <w:bookmarkEnd w:id="27"/>
      <w:r>
        <w:rPr>
          <w:rFonts w:ascii="Times New Roman" w:hAnsi="Times New Roman"/>
          <w:b/>
          <w:sz w:val="20"/>
        </w:rPr>
        <w:t xml:space="preserve">DESCRIPTION OF DEBT SECURITIES </w:t>
      </w:r>
    </w:p>
    <w:p>
      <w:pPr>
        <w:pStyle w:val="TextBody"/>
        <w:bidi w:val="0"/>
        <w:spacing w:before="240" w:after="0"/>
        <w:jc w:val="left"/>
        <w:rPr>
          <w:rFonts w:ascii="Times New Roman" w:hAnsi="Times New Roman"/>
          <w:sz w:val="20"/>
        </w:rPr>
      </w:pPr>
      <w:r>
        <w:rPr>
          <w:rFonts w:ascii="Times New Roman" w:hAnsi="Times New Roman"/>
          <w:sz w:val="20"/>
        </w:rPr>
        <w:t xml:space="preserve">This section describes the general terms and provisions of our debt securities that we may issue from time to time. We may issue debt securities, in one or more series, as either senior or subordinated debt or as senior or subordinated convertible debt. While the terms we have summarized below will apply generally to any future debt securities we may offer under this prospectus, the applicable prospectus supplement or free writing prospectus will describe the specific terms of any debt securities offered through that prospectus supplement or free writing prospectus. The terms of any debt securities we offer under a prospectus supplement or free writing prospectus may differ from the terms we describe below. Unless the context requires otherwise, whenever we refer to the “indentures,” we also are referring to any supplemental indentures that specify the terms of a particular series of debt securities. </w:t>
      </w:r>
    </w:p>
    <w:p>
      <w:pPr>
        <w:pStyle w:val="TextBody"/>
        <w:bidi w:val="0"/>
        <w:spacing w:before="240" w:after="0"/>
        <w:jc w:val="left"/>
        <w:rPr>
          <w:rFonts w:ascii="Times New Roman" w:hAnsi="Times New Roman"/>
          <w:sz w:val="20"/>
        </w:rPr>
      </w:pPr>
      <w:r>
        <w:rPr>
          <w:rFonts w:ascii="Times New Roman" w:hAnsi="Times New Roman"/>
          <w:sz w:val="20"/>
        </w:rPr>
        <w:t xml:space="preserve">We will issue any senior debt securities under the senior indenture that we will enter into with the trustee named in the senior indenture. We will issue any subordinated debt securities under the subordinated indenture that we will enter into with the trustee named in the subordinated indenture. We have filed forms of these documents as exhibits to the registration statement, of which this prospectus is a part, and supplemental indentures and forms of debt securities containing the terms of the debt securities being offered will be filed as exhibits to the registration statement of which this prospectus is a part or will be incorporated by reference from reports that we file with the SEC. </w:t>
      </w:r>
    </w:p>
    <w:p>
      <w:pPr>
        <w:pStyle w:val="TextBody"/>
        <w:bidi w:val="0"/>
        <w:spacing w:before="240" w:after="0"/>
        <w:jc w:val="left"/>
        <w:rPr>
          <w:rFonts w:ascii="Times New Roman" w:hAnsi="Times New Roman"/>
          <w:sz w:val="20"/>
        </w:rPr>
      </w:pPr>
      <w:r>
        <w:rPr>
          <w:rFonts w:ascii="Times New Roman" w:hAnsi="Times New Roman"/>
          <w:sz w:val="20"/>
        </w:rPr>
        <w:t xml:space="preserve">The indentures will be qualified under the Trust Indenture Act of 1939, as amended, or the Trust Indenture Act. We use the term “trustee” to refer to either the trustee under the senior indenture or the trustee under the subordinated indenture, as applicable. </w:t>
      </w:r>
    </w:p>
    <w:p>
      <w:pPr>
        <w:pStyle w:val="TextBody"/>
        <w:bidi w:val="0"/>
        <w:spacing w:before="240" w:after="0"/>
        <w:jc w:val="left"/>
        <w:rPr>
          <w:rFonts w:ascii="Times New Roman" w:hAnsi="Times New Roman"/>
          <w:sz w:val="20"/>
        </w:rPr>
      </w:pPr>
      <w:r>
        <w:rPr>
          <w:rFonts w:ascii="Times New Roman" w:hAnsi="Times New Roman"/>
          <w:sz w:val="20"/>
        </w:rPr>
        <w:t xml:space="preserve">The following summaries of material provisions of the senior debt securities, the subordinated debt securities and the indentures are subject to, and qualified in their entirety by reference to, all of the provisions of the indenture applicable to a particular series of debt securities. We urge you to read the applicable prospectus supplement or free writing prospectus and any related free writing prospectuses related to the debt securities that we may offer under this prospectus, as well as the complete applicable indenture that contains the terms of the debt securities. Except as we may otherwise indicate, the terms of the senior indenture and the subordinated indenture are identical. </w:t>
      </w:r>
    </w:p>
    <w:p>
      <w:pPr>
        <w:pStyle w:val="TextBody"/>
        <w:bidi w:val="0"/>
        <w:spacing w:before="360" w:after="0"/>
        <w:jc w:val="left"/>
        <w:rPr>
          <w:rFonts w:ascii="Times New Roman" w:hAnsi="Times New Roman"/>
          <w:b/>
          <w:sz w:val="20"/>
        </w:rPr>
      </w:pPr>
      <w:r>
        <w:rPr>
          <w:rFonts w:ascii="Times New Roman" w:hAnsi="Times New Roman"/>
          <w:b/>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We will describe in the applicable prospectus supplement or free writing prospectus the terms of the series of debt securities being offered,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title;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principal amount being offered, and if a series, the total amount authorized and the total amount outstanding;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limit on the amount that may be issued;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or not we will issue the series of debt securities in global form, and, if so, the terms and who the depository will be;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maturity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and under what circumstances, if any, we will pay additional amounts on any debt securities held by a person who is not a United States person for tax purposes, and whether we can redeem the debt securities if we have to pay such additional amounts;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annual interest rate, which may be fixed or variable, or the method for determining the rate and the date interest will begin to accrue, the dates interest will be payable and the regular record dates for interest payment dates or the method for determining such dates;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or not the debt securities will be secured or unsecured, and the terms of any secured debt;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terms of the subordination of any series of subordinated debt;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place where payments will be payable;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restrictions on transfer, sale or other assignment, if 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right, if any, to defer payment of interest and the maximum length of any such deferral period;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 if any, after which, the conditions upon which, and the price at which, we may, at our option, redeem the series of debt securities pursuant to any optional or provisional redemption provisions and the terms of those redemption provisions;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 if any, on which, and the price at which we are obligated, pursuant to any mandatory sinking fund or analogous fund provisions or otherwise, to redeem, or at the holder’s option, to purchase, the series of debt securities and the currency or currency unit in which the debt securities are payable;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the indenture will restrict our ability to: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incur additional indebtedness;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issue additional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create liens;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pay dividends or make distributions in respect of our capital stock or the capital stock of our subsidiaries;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redeem capital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place restrictions on our subsidiaries’ ability to pay dividends, make distributions or transfer assets;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make investments or other restricted payments;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sell or otherwise dispose of assets;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enter into sale-leaseback transactions;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engage in transactions with stockholders or affiliates;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issue or sell stock of our subsidiaries;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effect a consolidation or merger;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the indenture will require us to maintain any interest coverage, fixed charge, cash flow-based, asset-based or other financial ratios;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discussion of certain material or special United States federal income tax considerations applicable to the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information describing any book-entry features;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provisions for a sinking fund purchase or other analogous fund, if 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applicability of the provisions in the indenture on discharge;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the debt securities are to be offered at a price such that they will be deemed to be offered at an “original issue discount” as defined in paragraph (a) of Section 1273 of the Internal Revenue Code of 1986, as amended;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denominations in which we will issue the series of debt securities, if other than denominations of $1,000 and any integral multiple thereof;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currency of payment of debt securities if other than U.S. dollars and the manner of determining the equivalent amount in U.S. dollars; and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specific terms, preferences, rights or limitations of, or restrictions on, the debt securities, including any additional events of default or covenants provided with respect to the debt securities, and any terms that may be required by us or advisable under applicable laws or regulations or advisable in connection with the marketing of the debt securities.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Conversion or Exchange Rights </w:t>
      </w:r>
    </w:p>
    <w:p>
      <w:pPr>
        <w:pStyle w:val="TextBody"/>
        <w:bidi w:val="0"/>
        <w:spacing w:before="120" w:after="0"/>
        <w:jc w:val="left"/>
        <w:rPr>
          <w:rFonts w:ascii="Times New Roman" w:hAnsi="Times New Roman"/>
          <w:sz w:val="20"/>
        </w:rPr>
      </w:pPr>
      <w:r>
        <w:rPr>
          <w:rFonts w:ascii="Times New Roman" w:hAnsi="Times New Roman"/>
          <w:sz w:val="20"/>
        </w:rPr>
        <w:t xml:space="preserve">We will set forth in the applicable prospectus supplement or free writing prospectus the terms on which a series of debt securities may be convertible into or exchangeable for our common stock, our preferred stock or other securities (including securities of a third-party). We will include provisions as to whether conversion or exchange is mandatory, at the option of the holder or at our option. We may include provisions pursuant to which the number of shares of our common stock, our preferred stock or other securities (including securities of a third-party) that the holders of the series of debt securities receive would be subject to adjustment. </w:t>
      </w:r>
    </w:p>
    <w:p>
      <w:pPr>
        <w:pStyle w:val="TextBody"/>
        <w:bidi w:val="0"/>
        <w:spacing w:before="360" w:after="0"/>
        <w:jc w:val="left"/>
        <w:rPr>
          <w:rFonts w:ascii="Times New Roman" w:hAnsi="Times New Roman"/>
          <w:b/>
          <w:sz w:val="20"/>
        </w:rPr>
      </w:pPr>
      <w:r>
        <w:rPr>
          <w:rFonts w:ascii="Times New Roman" w:hAnsi="Times New Roman"/>
          <w:b/>
          <w:sz w:val="20"/>
        </w:rPr>
        <w:t xml:space="preserve">Consolidation, Merger or Sale </w:t>
      </w:r>
    </w:p>
    <w:p>
      <w:pPr>
        <w:pStyle w:val="TextBody"/>
        <w:bidi w:val="0"/>
        <w:spacing w:before="120" w:after="0"/>
        <w:jc w:val="left"/>
        <w:rPr>
          <w:rFonts w:ascii="Times New Roman" w:hAnsi="Times New Roman"/>
          <w:sz w:val="20"/>
        </w:rPr>
      </w:pPr>
      <w:r>
        <w:rPr>
          <w:rFonts w:ascii="Times New Roman" w:hAnsi="Times New Roman"/>
          <w:sz w:val="20"/>
        </w:rPr>
        <w:t xml:space="preserve">Unless we provide otherwise in the prospectus supplement or free writing prospectus applicable to a particular series of debt securities, the indentures will not contain any covenant that restricts our ability to merge or consolidate, or sell, convey, transfer or otherwise dispose of all or substantially all of our assets. However, any successor to or acquirer of such assets must assume all of our obligations under the indentures or the debt securities, as appropriate. If the debt securities are convertible into or exchangeable for other securities of ours or securities of other entities, the person with whom we consolidate or merge or to whom we sell all of our property must make provisions for the conversion of the debt securities into securities that the holders of the debt securities would have received if they had converted the debt securities before the consolidation, merger or sale. </w:t>
      </w:r>
    </w:p>
    <w:p>
      <w:pPr>
        <w:pStyle w:val="TextBody"/>
        <w:bidi w:val="0"/>
        <w:spacing w:before="360" w:after="0"/>
        <w:jc w:val="left"/>
        <w:rPr>
          <w:rFonts w:ascii="Times New Roman" w:hAnsi="Times New Roman"/>
          <w:b/>
          <w:sz w:val="20"/>
        </w:rPr>
      </w:pPr>
      <w:r>
        <w:rPr>
          <w:rFonts w:ascii="Times New Roman" w:hAnsi="Times New Roman"/>
          <w:b/>
          <w:sz w:val="20"/>
        </w:rPr>
        <w:t xml:space="preserve">Events of Default Under the Indenture </w:t>
      </w:r>
    </w:p>
    <w:p>
      <w:pPr>
        <w:pStyle w:val="TextBody"/>
        <w:bidi w:val="0"/>
        <w:spacing w:before="120" w:after="0"/>
        <w:jc w:val="left"/>
        <w:rPr>
          <w:rFonts w:ascii="Times New Roman" w:hAnsi="Times New Roman"/>
          <w:sz w:val="20"/>
        </w:rPr>
      </w:pPr>
      <w:r>
        <w:rPr>
          <w:rFonts w:ascii="Times New Roman" w:hAnsi="Times New Roman"/>
          <w:sz w:val="20"/>
        </w:rPr>
        <w:t xml:space="preserve">Unless we provide otherwise in the prospectus supplement or free writing prospectus applicable to a particular series of debt securities, the following are events of default under the indentures with respect to any series of debt securities that we may issue: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we fail to pay interest when due and payable and our failure continues for 90 days and the time for payment has not been extended;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we fail to pay the principal, premium or sinking fund payment, if any, when due and payable at maturity, upon redemption or repurchase or otherwise, and the time for payment has not been extended;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we fail to observe or perform any other covenant contained in the debt securities or the indentures, other than a covenant specifically relating to another series of debt securities, and our failure continues for 90 days after we receive notice from the trustee or holders of at least 25% in aggregate principal amount of the outstanding debt securities of the applicable series;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specified events of bankruptcy, insolvency or reorganization occur.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will describe in each applicable prospectus supplement or free writing prospectus any additional events of default relating to the relevant series of debt securities. </w:t>
      </w:r>
    </w:p>
    <w:p>
      <w:pPr>
        <w:pStyle w:val="TextBody"/>
        <w:bidi w:val="0"/>
        <w:spacing w:before="240" w:after="0"/>
        <w:jc w:val="left"/>
        <w:rPr>
          <w:rFonts w:ascii="Times New Roman" w:hAnsi="Times New Roman"/>
          <w:sz w:val="20"/>
        </w:rPr>
      </w:pPr>
      <w:r>
        <w:rPr>
          <w:rFonts w:ascii="Times New Roman" w:hAnsi="Times New Roman"/>
          <w:sz w:val="20"/>
        </w:rPr>
        <w:t xml:space="preserve">If an event of default with respect to debt securities of any series occurs and is continuing, other than an event of default specified in the last bullet point above, the trustee or the holders of at least 25% in aggregate principal amount of the outstanding debt securities of that series, by notice to us in writing, and to the trustee if notice is given by such holders, may declare the unpaid principal, premium, if any, and accrued interest, if any, due and payable immediately. If an event of default specified in the last bullet point above occurs with respect to us, the unpaid principal, premium, if any, and accrued interest, if any, of each issue of debt securities then outstanding shall be due and payable without any notice or other action on the part of the trustee or any holder.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holders of a majority in principal amount of the outstanding debt securities of an affected series may waive any default or event of default with respect to the series and its consequences, except defaults or events of default regarding payment of principal, premium, if any, or interest, unless we have cured the default or event of default in accordance with the indenture. Any waiver shall cure the default or event of default. </w:t>
      </w:r>
    </w:p>
    <w:p>
      <w:pPr>
        <w:pStyle w:val="TextBody"/>
        <w:bidi w:val="0"/>
        <w:spacing w:before="240" w:after="0"/>
        <w:jc w:val="left"/>
        <w:rPr>
          <w:rFonts w:ascii="Times New Roman" w:hAnsi="Times New Roman"/>
          <w:sz w:val="20"/>
        </w:rPr>
      </w:pPr>
      <w:r>
        <w:rPr>
          <w:rFonts w:ascii="Times New Roman" w:hAnsi="Times New Roman"/>
          <w:sz w:val="20"/>
        </w:rPr>
        <w:t xml:space="preserve">Subject to the terms of the indentures, if an event of default under an indenture shall occur and be continuing, the trustee will be under no obligation to exercise any of its rights or powers under such indenture at the request or direction of any of the holders of the applicable series of debt securities, unless such holders have offered the trustee reasonable indemnity or security satisfactory to it against any loss, liability or expense. The holders of a majority in principal amount of the outstanding debt securities of any series will have the right to direct the time, method and place of conducting any proceeding for any remedy available to the trustee, or exercising any trust or power conferred on the trustee, with respect to the debt securities of that series, provided that: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direction so given by the holder is not in conflict with any law or the applicable indenture;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subject to its duties under the Trust Indenture Act, the trustee need not take any action that might involve it in personal liability or might be unduly prejudicial to the holders not involved in the proceeding. </w:t>
            </w:r>
          </w:p>
        </w:tc>
      </w:tr>
    </w:tbl>
    <w:p>
      <w:pPr>
        <w:pStyle w:val="TextBody"/>
        <w:bidi w:val="0"/>
        <w:spacing w:before="240" w:after="0"/>
        <w:jc w:val="left"/>
        <w:rPr>
          <w:rFonts w:ascii="Times New Roman" w:hAnsi="Times New Roman"/>
          <w:sz w:val="20"/>
        </w:rPr>
      </w:pPr>
      <w:r>
        <w:rPr>
          <w:rFonts w:ascii="Times New Roman" w:hAnsi="Times New Roman"/>
          <w:sz w:val="20"/>
        </w:rPr>
        <w:t xml:space="preserve">A holder of the debt securities of any series will have the right to institute a proceeding under the indentures or to appoint a receiver or trustee, or to seek other remedies if: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holder has given written notice to the trustee of a continuing event of default with respect to that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holders of at least 25% in aggregate principal amount of the outstanding debt securities of that series have made written request, and such holders have offered reasonable indemnity to the trustee or security satisfactory to it against any loss, liability or expense or to be incurred in compliance with instituting the proceeding as trustee;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trustee does not institute the proceeding, and does not receive from the holders of a majority in aggregate principal amount of the outstanding debt securities of that series other conflicting directions within 90 days after the notice, request and offer.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These limitations do not apply to a suit instituted by a holder of debt securities if we default in the payment of the principal, premium, if any, or interest on, the debt securities, or other defaults that may be specified in the applicable prospectus supplement or free writing prospectus. </w:t>
      </w:r>
    </w:p>
    <w:p>
      <w:pPr>
        <w:pStyle w:val="TextBody"/>
        <w:bidi w:val="0"/>
        <w:spacing w:before="240" w:after="0"/>
        <w:jc w:val="left"/>
        <w:rPr>
          <w:rFonts w:ascii="Times New Roman" w:hAnsi="Times New Roman"/>
          <w:sz w:val="20"/>
        </w:rPr>
      </w:pPr>
      <w:r>
        <w:rPr>
          <w:rFonts w:ascii="Times New Roman" w:hAnsi="Times New Roman"/>
          <w:sz w:val="20"/>
        </w:rPr>
        <w:t xml:space="preserve">We will periodically file statements with the trustee regarding our compliance with specified covenants in the indentures. </w:t>
      </w:r>
    </w:p>
    <w:p>
      <w:pPr>
        <w:pStyle w:val="TextBody"/>
        <w:bidi w:val="0"/>
        <w:spacing w:before="360" w:after="0"/>
        <w:jc w:val="left"/>
        <w:rPr>
          <w:rFonts w:ascii="Times New Roman" w:hAnsi="Times New Roman"/>
          <w:b/>
          <w:sz w:val="20"/>
        </w:rPr>
      </w:pPr>
      <w:r>
        <w:rPr>
          <w:rFonts w:ascii="Times New Roman" w:hAnsi="Times New Roman"/>
          <w:b/>
          <w:sz w:val="20"/>
        </w:rPr>
        <w:t xml:space="preserve">Modification of Indenture; Waiver </w:t>
      </w:r>
    </w:p>
    <w:p>
      <w:pPr>
        <w:pStyle w:val="TextBody"/>
        <w:bidi w:val="0"/>
        <w:spacing w:before="120" w:after="0"/>
        <w:jc w:val="left"/>
        <w:rPr>
          <w:rFonts w:ascii="Times New Roman" w:hAnsi="Times New Roman"/>
          <w:sz w:val="20"/>
        </w:rPr>
      </w:pPr>
      <w:r>
        <w:rPr>
          <w:rFonts w:ascii="Times New Roman" w:hAnsi="Times New Roman"/>
          <w:sz w:val="20"/>
        </w:rPr>
        <w:t xml:space="preserve">Subject to the terms of the indenture for any series of debt securities that we may issue, we and the trustee may change an indenture without the consent of any holders with respect to the following specific matters: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fix any ambiguity, defect or inconsistency in the indenture;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to comply with the provisions described above under “</w:t>
            </w:r>
            <w:r>
              <w:rPr>
                <w:rFonts w:ascii="Times New Roman" w:hAnsi="Times New Roman"/>
                <w:i/>
                <w:sz w:val="20"/>
              </w:rPr>
              <w:t>Description of Debt Securities-Consolidation, Merger or</w:t>
            </w:r>
            <w:r>
              <w:rPr>
                <w:rFonts w:ascii="Times New Roman" w:hAnsi="Times New Roman"/>
                <w:sz w:val="20"/>
              </w:rPr>
              <w:t xml:space="preserve"> </w:t>
            </w:r>
            <w:r>
              <w:rPr>
                <w:rFonts w:ascii="Times New Roman" w:hAnsi="Times New Roman"/>
                <w:i/>
                <w:sz w:val="20"/>
              </w:rPr>
              <w:t>Sale</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comply with any requirements of the SEC in connection with the qualification of any indenture under the Trust Indenture Act;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add to, delete from or revise the conditions, limitations, and restrictions on the authorized amount, terms, or purposes of issue, authentication and delivery of debt securities, as set forth in the indenture;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to provide for the issuance of and establish the form and terms and conditions of the debt securities of any series as provided under “</w:t>
            </w:r>
            <w:r>
              <w:rPr>
                <w:rFonts w:ascii="Times New Roman" w:hAnsi="Times New Roman"/>
                <w:i/>
                <w:sz w:val="20"/>
              </w:rPr>
              <w:t>Description of Debt Securities-General</w:t>
            </w:r>
            <w:r>
              <w:rPr>
                <w:rFonts w:ascii="Times New Roman" w:hAnsi="Times New Roman"/>
                <w:sz w:val="20"/>
              </w:rPr>
              <w:t xml:space="preserve">,” to establish the form of any certifications required to be furnished pursuant to the terms of the indenture or any series of debt securities, or to add to the rights of the holders of any series of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evidence and provide for the acceptance of appointment hereunder by a successor trustee;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provide for uncertificated debt securities and to make all appropriate changes for such purpose;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add to our covenants such new covenants, restrictions, conditions or provisions for the benefit of the holders, to make the occurrence, or the occurrence and the continuance, of a default in any such additional covenants, restrictions, conditions or provisions an event of default or to surrender any right or power conferred to us in the indenture;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change anything that does not materially adversely affect the interests of any holder of debt securities of any series.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under the indentures, the rights of holders of a series of debt securities may be changed by us and the trustee with the written consent of the holders of at least a majority in aggregate principal amount of the outstanding debt securities of each series that is affected. However, subject to the terms of the indenture for any series of debt securities that we may issue or as otherwise provided in the prospectus supplement or free writing prospectus applicable to a particular series of debt securities, we and the trustee may make the following changes only with the consent of each holder of any outstanding debt securities affected: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extending the stated maturity of the series of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reducing the principal amount, reducing the rate of or extending the time of payment of interest, or reducing any premium payable upon the redemption or repurchase of any debt securities;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reducing the percentage of debt securities, the holders of which are required to consent to any amendment, supplement, modification or waiver.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Discharge </w:t>
      </w:r>
    </w:p>
    <w:p>
      <w:pPr>
        <w:pStyle w:val="TextBody"/>
        <w:bidi w:val="0"/>
        <w:spacing w:before="120" w:after="0"/>
        <w:jc w:val="left"/>
        <w:rPr>
          <w:rFonts w:ascii="Times New Roman" w:hAnsi="Times New Roman"/>
          <w:sz w:val="20"/>
        </w:rPr>
      </w:pPr>
      <w:r>
        <w:rPr>
          <w:rFonts w:ascii="Times New Roman" w:hAnsi="Times New Roman"/>
          <w:sz w:val="20"/>
        </w:rPr>
        <w:t xml:space="preserve">Each indenture provides that, subject to the terms of the indenture and any limitation otherwise provided in the prospectus supplement or free writing prospectus applicable to a particular series of debt securities, we can elect to be discharged from our obligations with respect to one or more series of debt securities, except for specified obligations, including obligations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register the transfer or exchange of debt securities of the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replace stolen, lost or mutilated debt securities of the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maintain paying agencies;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hold monies for payment in trust;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2"/>
        <w:gridCol w:w="9290"/>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recover excess money held by the trustee;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compensate and indemnify the trustee;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appoint any successor trustee.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order to exercise our rights to be discharged, we must deposit with the trustee money or government obligations sufficient to pay all the principal of, any premium and interest on, the debt securities of the series on the dates payments are due. </w:t>
      </w:r>
    </w:p>
    <w:p>
      <w:pPr>
        <w:pStyle w:val="TextBody"/>
        <w:bidi w:val="0"/>
        <w:spacing w:before="360" w:after="0"/>
        <w:jc w:val="left"/>
        <w:rPr>
          <w:rFonts w:ascii="Times New Roman" w:hAnsi="Times New Roman"/>
          <w:b/>
          <w:sz w:val="20"/>
        </w:rPr>
      </w:pPr>
      <w:r>
        <w:rPr>
          <w:rFonts w:ascii="Times New Roman" w:hAnsi="Times New Roman"/>
          <w:b/>
          <w:sz w:val="20"/>
        </w:rPr>
        <w:t xml:space="preserve">Form, Exchange and Transfer </w:t>
      </w:r>
    </w:p>
    <w:p>
      <w:pPr>
        <w:pStyle w:val="TextBody"/>
        <w:bidi w:val="0"/>
        <w:spacing w:before="120" w:after="0"/>
        <w:jc w:val="left"/>
        <w:rPr>
          <w:rFonts w:ascii="Times New Roman" w:hAnsi="Times New Roman"/>
          <w:sz w:val="20"/>
        </w:rPr>
      </w:pPr>
      <w:r>
        <w:rPr>
          <w:rFonts w:ascii="Times New Roman" w:hAnsi="Times New Roman"/>
          <w:sz w:val="20"/>
        </w:rPr>
        <w:t xml:space="preserve">We will issue the debt securities of each series only in fully registered form without coupons and, unless we otherwise specify in the applicable prospectus supplement or free writing prospectus, in denominations of $1,000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and any integral multiple thereof. The indentures provide that we may issue debt securities of a series in temporary or permanent global form and as book-entry securities that will be deposited with, or on behalf of, The Depository Trust Company or another depository named by us and identified in a prospectus supplement or free writing prospectus with respect to that series. At the option of the holder, subject to the terms of the indentures and the limitations applicable to global securities described in the applicable prospectus supplement or free writing prospectus, the holder of the debt securities of any series can exchange the debt securities for other debt securities of the same series, in any authorized denomination and of like tenor and aggregate principal amount. </w:t>
      </w:r>
    </w:p>
    <w:p>
      <w:pPr>
        <w:pStyle w:val="TextBody"/>
        <w:bidi w:val="0"/>
        <w:spacing w:before="240" w:after="0"/>
        <w:jc w:val="left"/>
        <w:rPr>
          <w:rFonts w:ascii="Times New Roman" w:hAnsi="Times New Roman"/>
          <w:sz w:val="20"/>
        </w:rPr>
      </w:pPr>
      <w:r>
        <w:rPr>
          <w:rFonts w:ascii="Times New Roman" w:hAnsi="Times New Roman"/>
          <w:sz w:val="20"/>
        </w:rPr>
        <w:t xml:space="preserve">Subject to the terms of the indentures and the limitations applicable to global securities set forth in the applicable prospectus supplement or free writing prospectus, holders of the debt securities may present the debt securities for exchange or for registration of transfer, duly endorsed or with the form of transfer endorsed thereon duly executed if so required by us or the security registrar, at the office of the security registrar or at the office of any transfer agent designated by us for this purpose. Unless otherwise provided in the debt securities that the holder presents for transfer or exchange, we will make no service charge for any registration of transfer or exchange, but we may require payment of any taxes or other governmental charges. </w:t>
      </w:r>
    </w:p>
    <w:p>
      <w:pPr>
        <w:pStyle w:val="TextBody"/>
        <w:bidi w:val="0"/>
        <w:spacing w:before="240" w:after="0"/>
        <w:jc w:val="left"/>
        <w:rPr>
          <w:rFonts w:ascii="Times New Roman" w:hAnsi="Times New Roman"/>
          <w:sz w:val="20"/>
        </w:rPr>
      </w:pPr>
      <w:r>
        <w:rPr>
          <w:rFonts w:ascii="Times New Roman" w:hAnsi="Times New Roman"/>
          <w:sz w:val="20"/>
        </w:rPr>
        <w:t xml:space="preserve">We will name in the applicable prospectus supplement or free writing prospectus the security registrar, and any transfer agent in addition to the security registrar, that we initially designate for any debt securities. We may at any time designate additional transfer agents or rescind the designation of any transfer agent or approve a change in the office through which any transfer agent acts, except that we will be required to maintain a transfer agent in each place of payment for the debt securities of each series. If we elect to redeem the debt securities of any series, we will not be required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issue, register the transfer of, or exchange any debt securities of that series during a period beginning at the opening of business 15 days before the day of mailing of a notice of redemption of any debt securities that may be selected for redemption and ending at the close of business on the day of the mailing;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register the transfer of or exchange any debt securities so selected for redemption, in whole or in part, except the unredeemed portion of any debt securities we are redeeming in part.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Information Concerning the Trustee </w:t>
      </w:r>
    </w:p>
    <w:p>
      <w:pPr>
        <w:pStyle w:val="TextBody"/>
        <w:bidi w:val="0"/>
        <w:spacing w:before="120" w:after="0"/>
        <w:jc w:val="left"/>
        <w:rPr>
          <w:rFonts w:ascii="Times New Roman" w:hAnsi="Times New Roman"/>
          <w:sz w:val="20"/>
        </w:rPr>
      </w:pPr>
      <w:r>
        <w:rPr>
          <w:rFonts w:ascii="Times New Roman" w:hAnsi="Times New Roman"/>
          <w:sz w:val="20"/>
        </w:rPr>
        <w:t xml:space="preserve">The trustee, other than during the occurrence and continuance of an event of default under an indenture, undertakes to perform only those duties as are specifically set forth in the applicable indenture. Upon an event of default under an indenture, the trustee must use the same degree of care as a prudent person would exercise or use in the conduct of his or her own affairs. </w:t>
      </w:r>
    </w:p>
    <w:p>
      <w:pPr>
        <w:pStyle w:val="TextBody"/>
        <w:bidi w:val="0"/>
        <w:spacing w:before="240" w:after="0"/>
        <w:jc w:val="left"/>
        <w:rPr>
          <w:rFonts w:ascii="Times New Roman" w:hAnsi="Times New Roman"/>
          <w:sz w:val="20"/>
        </w:rPr>
      </w:pPr>
      <w:r>
        <w:rPr>
          <w:rFonts w:ascii="Times New Roman" w:hAnsi="Times New Roman"/>
          <w:sz w:val="20"/>
        </w:rPr>
        <w:t xml:space="preserve">Subject to this provision, the trustee is under no obligation to exercise any of the powers given it by the indentures at the request of any holder of debt securities unless it is offered reasonable security and indemnity against the costs, expenses and liabilities that it might incur. </w:t>
      </w:r>
    </w:p>
    <w:p>
      <w:pPr>
        <w:pStyle w:val="TextBody"/>
        <w:bidi w:val="0"/>
        <w:spacing w:before="360" w:after="0"/>
        <w:jc w:val="left"/>
        <w:rPr>
          <w:rFonts w:ascii="Times New Roman" w:hAnsi="Times New Roman"/>
          <w:b/>
          <w:sz w:val="20"/>
        </w:rPr>
      </w:pPr>
      <w:r>
        <w:rPr>
          <w:rFonts w:ascii="Times New Roman" w:hAnsi="Times New Roman"/>
          <w:b/>
          <w:sz w:val="20"/>
        </w:rPr>
        <w:t xml:space="preserve">Payment and Paying Agents </w:t>
      </w:r>
    </w:p>
    <w:p>
      <w:pPr>
        <w:pStyle w:val="TextBody"/>
        <w:bidi w:val="0"/>
        <w:spacing w:before="120" w:after="0"/>
        <w:jc w:val="left"/>
        <w:rPr>
          <w:rFonts w:ascii="Times New Roman" w:hAnsi="Times New Roman"/>
          <w:sz w:val="20"/>
        </w:rPr>
      </w:pPr>
      <w:r>
        <w:rPr>
          <w:rFonts w:ascii="Times New Roman" w:hAnsi="Times New Roman"/>
          <w:sz w:val="20"/>
        </w:rPr>
        <w:t xml:space="preserve">Unless we otherwise indicate in the applicable prospectus supplement or free writing prospectus, we will make payment of the interest on any debt securities on any interest payment date to the person in whose name the debt securities, or one or more predecessor securities, are registered at the close of business on the regular record date for the interest. </w:t>
      </w:r>
    </w:p>
    <w:p>
      <w:pPr>
        <w:pStyle w:val="TextBody"/>
        <w:bidi w:val="0"/>
        <w:spacing w:before="240" w:after="0"/>
        <w:jc w:val="left"/>
        <w:rPr>
          <w:rFonts w:ascii="Times New Roman" w:hAnsi="Times New Roman"/>
          <w:sz w:val="20"/>
        </w:rPr>
      </w:pPr>
      <w:r>
        <w:rPr>
          <w:rFonts w:ascii="Times New Roman" w:hAnsi="Times New Roman"/>
          <w:sz w:val="20"/>
        </w:rPr>
        <w:t xml:space="preserve">We will pay principal of and any premium and interest on the debt securities of a particular series at the office of the paying agents designated by us, except that unless we otherwise indicate in the applicable prospectus supplement or free writing prospectus, we will make interest payments by check that we will mail to the holder or by wire transfer to certain holders. Unless we otherwise indicate in the applicable prospectus supplement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free writing prospectus, we will designate the corporate trust office of the trustee as our sole paying agent for payments with respect to debt securities of each series. We will name in the applicable prospectus supplement or free writing prospectus any other paying agents that we initially designate for the debt securities of a particular series. We will maintain a paying agent in each place of payment for the debt securities of a particular series. </w:t>
      </w:r>
    </w:p>
    <w:p>
      <w:pPr>
        <w:pStyle w:val="TextBody"/>
        <w:bidi w:val="0"/>
        <w:spacing w:before="240" w:after="0"/>
        <w:jc w:val="left"/>
        <w:rPr>
          <w:rFonts w:ascii="Times New Roman" w:hAnsi="Times New Roman"/>
          <w:sz w:val="20"/>
        </w:rPr>
      </w:pPr>
      <w:r>
        <w:rPr>
          <w:rFonts w:ascii="Times New Roman" w:hAnsi="Times New Roman"/>
          <w:sz w:val="20"/>
        </w:rPr>
        <w:t xml:space="preserve">All money we pay to a paying agent or the trustee for the payment of the principal of or any premium or interest on any debt securities that remains unclaimed at the end of two years after such principal, premium or interest has become due and payable will be repaid to us, and the holder of the debt security thereafter may look only to us for payment thereof. </w:t>
      </w:r>
    </w:p>
    <w:p>
      <w:pPr>
        <w:pStyle w:val="TextBody"/>
        <w:bidi w:val="0"/>
        <w:spacing w:before="360" w:after="0"/>
        <w:jc w:val="left"/>
        <w:rPr>
          <w:rFonts w:ascii="Times New Roman" w:hAnsi="Times New Roman"/>
          <w:b/>
          <w:sz w:val="20"/>
        </w:rPr>
      </w:pPr>
      <w:r>
        <w:rPr>
          <w:rFonts w:ascii="Times New Roman" w:hAnsi="Times New Roman"/>
          <w:b/>
          <w:sz w:val="20"/>
        </w:rPr>
        <w:t xml:space="preserve">Governing Law </w:t>
      </w:r>
    </w:p>
    <w:p>
      <w:pPr>
        <w:pStyle w:val="TextBody"/>
        <w:bidi w:val="0"/>
        <w:spacing w:before="120" w:after="0"/>
        <w:jc w:val="left"/>
        <w:rPr>
          <w:rFonts w:ascii="Times New Roman" w:hAnsi="Times New Roman"/>
          <w:sz w:val="20"/>
        </w:rPr>
      </w:pPr>
      <w:r>
        <w:rPr>
          <w:rFonts w:ascii="Times New Roman" w:hAnsi="Times New Roman"/>
          <w:sz w:val="20"/>
        </w:rPr>
        <w:t xml:space="preserve">The indentures and the debt securities will be governed by and construed in accordance with the laws of the State of New York, except to the extent that the Trust Indenture Act is applicable. </w:t>
      </w:r>
    </w:p>
    <w:p>
      <w:pPr>
        <w:pStyle w:val="TextBody"/>
        <w:bidi w:val="0"/>
        <w:spacing w:before="360" w:after="0"/>
        <w:jc w:val="left"/>
        <w:rPr>
          <w:rFonts w:ascii="Times New Roman" w:hAnsi="Times New Roman"/>
          <w:b/>
          <w:sz w:val="20"/>
        </w:rPr>
      </w:pPr>
      <w:r>
        <w:rPr>
          <w:rFonts w:ascii="Times New Roman" w:hAnsi="Times New Roman"/>
          <w:b/>
          <w:sz w:val="20"/>
        </w:rPr>
        <w:t xml:space="preserve">Ranking of Debt Securities </w:t>
      </w:r>
    </w:p>
    <w:p>
      <w:pPr>
        <w:pStyle w:val="TextBody"/>
        <w:bidi w:val="0"/>
        <w:spacing w:before="120" w:after="0"/>
        <w:jc w:val="left"/>
        <w:rPr>
          <w:rFonts w:ascii="Times New Roman" w:hAnsi="Times New Roman"/>
          <w:sz w:val="20"/>
        </w:rPr>
      </w:pPr>
      <w:r>
        <w:rPr>
          <w:rFonts w:ascii="Times New Roman" w:hAnsi="Times New Roman"/>
          <w:sz w:val="20"/>
        </w:rPr>
        <w:t xml:space="preserve">The subordinated debt securities will be subordinate and junior in priority of payment to certain of our other indebtedness to the extent described in a prospectus supplement or free writing prospectus. The subordinated indenture does not limit the amount of subordinated debt securities that we may issue. It also does not limit us from issuing any other secured or unsecured debt. </w:t>
      </w:r>
    </w:p>
    <w:p>
      <w:pPr>
        <w:pStyle w:val="TextBody"/>
        <w:bidi w:val="0"/>
        <w:spacing w:before="240" w:after="0"/>
        <w:jc w:val="left"/>
        <w:rPr>
          <w:rFonts w:ascii="Times New Roman" w:hAnsi="Times New Roman"/>
          <w:sz w:val="20"/>
        </w:rPr>
      </w:pPr>
      <w:r>
        <w:rPr>
          <w:rFonts w:ascii="Times New Roman" w:hAnsi="Times New Roman"/>
          <w:sz w:val="20"/>
        </w:rPr>
        <w:t xml:space="preserve">The senior debt securities will rank equally in right of payment to all our other senior unsecured debt. The senior indenture does not limit the amount of senior debt securities that we may issue. It also does not limit us from issuing any other secured or unsecured debt.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28" w:name="tx190758_13"/>
      <w:bookmarkEnd w:id="28"/>
      <w:r>
        <w:rPr>
          <w:rFonts w:ascii="Times New Roman" w:hAnsi="Times New Roman"/>
          <w:b/>
          <w:sz w:val="20"/>
        </w:rPr>
        <w:t xml:space="preserve">DESCRIPTION OF WARRANTS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description, together with the additional information we may include in any applicable prospectus supplements, summarizes the material terms and provisions of the warrants that we may offer under this prospectus and the related warrant agreements and warrant certificates. While the terms summarized below will apply generally to any warrants that we may offer, we will describe the particular terms of any series of warrants in more detail in the applicable prospectus supplement. If we indicate in the prospectus supplement, the terms of any warrants offered under that prospectus supplement may differ from the terms described below. Specific warrant agreements will contain additional important terms and provisions and will be incorporated by reference as an exhibit to the registration statement, which includes this prospectus. </w:t>
      </w:r>
    </w:p>
    <w:p>
      <w:pPr>
        <w:pStyle w:val="TextBody"/>
        <w:bidi w:val="0"/>
        <w:spacing w:before="360" w:after="0"/>
        <w:jc w:val="left"/>
        <w:rPr>
          <w:rFonts w:ascii="Times New Roman" w:hAnsi="Times New Roman"/>
          <w:b/>
          <w:sz w:val="20"/>
        </w:rPr>
      </w:pPr>
      <w:r>
        <w:rPr>
          <w:rFonts w:ascii="Times New Roman" w:hAnsi="Times New Roman"/>
          <w:b/>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We may issue warrants for the purchase of common stock, preferred stock and/or debt securities in one or more series. We may issue warrants independently or together with common stock, preferred stock and/or debt securities, and the warrants may be attached to or separate from these securities. </w:t>
      </w:r>
    </w:p>
    <w:p>
      <w:pPr>
        <w:pStyle w:val="TextBody"/>
        <w:bidi w:val="0"/>
        <w:spacing w:before="240" w:after="0"/>
        <w:jc w:val="left"/>
        <w:rPr>
          <w:rFonts w:ascii="Times New Roman" w:hAnsi="Times New Roman"/>
          <w:sz w:val="20"/>
        </w:rPr>
      </w:pPr>
      <w:r>
        <w:rPr>
          <w:rFonts w:ascii="Times New Roman" w:hAnsi="Times New Roman"/>
          <w:sz w:val="20"/>
        </w:rPr>
        <w:t xml:space="preserve">We will evidence each series of warrants by warrant certificates that we will issue under a separate warrant agreement. We will enter into the warrant agreement with a warrant agent. We will indicate the name and address of the warrant agent in the applicable prospectus supplement relating to a particular series of warrants. </w:t>
      </w:r>
    </w:p>
    <w:p>
      <w:pPr>
        <w:pStyle w:val="TextBody"/>
        <w:bidi w:val="0"/>
        <w:spacing w:before="240" w:after="0"/>
        <w:jc w:val="left"/>
        <w:rPr>
          <w:rFonts w:ascii="Times New Roman" w:hAnsi="Times New Roman"/>
          <w:sz w:val="20"/>
        </w:rPr>
      </w:pPr>
      <w:r>
        <w:rPr>
          <w:rFonts w:ascii="Times New Roman" w:hAnsi="Times New Roman"/>
          <w:sz w:val="20"/>
        </w:rPr>
        <w:t xml:space="preserve">We will describe in the applicable prospectus supplement the terms of the series of warrants,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offering price and aggregate number of warrants offered;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currency for which the warrants may be purchased;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applicable, the designation and terms of the securities with which the warrants are issued and the number of warrants issued with each such security or each principal amount of such security;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applicable, the date on and after which the warrants and the related securities will be separately transferable;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case of warrants to purchase debt securities, the principal amount of debt securities purchasable upon exercise of one warrant and the price at, and currency in which, this principal amount of debt securities may be purchased upon such exercise;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case of warrants to purchase common stock or preferred stock, the number of shares of common stock or preferred stock, as the case may be, purchasable upon the exercise of one warrant and the price at which these shares may be purchased upon such exercise;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effect of any merger, consolidation, sale or other disposition of our business on the warrant agreement and the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terms of any rights to redeem or call the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provisions for changes to or adjustments in the exercise price or number of securities issuable upon exercise of the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periods during which, and places at which, the warrants are exercisable;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manner of exercise;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dates on which the right to exercise the warrants will commence and expire;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manner in which the warrant agreement and warrants may be modified;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federal income tax consequences of holding or exercising the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terms of the securities issuable upon exercise of the warrants;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specific terms, preferences, rights or limitations of or restrictions on the warrants.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29" w:name="tx190758_14"/>
      <w:bookmarkEnd w:id="29"/>
      <w:r>
        <w:rPr>
          <w:rFonts w:ascii="Times New Roman" w:hAnsi="Times New Roman"/>
          <w:b/>
          <w:sz w:val="20"/>
        </w:rPr>
        <w:t xml:space="preserve">DESCRIPTION OF UNITS </w:t>
      </w:r>
    </w:p>
    <w:p>
      <w:pPr>
        <w:pStyle w:val="TextBody"/>
        <w:bidi w:val="0"/>
        <w:spacing w:before="240" w:after="0"/>
        <w:jc w:val="left"/>
        <w:rPr>
          <w:rFonts w:ascii="Times New Roman" w:hAnsi="Times New Roman"/>
          <w:sz w:val="20"/>
        </w:rPr>
      </w:pPr>
      <w:r>
        <w:rPr>
          <w:rFonts w:ascii="Times New Roman" w:hAnsi="Times New Roman"/>
          <w:sz w:val="20"/>
        </w:rPr>
        <w:t xml:space="preserve">We may issue units comprised of shares of common stock, shares of preferred stock, debt securities and warrants in any combination. We may issue units in such amounts and in as many distinct series as we wish. This section outlines certain provisions of the units that we may issue. If we issue units, they will be issued under one or more unit agreements to be entered into between us and a bank or other financial institution, as unit agent. The information described in this section may not be complete in all respects and is qualified entirely by reference to the unit agreement with respect to the units of any particular series. The specific terms of any series of units offered will be described in the applicable prospectus supplement. If so described in a particular supplement, the specific terms of any series of units may differ from the general description of terms presented below. We urge you to read any prospectus supplement related to any series of units we may offer, as well as the complete unit agreement and unit certificate that contain the terms of the units. If we issue units, forms of unit agreements and unit certificates relating to such units will be incorporated by reference as exhibits to the registration statement, which includes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Each unit that we may issue will be issued so that the holder of the unit is also the holder of each security included in the unit. Thus, the holder of a unit will have the rights and obligations of a holder of each included security. The unit agreement under which a unit is issued may provide that the securities included in the unit may not be held or transferred separately, at any time or at any time before a specified date. The applicable prospectus supplement may describe: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designation and terms of the units and of the securities comprising the units, including whether and under what circumstances those securities may be held or transferred separately;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provisions of the governing unit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price or prices at which such units will be issued;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applicable United States federal income tax considerations relating to the units;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provisions for the issuance, payment, settlement, transfer or exchange of the units or of the securities comprising the units;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terms of the units and of the securities comprising the units. </w:t>
            </w:r>
          </w:p>
        </w:tc>
      </w:tr>
    </w:tbl>
    <w:p>
      <w:pPr>
        <w:pStyle w:val="TextBody"/>
        <w:bidi w:val="0"/>
        <w:spacing w:before="240" w:after="0"/>
        <w:jc w:val="left"/>
        <w:rPr>
          <w:rFonts w:ascii="Times New Roman" w:hAnsi="Times New Roman"/>
          <w:sz w:val="20"/>
        </w:rPr>
      </w:pPr>
      <w:r>
        <w:rPr>
          <w:rFonts w:ascii="Times New Roman" w:hAnsi="Times New Roman"/>
          <w:sz w:val="20"/>
        </w:rPr>
        <w:t>The provisions described in this section, as well as those described under “</w:t>
      </w:r>
      <w:r>
        <w:rPr>
          <w:rFonts w:ascii="Times New Roman" w:hAnsi="Times New Roman"/>
          <w:i/>
          <w:sz w:val="20"/>
        </w:rPr>
        <w:t>Description of Capital Stock</w:t>
      </w:r>
      <w:r>
        <w:rPr>
          <w:rFonts w:ascii="Times New Roman" w:hAnsi="Times New Roman"/>
          <w:sz w:val="20"/>
        </w:rPr>
        <w:t>,” “</w:t>
      </w:r>
      <w:r>
        <w:rPr>
          <w:rFonts w:ascii="Times New Roman" w:hAnsi="Times New Roman"/>
          <w:i/>
          <w:sz w:val="20"/>
        </w:rPr>
        <w:t>Description of Debt Securities”</w:t>
      </w:r>
      <w:r>
        <w:rPr>
          <w:rFonts w:ascii="Times New Roman" w:hAnsi="Times New Roman"/>
          <w:sz w:val="20"/>
        </w:rPr>
        <w:t xml:space="preserve"> and “</w:t>
      </w:r>
      <w:r>
        <w:rPr>
          <w:rFonts w:ascii="Times New Roman" w:hAnsi="Times New Roman"/>
          <w:i/>
          <w:sz w:val="20"/>
        </w:rPr>
        <w:t>Description of Warrants</w:t>
      </w:r>
      <w:r>
        <w:rPr>
          <w:rFonts w:ascii="Times New Roman" w:hAnsi="Times New Roman"/>
          <w:sz w:val="20"/>
        </w:rPr>
        <w:t xml:space="preserve">” will apply to the securities included in each unit, to the extent relevant and as may be updated in any prospectus supplements. </w:t>
      </w:r>
    </w:p>
    <w:p>
      <w:pPr>
        <w:pStyle w:val="TextBody"/>
        <w:bidi w:val="0"/>
        <w:spacing w:before="360" w:after="0"/>
        <w:jc w:val="left"/>
        <w:rPr>
          <w:rFonts w:ascii="Times New Roman" w:hAnsi="Times New Roman"/>
          <w:b/>
          <w:sz w:val="20"/>
        </w:rPr>
      </w:pPr>
      <w:r>
        <w:rPr>
          <w:rFonts w:ascii="Times New Roman" w:hAnsi="Times New Roman"/>
          <w:b/>
          <w:sz w:val="20"/>
        </w:rPr>
        <w:t xml:space="preserve">Issuance in Series </w:t>
      </w:r>
    </w:p>
    <w:p>
      <w:pPr>
        <w:pStyle w:val="TextBody"/>
        <w:bidi w:val="0"/>
        <w:spacing w:before="120" w:after="0"/>
        <w:jc w:val="left"/>
        <w:rPr>
          <w:rFonts w:ascii="Times New Roman" w:hAnsi="Times New Roman"/>
          <w:sz w:val="20"/>
        </w:rPr>
      </w:pPr>
      <w:r>
        <w:rPr>
          <w:rFonts w:ascii="Times New Roman" w:hAnsi="Times New Roman"/>
          <w:sz w:val="20"/>
        </w:rPr>
        <w:t xml:space="preserve">We may issue units in such amounts and in as many distinct series as we wish. This section summarizes terms of the units that apply generally to all series. Most of the financial and other specific terms of a particular series of units will be described in the applicable prospectus supplement. </w:t>
      </w:r>
    </w:p>
    <w:p>
      <w:pPr>
        <w:pStyle w:val="TextBody"/>
        <w:bidi w:val="0"/>
        <w:spacing w:before="360" w:after="0"/>
        <w:jc w:val="left"/>
        <w:rPr>
          <w:rFonts w:ascii="Times New Roman" w:hAnsi="Times New Roman"/>
          <w:b/>
          <w:sz w:val="20"/>
        </w:rPr>
      </w:pPr>
      <w:r>
        <w:rPr>
          <w:rFonts w:ascii="Times New Roman" w:hAnsi="Times New Roman"/>
          <w:b/>
          <w:sz w:val="20"/>
        </w:rPr>
        <w:t xml:space="preserve">Unit Agreements </w:t>
      </w:r>
    </w:p>
    <w:p>
      <w:pPr>
        <w:pStyle w:val="TextBody"/>
        <w:bidi w:val="0"/>
        <w:spacing w:before="120" w:after="0"/>
        <w:jc w:val="left"/>
        <w:rPr>
          <w:rFonts w:ascii="Times New Roman" w:hAnsi="Times New Roman"/>
          <w:sz w:val="20"/>
        </w:rPr>
      </w:pPr>
      <w:r>
        <w:rPr>
          <w:rFonts w:ascii="Times New Roman" w:hAnsi="Times New Roman"/>
          <w:sz w:val="20"/>
        </w:rPr>
        <w:t xml:space="preserve">We will issue the units under one or more unit agreements to be entered into between us and a bank or other financial institution, as unit agent. We may add, replace or terminate unit agents from time to time. We will identify the unit agreement under which each series of units will be issued and the unit agent under that agreement in the applicable prospectus supplement.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following provisions will generally apply to all unit agreements unless otherwise stated in the applicable prospectus supplement: </w:t>
      </w:r>
    </w:p>
    <w:p>
      <w:pPr>
        <w:pStyle w:val="TextBody"/>
        <w:bidi w:val="0"/>
        <w:spacing w:before="120" w:after="0"/>
        <w:jc w:val="left"/>
        <w:rPr>
          <w:rFonts w:ascii="Times New Roman" w:hAnsi="Times New Roman"/>
          <w:b/>
          <w:i/>
          <w:sz w:val="20"/>
        </w:rPr>
      </w:pPr>
      <w:r>
        <w:rPr>
          <w:rFonts w:ascii="Times New Roman" w:hAnsi="Times New Roman"/>
          <w:b/>
          <w:i/>
          <w:sz w:val="20"/>
        </w:rPr>
        <w:t xml:space="preserve">Modification without Consent </w:t>
      </w:r>
    </w:p>
    <w:p>
      <w:pPr>
        <w:pStyle w:val="TextBody"/>
        <w:bidi w:val="0"/>
        <w:spacing w:before="120" w:after="0"/>
        <w:jc w:val="left"/>
        <w:rPr>
          <w:rFonts w:ascii="Times New Roman" w:hAnsi="Times New Roman"/>
          <w:sz w:val="20"/>
        </w:rPr>
      </w:pPr>
      <w:r>
        <w:rPr>
          <w:rFonts w:ascii="Times New Roman" w:hAnsi="Times New Roman"/>
          <w:sz w:val="20"/>
        </w:rPr>
        <w:t xml:space="preserve">We and the applicable unit agent may amend any unit or unit agreement without the consent of any holder: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cure any ambiguity; any provisions of the governing unit agreement that differ from those described below;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correct or supplement any defective or inconsistent provision;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make any other change that we believe is necessary or desirable and will not adversely affect the interests of the affected holders in any material respect.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do not need any approval to make changes that affect only units to be issued after the changes take effect. We may also make changes that do not adversely affect a particular unit in any material respect, even if they adversely affect other units in a material respect. In those cases, we do not need to obtain the approval of the holder of the unaffected unit; we need only obtain any required approvals from the holders of the affected units. </w:t>
      </w:r>
    </w:p>
    <w:p>
      <w:pPr>
        <w:pStyle w:val="TextBody"/>
        <w:bidi w:val="0"/>
        <w:spacing w:before="360" w:after="0"/>
        <w:jc w:val="left"/>
        <w:rPr>
          <w:rFonts w:ascii="Times New Roman" w:hAnsi="Times New Roman"/>
          <w:b/>
          <w:i/>
          <w:sz w:val="20"/>
        </w:rPr>
      </w:pPr>
      <w:r>
        <w:rPr>
          <w:rFonts w:ascii="Times New Roman" w:hAnsi="Times New Roman"/>
          <w:b/>
          <w:i/>
          <w:sz w:val="20"/>
        </w:rPr>
        <w:t xml:space="preserve">Modification with Consent </w:t>
      </w:r>
    </w:p>
    <w:p>
      <w:pPr>
        <w:pStyle w:val="TextBody"/>
        <w:bidi w:val="0"/>
        <w:spacing w:before="120" w:after="0"/>
        <w:jc w:val="left"/>
        <w:rPr>
          <w:rFonts w:ascii="Times New Roman" w:hAnsi="Times New Roman"/>
          <w:sz w:val="20"/>
        </w:rPr>
      </w:pPr>
      <w:r>
        <w:rPr>
          <w:rFonts w:ascii="Times New Roman" w:hAnsi="Times New Roman"/>
          <w:sz w:val="20"/>
        </w:rPr>
        <w:t xml:space="preserve">We may not amend any particular unit or a unit agreement with respect to any particular unit unless we obtain the consent of the holder of that unit, if the amendment would: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impair any right of the holder to exercise or enforce any right under a security included in the unit if the terms of that security require the consent of the holder to any changes that would impair the exercise or enforcement of that right;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reduce the percentage of outstanding units or any series or class the consent of whose holders is required to amend that series or class, or the applicable unit agreement with respect to that series or class, as described below. </w:t>
            </w:r>
          </w:p>
        </w:tc>
      </w:tr>
    </w:tbl>
    <w:p>
      <w:pPr>
        <w:pStyle w:val="TextBody"/>
        <w:bidi w:val="0"/>
        <w:spacing w:before="240" w:after="0"/>
        <w:jc w:val="left"/>
        <w:rPr>
          <w:rFonts w:ascii="Times New Roman" w:hAnsi="Times New Roman"/>
          <w:sz w:val="20"/>
        </w:rPr>
      </w:pPr>
      <w:r>
        <w:rPr>
          <w:rFonts w:ascii="Times New Roman" w:hAnsi="Times New Roman"/>
          <w:sz w:val="20"/>
        </w:rPr>
        <w:t xml:space="preserve">Any other change to a particular unit agreement and the units issued under that agreement would require the following approval: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change affects only the units of a particular series issued under that agreement, the change must be approved by the holders of a majority of the outstanding units of that series;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change affects the units of more than one series issued under that agreement, it must be approved by the holders of a majority of all outstanding units of all series affected by the change, with the units of all the affected series voting together as one class for this purpose.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These provisions regarding changes with majority approval also apply to changes affecting any securities issued under a unit agreement, as the governing document. </w:t>
      </w:r>
    </w:p>
    <w:p>
      <w:pPr>
        <w:pStyle w:val="TextBody"/>
        <w:bidi w:val="0"/>
        <w:spacing w:before="240" w:after="0"/>
        <w:jc w:val="left"/>
        <w:rPr>
          <w:rFonts w:ascii="Times New Roman" w:hAnsi="Times New Roman"/>
          <w:sz w:val="20"/>
        </w:rPr>
      </w:pPr>
      <w:r>
        <w:rPr>
          <w:rFonts w:ascii="Times New Roman" w:hAnsi="Times New Roman"/>
          <w:sz w:val="20"/>
        </w:rPr>
        <w:t xml:space="preserve">In each case, the required approval must be given by written consent.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Unit Agreements Will Not Be Qualified under Trust Indenture Act </w:t>
      </w:r>
    </w:p>
    <w:p>
      <w:pPr>
        <w:pStyle w:val="TextBody"/>
        <w:bidi w:val="0"/>
        <w:spacing w:before="120" w:after="0"/>
        <w:jc w:val="left"/>
        <w:rPr>
          <w:rFonts w:ascii="Times New Roman" w:hAnsi="Times New Roman"/>
          <w:sz w:val="20"/>
        </w:rPr>
      </w:pPr>
      <w:r>
        <w:rPr>
          <w:rFonts w:ascii="Times New Roman" w:hAnsi="Times New Roman"/>
          <w:sz w:val="20"/>
        </w:rPr>
        <w:t xml:space="preserve">No unit agreement will be qualified as an indenture, and no unit agent will be required to qualify as a trustee, under the Trust Indenture Act. Therefore, holders of units issued under unit agreements will not have the protections of the Trust Indenture Act with respect to their units. </w:t>
      </w:r>
    </w:p>
    <w:p>
      <w:pPr>
        <w:pStyle w:val="TextBody"/>
        <w:bidi w:val="0"/>
        <w:spacing w:before="360" w:after="0"/>
        <w:jc w:val="left"/>
        <w:rPr>
          <w:rFonts w:ascii="Times New Roman" w:hAnsi="Times New Roman"/>
          <w:b/>
          <w:i/>
          <w:sz w:val="20"/>
        </w:rPr>
      </w:pPr>
      <w:r>
        <w:rPr>
          <w:rFonts w:ascii="Times New Roman" w:hAnsi="Times New Roman"/>
          <w:b/>
          <w:i/>
          <w:sz w:val="20"/>
        </w:rPr>
        <w:t xml:space="preserve">Mergers and Similar Transactions Permitted; No Restrictive Covenants or Events of Default </w:t>
      </w:r>
    </w:p>
    <w:p>
      <w:pPr>
        <w:pStyle w:val="TextBody"/>
        <w:bidi w:val="0"/>
        <w:spacing w:before="120" w:after="0"/>
        <w:jc w:val="left"/>
        <w:rPr>
          <w:rFonts w:ascii="Times New Roman" w:hAnsi="Times New Roman"/>
          <w:sz w:val="20"/>
        </w:rPr>
      </w:pPr>
      <w:r>
        <w:rPr>
          <w:rFonts w:ascii="Times New Roman" w:hAnsi="Times New Roman"/>
          <w:sz w:val="20"/>
        </w:rPr>
        <w:t xml:space="preserve">The unit agreements will not restrict our ability to merge or consolidate with, or sell our assets to, another corporation or other entity or to engage in any other transactions. If at any time we merge or consolidate with,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sell our assets substantially as an entirety to, another corporation or other entity, the successor entity will succeed to and assume our obligations under the unit agreements. We will then be relieved of any further obligation under these agreements. </w:t>
      </w:r>
    </w:p>
    <w:p>
      <w:pPr>
        <w:pStyle w:val="TextBody"/>
        <w:bidi w:val="0"/>
        <w:spacing w:before="240" w:after="0"/>
        <w:jc w:val="left"/>
        <w:rPr>
          <w:rFonts w:ascii="Times New Roman" w:hAnsi="Times New Roman"/>
          <w:sz w:val="20"/>
        </w:rPr>
      </w:pPr>
      <w:r>
        <w:rPr>
          <w:rFonts w:ascii="Times New Roman" w:hAnsi="Times New Roman"/>
          <w:sz w:val="20"/>
        </w:rPr>
        <w:t xml:space="preserve">The unit agreements will not include any restrictions on our ability to put liens on our assets, nor will they restrict our ability to sell our assets. The unit agreements also will not provide for any events of default or remedies upon the occurrence of any events of default. </w:t>
      </w:r>
    </w:p>
    <w:p>
      <w:pPr>
        <w:pStyle w:val="TextBody"/>
        <w:bidi w:val="0"/>
        <w:spacing w:before="360" w:after="0"/>
        <w:jc w:val="left"/>
        <w:rPr>
          <w:rFonts w:ascii="Times New Roman" w:hAnsi="Times New Roman"/>
          <w:b/>
          <w:i/>
          <w:sz w:val="20"/>
        </w:rPr>
      </w:pPr>
      <w:r>
        <w:rPr>
          <w:rFonts w:ascii="Times New Roman" w:hAnsi="Times New Roman"/>
          <w:b/>
          <w:i/>
          <w:sz w:val="20"/>
        </w:rPr>
        <w:t xml:space="preserve">Governing Law </w:t>
      </w:r>
    </w:p>
    <w:p>
      <w:pPr>
        <w:pStyle w:val="TextBody"/>
        <w:bidi w:val="0"/>
        <w:spacing w:before="120" w:after="0"/>
        <w:jc w:val="left"/>
        <w:rPr>
          <w:rFonts w:ascii="Times New Roman" w:hAnsi="Times New Roman"/>
          <w:sz w:val="20"/>
        </w:rPr>
      </w:pPr>
      <w:r>
        <w:rPr>
          <w:rFonts w:ascii="Times New Roman" w:hAnsi="Times New Roman"/>
          <w:sz w:val="20"/>
        </w:rPr>
        <w:t xml:space="preserve">The unit agreements and the units will be governed by New York law. </w:t>
      </w:r>
    </w:p>
    <w:p>
      <w:pPr>
        <w:pStyle w:val="TextBody"/>
        <w:bidi w:val="0"/>
        <w:spacing w:before="360" w:after="0"/>
        <w:jc w:val="left"/>
        <w:rPr>
          <w:rFonts w:ascii="Times New Roman" w:hAnsi="Times New Roman"/>
          <w:b/>
          <w:i/>
          <w:sz w:val="20"/>
        </w:rPr>
      </w:pPr>
      <w:r>
        <w:rPr>
          <w:rFonts w:ascii="Times New Roman" w:hAnsi="Times New Roman"/>
          <w:b/>
          <w:i/>
          <w:sz w:val="20"/>
        </w:rPr>
        <w:t xml:space="preserve">Form, Exchange and Transfer </w:t>
      </w:r>
    </w:p>
    <w:p>
      <w:pPr>
        <w:pStyle w:val="TextBody"/>
        <w:bidi w:val="0"/>
        <w:spacing w:before="120" w:after="0"/>
        <w:jc w:val="left"/>
        <w:rPr>
          <w:rFonts w:ascii="Times New Roman" w:hAnsi="Times New Roman"/>
          <w:sz w:val="20"/>
        </w:rPr>
      </w:pPr>
      <w:r>
        <w:rPr>
          <w:rFonts w:ascii="Times New Roman" w:hAnsi="Times New Roman"/>
          <w:sz w:val="20"/>
        </w:rPr>
        <w:t xml:space="preserve">We will issue each unit in global, i.e., book-entry, form only. Units in book-entry form will be represented by a global security registered in the name of a depositary, which will be the holder of all the units represented by the global security. Those who own beneficial interests in a unit will do so through participants in the depositary’s system, and the rights of these indirect owners will be governed solely by the applicable procedures of the depositary and its participants. We will describe book-entry securities, and other terms regarding the issuance and registration of the units in the applicable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Each unit and all securities comprising the unit will be issued in the same form. </w:t>
      </w:r>
    </w:p>
    <w:p>
      <w:pPr>
        <w:pStyle w:val="TextBody"/>
        <w:bidi w:val="0"/>
        <w:spacing w:before="240" w:after="0"/>
        <w:jc w:val="left"/>
        <w:rPr>
          <w:rFonts w:ascii="Times New Roman" w:hAnsi="Times New Roman"/>
          <w:sz w:val="20"/>
        </w:rPr>
      </w:pPr>
      <w:r>
        <w:rPr>
          <w:rFonts w:ascii="Times New Roman" w:hAnsi="Times New Roman"/>
          <w:sz w:val="20"/>
        </w:rPr>
        <w:t xml:space="preserve">If we issue any units in registered, non-global form, the following will apply to them. </w:t>
      </w:r>
    </w:p>
    <w:p>
      <w:pPr>
        <w:pStyle w:val="TextBody"/>
        <w:bidi w:val="0"/>
        <w:spacing w:before="240" w:after="0"/>
        <w:jc w:val="left"/>
        <w:rPr>
          <w:rFonts w:ascii="Times New Roman" w:hAnsi="Times New Roman"/>
          <w:sz w:val="20"/>
        </w:rPr>
      </w:pPr>
      <w:r>
        <w:rPr>
          <w:rFonts w:ascii="Times New Roman" w:hAnsi="Times New Roman"/>
          <w:sz w:val="20"/>
        </w:rPr>
        <w:t xml:space="preserve">The units will be issued in the denominations stated in the applicable prospectus supplement. Holders may exchange their units for units of smaller denominations or combined into fewer units of larger denominations, as long as the total amount is not changed.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Holders may exchange or transfer their units at the office of the unit agent. Holders may also replace lost, stolen, destroyed or mutilated units at that office. We may appoint another entity to perform these functions or perform them ourselves.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Holders will not be required to pay a service charge to transfer or exchange their units, but they may be required to pay for any tax or other governmental charge associated with the transfer or exchange. The transfer or exchange, and any replacement, will be made only if our transfer agent is satisfied with the holder’s proof of legal ownership. The transfer agent may also require an indemnity before replacing any units.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we have the right to redeem, accelerate or settle any units before their maturity, and we exercise our right as to less than all those units or other securities, we may block the exchange or transfer of those units during the period beginning 15 days before the day we mail the notice of exercise and ending on the day of that mailing, in order to freeze the list of holders to prepare the mailing. We may also refuse to register transfers of or exchange any unit selected for early settlement, except that we will continue to permit transfers and exchanges of the unsettled portion of any unit being partially settled. We may also block the transfer or exchange of any unit in this manner if the unit includes securities that are or may be selected for early settlement. </w:t>
            </w:r>
          </w:p>
        </w:tc>
      </w:tr>
    </w:tbl>
    <w:p>
      <w:pPr>
        <w:pStyle w:val="TextBody"/>
        <w:bidi w:val="0"/>
        <w:spacing w:before="240" w:after="0"/>
        <w:jc w:val="left"/>
        <w:rPr>
          <w:rFonts w:ascii="Times New Roman" w:hAnsi="Times New Roman"/>
          <w:sz w:val="20"/>
        </w:rPr>
      </w:pPr>
      <w:r>
        <w:rPr>
          <w:rFonts w:ascii="Times New Roman" w:hAnsi="Times New Roman"/>
          <w:sz w:val="20"/>
        </w:rPr>
        <w:t xml:space="preserve">Only the depositary will be entitled to transfer or exchange a unit in global form, since it will be the sole holder of the unit. </w:t>
      </w:r>
    </w:p>
    <w:p>
      <w:pPr>
        <w:pStyle w:val="TextBody"/>
        <w:bidi w:val="0"/>
        <w:spacing w:before="360" w:after="0"/>
        <w:jc w:val="left"/>
        <w:rPr>
          <w:rFonts w:ascii="Times New Roman" w:hAnsi="Times New Roman"/>
          <w:b/>
          <w:i/>
          <w:sz w:val="20"/>
        </w:rPr>
      </w:pPr>
      <w:r>
        <w:rPr>
          <w:rFonts w:ascii="Times New Roman" w:hAnsi="Times New Roman"/>
          <w:b/>
          <w:i/>
          <w:sz w:val="20"/>
        </w:rPr>
        <w:t xml:space="preserve">Payments and Notices </w:t>
      </w:r>
    </w:p>
    <w:p>
      <w:pPr>
        <w:pStyle w:val="TextBody"/>
        <w:bidi w:val="0"/>
        <w:spacing w:before="120" w:after="0"/>
        <w:jc w:val="left"/>
        <w:rPr>
          <w:rFonts w:ascii="Times New Roman" w:hAnsi="Times New Roman"/>
          <w:sz w:val="20"/>
        </w:rPr>
      </w:pPr>
      <w:r>
        <w:rPr>
          <w:rFonts w:ascii="Times New Roman" w:hAnsi="Times New Roman"/>
          <w:sz w:val="20"/>
        </w:rPr>
        <w:t xml:space="preserve">In making payments and giving notices with respect to our units, we will follow the procedures as described in the applicable prospectus supplement.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30" w:name="tx190758_15"/>
      <w:bookmarkEnd w:id="30"/>
      <w:r>
        <w:rPr>
          <w:rFonts w:ascii="Times New Roman" w:hAnsi="Times New Roman"/>
          <w:b/>
          <w:sz w:val="20"/>
        </w:rPr>
        <w:t xml:space="preserve">PLAN OF DISTRIBUTION </w:t>
      </w:r>
    </w:p>
    <w:p>
      <w:pPr>
        <w:pStyle w:val="TextBody"/>
        <w:bidi w:val="0"/>
        <w:spacing w:before="240" w:after="0"/>
        <w:jc w:val="left"/>
        <w:rPr>
          <w:rFonts w:ascii="Times New Roman" w:hAnsi="Times New Roman"/>
          <w:sz w:val="20"/>
        </w:rPr>
      </w:pPr>
      <w:r>
        <w:rPr>
          <w:rFonts w:ascii="Times New Roman" w:hAnsi="Times New Roman"/>
          <w:sz w:val="20"/>
        </w:rPr>
        <w:t xml:space="preserve">We may sell the offered securities in and outside the United States (1) through underwriters or dealers, (2) directly to one or more purchasers, including to a limited number of institutional purchasers, to a single purchaser or to our affiliates and stockholders, (3) through agents or (4) through a combination of any of these methods. </w:t>
      </w:r>
    </w:p>
    <w:p>
      <w:pPr>
        <w:pStyle w:val="TextBody"/>
        <w:bidi w:val="0"/>
        <w:spacing w:before="240" w:after="0"/>
        <w:jc w:val="left"/>
        <w:rPr>
          <w:rFonts w:ascii="Times New Roman" w:hAnsi="Times New Roman"/>
          <w:sz w:val="20"/>
        </w:rPr>
      </w:pPr>
      <w:r>
        <w:rPr>
          <w:rFonts w:ascii="Times New Roman" w:hAnsi="Times New Roman"/>
          <w:sz w:val="20"/>
        </w:rPr>
        <w:t xml:space="preserve">If underwriters or dealers are used in the sale, the securities will be acquired by the underwriters or dealers for their own account and may be resold from time to time in one or more transactions,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one or more transactions at a fixed price or prices, which may be changed from time to time;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“at-the-market offerings,” within the meaning of Rule 415(a)(4) of the Securities Act, to or through a market maker or into an existing trading market, on an exchange or otherwise;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through a market maker or into an existing trading market on an exchange or otherwise;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prices related to those prevailing market prices;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negotiated prices.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applicable prospectus supplement will set forth the following information to the extent applicable: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terms of the offering;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names of any underwriters, dealers or agents;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name or names of any managing underwriter or underwriters;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purchase price of the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net proceeds from the sale of the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delayed delivery arrangements;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underwriting discounts, commissions and other items constituting underwriters’ compensation;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initial public offering price;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discounts or concessions allowed or reallowed or paid to dealers;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commissions paid to agents.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Sale through Underwriters or Dealers </w:t>
      </w:r>
    </w:p>
    <w:p>
      <w:pPr>
        <w:pStyle w:val="TextBody"/>
        <w:bidi w:val="0"/>
        <w:spacing w:before="120" w:after="0"/>
        <w:jc w:val="left"/>
        <w:rPr>
          <w:rFonts w:ascii="Times New Roman" w:hAnsi="Times New Roman"/>
          <w:sz w:val="20"/>
        </w:rPr>
      </w:pPr>
      <w:r>
        <w:rPr>
          <w:rFonts w:ascii="Times New Roman" w:hAnsi="Times New Roman"/>
          <w:sz w:val="20"/>
        </w:rPr>
        <w:t xml:space="preserve">If any securities are offered through underwriters, the underwriters will acquire the securities for their own account and may resell them from time to time in one or more transactions, including negotiated transactions, at a fixed public offering price or at varying prices determined at the time of sale. Underwriters may offer and sell securities to the public either through underwriting syndicates represented by one or more managing underwriters or directly by one or more firms acting as underwriters. Unless otherwise provided in the applicable prospectus supplement, the obligations of the underwriters to purchase the securities will be subject to certain conditions, and the underwriters will be obligated to purchase all of the offered securities if they purchase any of them. In connection with the sale of securities, underwriters may be deemed to have received compensation from us in the form of underwriting discounts or commissions and dealers may receive compensation from the underwriters in the form of discounts or concessions. The underwriters may change from time to time any initial public offering price and any discounts or concessions allowed or reallowed or paid to dealers. </w:t>
      </w:r>
    </w:p>
    <w:p>
      <w:pPr>
        <w:pStyle w:val="TextBody"/>
        <w:bidi w:val="0"/>
        <w:spacing w:before="240" w:after="0"/>
        <w:jc w:val="left"/>
        <w:rPr>
          <w:rFonts w:ascii="Times New Roman" w:hAnsi="Times New Roman"/>
          <w:sz w:val="20"/>
        </w:rPr>
      </w:pPr>
      <w:r>
        <w:rPr>
          <w:rFonts w:ascii="Times New Roman" w:hAnsi="Times New Roman"/>
          <w:sz w:val="20"/>
        </w:rPr>
        <w:t xml:space="preserve">In order to facilitate the offering of securities, the underwriters may engage in transactions that stabilize, maintain or otherwise affect the price of the securities. Specifically, the underwriters may overallot in connection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with the offering, creating a short position in the securities for their account. In addition, to cover overallotments or to stabilize the price of the shares, the underwriters may bid for, and purchase, shares in the open market. Finally, an underwriting syndicate may reclaim selling concessions allowed to an underwriter or a dealer for distributing the securities in the offering if the syndicate repurchases previously distributed shares in transactions to cover syndicate short positions, in stabilization transactions, or otherwise. Any of these activities may stabilize or maintain the market price of the offered securities above independent market levels. The underwriters are not required to engage in these activities, and may discontinue any of these activities at any time. </w:t>
      </w:r>
    </w:p>
    <w:p>
      <w:pPr>
        <w:pStyle w:val="TextBody"/>
        <w:bidi w:val="0"/>
        <w:spacing w:before="240" w:after="0"/>
        <w:jc w:val="left"/>
        <w:rPr>
          <w:rFonts w:ascii="Times New Roman" w:hAnsi="Times New Roman"/>
          <w:sz w:val="20"/>
        </w:rPr>
      </w:pPr>
      <w:r>
        <w:rPr>
          <w:rFonts w:ascii="Times New Roman" w:hAnsi="Times New Roman"/>
          <w:sz w:val="20"/>
        </w:rPr>
        <w:t xml:space="preserve">Some or all of the securities that we offer through this prospectus may be new issues of securities with no established trading market. Any underwriters to whom we sell securities for public offering and sale may make a market in those securities, but they will not be obligated to do so and they may discontinue any market making at any time without notice. Accordingly, we cannot assure you of the liquidity of, or continued trading markets for, any securities offered pursuant to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If any securities are offered through dealers, we will sell the securities to them as principals. They may then resell those securities to the public at varying prices determined by the dealers at the time of resale. </w:t>
      </w:r>
    </w:p>
    <w:p>
      <w:pPr>
        <w:pStyle w:val="TextBody"/>
        <w:bidi w:val="0"/>
        <w:spacing w:before="360" w:after="0"/>
        <w:jc w:val="left"/>
        <w:rPr>
          <w:rFonts w:ascii="Times New Roman" w:hAnsi="Times New Roman"/>
          <w:b/>
          <w:sz w:val="20"/>
        </w:rPr>
      </w:pPr>
      <w:r>
        <w:rPr>
          <w:rFonts w:ascii="Times New Roman" w:hAnsi="Times New Roman"/>
          <w:b/>
          <w:sz w:val="20"/>
        </w:rPr>
        <w:t xml:space="preserve">Direct Sales and Sales through Agents </w:t>
      </w:r>
    </w:p>
    <w:p>
      <w:pPr>
        <w:pStyle w:val="TextBody"/>
        <w:bidi w:val="0"/>
        <w:spacing w:before="120" w:after="0"/>
        <w:jc w:val="left"/>
        <w:rPr>
          <w:rFonts w:ascii="Times New Roman" w:hAnsi="Times New Roman"/>
          <w:sz w:val="20"/>
        </w:rPr>
      </w:pPr>
      <w:r>
        <w:rPr>
          <w:rFonts w:ascii="Times New Roman" w:hAnsi="Times New Roman"/>
          <w:sz w:val="20"/>
        </w:rPr>
        <w:t xml:space="preserve">We may sell the securities directly to purchasers. If the securities are sold directly to institutional investors or others who may be deemed to be underwriters within the meaning of the Securities Act with respect to any sale of those securities, we will describe the terms of any such sales in the applicable prospectus supplement. We may also sell the securities through agents designated from time to time. Sales may be made by means of ordinary brokers’ transactions on The Nasdaq Global Market at market prices, in block transactions and such other transactions as agreed by us and any agent. In the applicable prospectus supplement, we will name any agent involved in the offer or sale of the offered securities, and we will describe any commissions payable to the agent. Unless otherwise provided in the applicable prospectus supplement, any agent will agree to use its reasonable best efforts to solicit purchases for the period of its appointment. </w:t>
      </w:r>
    </w:p>
    <w:p>
      <w:pPr>
        <w:pStyle w:val="TextBody"/>
        <w:bidi w:val="0"/>
        <w:spacing w:before="360" w:after="0"/>
        <w:jc w:val="left"/>
        <w:rPr>
          <w:rFonts w:ascii="Times New Roman" w:hAnsi="Times New Roman"/>
          <w:b/>
          <w:sz w:val="20"/>
        </w:rPr>
      </w:pPr>
      <w:r>
        <w:rPr>
          <w:rFonts w:ascii="Times New Roman" w:hAnsi="Times New Roman"/>
          <w:b/>
          <w:sz w:val="20"/>
        </w:rPr>
        <w:t xml:space="preserve">At-the-Market Offerings </w:t>
      </w:r>
    </w:p>
    <w:p>
      <w:pPr>
        <w:pStyle w:val="TextBody"/>
        <w:bidi w:val="0"/>
        <w:spacing w:before="120" w:after="0"/>
        <w:jc w:val="left"/>
        <w:rPr>
          <w:rFonts w:ascii="Times New Roman" w:hAnsi="Times New Roman"/>
          <w:sz w:val="20"/>
        </w:rPr>
      </w:pPr>
      <w:r>
        <w:rPr>
          <w:rFonts w:ascii="Times New Roman" w:hAnsi="Times New Roman"/>
          <w:sz w:val="20"/>
        </w:rPr>
        <w:t xml:space="preserve">To the extent that we make sales through one or more underwriters or agents in at-the-market offerings, we will do so pursuant to the terms of a sales agency financing agreement or other at-the-market offering arrangement between us, on the one hand, and the underwriters or agents, on the other. If we engage in at-the-market sales pursuant to any such agreement, we will issue and sell our securities through one or more underwriters or agents, which may act on an agency basis or a principal basis. During the term of any such agreement, we may sell securities on a daily basis in exchange transactions or otherwise as we agree with the underwriters or agents. Any such agreement will provide that any securities sold will be sold at prices related to the then prevailing market prices for our securities. Therefore, exact figures regarding proceeds that will be raised or commissions to be paid cannot be determined at this time. Pursuant to the terms of the agreement, we may agree to sell, and the relevant underwriters or agents may agree to solicit offers to purchase blocks of our common stock or other securities. The terms of any such agreement will be set forth in more detail in the applicable prospectus supplement. </w:t>
      </w:r>
    </w:p>
    <w:p>
      <w:pPr>
        <w:pStyle w:val="TextBody"/>
        <w:bidi w:val="0"/>
        <w:spacing w:before="360" w:after="0"/>
        <w:jc w:val="left"/>
        <w:rPr>
          <w:rFonts w:ascii="Times New Roman" w:hAnsi="Times New Roman"/>
          <w:b/>
          <w:sz w:val="20"/>
        </w:rPr>
      </w:pPr>
      <w:r>
        <w:rPr>
          <w:rFonts w:ascii="Times New Roman" w:hAnsi="Times New Roman"/>
          <w:b/>
          <w:sz w:val="20"/>
        </w:rPr>
        <w:t xml:space="preserve">Remarketing Arrangements </w:t>
      </w:r>
    </w:p>
    <w:p>
      <w:pPr>
        <w:pStyle w:val="TextBody"/>
        <w:bidi w:val="0"/>
        <w:spacing w:before="120" w:after="0"/>
        <w:jc w:val="left"/>
        <w:rPr>
          <w:rFonts w:ascii="Times New Roman" w:hAnsi="Times New Roman"/>
          <w:sz w:val="20"/>
        </w:rPr>
      </w:pPr>
      <w:r>
        <w:rPr>
          <w:rFonts w:ascii="Times New Roman" w:hAnsi="Times New Roman"/>
          <w:sz w:val="20"/>
        </w:rPr>
        <w:t xml:space="preserve">Offered securities may also be offered and sold, if we so indicate in the applicable prospectus supplement, in connection with a remarketing upon their purchase, in accordance with a redemption or repayment pursuant to their terms, or otherwise, by one or more remarketing firms, acting as principals for their own accounts or as our agents. Any remarketing firm will be identified and the terms of its agreements, if any, with us and its compensation will be described in the applicable prospectus supplement. Remarketing firms may be deemed to be underwriters of the offered securities under the Securities Act.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Delayed Delivery Contracts </w:t>
      </w:r>
    </w:p>
    <w:p>
      <w:pPr>
        <w:pStyle w:val="TextBody"/>
        <w:bidi w:val="0"/>
        <w:spacing w:before="120" w:after="0"/>
        <w:jc w:val="left"/>
        <w:rPr>
          <w:rFonts w:ascii="Times New Roman" w:hAnsi="Times New Roman"/>
          <w:sz w:val="20"/>
        </w:rPr>
      </w:pPr>
      <w:r>
        <w:rPr>
          <w:rFonts w:ascii="Times New Roman" w:hAnsi="Times New Roman"/>
          <w:sz w:val="20"/>
        </w:rPr>
        <w:t xml:space="preserve">If we so indicate in the applicable prospectus supplement, we may authorize agents, underwriters or dealers to solicit offers by certain institutions to purchase securities from us pursuant to contracts providing for payment and delivery on a specified future date. The applicable prospectus supplement will describe the conditions to those contracts and the commission payable for solicitation of those contracts. </w:t>
      </w:r>
    </w:p>
    <w:p>
      <w:pPr>
        <w:pStyle w:val="TextBody"/>
        <w:bidi w:val="0"/>
        <w:spacing w:before="360" w:after="0"/>
        <w:jc w:val="left"/>
        <w:rPr>
          <w:rFonts w:ascii="Times New Roman" w:hAnsi="Times New Roman"/>
          <w:b/>
          <w:sz w:val="20"/>
        </w:rPr>
      </w:pPr>
      <w:r>
        <w:rPr>
          <w:rFonts w:ascii="Times New Roman" w:hAnsi="Times New Roman"/>
          <w:b/>
          <w:sz w:val="20"/>
        </w:rPr>
        <w:t xml:space="preserve">General Information </w:t>
      </w:r>
    </w:p>
    <w:p>
      <w:pPr>
        <w:pStyle w:val="TextBody"/>
        <w:bidi w:val="0"/>
        <w:spacing w:before="120" w:after="0"/>
        <w:jc w:val="left"/>
        <w:rPr>
          <w:rFonts w:ascii="Times New Roman" w:hAnsi="Times New Roman"/>
          <w:sz w:val="20"/>
        </w:rPr>
      </w:pPr>
      <w:r>
        <w:rPr>
          <w:rFonts w:ascii="Times New Roman" w:hAnsi="Times New Roman"/>
          <w:sz w:val="20"/>
        </w:rPr>
        <w:t xml:space="preserve">We may have agreements with the agents, dealers, underwriters and remarketing firms to indemnify them against certain civil liabilities, including liabilities under the Securities Act, or to contribute with respect to payments that the agents, dealers or underwriters may be required to make. Agents, dealers, underwriters and remarketing firms may be customers of, engage in transactions with or perform services for us in the ordinary course of their businesses. </w:t>
      </w:r>
    </w:p>
    <w:p>
      <w:pPr>
        <w:pStyle w:val="TextBody"/>
        <w:bidi w:val="0"/>
        <w:spacing w:before="240" w:after="0"/>
        <w:jc w:val="left"/>
        <w:rPr>
          <w:rFonts w:ascii="Times New Roman" w:hAnsi="Times New Roman"/>
          <w:sz w:val="20"/>
        </w:rPr>
      </w:pPr>
      <w:r>
        <w:rPr>
          <w:rFonts w:ascii="Times New Roman" w:hAnsi="Times New Roman"/>
          <w:sz w:val="20"/>
        </w:rPr>
        <w:t>Each underwriter, dealer and agent participating in the distribution of any of the securities that are issuable in bearer form will agree that it will not offer, sell or deliver, directly or indirectly, securities in bearer form in the United States or to United States persons, other than qualifying financial institutions, during the restricted period, as defined in United States Treasury Regulations Section 1.163-5(c)(2)(i)(D)(7).</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31" w:name="tx190758_16"/>
      <w:bookmarkEnd w:id="31"/>
      <w:r>
        <w:rPr>
          <w:rFonts w:ascii="Times New Roman" w:hAnsi="Times New Roman"/>
          <w:b/>
          <w:sz w:val="20"/>
        </w:rPr>
        <w:t xml:space="preserve">LEGAL MATTERS </w:t>
      </w:r>
    </w:p>
    <w:p>
      <w:pPr>
        <w:pStyle w:val="TextBody"/>
        <w:bidi w:val="0"/>
        <w:spacing w:before="240" w:after="0"/>
        <w:jc w:val="left"/>
        <w:rPr>
          <w:rFonts w:ascii="Times New Roman" w:hAnsi="Times New Roman"/>
          <w:sz w:val="20"/>
        </w:rPr>
      </w:pPr>
      <w:r>
        <w:rPr>
          <w:rFonts w:ascii="Times New Roman" w:hAnsi="Times New Roman"/>
          <w:sz w:val="20"/>
        </w:rPr>
        <w:t xml:space="preserve">Certain legal matters in connection with this offering will be passed upon for us by Goodwin Procter LLP, Boston, Massachusetts. Additional legal matters may be passed on for us, or any underwriters, dealers or agents by counsel we will name in the applicable prospectus supplement. </w:t>
      </w:r>
    </w:p>
    <w:p>
      <w:pPr>
        <w:pStyle w:val="TextBody"/>
        <w:bidi w:val="0"/>
        <w:spacing w:before="480" w:after="0"/>
        <w:jc w:val="center"/>
        <w:rPr>
          <w:rFonts w:ascii="Times New Roman" w:hAnsi="Times New Roman"/>
          <w:b/>
          <w:sz w:val="20"/>
        </w:rPr>
      </w:pPr>
      <w:bookmarkStart w:id="32" w:name="tx190758_17"/>
      <w:bookmarkEnd w:id="32"/>
      <w:r>
        <w:rPr>
          <w:rFonts w:ascii="Times New Roman" w:hAnsi="Times New Roman"/>
          <w:b/>
          <w:sz w:val="20"/>
        </w:rPr>
        <w:t xml:space="preserve">EXPERTS </w:t>
      </w:r>
    </w:p>
    <w:p>
      <w:pPr>
        <w:pStyle w:val="TextBody"/>
        <w:bidi w:val="0"/>
        <w:spacing w:before="240" w:after="0"/>
        <w:jc w:val="left"/>
        <w:rPr>
          <w:rFonts w:ascii="Times New Roman" w:hAnsi="Times New Roman"/>
          <w:sz w:val="20"/>
        </w:rPr>
      </w:pPr>
      <w:r>
        <w:rPr>
          <w:rFonts w:ascii="Times New Roman" w:hAnsi="Times New Roman"/>
          <w:sz w:val="20"/>
        </w:rPr>
        <w:t xml:space="preserve">The consolidated financial statements of Disc Medicine, Inc. appearing in Disc Medicine, Inc.’s Annual Report (Form 10-K) for the year ended December 31, 2023, have been audited by Ernst &amp; Young LLP, independent registered public accounting firm, as set forth in their report thereon, included therein, and incorporated herein by reference. Such consolidated financial statements are, and audited financial statements to be included in subsequently filed documents will be, incorporated herein in reliance upon the report of Ernst &amp; Young LLP pertaining to such financial statements (to the extent covered by consents filed with the Securities and Exchange Commission) given on the authority of such firm as experts in accounting and auditing.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 </w:t>
      </w:r>
      <w:r>
        <w:br w:type="page"/>
      </w:r>
    </w:p>
    <w:p>
      <w:pPr>
        <w:pStyle w:val="HorizontalLine"/>
        <w:pBdr>
          <w:bottom w:val="double" w:sz="6" w:space="0" w:color="808080"/>
        </w:pBdr>
        <w:bidi w:val="0"/>
        <w:jc w:val="left"/>
        <w:rPr/>
      </w:pPr>
      <w:r>
        <w:rPr/>
      </w:r>
    </w:p>
    <w:p>
      <w:pPr>
        <w:pStyle w:val="TextBody"/>
        <w:bidi w:val="0"/>
        <w:spacing w:lineRule="atLeast" w:line="142" w:before="0" w:after="0"/>
        <w:jc w:val="left"/>
        <w:rPr>
          <w:bdr w:val="single" w:sz="16" w:space="1" w:color="000000"/>
        </w:rPr>
      </w:pPr>
      <w:r>
        <w:rPr>
          <w:bdr w:val="single" w:sz="16"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4795520" cy="73533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29"/>
                    <a:stretch>
                      <a:fillRect/>
                    </a:stretch>
                  </pic:blipFill>
                  <pic:spPr bwMode="auto">
                    <a:xfrm>
                      <a:off x="0" y="0"/>
                      <a:ext cx="4795520" cy="735330"/>
                    </a:xfrm>
                    <a:prstGeom prst="rect">
                      <a:avLst/>
                    </a:prstGeom>
                  </pic:spPr>
                </pic:pic>
              </a:graphicData>
            </a:graphic>
          </wp:inline>
        </w:drawing>
      </w:r>
      <w:r>
        <w:rPr/>
        <w:t xml:space="preserve"> </w:t>
      </w:r>
    </w:p>
    <w:p>
      <w:pPr>
        <w:pStyle w:val="TextBody"/>
        <w:bidi w:val="0"/>
        <w:spacing w:before="480" w:after="0"/>
        <w:jc w:val="center"/>
        <w:rPr>
          <w:rFonts w:ascii="Times New Roman" w:hAnsi="Times New Roman"/>
          <w:b/>
          <w:sz w:val="28"/>
        </w:rPr>
      </w:pPr>
      <w:r>
        <w:rPr>
          <w:rFonts w:ascii="Times New Roman" w:hAnsi="Times New Roman"/>
          <w:b/>
          <w:sz w:val="28"/>
        </w:rPr>
        <w:t xml:space="preserve">6,000,000 Shares of Common Stock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 xml:space="preserve">PROSPECTUS SUPPLEMENT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i/>
          <w:sz w:val="20"/>
        </w:rPr>
      </w:pPr>
      <w:r>
        <w:rPr>
          <w:rFonts w:ascii="Times New Roman" w:hAnsi="Times New Roman"/>
          <w:b/>
          <w:i/>
          <w:sz w:val="20"/>
        </w:rPr>
        <w:t xml:space="preserve">Joint Book-Running Managers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348"/>
        <w:gridCol w:w="101"/>
        <w:gridCol w:w="2552"/>
        <w:gridCol w:w="101"/>
        <w:gridCol w:w="2552"/>
        <w:gridCol w:w="101"/>
        <w:gridCol w:w="2450"/>
      </w:tblGrid>
      <w:tr>
        <w:trPr/>
        <w:tc>
          <w:tcPr>
            <w:tcW w:w="2348"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2552"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2552"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2450" w:type="dxa"/>
            <w:tcBorders/>
            <w:vAlign w:val="center"/>
          </w:tcPr>
          <w:p>
            <w:pPr>
              <w:pStyle w:val="TableContents"/>
              <w:bidi w:val="0"/>
              <w:spacing w:before="0" w:after="283"/>
              <w:jc w:val="left"/>
              <w:rPr>
                <w:sz w:val="4"/>
                <w:szCs w:val="4"/>
              </w:rPr>
            </w:pPr>
            <w:r>
              <w:rPr>
                <w:sz w:val="4"/>
                <w:szCs w:val="4"/>
              </w:rPr>
            </w:r>
          </w:p>
        </w:tc>
      </w:tr>
      <w:tr>
        <w:trPr/>
        <w:tc>
          <w:tcPr>
            <w:tcW w:w="2348" w:type="dxa"/>
            <w:tcBorders/>
          </w:tcPr>
          <w:p>
            <w:pPr>
              <w:pStyle w:val="TableContents"/>
              <w:bidi w:val="0"/>
              <w:spacing w:before="0" w:after="283"/>
              <w:jc w:val="left"/>
              <w:rPr>
                <w:b/>
              </w:rPr>
            </w:pPr>
            <w:r>
              <w:rPr>
                <w:b/>
              </w:rPr>
              <w:t>Jefferies</w:t>
            </w:r>
          </w:p>
        </w:tc>
        <w:tc>
          <w:tcPr>
            <w:tcW w:w="101" w:type="dxa"/>
            <w:tcBorders/>
            <w:vAlign w:val="bottom"/>
          </w:tcPr>
          <w:p>
            <w:pPr>
              <w:pStyle w:val="TableContents"/>
              <w:bidi w:val="0"/>
              <w:spacing w:before="0" w:after="283"/>
              <w:jc w:val="left"/>
              <w:rPr/>
            </w:pPr>
            <w:r>
              <w:rPr/>
              <w:t> </w:t>
            </w:r>
          </w:p>
        </w:tc>
        <w:tc>
          <w:tcPr>
            <w:tcW w:w="2552" w:type="dxa"/>
            <w:tcBorders/>
          </w:tcPr>
          <w:p>
            <w:pPr>
              <w:pStyle w:val="TableContents"/>
              <w:bidi w:val="0"/>
              <w:spacing w:before="0" w:after="283"/>
              <w:jc w:val="center"/>
              <w:rPr>
                <w:b/>
              </w:rPr>
            </w:pPr>
            <w:r>
              <w:rPr>
                <w:b/>
              </w:rPr>
              <w:t>Leerink Partners</w:t>
            </w:r>
          </w:p>
        </w:tc>
        <w:tc>
          <w:tcPr>
            <w:tcW w:w="101" w:type="dxa"/>
            <w:tcBorders/>
            <w:vAlign w:val="bottom"/>
          </w:tcPr>
          <w:p>
            <w:pPr>
              <w:pStyle w:val="TableContents"/>
              <w:bidi w:val="0"/>
              <w:spacing w:before="0" w:after="283"/>
              <w:jc w:val="left"/>
              <w:rPr/>
            </w:pPr>
            <w:r>
              <w:rPr/>
              <w:t> </w:t>
            </w:r>
          </w:p>
        </w:tc>
        <w:tc>
          <w:tcPr>
            <w:tcW w:w="2552" w:type="dxa"/>
            <w:tcBorders/>
          </w:tcPr>
          <w:p>
            <w:pPr>
              <w:pStyle w:val="TableContents"/>
              <w:bidi w:val="0"/>
              <w:spacing w:before="0" w:after="283"/>
              <w:jc w:val="center"/>
              <w:rPr>
                <w:b/>
              </w:rPr>
            </w:pPr>
            <w:r>
              <w:rPr>
                <w:b/>
              </w:rPr>
              <w:t>Morgan Stanley</w:t>
            </w:r>
          </w:p>
        </w:tc>
        <w:tc>
          <w:tcPr>
            <w:tcW w:w="101" w:type="dxa"/>
            <w:tcBorders/>
            <w:vAlign w:val="bottom"/>
          </w:tcPr>
          <w:p>
            <w:pPr>
              <w:pStyle w:val="TableContents"/>
              <w:bidi w:val="0"/>
              <w:spacing w:before="0" w:after="283"/>
              <w:jc w:val="left"/>
              <w:rPr/>
            </w:pPr>
            <w:r>
              <w:rPr/>
              <w:t> </w:t>
            </w:r>
          </w:p>
        </w:tc>
        <w:tc>
          <w:tcPr>
            <w:tcW w:w="2450" w:type="dxa"/>
            <w:tcBorders/>
          </w:tcPr>
          <w:p>
            <w:pPr>
              <w:pStyle w:val="TableContents"/>
              <w:bidi w:val="0"/>
              <w:spacing w:before="0" w:after="283"/>
              <w:jc w:val="right"/>
              <w:rPr>
                <w:b/>
              </w:rPr>
            </w:pPr>
            <w:r>
              <w:rPr>
                <w:b/>
              </w:rPr>
              <w:t>Cantor</w:t>
            </w:r>
          </w:p>
        </w:tc>
      </w:tr>
    </w:tbl>
    <w:p>
      <w:pPr>
        <w:pStyle w:val="TextBody"/>
        <w:bidi w:val="0"/>
        <w:spacing w:before="240" w:after="0"/>
        <w:jc w:val="center"/>
        <w:rPr>
          <w:rFonts w:ascii="Times New Roman" w:hAnsi="Times New Roman"/>
          <w:b/>
          <w:i/>
          <w:sz w:val="20"/>
        </w:rPr>
      </w:pPr>
      <w:r>
        <w:rPr>
          <w:rFonts w:ascii="Times New Roman" w:hAnsi="Times New Roman"/>
          <w:b/>
          <w:i/>
          <w:sz w:val="20"/>
        </w:rPr>
        <w:t xml:space="preserve">Co Managers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551"/>
        <w:gridCol w:w="102"/>
        <w:gridCol w:w="4184"/>
        <w:gridCol w:w="102"/>
        <w:gridCol w:w="3266"/>
      </w:tblGrid>
      <w:tr>
        <w:trPr/>
        <w:tc>
          <w:tcPr>
            <w:tcW w:w="2551"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4184"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3266" w:type="dxa"/>
            <w:tcBorders/>
            <w:vAlign w:val="center"/>
          </w:tcPr>
          <w:p>
            <w:pPr>
              <w:pStyle w:val="TableContents"/>
              <w:bidi w:val="0"/>
              <w:spacing w:before="0" w:after="283"/>
              <w:jc w:val="left"/>
              <w:rPr>
                <w:sz w:val="4"/>
                <w:szCs w:val="4"/>
              </w:rPr>
            </w:pPr>
            <w:r>
              <w:rPr>
                <w:sz w:val="4"/>
                <w:szCs w:val="4"/>
              </w:rPr>
            </w:r>
          </w:p>
        </w:tc>
      </w:tr>
      <w:tr>
        <w:trPr/>
        <w:tc>
          <w:tcPr>
            <w:tcW w:w="2551" w:type="dxa"/>
            <w:tcBorders/>
          </w:tcPr>
          <w:p>
            <w:pPr>
              <w:pStyle w:val="TableContents"/>
              <w:bidi w:val="0"/>
              <w:spacing w:before="0" w:after="283"/>
              <w:jc w:val="left"/>
              <w:rPr>
                <w:b/>
              </w:rPr>
            </w:pPr>
            <w:r>
              <w:rPr>
                <w:b/>
              </w:rPr>
              <w:t>LifeSci Capital</w:t>
            </w:r>
          </w:p>
        </w:tc>
        <w:tc>
          <w:tcPr>
            <w:tcW w:w="102" w:type="dxa"/>
            <w:tcBorders/>
            <w:vAlign w:val="bottom"/>
          </w:tcPr>
          <w:p>
            <w:pPr>
              <w:pStyle w:val="TableContents"/>
              <w:bidi w:val="0"/>
              <w:spacing w:before="0" w:after="283"/>
              <w:jc w:val="left"/>
              <w:rPr/>
            </w:pPr>
            <w:r>
              <w:rPr/>
              <w:t> </w:t>
            </w:r>
          </w:p>
        </w:tc>
        <w:tc>
          <w:tcPr>
            <w:tcW w:w="4184" w:type="dxa"/>
            <w:tcBorders/>
          </w:tcPr>
          <w:p>
            <w:pPr>
              <w:pStyle w:val="TableContents"/>
              <w:bidi w:val="0"/>
              <w:spacing w:before="0" w:after="283"/>
              <w:jc w:val="center"/>
              <w:rPr>
                <w:b/>
              </w:rPr>
            </w:pPr>
            <w:r>
              <w:rPr>
                <w:b/>
              </w:rPr>
              <w:t>BMO Capital Markets</w:t>
            </w:r>
          </w:p>
        </w:tc>
        <w:tc>
          <w:tcPr>
            <w:tcW w:w="102" w:type="dxa"/>
            <w:tcBorders/>
            <w:vAlign w:val="bottom"/>
          </w:tcPr>
          <w:p>
            <w:pPr>
              <w:pStyle w:val="TableContents"/>
              <w:bidi w:val="0"/>
              <w:spacing w:before="0" w:after="283"/>
              <w:jc w:val="left"/>
              <w:rPr/>
            </w:pPr>
            <w:r>
              <w:rPr/>
              <w:t> </w:t>
            </w:r>
          </w:p>
        </w:tc>
        <w:tc>
          <w:tcPr>
            <w:tcW w:w="3266" w:type="dxa"/>
            <w:tcBorders/>
            <w:vAlign w:val="bottom"/>
          </w:tcPr>
          <w:p>
            <w:pPr>
              <w:pStyle w:val="TableContents"/>
              <w:bidi w:val="0"/>
              <w:spacing w:before="0" w:after="283"/>
              <w:jc w:val="right"/>
              <w:rPr>
                <w:b/>
              </w:rPr>
            </w:pPr>
            <w:r>
              <w:rPr>
                <w:b/>
              </w:rPr>
              <w:t>H.C. Wainwright &amp; Co.</w:t>
            </w:r>
          </w:p>
        </w:tc>
      </w:tr>
    </w:tbl>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480" w:after="0"/>
        <w:jc w:val="center"/>
        <w:rPr>
          <w:rFonts w:ascii="Times New Roman" w:hAnsi="Times New Roman"/>
          <w:b/>
          <w:sz w:val="20"/>
        </w:rPr>
      </w:pPr>
      <w:r>
        <w:rPr>
          <w:rFonts w:ascii="Times New Roman" w:hAnsi="Times New Roman"/>
          <w:b/>
          <w:sz w:val="20"/>
        </w:rPr>
        <w:t xml:space="preserve">October 20, 2026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16" w:space="1" w:color="000000"/>
        </w:rPr>
      </w:pPr>
      <w:r>
        <w:rPr>
          <w:bdr w:val="single" w:sz="16" w:space="1" w:color="000000"/>
        </w:rPr>
        <w:t> </w:t>
      </w:r>
    </w:p>
    <w:p>
      <w:pPr>
        <w:pStyle w:val="Normal"/>
        <w:bidi w:val="0"/>
        <w:spacing w:before="0" w:after="0"/>
        <w:jc w:val="left"/>
        <w:rPr>
          <w:sz w:val="4"/>
          <w:szCs w:val="4"/>
        </w:rPr>
      </w:pPr>
      <w:r>
        <w:rPr>
          <w:sz w:val="4"/>
          <w:szCs w:val="4"/>
        </w:rPr>
      </w:r>
      <w:bookmarkStart w:id="33" w:name="d190758dexfilingfees.htm"/>
      <w:bookmarkStart w:id="34" w:name="ksd190758dexfilingfees"/>
      <w:bookmarkStart w:id="35" w:name="d190758dexfilingfees.htm"/>
      <w:bookmarkStart w:id="36" w:name="ksd190758dexfilingfees"/>
      <w:bookmarkEnd w:id="35"/>
      <w:bookmarkEnd w:id="36"/>
      <w:r>
        <w:br w:type="page"/>
      </w:r>
    </w:p>
    <w:tbl>
      <w:tblPr>
        <w:tblW w:w="3567" w:type="dxa"/>
        <w:jc w:val="left"/>
        <w:tblInd w:w="0" w:type="dxa"/>
        <w:tblLayout w:type="fixed"/>
        <w:tblCellMar>
          <w:top w:w="28" w:type="dxa"/>
          <w:left w:w="28" w:type="dxa"/>
          <w:bottom w:w="28" w:type="dxa"/>
          <w:right w:w="28" w:type="dxa"/>
        </w:tblCellMar>
      </w:tblPr>
      <w:tblGrid>
        <w:gridCol w:w="3413"/>
        <w:gridCol w:w="154"/>
      </w:tblGrid>
      <w:tr>
        <w:trPr/>
        <w:tc>
          <w:tcPr>
            <w:tcW w:w="3567" w:type="dxa"/>
            <w:gridSpan w:val="2"/>
            <w:tcBorders/>
            <w:vAlign w:val="center"/>
          </w:tcPr>
          <w:p>
            <w:pPr>
              <w:pStyle w:val="TableContents"/>
              <w:bidi w:val="0"/>
              <w:spacing w:before="0" w:after="283"/>
              <w:jc w:val="left"/>
              <w:rPr/>
            </w:pPr>
            <w:r>
              <w:rPr>
                <w:b/>
              </w:rPr>
              <w:t>Calculation of Filing Fee Tables</w:t>
            </w:r>
            <w:r>
              <w:rPr/>
              <w:t xml:space="preserve"> </w:t>
            </w:r>
          </w:p>
        </w:tc>
      </w:tr>
      <w:tr>
        <w:trPr/>
        <w:tc>
          <w:tcPr>
            <w:tcW w:w="3413" w:type="dxa"/>
            <w:tcBorders/>
            <w:vAlign w:val="center"/>
          </w:tcPr>
          <w:p>
            <w:pPr>
              <w:pStyle w:val="TableContents"/>
              <w:bidi w:val="0"/>
              <w:spacing w:before="0" w:after="283"/>
              <w:jc w:val="left"/>
              <w:rPr>
                <w:b/>
              </w:rPr>
            </w:pPr>
            <w:r>
              <w:rPr>
                <w:b/>
              </w:rPr>
              <w:t xml:space="preserve">S-3 </w:t>
            </w:r>
          </w:p>
        </w:tc>
        <w:tc>
          <w:tcPr>
            <w:tcW w:w="154" w:type="dxa"/>
            <w:tcBorders/>
          </w:tcPr>
          <w:p>
            <w:pPr>
              <w:pStyle w:val="TableContents"/>
              <w:bidi w:val="0"/>
              <w:spacing w:before="0" w:after="283"/>
              <w:jc w:val="left"/>
              <w:rPr>
                <w:sz w:val="4"/>
                <w:szCs w:val="4"/>
              </w:rPr>
            </w:pPr>
            <w:r>
              <w:rPr>
                <w:sz w:val="4"/>
                <w:szCs w:val="4"/>
              </w:rPr>
            </w:r>
          </w:p>
        </w:tc>
      </w:tr>
      <w:tr>
        <w:trPr/>
        <w:tc>
          <w:tcPr>
            <w:tcW w:w="3413" w:type="dxa"/>
            <w:tcBorders/>
            <w:vAlign w:val="center"/>
          </w:tcPr>
          <w:p>
            <w:pPr>
              <w:pStyle w:val="TableContents"/>
              <w:bidi w:val="0"/>
              <w:spacing w:before="0" w:after="283"/>
              <w:jc w:val="left"/>
              <w:rPr>
                <w:b/>
              </w:rPr>
            </w:pPr>
            <w:r>
              <w:rPr>
                <w:b/>
              </w:rPr>
              <w:t xml:space="preserve">Disc Medicine, Inc. </w:t>
            </w:r>
          </w:p>
        </w:tc>
        <w:tc>
          <w:tcPr>
            <w:tcW w:w="154" w:type="dxa"/>
            <w:tcBorders/>
          </w:tcPr>
          <w:p>
            <w:pPr>
              <w:pStyle w:val="TableContents"/>
              <w:bidi w:val="0"/>
              <w:spacing w:before="0" w:after="283"/>
              <w:jc w:val="left"/>
              <w:rPr>
                <w:sz w:val="4"/>
                <w:szCs w:val="4"/>
              </w:rPr>
            </w:pPr>
            <w:r>
              <w:rPr>
                <w:sz w:val="4"/>
                <w:szCs w:val="4"/>
              </w:rPr>
            </w:r>
          </w:p>
        </w:tc>
      </w:tr>
    </w:tbl>
    <w:tbl>
      <w:tblPr>
        <w:tblW w:w="7967" w:type="dxa"/>
        <w:jc w:val="left"/>
        <w:tblInd w:w="0" w:type="dxa"/>
        <w:tblLayout w:type="fixed"/>
        <w:tblCellMar>
          <w:top w:w="28" w:type="dxa"/>
          <w:left w:w="28" w:type="dxa"/>
          <w:bottom w:w="28" w:type="dxa"/>
          <w:right w:w="28" w:type="dxa"/>
        </w:tblCellMar>
      </w:tblPr>
      <w:tblGrid>
        <w:gridCol w:w="6016"/>
        <w:gridCol w:w="1951"/>
      </w:tblGrid>
      <w:tr>
        <w:trPr/>
        <w:tc>
          <w:tcPr>
            <w:tcW w:w="6016" w:type="dxa"/>
            <w:tcBorders/>
            <w:vAlign w:val="center"/>
          </w:tcPr>
          <w:p>
            <w:pPr>
              <w:pStyle w:val="TableHeading"/>
              <w:bidi w:val="0"/>
              <w:spacing w:before="0" w:after="283"/>
              <w:jc w:val="left"/>
              <w:rPr/>
            </w:pPr>
            <w:r>
              <w:rPr>
                <w:b/>
              </w:rPr>
              <w:t>Table 1: Newly Registered and Carry Forward Securities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5434" w:type="dxa"/>
        <w:jc w:val="left"/>
        <w:tblInd w:w="0" w:type="dxa"/>
        <w:tblLayout w:type="fixed"/>
        <w:tblCellMar>
          <w:top w:w="28" w:type="dxa"/>
          <w:left w:w="28" w:type="dxa"/>
          <w:bottom w:w="28" w:type="dxa"/>
          <w:right w:w="28" w:type="dxa"/>
        </w:tblCellMar>
      </w:tblPr>
      <w:tblGrid>
        <w:gridCol w:w="1126"/>
        <w:gridCol w:w="226"/>
        <w:gridCol w:w="946"/>
        <w:gridCol w:w="991"/>
        <w:gridCol w:w="1276"/>
        <w:gridCol w:w="1186"/>
        <w:gridCol w:w="1156"/>
        <w:gridCol w:w="1786"/>
        <w:gridCol w:w="1006"/>
        <w:gridCol w:w="1351"/>
        <w:gridCol w:w="1021"/>
        <w:gridCol w:w="1021"/>
        <w:gridCol w:w="1021"/>
        <w:gridCol w:w="1321"/>
      </w:tblGrid>
      <w:tr>
        <w:trPr/>
        <w:tc>
          <w:tcPr>
            <w:tcW w:w="1126" w:type="dxa"/>
            <w:tcBorders/>
            <w:shd w:fill="9ADAF6" w:val="clear"/>
            <w:vAlign w:val="center"/>
          </w:tcPr>
          <w:p>
            <w:pPr>
              <w:pStyle w:val="TableHeading"/>
              <w:bidi w:val="0"/>
              <w:spacing w:before="0" w:after="283"/>
              <w:rPr>
                <w:sz w:val="4"/>
                <w:szCs w:val="4"/>
              </w:rPr>
            </w:pPr>
            <w:r>
              <w:rPr>
                <w:sz w:val="4"/>
                <w:szCs w:val="4"/>
              </w:rPr>
            </w:r>
          </w:p>
        </w:tc>
        <w:tc>
          <w:tcPr>
            <w:tcW w:w="226" w:type="dxa"/>
            <w:tcBorders/>
            <w:shd w:fill="9ADAF6" w:val="clear"/>
            <w:vAlign w:val="center"/>
          </w:tcPr>
          <w:p>
            <w:pPr>
              <w:pStyle w:val="TableHeading"/>
              <w:bidi w:val="0"/>
              <w:spacing w:before="0" w:after="283"/>
              <w:rPr>
                <w:sz w:val="4"/>
                <w:szCs w:val="4"/>
              </w:rPr>
            </w:pPr>
            <w:r>
              <w:rPr>
                <w:sz w:val="4"/>
                <w:szCs w:val="4"/>
              </w:rPr>
            </w:r>
          </w:p>
        </w:tc>
        <w:tc>
          <w:tcPr>
            <w:tcW w:w="946"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991" w:type="dxa"/>
            <w:tcBorders/>
            <w:shd w:fill="9ADAF6" w:val="clear"/>
            <w:vAlign w:val="center"/>
          </w:tcPr>
          <w:p>
            <w:pPr>
              <w:pStyle w:val="TableHeading"/>
              <w:bidi w:val="0"/>
              <w:spacing w:before="0" w:after="0"/>
              <w:ind w:left="0" w:right="0" w:hanging="0"/>
              <w:jc w:val="center"/>
              <w:rPr>
                <w:b/>
              </w:rPr>
            </w:pPr>
            <w:r>
              <w:rPr>
                <w:b/>
              </w:rPr>
              <w:t xml:space="preserve">Security Class Title </w:t>
            </w:r>
          </w:p>
        </w:tc>
        <w:tc>
          <w:tcPr>
            <w:tcW w:w="1276" w:type="dxa"/>
            <w:tcBorders/>
            <w:shd w:fill="9ADAF6" w:val="clear"/>
            <w:vAlign w:val="center"/>
          </w:tcPr>
          <w:p>
            <w:pPr>
              <w:pStyle w:val="TableHeading"/>
              <w:bidi w:val="0"/>
              <w:spacing w:before="0" w:after="0"/>
              <w:ind w:left="0" w:right="0" w:hanging="0"/>
              <w:jc w:val="center"/>
              <w:rPr/>
            </w:pPr>
            <w:r>
              <w:rPr>
                <w:b/>
              </w:rPr>
              <w:t>Fee Calculation or Carry Forward Rule</w:t>
            </w:r>
            <w:r>
              <w:rPr/>
              <w:t xml:space="preserve"> </w:t>
            </w:r>
          </w:p>
        </w:tc>
        <w:tc>
          <w:tcPr>
            <w:tcW w:w="1186" w:type="dxa"/>
            <w:tcBorders/>
            <w:shd w:fill="9ADAF6" w:val="clear"/>
            <w:vAlign w:val="center"/>
          </w:tcPr>
          <w:p>
            <w:pPr>
              <w:pStyle w:val="TableHeading"/>
              <w:bidi w:val="0"/>
              <w:spacing w:before="0" w:after="0"/>
              <w:ind w:left="0" w:right="0" w:hanging="0"/>
              <w:jc w:val="center"/>
              <w:rPr/>
            </w:pPr>
            <w:r>
              <w:rPr>
                <w:b/>
              </w:rPr>
              <w:t>Amount Registered</w:t>
            </w:r>
            <w:r>
              <w:rPr/>
              <w:t xml:space="preserve"> </w:t>
            </w:r>
          </w:p>
        </w:tc>
        <w:tc>
          <w:tcPr>
            <w:tcW w:w="1156" w:type="dxa"/>
            <w:tcBorders/>
            <w:shd w:fill="9ADAF6" w:val="clear"/>
            <w:vAlign w:val="center"/>
          </w:tcPr>
          <w:p>
            <w:pPr>
              <w:pStyle w:val="TableHeading"/>
              <w:bidi w:val="0"/>
              <w:spacing w:before="0" w:after="0"/>
              <w:ind w:left="0" w:right="0" w:hanging="0"/>
              <w:jc w:val="center"/>
              <w:rPr/>
            </w:pPr>
            <w:r>
              <w:rPr>
                <w:b/>
              </w:rPr>
              <w:t>Proposed Maximum Offering Price Per Unit</w:t>
            </w:r>
            <w:r>
              <w:rPr/>
              <w:t xml:space="preserve"> </w:t>
            </w:r>
          </w:p>
        </w:tc>
        <w:tc>
          <w:tcPr>
            <w:tcW w:w="1786" w:type="dxa"/>
            <w:tcBorders/>
            <w:shd w:fill="9ADAF6" w:val="clear"/>
            <w:vAlign w:val="center"/>
          </w:tcPr>
          <w:p>
            <w:pPr>
              <w:pStyle w:val="TableHeading"/>
              <w:bidi w:val="0"/>
              <w:spacing w:before="0" w:after="0"/>
              <w:ind w:left="0" w:right="0" w:hanging="0"/>
              <w:jc w:val="center"/>
              <w:rPr/>
            </w:pPr>
            <w:r>
              <w:rPr>
                <w:b/>
              </w:rPr>
              <w:t>Maximum Aggregate Offering Price</w:t>
            </w:r>
            <w:r>
              <w:rPr/>
              <w:t xml:space="preserve"> </w:t>
            </w:r>
          </w:p>
        </w:tc>
        <w:tc>
          <w:tcPr>
            <w:tcW w:w="1006" w:type="dxa"/>
            <w:tcBorders/>
            <w:shd w:fill="9ADAF6" w:val="clear"/>
            <w:vAlign w:val="center"/>
          </w:tcPr>
          <w:p>
            <w:pPr>
              <w:pStyle w:val="TableHeading"/>
              <w:bidi w:val="0"/>
              <w:spacing w:before="0" w:after="0"/>
              <w:ind w:left="0" w:right="0" w:hanging="0"/>
              <w:jc w:val="center"/>
              <w:rPr/>
            </w:pPr>
            <w:r>
              <w:rPr>
                <w:b/>
              </w:rPr>
              <w:t>Fee Rate</w:t>
            </w:r>
            <w:r>
              <w:rPr/>
              <w:t xml:space="preserve"> </w:t>
            </w:r>
          </w:p>
        </w:tc>
        <w:tc>
          <w:tcPr>
            <w:tcW w:w="1351" w:type="dxa"/>
            <w:tcBorders/>
            <w:shd w:fill="9ADAF6" w:val="clear"/>
            <w:vAlign w:val="center"/>
          </w:tcPr>
          <w:p>
            <w:pPr>
              <w:pStyle w:val="TableHeading"/>
              <w:bidi w:val="0"/>
              <w:spacing w:before="0" w:after="0"/>
              <w:ind w:left="0" w:right="0" w:hanging="0"/>
              <w:jc w:val="center"/>
              <w:rPr/>
            </w:pPr>
            <w:r>
              <w:rPr>
                <w:b/>
              </w:rPr>
              <w:t>Amount of Registration Fee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Form Type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File Number</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Initial Effective Date</w:t>
            </w:r>
            <w:r>
              <w:rPr/>
              <w:t xml:space="preserve"> </w:t>
            </w:r>
          </w:p>
        </w:tc>
        <w:tc>
          <w:tcPr>
            <w:tcW w:w="1321" w:type="dxa"/>
            <w:tcBorders/>
            <w:shd w:fill="9ADAF6" w:val="clear"/>
            <w:vAlign w:val="center"/>
          </w:tcPr>
          <w:p>
            <w:pPr>
              <w:pStyle w:val="TableHeading"/>
              <w:bidi w:val="0"/>
              <w:spacing w:before="0" w:after="0"/>
              <w:ind w:left="0" w:right="0" w:hanging="0"/>
              <w:jc w:val="center"/>
              <w:rPr/>
            </w:pPr>
            <w:r>
              <w:rPr>
                <w:b/>
              </w:rPr>
              <w:t>Filing Fee Previously Paid in Connection with Unsold Securities to be Carried Forward</w:t>
            </w:r>
            <w:r>
              <w:rPr/>
              <w:t xml:space="preserve"> </w:t>
            </w:r>
          </w:p>
        </w:tc>
      </w:tr>
      <w:tr>
        <w:trPr/>
        <w:tc>
          <w:tcPr>
            <w:tcW w:w="15434" w:type="dxa"/>
            <w:gridSpan w:val="14"/>
            <w:tcBorders/>
            <w:vAlign w:val="center"/>
          </w:tcPr>
          <w:p>
            <w:pPr>
              <w:pStyle w:val="TableContents"/>
              <w:bidi w:val="0"/>
              <w:spacing w:before="0" w:after="283"/>
              <w:jc w:val="center"/>
              <w:rPr/>
            </w:pPr>
            <w:r>
              <w:rPr>
                <w:b/>
              </w:rPr>
              <w:t>Newly Registered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1 </w:t>
            </w:r>
          </w:p>
        </w:tc>
        <w:tc>
          <w:tcPr>
            <w:tcW w:w="946" w:type="dxa"/>
            <w:tcBorders/>
            <w:shd w:fill="E7E7E2" w:val="clear"/>
            <w:vAlign w:val="center"/>
          </w:tcPr>
          <w:p>
            <w:pPr>
              <w:pStyle w:val="TableContents"/>
              <w:bidi w:val="0"/>
              <w:spacing w:before="0" w:after="283"/>
              <w:jc w:val="left"/>
              <w:rPr/>
            </w:pPr>
            <w:r>
              <w:rPr/>
              <w:t xml:space="preserve">Equity </w:t>
            </w:r>
          </w:p>
        </w:tc>
        <w:tc>
          <w:tcPr>
            <w:tcW w:w="991" w:type="dxa"/>
            <w:tcBorders/>
            <w:shd w:fill="E7E7E2" w:val="clear"/>
            <w:vAlign w:val="center"/>
          </w:tcPr>
          <w:p>
            <w:pPr>
              <w:pStyle w:val="TableContents"/>
              <w:bidi w:val="0"/>
              <w:spacing w:before="0" w:after="283"/>
              <w:jc w:val="left"/>
              <w:rPr/>
            </w:pPr>
            <w:r>
              <w:rPr/>
              <w:t xml:space="preserve">Common stock, $0.0001 per share </w:t>
            </w:r>
          </w:p>
        </w:tc>
        <w:tc>
          <w:tcPr>
            <w:tcW w:w="1276" w:type="dxa"/>
            <w:tcBorders/>
            <w:shd w:fill="E7E7E2" w:val="clear"/>
            <w:vAlign w:val="center"/>
          </w:tcPr>
          <w:p>
            <w:pPr>
              <w:pStyle w:val="TableContents"/>
              <w:bidi w:val="0"/>
              <w:spacing w:before="0" w:after="283"/>
              <w:jc w:val="center"/>
              <w:rPr/>
            </w:pPr>
            <w:r>
              <w:rPr/>
              <w:t xml:space="preserve">457(r) </w:t>
            </w:r>
          </w:p>
        </w:tc>
        <w:tc>
          <w:tcPr>
            <w:tcW w:w="1186" w:type="dxa"/>
            <w:tcBorders/>
            <w:shd w:fill="E7E7E2" w:val="clear"/>
            <w:vAlign w:val="center"/>
          </w:tcPr>
          <w:p>
            <w:pPr>
              <w:pStyle w:val="TableContents"/>
              <w:bidi w:val="0"/>
              <w:spacing w:before="0" w:after="283"/>
              <w:jc w:val="right"/>
              <w:rPr/>
            </w:pPr>
            <w:r>
              <w:rPr/>
              <w:t xml:space="preserve">6,900,000 </w:t>
            </w:r>
          </w:p>
        </w:tc>
        <w:tc>
          <w:tcPr>
            <w:tcW w:w="1156" w:type="dxa"/>
            <w:tcBorders/>
            <w:shd w:fill="E7E7E2" w:val="clear"/>
            <w:vAlign w:val="center"/>
          </w:tcPr>
          <w:p>
            <w:pPr>
              <w:pStyle w:val="TableContents"/>
              <w:bidi w:val="0"/>
              <w:spacing w:before="0" w:after="283"/>
              <w:jc w:val="right"/>
              <w:rPr/>
            </w:pPr>
            <w:r>
              <w:rPr/>
              <w:t xml:space="preserve">$ 75.00 </w:t>
            </w:r>
          </w:p>
        </w:tc>
        <w:tc>
          <w:tcPr>
            <w:tcW w:w="1786" w:type="dxa"/>
            <w:tcBorders/>
            <w:shd w:fill="E7E7E2" w:val="clear"/>
            <w:vAlign w:val="center"/>
          </w:tcPr>
          <w:p>
            <w:pPr>
              <w:pStyle w:val="TableContents"/>
              <w:bidi w:val="0"/>
              <w:spacing w:before="0" w:after="283"/>
              <w:jc w:val="right"/>
              <w:rPr/>
            </w:pPr>
            <w:r>
              <w:rPr/>
              <w:t xml:space="preserve">$ 517,500,000.00 </w:t>
            </w:r>
          </w:p>
        </w:tc>
        <w:tc>
          <w:tcPr>
            <w:tcW w:w="1006" w:type="dxa"/>
            <w:tcBorders/>
            <w:shd w:fill="E7E7E2" w:val="clear"/>
            <w:vAlign w:val="center"/>
          </w:tcPr>
          <w:p>
            <w:pPr>
              <w:pStyle w:val="TableContents"/>
              <w:bidi w:val="0"/>
              <w:spacing w:before="0" w:after="283"/>
              <w:jc w:val="right"/>
              <w:rPr/>
            </w:pPr>
            <w:r>
              <w:rPr/>
              <w:t xml:space="preserve">0.000087 </w:t>
            </w:r>
          </w:p>
        </w:tc>
        <w:tc>
          <w:tcPr>
            <w:tcW w:w="1351" w:type="dxa"/>
            <w:tcBorders/>
            <w:shd w:fill="E7E7E2" w:val="clear"/>
            <w:vAlign w:val="center"/>
          </w:tcPr>
          <w:p>
            <w:pPr>
              <w:pStyle w:val="TableContents"/>
              <w:bidi w:val="0"/>
              <w:spacing w:before="0" w:after="283"/>
              <w:jc w:val="right"/>
              <w:rPr/>
            </w:pPr>
            <w:r>
              <w:rPr/>
              <w:t xml:space="preserve">$ 45,022.50 </w:t>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Previously Paid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991"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left"/>
              <w:rPr>
                <w:sz w:val="4"/>
                <w:szCs w:val="4"/>
              </w:rPr>
            </w:pPr>
            <w:r>
              <w:rPr>
                <w:sz w:val="4"/>
                <w:szCs w:val="4"/>
              </w:rPr>
            </w:r>
          </w:p>
        </w:tc>
        <w:tc>
          <w:tcPr>
            <w:tcW w:w="100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5434" w:type="dxa"/>
            <w:gridSpan w:val="14"/>
            <w:tcBorders/>
            <w:vAlign w:val="center"/>
          </w:tcPr>
          <w:p>
            <w:pPr>
              <w:pStyle w:val="TableContents"/>
              <w:bidi w:val="0"/>
              <w:spacing w:before="0" w:after="283"/>
              <w:jc w:val="center"/>
              <w:rPr/>
            </w:pPr>
            <w:r>
              <w:rPr>
                <w:b/>
              </w:rPr>
              <w:t>Carry Forward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Carry Forward Securities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991"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left"/>
              <w:rPr>
                <w:sz w:val="4"/>
                <w:szCs w:val="4"/>
              </w:rPr>
            </w:pPr>
            <w:r>
              <w:rPr>
                <w:sz w:val="4"/>
                <w:szCs w:val="4"/>
              </w:rPr>
            </w:r>
          </w:p>
        </w:tc>
        <w:tc>
          <w:tcPr>
            <w:tcW w:w="100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53" w:type="dxa"/>
            <w:gridSpan w:val="3"/>
            <w:tcBorders/>
            <w:vAlign w:val="center"/>
          </w:tcPr>
          <w:p>
            <w:pPr>
              <w:pStyle w:val="TableContents"/>
              <w:bidi w:val="0"/>
              <w:spacing w:before="0" w:after="0"/>
              <w:ind w:left="0" w:right="0" w:hanging="0"/>
              <w:jc w:val="right"/>
              <w:rPr/>
            </w:pPr>
            <w:r>
              <w:rPr/>
              <w:t>Total Offering Amounts:</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0"/>
              <w:ind w:left="0" w:right="0" w:hanging="0"/>
              <w:jc w:val="right"/>
              <w:rPr/>
            </w:pPr>
            <w:bookmarkStart w:id="37" w:name="MaxAggtOfferingPrice"/>
            <w:bookmarkEnd w:id="37"/>
            <w:r>
              <w:rPr/>
              <w:t xml:space="preserve">$ 517,500,000.00 </w:t>
            </w:r>
          </w:p>
        </w:tc>
        <w:tc>
          <w:tcPr>
            <w:tcW w:w="1006" w:type="dxa"/>
            <w:tcBorders/>
            <w:vAlign w:val="center"/>
          </w:tcPr>
          <w:p>
            <w:pPr>
              <w:pStyle w:val="TableContents"/>
              <w:bidi w:val="0"/>
              <w:spacing w:before="0" w:after="283"/>
              <w:jc w:val="left"/>
              <w:rPr>
                <w:sz w:val="4"/>
                <w:szCs w:val="4"/>
              </w:rPr>
            </w:pPr>
            <w:r>
              <w:rPr>
                <w:sz w:val="4"/>
                <w:szCs w:val="4"/>
              </w:rPr>
            </w:r>
          </w:p>
        </w:tc>
        <w:tc>
          <w:tcPr>
            <w:tcW w:w="1351" w:type="dxa"/>
            <w:tcBorders/>
            <w:tcMar>
              <w:top w:w="0" w:type="dxa"/>
              <w:left w:w="0" w:type="dxa"/>
              <w:bottom w:w="0" w:type="dxa"/>
              <w:right w:w="0" w:type="dxa"/>
            </w:tcMar>
            <w:vAlign w:val="center"/>
          </w:tcPr>
          <w:p>
            <w:pPr>
              <w:pStyle w:val="TableContents"/>
              <w:bidi w:val="0"/>
              <w:spacing w:before="0" w:after="0"/>
              <w:ind w:left="0" w:right="0" w:hanging="0"/>
              <w:jc w:val="right"/>
              <w:rPr/>
            </w:pPr>
            <w:bookmarkStart w:id="38" w:name="TotalFeeAmt"/>
            <w:bookmarkEnd w:id="38"/>
            <w:r>
              <w:rPr/>
              <w:t xml:space="preserve">$ 45,022.50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53" w:type="dxa"/>
            <w:gridSpan w:val="3"/>
            <w:tcBorders/>
            <w:vAlign w:val="center"/>
          </w:tcPr>
          <w:p>
            <w:pPr>
              <w:pStyle w:val="TableContents"/>
              <w:bidi w:val="0"/>
              <w:spacing w:before="0" w:after="0"/>
              <w:ind w:left="0" w:right="0" w:hanging="0"/>
              <w:jc w:val="right"/>
              <w:rPr/>
            </w:pPr>
            <w:r>
              <w:rPr/>
              <w:t xml:space="preserve">Total Fees Previously Paid: </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39" w:name="TotalPreviouslyPaidAmt"/>
            <w:bookmarkEnd w:id="39"/>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53" w:type="dxa"/>
            <w:gridSpan w:val="3"/>
            <w:tcBorders/>
            <w:vAlign w:val="center"/>
          </w:tcPr>
          <w:p>
            <w:pPr>
              <w:pStyle w:val="TableContents"/>
              <w:bidi w:val="0"/>
              <w:spacing w:before="0" w:after="0"/>
              <w:ind w:left="0" w:right="0" w:hanging="0"/>
              <w:jc w:val="right"/>
              <w:rPr/>
            </w:pPr>
            <w:r>
              <w:rPr/>
              <w:t xml:space="preserve">Total Fee Offsets: </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40" w:name="TotalOffsetAmt"/>
            <w:bookmarkEnd w:id="40"/>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53" w:type="dxa"/>
            <w:gridSpan w:val="3"/>
            <w:tcBorders/>
            <w:vAlign w:val="center"/>
          </w:tcPr>
          <w:p>
            <w:pPr>
              <w:pStyle w:val="TableContents"/>
              <w:bidi w:val="0"/>
              <w:spacing w:before="0" w:after="0"/>
              <w:ind w:left="0" w:right="0" w:hanging="0"/>
              <w:jc w:val="right"/>
              <w:rPr/>
            </w:pPr>
            <w:r>
              <w:rPr/>
              <w:t xml:space="preserve">Net Fee Due: </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41" w:name="NetFeeAmt"/>
            <w:bookmarkEnd w:id="41"/>
            <w:r>
              <w:rPr/>
              <w:t xml:space="preserve">$ 45,022.50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bl>
    <w:tbl>
      <w:tblPr>
        <w:tblW w:w="1730" w:type="dxa"/>
        <w:jc w:val="left"/>
        <w:tblInd w:w="0" w:type="dxa"/>
        <w:tblLayout w:type="fixed"/>
        <w:tblCellMar>
          <w:top w:w="28" w:type="dxa"/>
          <w:left w:w="28" w:type="dxa"/>
          <w:bottom w:w="28" w:type="dxa"/>
          <w:right w:w="28" w:type="dxa"/>
        </w:tblCellMar>
      </w:tblPr>
      <w:tblGrid>
        <w:gridCol w:w="1576"/>
        <w:gridCol w:w="154"/>
      </w:tblGrid>
      <w:tr>
        <w:trPr/>
        <w:tc>
          <w:tcPr>
            <w:tcW w:w="1576" w:type="dxa"/>
            <w:tcBorders/>
            <w:vAlign w:val="center"/>
          </w:tcPr>
          <w:p>
            <w:pPr>
              <w:pStyle w:val="TableContents"/>
              <w:bidi w:val="0"/>
              <w:spacing w:before="0" w:after="75"/>
              <w:ind w:left="0" w:right="0" w:hanging="0"/>
              <w:jc w:val="left"/>
              <w:rPr/>
            </w:pPr>
            <w:r>
              <w:rPr>
                <w:b/>
              </w:rPr>
              <w:t>Offering Note</w:t>
            </w:r>
            <w:r>
              <w:rPr/>
              <w:t xml:space="preserve"> </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05"/>
        <w:gridCol w:w="1295"/>
        <w:gridCol w:w="8705"/>
      </w:tblGrid>
      <w:tr>
        <w:trPr/>
        <w:tc>
          <w:tcPr>
            <w:tcW w:w="205" w:type="dxa"/>
            <w:tcBorders/>
            <w:vAlign w:val="center"/>
          </w:tcPr>
          <w:p>
            <w:pPr>
              <w:pStyle w:val="TableContents"/>
              <w:bidi w:val="0"/>
              <w:spacing w:lineRule="auto" w:line="288" w:before="0" w:after="0"/>
              <w:ind w:left="0" w:right="0" w:hanging="0"/>
              <w:jc w:val="left"/>
              <w:rPr/>
            </w:pPr>
            <w:r>
              <w:rPr>
                <w:sz w:val="15"/>
              </w:rPr>
              <w:t>1</w:t>
            </w:r>
            <w:r>
              <w:rPr/>
              <w:t xml:space="preserve"> </w:t>
            </w:r>
          </w:p>
        </w:tc>
        <w:tc>
          <w:tcPr>
            <w:tcW w:w="10000" w:type="dxa"/>
            <w:gridSpan w:val="2"/>
            <w:tcBorders/>
            <w:vAlign w:val="center"/>
          </w:tcPr>
          <w:p>
            <w:pPr>
              <w:pStyle w:val="TableContents"/>
              <w:bidi w:val="0"/>
              <w:spacing w:before="0" w:after="283"/>
              <w:jc w:val="left"/>
              <w:rPr/>
            </w:pPr>
            <w:r>
              <w:rPr/>
              <w:t xml:space="preserve">The amount registered assumes the exercise in full of the underwriters' option to purchase up to 900,000 additional shares of common stock. Calculated in accordance with Rule 457(r) under the Securities Act of 1933, as amended (the "Securities Act"). The fee payable in connection with the offering pursuant to this prospectus supplement has been paid in accordance with Rule 456(b) under the Securities Act, and represents deferred payment of the registration fees in connection with the registrant's Registration Statement on Form S-3ASR (File No. 333-281359). </w:t>
            </w:r>
          </w:p>
        </w:tc>
      </w:tr>
      <w:tr>
        <w:trPr/>
        <w:tc>
          <w:tcPr>
            <w:tcW w:w="1500" w:type="dxa"/>
            <w:gridSpan w:val="2"/>
            <w:tcBorders/>
            <w:vAlign w:val="center"/>
          </w:tcPr>
          <w:p>
            <w:pPr>
              <w:pStyle w:val="HorizontalLine"/>
              <w:pBdr>
                <w:bottom w:val="double" w:sz="2" w:space="0" w:color="808080"/>
              </w:pBdr>
              <w:bidi w:val="0"/>
              <w:spacing w:before="0" w:after="283"/>
              <w:jc w:val="left"/>
              <w:rPr/>
            </w:pPr>
            <w:r>
              <w:rPr/>
            </w:r>
          </w:p>
        </w:tc>
        <w:tc>
          <w:tcPr>
            <w:tcW w:w="8705" w:type="dxa"/>
            <w:tcBorders/>
          </w:tcPr>
          <w:p>
            <w:pPr>
              <w:pStyle w:val="TableContents"/>
              <w:bidi w:val="0"/>
              <w:spacing w:before="0" w:after="283"/>
              <w:jc w:val="left"/>
              <w:rPr>
                <w:sz w:val="4"/>
                <w:szCs w:val="4"/>
              </w:rPr>
            </w:pPr>
            <w:r>
              <w:rPr>
                <w:sz w:val="4"/>
                <w:szCs w:val="4"/>
              </w:rPr>
            </w:r>
          </w:p>
        </w:tc>
      </w:tr>
    </w:tbl>
    <w:tbl>
      <w:tblPr>
        <w:tblW w:w="6122" w:type="dxa"/>
        <w:jc w:val="left"/>
        <w:tblInd w:w="0" w:type="dxa"/>
        <w:tblLayout w:type="fixed"/>
        <w:tblCellMar>
          <w:top w:w="28" w:type="dxa"/>
          <w:left w:w="28" w:type="dxa"/>
          <w:bottom w:w="28" w:type="dxa"/>
          <w:right w:w="28" w:type="dxa"/>
        </w:tblCellMar>
      </w:tblPr>
      <w:tblGrid>
        <w:gridCol w:w="4171"/>
        <w:gridCol w:w="1951"/>
      </w:tblGrid>
      <w:tr>
        <w:trPr/>
        <w:tc>
          <w:tcPr>
            <w:tcW w:w="4171" w:type="dxa"/>
            <w:tcBorders/>
            <w:vAlign w:val="center"/>
          </w:tcPr>
          <w:p>
            <w:pPr>
              <w:pStyle w:val="TableHeading"/>
              <w:bidi w:val="0"/>
              <w:spacing w:before="0" w:after="283"/>
              <w:jc w:val="left"/>
              <w:rPr/>
            </w:pPr>
            <w:r>
              <w:rPr>
                <w:b/>
              </w:rPr>
              <w:t>Table 2: Fee Offset Claims and Sources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1870" w:type="dxa"/>
        <w:jc w:val="left"/>
        <w:tblInd w:w="0" w:type="dxa"/>
        <w:tblLayout w:type="fixed"/>
        <w:tblCellMar>
          <w:top w:w="28" w:type="dxa"/>
          <w:left w:w="28" w:type="dxa"/>
          <w:bottom w:w="28" w:type="dxa"/>
          <w:right w:w="28" w:type="dxa"/>
        </w:tblCellMar>
      </w:tblPr>
      <w:tblGrid>
        <w:gridCol w:w="871"/>
        <w:gridCol w:w="109"/>
        <w:gridCol w:w="1171"/>
        <w:gridCol w:w="691"/>
        <w:gridCol w:w="961"/>
        <w:gridCol w:w="706"/>
        <w:gridCol w:w="691"/>
        <w:gridCol w:w="961"/>
        <w:gridCol w:w="1186"/>
        <w:gridCol w:w="1186"/>
        <w:gridCol w:w="1186"/>
        <w:gridCol w:w="1186"/>
        <w:gridCol w:w="811"/>
        <w:gridCol w:w="154"/>
      </w:tblGrid>
      <w:tr>
        <w:trPr/>
        <w:tc>
          <w:tcPr>
            <w:tcW w:w="871" w:type="dxa"/>
            <w:tcBorders/>
            <w:shd w:fill="9ADAF6" w:val="clear"/>
            <w:vAlign w:val="center"/>
          </w:tcPr>
          <w:p>
            <w:pPr>
              <w:pStyle w:val="TableHeading"/>
              <w:bidi w:val="0"/>
              <w:spacing w:before="0" w:after="283"/>
              <w:rPr>
                <w:sz w:val="4"/>
                <w:szCs w:val="4"/>
              </w:rPr>
            </w:pPr>
            <w:r>
              <w:rPr>
                <w:sz w:val="4"/>
                <w:szCs w:val="4"/>
              </w:rPr>
            </w:r>
          </w:p>
        </w:tc>
        <w:tc>
          <w:tcPr>
            <w:tcW w:w="109" w:type="dxa"/>
            <w:tcBorders/>
            <w:shd w:fill="9ADAF6" w:val="clear"/>
            <w:vAlign w:val="center"/>
          </w:tcPr>
          <w:p>
            <w:pPr>
              <w:pStyle w:val="TableHeading"/>
              <w:bidi w:val="0"/>
              <w:spacing w:before="0" w:after="283"/>
              <w:rPr>
                <w:sz w:val="4"/>
                <w:szCs w:val="4"/>
              </w:rPr>
            </w:pPr>
            <w:r>
              <w:rPr>
                <w:sz w:val="4"/>
                <w:szCs w:val="4"/>
              </w:rPr>
            </w:r>
          </w:p>
        </w:tc>
        <w:tc>
          <w:tcPr>
            <w:tcW w:w="1171" w:type="dxa"/>
            <w:tcBorders/>
            <w:shd w:fill="9ADAF6" w:val="clear"/>
            <w:vAlign w:val="center"/>
          </w:tcPr>
          <w:p>
            <w:pPr>
              <w:pStyle w:val="TableHeading"/>
              <w:suppressLineNumbers/>
              <w:bidi w:val="0"/>
              <w:spacing w:before="0" w:after="283"/>
              <w:jc w:val="center"/>
              <w:rPr/>
            </w:pPr>
            <w:r>
              <w:rPr/>
              <w:t xml:space="preserve">Registrant or Filer Name </w:t>
            </w:r>
          </w:p>
        </w:tc>
        <w:tc>
          <w:tcPr>
            <w:tcW w:w="691" w:type="dxa"/>
            <w:tcBorders/>
            <w:shd w:fill="9ADAF6" w:val="clear"/>
            <w:vAlign w:val="center"/>
          </w:tcPr>
          <w:p>
            <w:pPr>
              <w:pStyle w:val="TableHeading"/>
              <w:suppressLineNumbers/>
              <w:bidi w:val="0"/>
              <w:spacing w:before="0" w:after="283"/>
              <w:jc w:val="center"/>
              <w:rPr/>
            </w:pPr>
            <w:r>
              <w:rPr/>
              <w:t xml:space="preserve">Form or Filing Type </w:t>
            </w:r>
          </w:p>
        </w:tc>
        <w:tc>
          <w:tcPr>
            <w:tcW w:w="961" w:type="dxa"/>
            <w:tcBorders/>
            <w:shd w:fill="9ADAF6" w:val="clear"/>
            <w:vAlign w:val="center"/>
          </w:tcPr>
          <w:p>
            <w:pPr>
              <w:pStyle w:val="TableHeading"/>
              <w:suppressLineNumbers/>
              <w:bidi w:val="0"/>
              <w:spacing w:before="0" w:after="283"/>
              <w:jc w:val="center"/>
              <w:rPr/>
            </w:pPr>
            <w:r>
              <w:rPr/>
              <w:t xml:space="preserve">File Number </w:t>
            </w:r>
          </w:p>
        </w:tc>
        <w:tc>
          <w:tcPr>
            <w:tcW w:w="706" w:type="dxa"/>
            <w:tcBorders/>
            <w:shd w:fill="9ADAF6" w:val="clear"/>
            <w:vAlign w:val="center"/>
          </w:tcPr>
          <w:p>
            <w:pPr>
              <w:pStyle w:val="TableHeading"/>
              <w:suppressLineNumbers/>
              <w:bidi w:val="0"/>
              <w:spacing w:before="0" w:after="283"/>
              <w:jc w:val="center"/>
              <w:rPr/>
            </w:pPr>
            <w:r>
              <w:rPr/>
              <w:t xml:space="preserve">Initial Filing Date </w:t>
            </w:r>
          </w:p>
        </w:tc>
        <w:tc>
          <w:tcPr>
            <w:tcW w:w="691" w:type="dxa"/>
            <w:tcBorders/>
            <w:shd w:fill="9ADAF6" w:val="clear"/>
            <w:vAlign w:val="center"/>
          </w:tcPr>
          <w:p>
            <w:pPr>
              <w:pStyle w:val="TableHeading"/>
              <w:suppressLineNumbers/>
              <w:bidi w:val="0"/>
              <w:spacing w:before="0" w:after="283"/>
              <w:jc w:val="center"/>
              <w:rPr/>
            </w:pPr>
            <w:r>
              <w:rPr/>
              <w:t xml:space="preserve">Filing Date </w:t>
            </w:r>
          </w:p>
        </w:tc>
        <w:tc>
          <w:tcPr>
            <w:tcW w:w="961" w:type="dxa"/>
            <w:tcBorders/>
            <w:shd w:fill="9ADAF6" w:val="clear"/>
            <w:vAlign w:val="center"/>
          </w:tcPr>
          <w:p>
            <w:pPr>
              <w:pStyle w:val="TableHeading"/>
              <w:suppressLineNumbers/>
              <w:bidi w:val="0"/>
              <w:spacing w:before="0" w:after="283"/>
              <w:jc w:val="center"/>
              <w:rPr/>
            </w:pPr>
            <w:r>
              <w:rPr/>
              <w:t xml:space="preserve">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Type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Title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Securities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Aggregate Offering Amount Associated with Fee Offset Claimed </w:t>
            </w:r>
          </w:p>
        </w:tc>
        <w:tc>
          <w:tcPr>
            <w:tcW w:w="811" w:type="dxa"/>
            <w:tcBorders/>
            <w:shd w:fill="9ADAF6" w:val="clear"/>
            <w:vAlign w:val="center"/>
          </w:tcPr>
          <w:p>
            <w:pPr>
              <w:pStyle w:val="TableHeading"/>
              <w:suppressLineNumbers/>
              <w:bidi w:val="0"/>
              <w:spacing w:before="0" w:after="283"/>
              <w:jc w:val="center"/>
              <w:rPr/>
            </w:pPr>
            <w:r>
              <w:rPr/>
              <w:t xml:space="preserve">Fee Paid with Fee Offset Source </w:t>
            </w:r>
          </w:p>
        </w:tc>
        <w:tc>
          <w:tcPr>
            <w:tcW w:w="154" w:type="dxa"/>
            <w:tcBorders/>
            <w:shd w:fill="9ADAF6"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Rules 457(b) and 0-11(a)(2)</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 457(p)</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bl>
    <w:tbl>
      <w:tblPr>
        <w:tblW w:w="5462" w:type="dxa"/>
        <w:jc w:val="left"/>
        <w:tblInd w:w="0" w:type="dxa"/>
        <w:tblLayout w:type="fixed"/>
        <w:tblCellMar>
          <w:top w:w="28" w:type="dxa"/>
          <w:left w:w="28" w:type="dxa"/>
          <w:bottom w:w="28" w:type="dxa"/>
          <w:right w:w="28" w:type="dxa"/>
        </w:tblCellMar>
      </w:tblPr>
      <w:tblGrid>
        <w:gridCol w:w="3511"/>
        <w:gridCol w:w="1951"/>
      </w:tblGrid>
      <w:tr>
        <w:trPr/>
        <w:tc>
          <w:tcPr>
            <w:tcW w:w="3511" w:type="dxa"/>
            <w:tcBorders/>
            <w:vAlign w:val="center"/>
          </w:tcPr>
          <w:p>
            <w:pPr>
              <w:pStyle w:val="TableHeading"/>
              <w:bidi w:val="0"/>
              <w:spacing w:before="0" w:after="283"/>
              <w:jc w:val="left"/>
              <w:rPr/>
            </w:pPr>
            <w:r>
              <w:rPr>
                <w:b/>
              </w:rPr>
              <w:t>Table 3: Combined Prospectuses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0205" w:type="dxa"/>
        <w:jc w:val="left"/>
        <w:tblInd w:w="0" w:type="dxa"/>
        <w:tblLayout w:type="fixed"/>
        <w:tblCellMar>
          <w:top w:w="28" w:type="dxa"/>
          <w:left w:w="28" w:type="dxa"/>
          <w:bottom w:w="28" w:type="dxa"/>
          <w:right w:w="28" w:type="dxa"/>
        </w:tblCellMar>
      </w:tblPr>
      <w:tblGrid>
        <w:gridCol w:w="124"/>
        <w:gridCol w:w="1092"/>
        <w:gridCol w:w="1215"/>
        <w:gridCol w:w="1954"/>
        <w:gridCol w:w="2597"/>
        <w:gridCol w:w="822"/>
        <w:gridCol w:w="1073"/>
        <w:gridCol w:w="1328"/>
      </w:tblGrid>
      <w:tr>
        <w:trPr/>
        <w:tc>
          <w:tcPr>
            <w:tcW w:w="124" w:type="dxa"/>
            <w:tcBorders/>
            <w:shd w:fill="9ADAF6" w:val="clear"/>
            <w:vAlign w:val="center"/>
          </w:tcPr>
          <w:p>
            <w:pPr>
              <w:pStyle w:val="TableHeading"/>
              <w:bidi w:val="0"/>
              <w:spacing w:before="0" w:after="283"/>
              <w:rPr>
                <w:sz w:val="4"/>
                <w:szCs w:val="4"/>
              </w:rPr>
            </w:pPr>
            <w:r>
              <w:rPr>
                <w:sz w:val="4"/>
                <w:szCs w:val="4"/>
              </w:rPr>
            </w:r>
          </w:p>
        </w:tc>
        <w:tc>
          <w:tcPr>
            <w:tcW w:w="1092"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215" w:type="dxa"/>
            <w:tcBorders/>
            <w:shd w:fill="9ADAF6" w:val="clear"/>
            <w:vAlign w:val="center"/>
          </w:tcPr>
          <w:p>
            <w:pPr>
              <w:pStyle w:val="TableHeading"/>
              <w:bidi w:val="0"/>
              <w:spacing w:before="0" w:after="0"/>
              <w:ind w:left="0" w:right="0" w:hanging="0"/>
              <w:jc w:val="center"/>
              <w:rPr/>
            </w:pPr>
            <w:r>
              <w:rPr>
                <w:b/>
              </w:rPr>
              <w:t>Security Class Title</w:t>
            </w:r>
            <w:r>
              <w:rPr/>
              <w:t xml:space="preserve"> </w:t>
            </w:r>
          </w:p>
        </w:tc>
        <w:tc>
          <w:tcPr>
            <w:tcW w:w="1954" w:type="dxa"/>
            <w:tcBorders/>
            <w:shd w:fill="9ADAF6" w:val="clear"/>
            <w:vAlign w:val="center"/>
          </w:tcPr>
          <w:p>
            <w:pPr>
              <w:pStyle w:val="TableHeading"/>
              <w:bidi w:val="0"/>
              <w:spacing w:before="0" w:after="0"/>
              <w:ind w:left="0" w:right="0" w:hanging="0"/>
              <w:jc w:val="center"/>
              <w:rPr/>
            </w:pPr>
            <w:r>
              <w:rPr>
                <w:b/>
              </w:rPr>
              <w:t>Amount of Securities Previously Registered</w:t>
            </w:r>
            <w:r>
              <w:rPr/>
              <w:t xml:space="preserve"> </w:t>
            </w:r>
          </w:p>
        </w:tc>
        <w:tc>
          <w:tcPr>
            <w:tcW w:w="2597" w:type="dxa"/>
            <w:tcBorders/>
            <w:shd w:fill="9ADAF6" w:val="clear"/>
            <w:vAlign w:val="center"/>
          </w:tcPr>
          <w:p>
            <w:pPr>
              <w:pStyle w:val="TableHeading"/>
              <w:bidi w:val="0"/>
              <w:spacing w:before="0" w:after="0"/>
              <w:ind w:left="0" w:right="0" w:hanging="0"/>
              <w:jc w:val="center"/>
              <w:rPr/>
            </w:pPr>
            <w:r>
              <w:rPr>
                <w:b/>
              </w:rPr>
              <w:t>Maximum Aggregate Offering Price of Securities Previously Registered</w:t>
            </w:r>
            <w:r>
              <w:rPr/>
              <w:t xml:space="preserve"> </w:t>
            </w:r>
          </w:p>
        </w:tc>
        <w:tc>
          <w:tcPr>
            <w:tcW w:w="822" w:type="dxa"/>
            <w:tcBorders/>
            <w:shd w:fill="9ADAF6" w:val="clear"/>
            <w:vAlign w:val="center"/>
          </w:tcPr>
          <w:p>
            <w:pPr>
              <w:pStyle w:val="TableHeading"/>
              <w:bidi w:val="0"/>
              <w:spacing w:before="0" w:after="0"/>
              <w:ind w:left="0" w:right="0" w:hanging="0"/>
              <w:jc w:val="center"/>
              <w:rPr/>
            </w:pPr>
            <w:r>
              <w:rPr>
                <w:b/>
              </w:rPr>
              <w:t>Form Type</w:t>
            </w:r>
            <w:r>
              <w:rPr/>
              <w:t xml:space="preserve"> </w:t>
            </w:r>
          </w:p>
        </w:tc>
        <w:tc>
          <w:tcPr>
            <w:tcW w:w="1073" w:type="dxa"/>
            <w:tcBorders/>
            <w:shd w:fill="9ADAF6" w:val="clear"/>
            <w:vAlign w:val="center"/>
          </w:tcPr>
          <w:p>
            <w:pPr>
              <w:pStyle w:val="TableHeading"/>
              <w:bidi w:val="0"/>
              <w:spacing w:before="0" w:after="0"/>
              <w:ind w:left="0" w:right="0" w:hanging="0"/>
              <w:jc w:val="center"/>
              <w:rPr/>
            </w:pPr>
            <w:r>
              <w:rPr>
                <w:b/>
              </w:rPr>
              <w:t>File Number</w:t>
            </w:r>
            <w:r>
              <w:rPr/>
              <w:t xml:space="preserve"> </w:t>
            </w:r>
          </w:p>
        </w:tc>
        <w:tc>
          <w:tcPr>
            <w:tcW w:w="1328" w:type="dxa"/>
            <w:tcBorders/>
            <w:shd w:fill="9ADAF6" w:val="clear"/>
            <w:vAlign w:val="center"/>
          </w:tcPr>
          <w:p>
            <w:pPr>
              <w:pStyle w:val="TableHeading"/>
              <w:bidi w:val="0"/>
              <w:spacing w:before="0" w:after="0"/>
              <w:ind w:left="0" w:right="0" w:hanging="0"/>
              <w:jc w:val="center"/>
              <w:rPr/>
            </w:pPr>
            <w:r>
              <w:rPr>
                <w:b/>
              </w:rPr>
              <w:t>Initial Effective Date</w:t>
            </w:r>
            <w:r>
              <w:rPr/>
              <w:t xml:space="preserve"> </w:t>
            </w:r>
          </w:p>
        </w:tc>
      </w:tr>
      <w:tr>
        <w:trPr/>
        <w:tc>
          <w:tcPr>
            <w:tcW w:w="124" w:type="dxa"/>
            <w:tcBorders/>
            <w:shd w:fill="E7E7E2" w:val="clear"/>
            <w:vAlign w:val="center"/>
          </w:tcPr>
          <w:p>
            <w:pPr>
              <w:pStyle w:val="TableContents"/>
              <w:bidi w:val="0"/>
              <w:spacing w:before="0" w:after="283"/>
              <w:jc w:val="left"/>
              <w:rPr>
                <w:sz w:val="4"/>
                <w:szCs w:val="4"/>
              </w:rPr>
            </w:pPr>
            <w:r>
              <w:rPr>
                <w:sz w:val="4"/>
                <w:szCs w:val="4"/>
              </w:rPr>
            </w:r>
          </w:p>
        </w:tc>
        <w:tc>
          <w:tcPr>
            <w:tcW w:w="1092" w:type="dxa"/>
            <w:tcBorders/>
            <w:shd w:fill="E7E7E2" w:val="clear"/>
            <w:vAlign w:val="center"/>
          </w:tcPr>
          <w:p>
            <w:pPr>
              <w:pStyle w:val="TableContents"/>
              <w:bidi w:val="0"/>
              <w:spacing w:before="0" w:after="283"/>
              <w:jc w:val="left"/>
              <w:rPr>
                <w:sz w:val="4"/>
                <w:szCs w:val="4"/>
              </w:rPr>
            </w:pPr>
            <w:r>
              <w:rPr>
                <w:sz w:val="4"/>
                <w:szCs w:val="4"/>
              </w:rPr>
            </w:r>
          </w:p>
        </w:tc>
        <w:tc>
          <w:tcPr>
            <w:tcW w:w="1215" w:type="dxa"/>
            <w:tcBorders/>
            <w:shd w:fill="E7E7E2" w:val="clear"/>
            <w:vAlign w:val="center"/>
          </w:tcPr>
          <w:p>
            <w:pPr>
              <w:pStyle w:val="TableContents"/>
              <w:bidi w:val="0"/>
              <w:spacing w:before="0" w:after="283"/>
              <w:jc w:val="left"/>
              <w:rPr>
                <w:sz w:val="4"/>
                <w:szCs w:val="4"/>
              </w:rPr>
            </w:pPr>
            <w:r>
              <w:rPr>
                <w:sz w:val="4"/>
                <w:szCs w:val="4"/>
              </w:rPr>
            </w:r>
          </w:p>
        </w:tc>
        <w:tc>
          <w:tcPr>
            <w:tcW w:w="1954" w:type="dxa"/>
            <w:tcBorders/>
            <w:shd w:fill="E7E7E2" w:val="clear"/>
            <w:vAlign w:val="center"/>
          </w:tcPr>
          <w:p>
            <w:pPr>
              <w:pStyle w:val="TableContents"/>
              <w:bidi w:val="0"/>
              <w:spacing w:before="0" w:after="283"/>
              <w:jc w:val="left"/>
              <w:rPr>
                <w:sz w:val="4"/>
                <w:szCs w:val="4"/>
              </w:rPr>
            </w:pPr>
            <w:r>
              <w:rPr>
                <w:sz w:val="4"/>
                <w:szCs w:val="4"/>
              </w:rPr>
            </w:r>
          </w:p>
        </w:tc>
        <w:tc>
          <w:tcPr>
            <w:tcW w:w="2597" w:type="dxa"/>
            <w:tcBorders/>
            <w:shd w:fill="E7E7E2" w:val="clear"/>
            <w:vAlign w:val="center"/>
          </w:tcPr>
          <w:p>
            <w:pPr>
              <w:pStyle w:val="TableContents"/>
              <w:bidi w:val="0"/>
              <w:spacing w:before="0" w:after="283"/>
              <w:jc w:val="left"/>
              <w:rPr>
                <w:sz w:val="4"/>
                <w:szCs w:val="4"/>
              </w:rPr>
            </w:pPr>
            <w:r>
              <w:rPr>
                <w:sz w:val="4"/>
                <w:szCs w:val="4"/>
              </w:rPr>
            </w:r>
          </w:p>
        </w:tc>
        <w:tc>
          <w:tcPr>
            <w:tcW w:w="822" w:type="dxa"/>
            <w:tcBorders/>
            <w:shd w:fill="E7E7E2" w:val="clear"/>
            <w:vAlign w:val="center"/>
          </w:tcPr>
          <w:p>
            <w:pPr>
              <w:pStyle w:val="TableContents"/>
              <w:bidi w:val="0"/>
              <w:spacing w:before="0" w:after="283"/>
              <w:jc w:val="left"/>
              <w:rPr>
                <w:sz w:val="4"/>
                <w:szCs w:val="4"/>
              </w:rPr>
            </w:pPr>
            <w:r>
              <w:rPr>
                <w:sz w:val="4"/>
                <w:szCs w:val="4"/>
              </w:rPr>
            </w:r>
          </w:p>
        </w:tc>
        <w:tc>
          <w:tcPr>
            <w:tcW w:w="1073" w:type="dxa"/>
            <w:tcBorders/>
            <w:shd w:fill="E7E7E2" w:val="clear"/>
            <w:vAlign w:val="center"/>
          </w:tcPr>
          <w:p>
            <w:pPr>
              <w:pStyle w:val="TableContents"/>
              <w:bidi w:val="0"/>
              <w:spacing w:before="0" w:after="283"/>
              <w:jc w:val="left"/>
              <w:rPr>
                <w:sz w:val="4"/>
                <w:szCs w:val="4"/>
              </w:rPr>
            </w:pPr>
            <w:r>
              <w:rPr>
                <w:sz w:val="4"/>
                <w:szCs w:val="4"/>
              </w:rPr>
            </w:r>
          </w:p>
        </w:tc>
        <w:tc>
          <w:tcPr>
            <w:tcW w:w="1328" w:type="dxa"/>
            <w:tcBorders/>
            <w:shd w:fill="E7E7E2" w:val="clear"/>
            <w:vAlign w:val="center"/>
          </w:tcPr>
          <w:p>
            <w:pPr>
              <w:pStyle w:val="TableContents"/>
              <w:bidi w:val="0"/>
              <w:spacing w:before="0" w:after="283"/>
              <w:jc w:val="left"/>
              <w:rPr>
                <w:sz w:val="4"/>
                <w:szCs w:val="4"/>
              </w:rPr>
            </w:pPr>
            <w:r>
              <w:rPr>
                <w:sz w:val="4"/>
                <w:szCs w:val="4"/>
              </w:rPr>
            </w:r>
          </w:p>
        </w:tc>
      </w:tr>
    </w:tbl>
    <w:tbl>
      <w:tblPr>
        <w:tblW w:w="2326" w:type="dxa"/>
        <w:jc w:val="left"/>
        <w:tblInd w:w="0" w:type="dxa"/>
        <w:tblLayout w:type="fixed"/>
        <w:tblCellMar>
          <w:top w:w="28" w:type="dxa"/>
          <w:left w:w="28" w:type="dxa"/>
          <w:bottom w:w="28" w:type="dxa"/>
          <w:right w:w="28" w:type="dxa"/>
        </w:tblCellMar>
      </w:tblPr>
      <w:tblGrid>
        <w:gridCol w:w="2326"/>
      </w:tblGrid>
      <w:tr>
        <w:trPr/>
        <w:tc>
          <w:tcPr>
            <w:tcW w:w="2326" w:type="dxa"/>
            <w:tcBorders/>
            <w:vAlign w:val="center"/>
          </w:tcPr>
          <w:p>
            <w:pPr>
              <w:pStyle w:val="TableHeading"/>
              <w:bidi w:val="0"/>
              <w:spacing w:before="0" w:after="283"/>
              <w:jc w:val="center"/>
              <w:rPr/>
            </w:pPr>
            <w:r>
              <w:rPr>
                <w:b/>
              </w:rPr>
              <w:t>Narrative Disclosure</w:t>
            </w:r>
            <w:r>
              <w:rPr/>
              <w:t xml:space="preserve"> </w:t>
            </w:r>
          </w:p>
        </w:tc>
      </w:tr>
    </w:tbl>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The maximum aggregate offering price of the securities to which the prospectus relates is $517,500,000.00. The prospectus is a final prospectus for the related offering. </w:t>
            </w:r>
          </w:p>
        </w:tc>
      </w:tr>
      <w:tr>
        <w:trPr/>
        <w:tc>
          <w:tcPr>
            <w:tcW w:w="1020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www.sec.gov/Archives/edgar/data/../../../ix?doc=/Archives/edgar/data/1816736/000119312526073602/iron-20251231.htm" TargetMode="External"/><Relationship Id="rId4" Type="http://schemas.openxmlformats.org/officeDocument/2006/relationships/hyperlink" Target="http://www.sec.gov/Archives/edgar/data/../../../ix?doc=/Archives/edgar/data/1816736/000119312526187646/iron-20260428.htm" TargetMode="External"/><Relationship Id="rId5" Type="http://schemas.openxmlformats.org/officeDocument/2006/relationships/hyperlink" Target="http://www.sec.gov/Archives/edgar/data/../../../ix?doc=/Archives/edgar/data/1816736/000119312526205192/iron-20260331.htm" TargetMode="External"/><Relationship Id="rId6" Type="http://schemas.openxmlformats.org/officeDocument/2006/relationships/hyperlink" Target="http://www.sec.gov/Archives/edgar/data/../../../ix?doc=/Archives/edgar/data/1816736/000119312526325034/iron-20260630.htm" TargetMode="External"/><Relationship Id="rId7" Type="http://schemas.openxmlformats.org/officeDocument/2006/relationships/hyperlink" Target="http://www.sec.gov/Archives/edgar/data/../../../ix?doc=/Archives/edgar/data/1816736/000119312526051504/iron-20260213.htm" TargetMode="External"/><Relationship Id="rId8" Type="http://schemas.openxmlformats.org/officeDocument/2006/relationships/hyperlink" Target="http://www.sec.gov/Archives/edgar/data/../../../ix?doc=/Archives/edgar/data/1816736/000119312526082855/iron-20260226.htm" TargetMode="External"/><Relationship Id="rId9" Type="http://schemas.openxmlformats.org/officeDocument/2006/relationships/hyperlink" Target="http://www.sec.gov/Archives/edgar/data/../../../ix?doc=/Archives/edgar/data/1816736/000119312526281096/iron-20260618.htm" TargetMode="External"/><Relationship Id="rId10" Type="http://schemas.openxmlformats.org/officeDocument/2006/relationships/hyperlink" Target="http://www.sec.gov/Archives/edgar/data/../../../ix?doc=/Archives/edgar/data/1816736/000119312526290542/iron-20260625.htm" TargetMode="External"/><Relationship Id="rId11" Type="http://schemas.openxmlformats.org/officeDocument/2006/relationships/hyperlink" Target="http://www.sec.gov/Archives/edgar/data/../../../ix?doc=/Archives/edgar/data/1816736/000119312526387351/iron-20260909.htm" TargetMode="External"/><Relationship Id="rId12" Type="http://schemas.openxmlformats.org/officeDocument/2006/relationships/hyperlink" Target="http://www.sec.gov/Archives/edgar/data/../../../ix?doc=/Archives/edgar/data/0001816736/000119312526424649/d156263d8k.htm" TargetMode="External"/><Relationship Id="rId13" Type="http://schemas.openxmlformats.org/officeDocument/2006/relationships/hyperlink" Target="http://www.sec.gov/Archives/edgar/data/1816736/000121390020021145/ea125295-8a12b_fsdevelop.htm" TargetMode="External"/><Relationship Id="rId14" Type="http://schemas.openxmlformats.org/officeDocument/2006/relationships/hyperlink" Target="http://www.sec.gov/Archives/edgar/data/1816736/000095017022003288/gmtx-ex4_4.htm" TargetMode="External"/><Relationship Id="rId15" Type="http://schemas.openxmlformats.org/officeDocument/2006/relationships/hyperlink" Target="http://www.sec.gov/Archives/edgar/data/1816736/000114036122043943/ny20005172x8_s4a.htm" TargetMode="External"/><Relationship Id="rId16" Type="http://schemas.openxmlformats.org/officeDocument/2006/relationships/image" Target="media/image2.jpeg"/><Relationship Id="rId17" Type="http://schemas.openxmlformats.org/officeDocument/2006/relationships/hyperlink" Target="http://www.sec.gov/Archives/edgar/data/../../../ix?doc=/Archives/edgar/data/0001816736/000095017024034432/iron-20231231.htm" TargetMode="External"/><Relationship Id="rId18" Type="http://schemas.openxmlformats.org/officeDocument/2006/relationships/hyperlink" Target="http://www.sec.gov/Archives/edgar/data/../../../ix?doc=/Archives/edgar/data/1816736/000095017024056304/iron-20240331.htm" TargetMode="External"/><Relationship Id="rId19" Type="http://schemas.openxmlformats.org/officeDocument/2006/relationships/hyperlink" Target="http://www.sec.gov/Archives/edgar/data/../../../ix?doc=/Archives/edgar/data/1816736/000095017024093357/iron-20240630.htm" TargetMode="External"/><Relationship Id="rId20" Type="http://schemas.openxmlformats.org/officeDocument/2006/relationships/hyperlink" Target="http://www.sec.gov/Archives/edgar/data/../../../ix?doc=/Archives/edgar/data/0001816736/000119312524025951/d758257d8k.htm" TargetMode="External"/><Relationship Id="rId21" Type="http://schemas.openxmlformats.org/officeDocument/2006/relationships/hyperlink" Target="http://www.sec.gov/Archives/edgar/data/../../../ix?doc=/Archives/edgar/data/0001816736/000119312524084937/d815786d8k.htm" TargetMode="External"/><Relationship Id="rId22" Type="http://schemas.openxmlformats.org/officeDocument/2006/relationships/hyperlink" Target="http://www.sec.gov/Archives/edgar/data/../../../ix?doc=/Archives/edgar/data/0001816736/000119312524161170/d826950d8k.htm" TargetMode="External"/><Relationship Id="rId23" Type="http://schemas.openxmlformats.org/officeDocument/2006/relationships/hyperlink" Target="http://www.sec.gov/Archives/edgar/data/../../../ix?doc=/Archives/edgar/data/0001816736/000119312524161587/d828009d8k.htm" TargetMode="External"/><Relationship Id="rId24" Type="http://schemas.openxmlformats.org/officeDocument/2006/relationships/hyperlink" Target="http://www.sec.gov/Archives/edgar/data/../../../ix?doc=/Archives/edgar/data/0001816736/000119312524161603/d829753d8k.htm" TargetMode="External"/><Relationship Id="rId25" Type="http://schemas.openxmlformats.org/officeDocument/2006/relationships/hyperlink" Target="http://www.sec.gov/Archives/edgar/data/1816736/000121390020021145/ea125295-8a12b_fsdevelop.htm" TargetMode="External"/><Relationship Id="rId26" Type="http://schemas.openxmlformats.org/officeDocument/2006/relationships/hyperlink" Target="http://www.sec.gov/Archives/edgar/data/1816736/000095017022003288/gmtx-ex4_4.htm" TargetMode="External"/><Relationship Id="rId27" Type="http://schemas.openxmlformats.org/officeDocument/2006/relationships/hyperlink" Target="http://www.sec.gov/Archives/edgar/data/../../../ix?doc=/Archives/edgar/data/1816736/000095017022003288/gmtx-20211231.htm" TargetMode="External"/><Relationship Id="rId28" Type="http://schemas.openxmlformats.org/officeDocument/2006/relationships/hyperlink" Target="http://www.sec.gov/Archives/edgar/data/1816736/000114036122043943/ny20005172x8_s4a.htm" TargetMode="External"/><Relationship Id="rId29" Type="http://schemas.openxmlformats.org/officeDocument/2006/relationships/image" Target="media/image1.jpeg"/><Relationship Id="rId30" Type="http://schemas.openxmlformats.org/officeDocument/2006/relationships/fontTable" Target="fontTable.xml"/><Relationship Id="rId3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101</Pages>
  <Words>38323</Words>
  <Characters>202587</Characters>
  <CharactersWithSpaces>241791</CharactersWithSpaces>
  <Paragraphs>2743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424B5</dc:title>
</cp:coreProperties>
</file>