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Khara Rahul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DISC MEDICINE,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321 ARSENAL STREET,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Disc Medicine,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IRON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02/17/2026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Chief Legal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2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20" w:type="dxa"/>
            <w:vAlign w:val="bottom"/>
            <w:gridSpan w:val="2"/>
            <w:vMerge w:val="continue"/>
          </w:tcPr>
          <w:p>
            <w:pPr>
              <w:spacing w:after="0"/>
              <w:rPr>
                <w:sz w:val="8"/>
                <w:szCs w:val="8"/>
                <w:color w:val="auto"/>
              </w:rPr>
            </w:pPr>
          </w:p>
        </w:tc>
        <w:tc>
          <w:tcPr>
            <w:tcW w:w="166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WATERTOWN  MA</w:t>
            </w:r>
          </w:p>
        </w:tc>
        <w:tc>
          <w:tcPr>
            <w:tcW w:w="166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02472</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8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80" w:type="dxa"/>
            <w:vAlign w:val="bottom"/>
            <w:tcBorders>
              <w:bottom w:val="single" w:sz="8" w:color="9A9A9A"/>
            </w:tcBorders>
          </w:tcPr>
          <w:p>
            <w:pPr>
              <w:spacing w:after="0"/>
              <w:rPr>
                <w:sz w:val="6"/>
                <w:szCs w:val="6"/>
                <w:color w:val="auto"/>
              </w:rPr>
            </w:pPr>
          </w:p>
        </w:tc>
        <w:tc>
          <w:tcPr>
            <w:tcW w:w="166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02/17/2026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2,853</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62.86</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52,173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shares sold by the Reporting Person to cover tax withholding obligations in connection with the vesting of certain restricted stock units previously reported in Table I. This sale is a "sell to cover" transaction and does not represent a discretionary transaction by the Reporting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By: /s/ Rahul Khara</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02/17/2026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51850" TargetMode="External"/><Relationship Id="rId14"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2026-02-17T20:21:27Z</dcterms:created>
  <dcterms:modified xsi:type="dcterms:W3CDTF">2026-02-17T20:21:27Z</dcterms:modified>
</cp:coreProperties>
</file>