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_____________________ to _____________________</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001-39438</w:t>
      </w:r>
    </w:p>
    <w:p>
      <w:pPr>
        <w:spacing w:after="0" w:line="20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0" w:lineRule="exact"/>
        <w:rPr>
          <w:sz w:val="24"/>
          <w:szCs w:val="24"/>
          <w:color w:val="auto"/>
        </w:rPr>
      </w:pPr>
    </w:p>
    <w:tbl>
      <w:tblPr>
        <w:tblLayout w:type="fixed"/>
        <w:tblInd w:w="1160" w:type="dxa"/>
        <w:tblCellMar>
          <w:top w:w="0" w:type="dxa"/>
          <w:left w:w="0" w:type="dxa"/>
          <w:bottom w:w="0" w:type="dxa"/>
          <w:right w:w="0" w:type="dxa"/>
        </w:tblCellMar>
      </w:tblPr>
      <w:tr>
        <w:trPr>
          <w:trHeight w:val="20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2"/>
        </w:trPr>
        <w:tc>
          <w:tcPr>
            <w:tcW w:w="33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240" w:type="dxa"/>
            <w:vAlign w:val="bottom"/>
          </w:tcPr>
          <w:p>
            <w:pPr>
              <w:spacing w:after="0"/>
              <w:rPr>
                <w:sz w:val="12"/>
                <w:szCs w:val="12"/>
                <w:color w:val="auto"/>
              </w:rPr>
            </w:pPr>
          </w:p>
        </w:tc>
        <w:tc>
          <w:tcPr>
            <w:tcW w:w="2180" w:type="dxa"/>
            <w:vAlign w:val="bottom"/>
          </w:tcPr>
          <w:p>
            <w:pPr>
              <w:jc w:val="center"/>
              <w:ind w:left="1130"/>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7"/>
        </w:trPr>
        <w:tc>
          <w:tcPr>
            <w:tcW w:w="33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240" w:type="dxa"/>
            <w:vAlign w:val="bottom"/>
          </w:tcPr>
          <w:p>
            <w:pPr>
              <w:spacing w:after="0"/>
              <w:rPr>
                <w:sz w:val="12"/>
                <w:szCs w:val="12"/>
                <w:color w:val="auto"/>
              </w:rPr>
            </w:pPr>
          </w:p>
        </w:tc>
        <w:tc>
          <w:tcPr>
            <w:tcW w:w="2180" w:type="dxa"/>
            <w:vAlign w:val="bottom"/>
          </w:tcPr>
          <w:p>
            <w:pPr>
              <w:jc w:val="center"/>
              <w:ind w:left="1130"/>
              <w:spacing w:after="0" w:line="147"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8"/>
        </w:trPr>
        <w:tc>
          <w:tcPr>
            <w:tcW w:w="334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9"/>
              </w:rPr>
              <w:t>297 Boston Post Road #248, Wayland, MA</w:t>
            </w:r>
            <w:r>
              <w:rPr>
                <w:rFonts w:ascii="Times New Roman" w:cs="Times New Roman" w:eastAsia="Times New Roman" w:hAnsi="Times New Roman"/>
                <w:sz w:val="24"/>
                <w:szCs w:val="24"/>
                <w:b w:val="1"/>
                <w:bCs w:val="1"/>
                <w:color w:val="auto"/>
                <w:w w:val="99"/>
                <w:vertAlign w:val="superscript"/>
              </w:rPr>
              <w:t>1</w:t>
            </w:r>
          </w:p>
        </w:tc>
        <w:tc>
          <w:tcPr>
            <w:tcW w:w="4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01778</w:t>
            </w:r>
          </w:p>
        </w:tc>
      </w:tr>
      <w:tr>
        <w:trPr>
          <w:trHeight w:val="166"/>
        </w:trPr>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24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GMTX</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208" w:lineRule="exact"/>
        <w:rPr>
          <w:sz w:val="24"/>
          <w:szCs w:val="24"/>
          <w:color w:val="auto"/>
        </w:rPr>
      </w:pPr>
    </w:p>
    <w:p>
      <w:pPr>
        <w:ind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firstLine="509"/>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jc w:val="both"/>
        <w:ind w:right="300" w:firstLine="509"/>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4"/>
          <w:szCs w:val="24"/>
          <w:color w:val="auto"/>
        </w:rPr>
      </w:pPr>
    </w:p>
    <w:p>
      <w:pPr>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2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November 4, 2022, the registrant had 43,328,315 shares of common stock, $0.0001 par value per share, outstanding.</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which are made pursuant to the safe harbor provisions of Section 27A of the Securities Act of 1933, as amended, and Section 21E of the Securities Exchange Act of 1934, as amended (the “Exchange Act”). These forward-looking statements relate to expectations for future financial performance, business strategies or expectations for our business. 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Specifically, forward-looking statements may include, but are not limited to, statements relating to or about:</w:t>
      </w:r>
    </w:p>
    <w:p>
      <w:pPr>
        <w:spacing w:after="0" w:line="200" w:lineRule="exact"/>
        <w:rPr>
          <w:sz w:val="20"/>
          <w:szCs w:val="20"/>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on a timely basis or at all, the potential merger transaction with Disc Medicine, Inc. (“Disc”) announced on August 10, 2022 and our ability to preserve financial resources prior to completion of the transaction;</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strategic alternatives during the pendency of the merger with Disc, given limitations in the merger agreement;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restructuring, and the savings benefits we expect to receive from the restructuring;</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changes required in, our remaining current officers, key employees or directors;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and any available data therefrom to demonstrate acceptable safety and efficacy of our product candidates, including GEM103, our lead product candidate;</w:t>
      </w:r>
    </w:p>
    <w:p>
      <w:pPr>
        <w:spacing w:after="0" w:line="162"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any clinical trials for GEM103 and our other product candidates, to the extent relevant, including statements regarding the timing of initiation and completion of studies or trials and related preparatory work,</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if any, will become available, and our research and development programs;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if any;</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approvals of our product candidates and to meet existing or future regulatory standards or comply with post-approval requirements, to the extent relevant;</w:t>
      </w:r>
    </w:p>
    <w:p>
      <w:pPr>
        <w:spacing w:after="0" w:line="16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to the extent relevant;</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expectations regarding our ability to obtain and maintain intellectual property protection;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government regulations;</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expectations regarding developments and projections relating to our competitors and any competing therapies that are or become available, to the extent we continue to operate our business;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remaining executive, financial and strategic alternatives teams;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profitability and, to the extent we continue to operate our business, the need for additional capital;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business related expenditures;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 or the negative of these terms, are intended to identify forward-looking statements, although not all forward-looking statements contain these identifying words.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or all forward-looking statements may turn out to be incorrect. Because forward-looking statements are inherently subject to risks and uncertainties, some of which cannot be predicted or quantified, you should not rely on these forward-looking statements as predictions of future events.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77" w:lineRule="exact"/>
        <w:rPr>
          <w:sz w:val="20"/>
          <w:szCs w:val="20"/>
          <w:color w:val="auto"/>
        </w:rPr>
      </w:pPr>
    </w:p>
    <w:p>
      <w:pPr>
        <w:jc w:val="both"/>
        <w:ind w:left="76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or any delays in, our proposed transaction with Disc, including the occurrence of any change, effect, event, development, matter, state of facts, series of events or circumstances that could give rise to the termination of the agreement and plan of merger and reorganization with Disc related to the proposed merger transaction, including a termination of such agreement under circumstances that could require us to pay a termination fee to Disc;</w:t>
      </w:r>
    </w:p>
    <w:p>
      <w:pPr>
        <w:spacing w:after="0" w:line="17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conditions to the proposed merger transaction with Disc, including the ability to obtain shareholder approval, on the proposed terms and timeframe;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stockholders receive any payment on the contingent value rights (CVRs) contemplated by the merger agreement with Disc;</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strategic alternative process disrupts current plans and operations;</w:t>
      </w:r>
    </w:p>
    <w:p>
      <w:pPr>
        <w:spacing w:after="0" w:line="21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any strategic alternative process or a potential strategic transaction, including the anticipated benefits of the transactions related to the proposed merger transaction with Disc in a timely manner or at all;</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strategic alternative process or a potential strategic transaction, including the risk of unanticipated costs, liabilities or delays relating to the proposed merger transaction with Disc, including the outcome of any legal proceedings relating to the merger transaction;</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loss of key employees disrupts our operations and our ability to complete the proposed merger transaction with Disc;</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continued listing criteria under the Nasdaq Listing Rules;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and</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of our most recent Annual Report on Form 10-K for the year ended December 31, 2021 entitled “Risk Factors” and our other filings with the U.S. Securities and Exchange Commission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1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563C1"/>
              <w:bottom w:val="single" w:sz="8" w:color="0563C1"/>
            </w:tcBorders>
            <w:gridSpan w:val="8"/>
          </w:tcPr>
          <w:p>
            <w:pPr>
              <w:spacing w:after="0" w:line="182" w:lineRule="exact"/>
              <w:rPr>
                <w:sz w:val="20"/>
                <w:szCs w:val="20"/>
                <w:color w:val="auto"/>
              </w:rPr>
            </w:pPr>
            <w:r>
              <w:rPr>
                <w:rFonts w:ascii="Times New Roman" w:cs="Times New Roman" w:eastAsia="Times New Roman" w:hAnsi="Times New Roman"/>
                <w:sz w:val="18"/>
                <w:szCs w:val="18"/>
                <w:color w:val="0563C1"/>
                <w:w w:val="92"/>
              </w:rPr>
              <w:t>Financial Statements (Unaudited)</w:t>
            </w:r>
          </w:p>
        </w:tc>
        <w:tc>
          <w:tcPr>
            <w:tcW w:w="80" w:type="dxa"/>
            <w:vAlign w:val="bottom"/>
            <w:tcBorders>
              <w:bottom w:val="single" w:sz="8" w:color="0563C1"/>
            </w:tcBorders>
          </w:tcPr>
          <w:p>
            <w:pPr>
              <w:spacing w:after="0"/>
              <w:rPr>
                <w:sz w:val="15"/>
                <w:szCs w:val="15"/>
                <w:color w:val="auto"/>
              </w:rPr>
            </w:pPr>
          </w:p>
        </w:tc>
        <w:tc>
          <w:tcPr>
            <w:tcW w:w="80" w:type="dxa"/>
            <w:vAlign w:val="bottom"/>
            <w:tcBorders>
              <w:bottom w:val="single" w:sz="8" w:color="0563C1"/>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563C1"/>
                <w:w w:val="99"/>
              </w:rPr>
              <w:t>Condensed Consolidated Balance</w:t>
            </w:r>
          </w:p>
        </w:tc>
        <w:tc>
          <w:tcPr>
            <w:tcW w:w="6880" w:type="dxa"/>
            <w:vAlign w:val="bottom"/>
            <w:gridSpan w:val="9"/>
          </w:tcPr>
          <w:p>
            <w:pPr>
              <w:ind w:left="60"/>
              <w:spacing w:after="0" w:line="182" w:lineRule="exact"/>
              <w:rPr>
                <w:sz w:val="20"/>
                <w:szCs w:val="20"/>
                <w:color w:val="auto"/>
              </w:rPr>
            </w:pPr>
            <w:r>
              <w:rPr>
                <w:rFonts w:ascii="Times New Roman" w:cs="Times New Roman" w:eastAsia="Times New Roman" w:hAnsi="Times New Roman"/>
                <w:sz w:val="18"/>
                <w:szCs w:val="18"/>
                <w:color w:val="0563C1"/>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563C1"/>
            </w:tcBorders>
            <w:gridSpan w:val="11"/>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w:t>
            </w:r>
          </w:p>
        </w:tc>
        <w:tc>
          <w:tcPr>
            <w:tcW w:w="63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563C1"/>
              </w:rPr>
              <w:t>Operations and Comprehensive Loss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tcBorders>
              <w:top w:val="single" w:sz="8" w:color="0563C1"/>
            </w:tcBorders>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Stockholders’ Equity</w:t>
            </w: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563C1"/>
            </w:tcBorders>
            <w:gridSpan w:val="15"/>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40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563C1"/>
            </w:tcBorders>
            <w:gridSpan w:val="16"/>
          </w:tcPr>
          <w:p>
            <w:pPr>
              <w:spacing w:after="0" w:line="182" w:lineRule="exact"/>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50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563C1"/>
            </w:tcBorders>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3"/>
              </w:rPr>
              <w:t>OTHER INFORMATION</w:t>
            </w:r>
          </w:p>
        </w:tc>
        <w:tc>
          <w:tcPr>
            <w:tcW w:w="100" w:type="dxa"/>
            <w:vAlign w:val="bottom"/>
            <w:tcBorders>
              <w:bottom w:val="single" w:sz="8" w:color="0563C1"/>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563C1"/>
              </w:rPr>
              <w:t>Legal Proceedings</w:t>
            </w: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563C1"/>
            </w:tcBorders>
            <w:gridSpan w:val="4"/>
          </w:tcPr>
          <w:p>
            <w:pPr>
              <w:spacing w:after="0" w:line="182" w:lineRule="exact"/>
              <w:rPr>
                <w:sz w:val="20"/>
                <w:szCs w:val="20"/>
                <w:color w:val="auto"/>
              </w:rPr>
            </w:pPr>
            <w:r>
              <w:rPr>
                <w:rFonts w:ascii="Times New Roman" w:cs="Times New Roman" w:eastAsia="Times New Roman" w:hAnsi="Times New Roman"/>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20" w:type="dxa"/>
            <w:vAlign w:val="bottom"/>
            <w:tcBorders>
              <w:top w:val="single" w:sz="8" w:color="0563C1"/>
            </w:tcBorders>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6"/>
              </w:rPr>
              <w:t>Unregistered</w:t>
            </w:r>
          </w:p>
        </w:tc>
        <w:tc>
          <w:tcPr>
            <w:tcW w:w="8380" w:type="dxa"/>
            <w:vAlign w:val="bottom"/>
            <w:gridSpan w:val="17"/>
          </w:tcPr>
          <w:p>
            <w:pPr>
              <w:ind w:left="60"/>
              <w:spacing w:after="0" w:line="182" w:lineRule="exact"/>
              <w:rPr>
                <w:sz w:val="20"/>
                <w:szCs w:val="20"/>
                <w:color w:val="auto"/>
              </w:rPr>
            </w:pPr>
            <w:r>
              <w:rPr>
                <w:rFonts w:ascii="Times New Roman" w:cs="Times New Roman" w:eastAsia="Times New Roman" w:hAnsi="Times New Roman"/>
                <w:sz w:val="18"/>
                <w:szCs w:val="18"/>
                <w:color w:val="0563C1"/>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563C1"/>
            </w:tcBorders>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563C1"/>
            </w:tcBorders>
            <w:gridSpan w:val="9"/>
          </w:tcPr>
          <w:p>
            <w:pPr>
              <w:spacing w:after="0" w:line="182" w:lineRule="exact"/>
              <w:rPr>
                <w:sz w:val="20"/>
                <w:szCs w:val="20"/>
                <w:color w:val="auto"/>
              </w:rPr>
            </w:pPr>
            <w:r>
              <w:rPr>
                <w:rFonts w:ascii="Times New Roman" w:cs="Times New Roman" w:eastAsia="Times New Roman" w:hAnsi="Times New Roman"/>
                <w:sz w:val="18"/>
                <w:szCs w:val="18"/>
                <w:color w:val="0563C1"/>
              </w:rPr>
              <w:t>Mine Safety Disclosures</w:t>
            </w:r>
          </w:p>
        </w:tc>
        <w:tc>
          <w:tcPr>
            <w:tcW w:w="696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rPr>
              <w:t>Other Information</w:t>
            </w:r>
          </w:p>
        </w:tc>
        <w:tc>
          <w:tcPr>
            <w:tcW w:w="75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line="182" w:lineRule="exact"/>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4" w:name="page5"/>
    <w:bookmarkEnd w:id="4"/>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20" w:right="1400"/>
        <w:spacing w:after="0" w:line="250" w:lineRule="auto"/>
        <w:rPr>
          <w:sz w:val="20"/>
          <w:szCs w:val="20"/>
          <w:color w:val="auto"/>
        </w:rPr>
      </w:pPr>
      <w:r>
        <w:rPr>
          <w:rFonts w:ascii="Times New Roman" w:cs="Times New Roman" w:eastAsia="Times New Roman" w:hAnsi="Times New Roman"/>
          <w:sz w:val="18"/>
          <w:szCs w:val="18"/>
          <w:color w:val="auto"/>
        </w:rPr>
        <w:t>Cash and cash equivalents Restricted cash, current</w:t>
      </w:r>
    </w:p>
    <w:p>
      <w:pPr>
        <w:spacing w:after="0" w:line="1" w:lineRule="exact"/>
        <w:rPr>
          <w:sz w:val="20"/>
          <w:szCs w:val="20"/>
          <w:color w:val="auto"/>
        </w:rPr>
      </w:pPr>
    </w:p>
    <w:p>
      <w:pPr>
        <w:ind w:left="200" w:right="320" w:hanging="179"/>
        <w:spacing w:after="0" w:line="276"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line="167" w:lineRule="exact"/>
        <w:rPr>
          <w:sz w:val="20"/>
          <w:szCs w:val="20"/>
          <w:color w:val="auto"/>
        </w:rPr>
      </w:pPr>
    </w:p>
    <w:p>
      <w:pPr>
        <w:ind w:left="20" w:right="1280"/>
        <w:spacing w:after="0" w:line="281" w:lineRule="auto"/>
        <w:rPr>
          <w:sz w:val="20"/>
          <w:szCs w:val="20"/>
          <w:color w:val="auto"/>
        </w:rPr>
      </w:pPr>
      <w:r>
        <w:rPr>
          <w:rFonts w:ascii="Times New Roman" w:cs="Times New Roman" w:eastAsia="Times New Roman" w:hAnsi="Times New Roman"/>
          <w:sz w:val="18"/>
          <w:szCs w:val="18"/>
          <w:color w:val="auto"/>
        </w:rPr>
        <w:t>Restricted cash, non-current Other assets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 current portion</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36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81" w:lineRule="exact"/>
        <w:rPr>
          <w:sz w:val="20"/>
          <w:szCs w:val="20"/>
          <w:color w:val="auto"/>
        </w:rPr>
      </w:pPr>
    </w:p>
    <w:tbl>
      <w:tblPr>
        <w:tblLayout w:type="fixed"/>
        <w:tblInd w:w="40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62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136,627</w:t>
            </w:r>
          </w:p>
        </w:tc>
      </w:tr>
      <w:tr>
        <w:trPr>
          <w:trHeight w:val="216"/>
        </w:trPr>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8"/>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140,100</w:t>
            </w:r>
          </w:p>
        </w:tc>
      </w:tr>
      <w:tr>
        <w:trPr>
          <w:trHeight w:val="395"/>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0"/>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106,031</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2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8"/>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-2393950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-2119630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-1845310</wp:posOffset>
            </wp:positionV>
            <wp:extent cx="713232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-1288415</wp:posOffset>
            </wp:positionV>
            <wp:extent cx="71323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-705485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-431165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-147955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320" w:space="320"/>
            <w:col w:w="7600"/>
          </w:cols>
          <w:pgMar w:left="320" w:top="320"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r>
      <w:tr>
        <w:trPr>
          <w:trHeight w:val="210"/>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6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as of September 30, 2022 and December 31, 2021</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71"/>
        </w:trPr>
        <w:tc>
          <w:tcPr>
            <w:tcW w:w="76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250,000,000 shares authorized; 43,299,453 and</w:t>
            </w:r>
          </w:p>
        </w:tc>
        <w:tc>
          <w:tcPr>
            <w:tcW w:w="5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6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43,208,159 shares issued and outstanding as of September 30, 2022 and December</w:t>
            </w: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31, 2021, respectively</w:t>
            </w:r>
          </w:p>
        </w:tc>
        <w:tc>
          <w:tcPr>
            <w:tcW w:w="5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314,851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5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(210,288 )</w:t>
            </w:r>
          </w:p>
        </w:tc>
        <w:tc>
          <w:tcPr>
            <w:tcW w:w="5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(184,690 )</w:t>
            </w:r>
          </w:p>
        </w:tc>
      </w:tr>
      <w:tr>
        <w:trPr>
          <w:trHeight w:val="210"/>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104,567</w:t>
            </w:r>
          </w:p>
        </w:tc>
        <w:tc>
          <w:tcPr>
            <w:tcW w:w="3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124,841</w:t>
            </w:r>
          </w:p>
        </w:tc>
        <w:tc>
          <w:tcPr>
            <w:tcW w:w="100" w:type="dxa"/>
            <w:vAlign w:val="bottom"/>
            <w:tcBorders>
              <w:top w:val="single" w:sz="8" w:color="CFF0FC"/>
            </w:tcBorders>
          </w:tcPr>
          <w:p>
            <w:pPr>
              <w:spacing w:after="0"/>
              <w:rPr>
                <w:sz w:val="18"/>
                <w:szCs w:val="18"/>
                <w:color w:val="auto"/>
              </w:rPr>
            </w:pPr>
          </w:p>
        </w:tc>
      </w:tr>
      <w:tr>
        <w:trPr>
          <w:trHeight w:val="209"/>
        </w:trPr>
        <w:tc>
          <w:tcPr>
            <w:tcW w:w="7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106,031</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140,437</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9560" w:type="dxa"/>
            <w:vAlign w:val="bottom"/>
            <w:gridSpan w:val="4"/>
          </w:tcPr>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6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-2262505</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-1071245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5" w:name="page6"/>
    <w:bookmarkEnd w:id="5"/>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44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44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7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2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36,083</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(104 )</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(155 )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(2,073 )</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(711 )</w:t>
            </w: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(3,277 )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(18,551 )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(25,598 )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(54,046 )</w:t>
            </w: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24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43,264,616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43,091,822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43,236,171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39,427,476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-1570990</wp:posOffset>
            </wp:positionV>
            <wp:extent cx="7747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-1570990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-1570990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-456565</wp:posOffset>
            </wp:positionV>
            <wp:extent cx="774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-456565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-456565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2200" w:type="dxa"/>
            <w:vAlign w:val="bottom"/>
          </w:tcPr>
          <w:p>
            <w:pPr>
              <w:spacing w:after="0"/>
              <w:rPr>
                <w:sz w:val="2"/>
                <w:szCs w:val="2"/>
                <w:color w:val="auto"/>
              </w:rPr>
            </w:pPr>
          </w:p>
        </w:tc>
        <w:tc>
          <w:tcPr>
            <w:tcW w:w="166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Old Gemini</w:t>
            </w: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Addition</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2"/>
        </w:trPr>
        <w:tc>
          <w:tcPr>
            <w:tcW w:w="2200" w:type="dxa"/>
            <w:vAlign w:val="bottom"/>
          </w:tcPr>
          <w:p>
            <w:pPr>
              <w:spacing w:after="0"/>
              <w:rPr>
                <w:sz w:val="10"/>
                <w:szCs w:val="10"/>
                <w:color w:val="auto"/>
              </w:rPr>
            </w:pPr>
          </w:p>
        </w:tc>
        <w:tc>
          <w:tcPr>
            <w:tcW w:w="1660" w:type="dxa"/>
            <w:vAlign w:val="bottom"/>
            <w:gridSpan w:val="6"/>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660" w:type="dxa"/>
            <w:vAlign w:val="bottom"/>
            <w:gridSpan w:val="6"/>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1580" w:type="dxa"/>
            <w:vAlign w:val="bottom"/>
            <w:tcBorders>
              <w:right w:val="single" w:sz="8" w:color="auto"/>
            </w:tcBorders>
            <w:gridSpan w:val="5"/>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Convertible Preferred</w:t>
            </w:r>
          </w:p>
        </w:tc>
        <w:tc>
          <w:tcPr>
            <w:tcW w:w="12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132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220" w:type="dxa"/>
            <w:vAlign w:val="bottom"/>
          </w:tcPr>
          <w:p>
            <w:pPr>
              <w:spacing w:after="0"/>
              <w:rPr>
                <w:sz w:val="11"/>
                <w:szCs w:val="11"/>
                <w:color w:val="auto"/>
              </w:rPr>
            </w:pPr>
          </w:p>
        </w:tc>
        <w:tc>
          <w:tcPr>
            <w:tcW w:w="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7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ed</w:t>
            </w: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1"/>
              </w:rPr>
              <w:t>s'</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5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6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08"/>
        </w:trPr>
        <w:tc>
          <w:tcPr>
            <w:tcW w:w="220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5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39,722,</w:t>
            </w:r>
          </w:p>
        </w:tc>
        <w:tc>
          <w:tcPr>
            <w:tcW w:w="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24,790,9</w:t>
            </w: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33,33</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6,900,4</w:t>
            </w: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(as previously reported)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47,113</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4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(112,821 )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(102,310 )</w:t>
            </w:r>
          </w:p>
        </w:tc>
        <w:tc>
          <w:tcPr>
            <w:tcW w:w="0" w:type="dxa"/>
            <w:vAlign w:val="bottom"/>
          </w:tcPr>
          <w:p>
            <w:pPr>
              <w:spacing w:after="0"/>
              <w:rPr>
                <w:sz w:val="1"/>
                <w:szCs w:val="1"/>
                <w:color w:val="auto"/>
              </w:rPr>
            </w:pPr>
          </w:p>
        </w:tc>
      </w:tr>
      <w:tr>
        <w:trPr>
          <w:trHeight w:val="125"/>
        </w:trPr>
        <w:tc>
          <w:tcPr>
            <w:tcW w:w="22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Retroactive application of the</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(39,722</w:t>
            </w: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(24,790,</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(6,900,4</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15,565,</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recapitalization due to the Business</w:t>
            </w:r>
          </w:p>
        </w:tc>
        <w:tc>
          <w:tcPr>
            <w:tcW w:w="56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(47,113 )</w:t>
            </w:r>
          </w:p>
        </w:tc>
        <w:tc>
          <w:tcPr>
            <w:tcW w:w="6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(7 )</w:t>
            </w:r>
          </w:p>
        </w:tc>
        <w:tc>
          <w:tcPr>
            <w:tcW w:w="5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80,454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Combination (Note 3)</w:t>
            </w:r>
          </w:p>
        </w:tc>
        <w:tc>
          <w:tcPr>
            <w:tcW w:w="8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,088 )</w:t>
            </w: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938 )</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15,565,</w:t>
            </w:r>
          </w:p>
        </w:tc>
        <w:tc>
          <w:tcPr>
            <w:tcW w:w="2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20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effect of Business Combination</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90,958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(112,821 )</w:t>
            </w:r>
          </w:p>
        </w:tc>
        <w:tc>
          <w:tcPr>
            <w:tcW w:w="12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(21,861 )</w:t>
            </w:r>
          </w:p>
        </w:tc>
        <w:tc>
          <w:tcPr>
            <w:tcW w:w="0" w:type="dxa"/>
            <w:vAlign w:val="bottom"/>
          </w:tcPr>
          <w:p>
            <w:pPr>
              <w:spacing w:after="0"/>
              <w:rPr>
                <w:sz w:val="1"/>
                <w:szCs w:val="1"/>
                <w:color w:val="auto"/>
              </w:rPr>
            </w:pPr>
          </w:p>
        </w:tc>
      </w:tr>
      <w:tr>
        <w:trPr>
          <w:trHeight w:val="171"/>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0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5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25,041,</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Business Combination, net of</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195,882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issuance costs (Note 3)</w:t>
            </w:r>
          </w:p>
        </w:tc>
        <w:tc>
          <w:tcPr>
            <w:tcW w:w="560" w:type="dxa"/>
            <w:vAlign w:val="bottom"/>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Conversion of promissory notes (Note</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2,341,3</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2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5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 of warrants (Note 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35,561</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2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5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(19,048 )</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(19,048 )</w:t>
            </w:r>
          </w:p>
        </w:tc>
        <w:tc>
          <w:tcPr>
            <w:tcW w:w="0" w:type="dxa"/>
            <w:vAlign w:val="bottom"/>
          </w:tcPr>
          <w:p>
            <w:pPr>
              <w:spacing w:after="0"/>
              <w:rPr>
                <w:sz w:val="1"/>
                <w:szCs w:val="1"/>
                <w:color w:val="auto"/>
              </w:rPr>
            </w:pPr>
          </w:p>
        </w:tc>
      </w:tr>
      <w:tr>
        <w:trPr>
          <w:trHeight w:val="110"/>
        </w:trPr>
        <w:tc>
          <w:tcPr>
            <w:tcW w:w="220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March 31, 2021</w:t>
            </w: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43,002,</w:t>
            </w:r>
          </w:p>
        </w:tc>
        <w:tc>
          <w:tcPr>
            <w:tcW w:w="2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303,02</w:t>
            </w: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(131,869 )</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56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52,968</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(16,447 )</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(16,447 )</w:t>
            </w:r>
          </w:p>
        </w:tc>
        <w:tc>
          <w:tcPr>
            <w:tcW w:w="0" w:type="dxa"/>
            <w:vAlign w:val="bottom"/>
          </w:tcPr>
          <w:p>
            <w:pPr>
              <w:spacing w:after="0"/>
              <w:rPr>
                <w:sz w:val="1"/>
                <w:szCs w:val="1"/>
                <w:color w:val="auto"/>
              </w:rPr>
            </w:pPr>
          </w:p>
        </w:tc>
      </w:tr>
      <w:tr>
        <w:trPr>
          <w:trHeight w:val="110"/>
        </w:trPr>
        <w:tc>
          <w:tcPr>
            <w:tcW w:w="220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June 30, 2021</w:t>
            </w: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43,055,</w:t>
            </w:r>
          </w:p>
        </w:tc>
        <w:tc>
          <w:tcPr>
            <w:tcW w:w="2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305,99</w:t>
            </w: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0" w:type="dxa"/>
            <w:vAlign w:val="bottom"/>
            <w:gridSpan w:val="2"/>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(148,316 )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200" w:type="dxa"/>
            <w:vAlign w:val="bottom"/>
            <w:shd w:val="clear" w:color="auto" w:fill="CFF0FC"/>
          </w:tcPr>
          <w:p>
            <w:pPr>
              <w:ind w:left="20"/>
              <w:spacing w:after="0" w:line="104"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5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3"/>
                <w:szCs w:val="13"/>
                <w:color w:val="auto"/>
              </w:rPr>
              <w:t>exercise of</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57,630</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(18,551 )</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(18,551 )</w:t>
            </w:r>
          </w:p>
        </w:tc>
        <w:tc>
          <w:tcPr>
            <w:tcW w:w="0" w:type="dxa"/>
            <w:vAlign w:val="bottom"/>
          </w:tcPr>
          <w:p>
            <w:pPr>
              <w:spacing w:after="0"/>
              <w:rPr>
                <w:sz w:val="1"/>
                <w:szCs w:val="1"/>
                <w:color w:val="auto"/>
              </w:rPr>
            </w:pPr>
          </w:p>
        </w:tc>
      </w:tr>
      <w:tr>
        <w:trPr>
          <w:trHeight w:val="110"/>
        </w:trPr>
        <w:tc>
          <w:tcPr>
            <w:tcW w:w="2200" w:type="dxa"/>
            <w:vAlign w:val="bottom"/>
            <w:tcBorders>
              <w:top w:val="single" w:sz="8" w:color="CFF0FC"/>
            </w:tcBorders>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 at September 30, 2021</w:t>
            </w: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43,112,</w:t>
            </w:r>
          </w:p>
        </w:tc>
        <w:tc>
          <w:tcPr>
            <w:tcW w:w="2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307,72</w:t>
            </w: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0" w:type="dxa"/>
            <w:vAlign w:val="bottom"/>
            <w:gridSpan w:val="2"/>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(166,867 )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-2931160</wp:posOffset>
            </wp:positionV>
            <wp:extent cx="7683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-2931160</wp:posOffset>
            </wp:positionV>
            <wp:extent cx="7747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-2931160</wp:posOffset>
            </wp:positionV>
            <wp:extent cx="7683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-2931160</wp:posOffset>
            </wp:positionV>
            <wp:extent cx="76835"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-2931160</wp:posOffset>
            </wp:positionV>
            <wp:extent cx="76835"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-2931160</wp:posOffset>
            </wp:positionV>
            <wp:extent cx="6858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-2931160</wp:posOffset>
            </wp:positionV>
            <wp:extent cx="6858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-2931160</wp:posOffset>
            </wp:positionV>
            <wp:extent cx="6858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-2931160</wp:posOffset>
            </wp:positionV>
            <wp:extent cx="6858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-2931160</wp:posOffset>
            </wp:positionV>
            <wp:extent cx="6858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-1516380</wp:posOffset>
            </wp:positionV>
            <wp:extent cx="7683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-1516380</wp:posOffset>
            </wp:positionV>
            <wp:extent cx="7747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-1516380</wp:posOffset>
            </wp:positionV>
            <wp:extent cx="7683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-1516380</wp:posOffset>
            </wp:positionV>
            <wp:extent cx="7683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-1516380</wp:posOffset>
            </wp:positionV>
            <wp:extent cx="7683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-1516380</wp:posOffset>
            </wp:positionV>
            <wp:extent cx="6858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-1516380</wp:posOffset>
            </wp:positionV>
            <wp:extent cx="6858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-1516380</wp:posOffset>
            </wp:positionV>
            <wp:extent cx="6858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-1516380</wp:posOffset>
            </wp:positionV>
            <wp:extent cx="6858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-1516380</wp:posOffset>
            </wp:positionV>
            <wp:extent cx="6858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-916305</wp:posOffset>
            </wp:positionV>
            <wp:extent cx="76835"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-916305</wp:posOffset>
            </wp:positionV>
            <wp:extent cx="7747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-916305</wp:posOffset>
            </wp:positionV>
            <wp:extent cx="76835"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-916305</wp:posOffset>
            </wp:positionV>
            <wp:extent cx="76835"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-916305</wp:posOffset>
            </wp:positionV>
            <wp:extent cx="76835"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-916305</wp:posOffset>
            </wp:positionV>
            <wp:extent cx="6858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-916305</wp:posOffset>
            </wp:positionV>
            <wp:extent cx="6858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-916305</wp:posOffset>
            </wp:positionV>
            <wp:extent cx="6858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-916305</wp:posOffset>
            </wp:positionV>
            <wp:extent cx="6858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-916305</wp:posOffset>
            </wp:positionV>
            <wp:extent cx="6858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-222250</wp:posOffset>
            </wp:positionV>
            <wp:extent cx="7683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-222250</wp:posOffset>
            </wp:positionV>
            <wp:extent cx="7747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-222250</wp:posOffset>
            </wp:positionV>
            <wp:extent cx="7683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-222250</wp:posOffset>
            </wp:positionV>
            <wp:extent cx="76835"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-222250</wp:posOffset>
            </wp:positionV>
            <wp:extent cx="76835"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-222250</wp:posOffset>
            </wp:positionV>
            <wp:extent cx="6858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-222250</wp:posOffset>
            </wp:positionV>
            <wp:extent cx="6858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-222250</wp:posOffset>
            </wp:positionV>
            <wp:extent cx="6858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-222250</wp:posOffset>
            </wp:positionV>
            <wp:extent cx="6858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-222250</wp:posOffset>
            </wp:positionV>
            <wp:extent cx="6858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41"/>
        </w:trPr>
        <w:tc>
          <w:tcPr>
            <w:tcW w:w="2040" w:type="dxa"/>
            <w:vAlign w:val="bottom"/>
          </w:tcPr>
          <w:p>
            <w:pPr>
              <w:spacing w:after="0"/>
              <w:rPr>
                <w:sz w:val="3"/>
                <w:szCs w:val="3"/>
                <w:color w:val="auto"/>
              </w:rPr>
            </w:pPr>
          </w:p>
        </w:tc>
        <w:tc>
          <w:tcPr>
            <w:tcW w:w="1500" w:type="dxa"/>
            <w:vAlign w:val="bottom"/>
            <w:gridSpan w:val="3"/>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w w:val="92"/>
              </w:rPr>
              <w:t>Series B</w:t>
            </w: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3"/>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Old Gemini</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Addition</w:t>
            </w:r>
          </w:p>
        </w:tc>
        <w:tc>
          <w:tcPr>
            <w:tcW w:w="220" w:type="dxa"/>
            <w:vAlign w:val="bottom"/>
          </w:tcPr>
          <w:p>
            <w:pPr>
              <w:spacing w:after="0"/>
              <w:rPr>
                <w:sz w:val="3"/>
                <w:szCs w:val="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Accumula</w:t>
            </w:r>
          </w:p>
        </w:tc>
        <w:tc>
          <w:tcPr>
            <w:tcW w:w="120" w:type="dxa"/>
            <w:vAlign w:val="bottom"/>
          </w:tcPr>
          <w:p>
            <w:pPr>
              <w:spacing w:after="0"/>
              <w:rPr>
                <w:sz w:val="3"/>
                <w:szCs w:val="3"/>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2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7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stockholde</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Convertible Preferred Stock</w:t>
            </w:r>
          </w:p>
        </w:tc>
        <w:tc>
          <w:tcPr>
            <w:tcW w:w="24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Convertible Preferred Stock</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ted</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rs'</w:t>
            </w: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3"/>
                <w:szCs w:val="13"/>
                <w:color w:val="auto"/>
              </w:rPr>
            </w:pPr>
          </w:p>
        </w:tc>
        <w:tc>
          <w:tcPr>
            <w:tcW w:w="6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02"/>
        </w:trPr>
        <w:tc>
          <w:tcPr>
            <w:tcW w:w="204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6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43,20</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309,52</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8,159</w:t>
            </w:r>
          </w:p>
        </w:tc>
        <w:tc>
          <w:tcPr>
            <w:tcW w:w="760" w:type="dxa"/>
            <w:vAlign w:val="bottom"/>
            <w:gridSpan w:val="2"/>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9"/>
              </w:rPr>
              <w:t>(184,690 )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19,00</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(15,231 )</w:t>
            </w: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(15,231 )</w:t>
            </w:r>
          </w:p>
        </w:tc>
        <w:tc>
          <w:tcPr>
            <w:tcW w:w="0" w:type="dxa"/>
            <w:vAlign w:val="bottom"/>
          </w:tcPr>
          <w:p>
            <w:pPr>
              <w:spacing w:after="0"/>
              <w:rPr>
                <w:sz w:val="1"/>
                <w:szCs w:val="1"/>
                <w:color w:val="auto"/>
              </w:rPr>
            </w:pPr>
          </w:p>
        </w:tc>
      </w:tr>
      <w:tr>
        <w:trPr>
          <w:trHeight w:val="102"/>
        </w:trPr>
        <w:tc>
          <w:tcPr>
            <w:tcW w:w="204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March 31, 2022</w:t>
            </w:r>
          </w:p>
        </w:tc>
        <w:tc>
          <w:tcPr>
            <w:tcW w:w="6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43,22</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311,52</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9"/>
              </w:rPr>
              <w:t>(199,921 )</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40" w:type="dxa"/>
            <w:vAlign w:val="bottom"/>
            <w:tcBorders>
              <w:top w:val="single" w:sz="8" w:color="CFF0FC"/>
            </w:tcBorders>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6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7,334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Proceeds from sale of stock under</w:t>
            </w: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9,960</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(7,090 )</w:t>
            </w: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(7,090 )</w:t>
            </w:r>
          </w:p>
        </w:tc>
        <w:tc>
          <w:tcPr>
            <w:tcW w:w="0" w:type="dxa"/>
            <w:vAlign w:val="bottom"/>
          </w:tcPr>
          <w:p>
            <w:pPr>
              <w:spacing w:after="0"/>
              <w:rPr>
                <w:sz w:val="1"/>
                <w:szCs w:val="1"/>
                <w:color w:val="auto"/>
              </w:rPr>
            </w:pPr>
          </w:p>
        </w:tc>
      </w:tr>
      <w:tr>
        <w:trPr>
          <w:trHeight w:val="102"/>
        </w:trPr>
        <w:tc>
          <w:tcPr>
            <w:tcW w:w="2040" w:type="dxa"/>
            <w:vAlign w:val="bottom"/>
            <w:tcBorders>
              <w:top w:val="single" w:sz="8" w:color="CFF0FC"/>
            </w:tcBorders>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June 30, 2022</w:t>
            </w: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43,24</w:t>
            </w:r>
          </w:p>
        </w:tc>
        <w:tc>
          <w:tcPr>
            <w:tcW w:w="22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313,90</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4,453</w:t>
            </w:r>
          </w:p>
        </w:tc>
        <w:tc>
          <w:tcPr>
            <w:tcW w:w="76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(207,011 )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4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Vesting of restricted common stock</w:t>
            </w:r>
          </w:p>
        </w:tc>
        <w:tc>
          <w:tcPr>
            <w:tcW w:w="6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exercise 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(3,277 )</w:t>
            </w: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(3,277 )</w:t>
            </w: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 2022</w:t>
            </w:r>
          </w:p>
        </w:tc>
        <w:tc>
          <w:tcPr>
            <w:tcW w:w="6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43,29</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314,85</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9,453</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9"/>
              </w:rPr>
              <w:t>(210,288 )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-1696720</wp:posOffset>
            </wp:positionV>
            <wp:extent cx="76835"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-1696720</wp:posOffset>
            </wp:positionV>
            <wp:extent cx="76835"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-1696720</wp:posOffset>
            </wp:positionV>
            <wp:extent cx="7683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-1696720</wp:posOffset>
            </wp:positionV>
            <wp:extent cx="6858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-1696720</wp:posOffset>
            </wp:positionV>
            <wp:extent cx="6858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-1696720</wp:posOffset>
            </wp:positionV>
            <wp:extent cx="6858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-1696720</wp:posOffset>
            </wp:positionV>
            <wp:extent cx="6858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-1696720</wp:posOffset>
            </wp:positionV>
            <wp:extent cx="6858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-1696720</wp:posOffset>
            </wp:positionV>
            <wp:extent cx="68580"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-1696720</wp:posOffset>
            </wp:positionV>
            <wp:extent cx="68580" cy="196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-1105535</wp:posOffset>
            </wp:positionV>
            <wp:extent cx="76835"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-1105535</wp:posOffset>
            </wp:positionV>
            <wp:extent cx="76835"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-1105535</wp:posOffset>
            </wp:positionV>
            <wp:extent cx="76835"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-1105535</wp:posOffset>
            </wp:positionV>
            <wp:extent cx="6858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-1105535</wp:posOffset>
            </wp:positionV>
            <wp:extent cx="6858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-1105535</wp:posOffset>
            </wp:positionV>
            <wp:extent cx="6858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-1105535</wp:posOffset>
            </wp:positionV>
            <wp:extent cx="6858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-1105535</wp:posOffset>
            </wp:positionV>
            <wp:extent cx="6858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-1105535</wp:posOffset>
            </wp:positionV>
            <wp:extent cx="6858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-1105535</wp:posOffset>
            </wp:positionV>
            <wp:extent cx="6858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-25400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-25400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-25400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4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77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(25,598 )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convertible notes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(4,098 )</w:t>
            </w:r>
          </w:p>
        </w:tc>
      </w:tr>
      <w:tr>
        <w:trPr>
          <w:trHeight w:val="21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offering or transaction costs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(1,169 )</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1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(1,811 )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(459 )</w:t>
            </w:r>
          </w:p>
        </w:tc>
      </w:tr>
      <w:tr>
        <w:trPr>
          <w:trHeight w:val="216"/>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(6,958 )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Business Combination, net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stock under employee stock purchase plan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(5,417 )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(3,333 )</w:t>
            </w: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(5,366 )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192,659</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(35,213</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145,566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136,950</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101,737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included in other current assets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Conversion of convertible notes to Series B preferred stock</w:t>
            </w:r>
          </w:p>
        </w:tc>
        <w:tc>
          <w:tcPr>
            <w:tcW w:w="96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14,515</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Exercise of warrants</w:t>
            </w: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96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-3085465</wp:posOffset>
            </wp:positionV>
            <wp:extent cx="685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-2802255</wp:posOffset>
            </wp:positionV>
            <wp:extent cx="6858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-1962150</wp:posOffset>
            </wp:positionV>
            <wp:extent cx="685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-1388110</wp:posOffset>
            </wp:positionV>
            <wp:extent cx="125158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51585"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125158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51585"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125158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51585" cy="18859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Gemini Therapeutics, Inc. (the “Company” or “Gemini”) is a clinical-stage precision medicine company developing novel therapeutic compounds to treat genetically defined, age-related macular degeneration. The Company was founded on March 3, 2015.</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its product candidates. In January 2022, the Company discontinued both of its Phase 2a clinical trials for GEM103. The Company's other product candidate, GEM307, is in the preclinical stage of development.</w:t>
      </w:r>
    </w:p>
    <w:p>
      <w:pPr>
        <w:spacing w:after="0" w:line="1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February 2022, the Company announced a corporate restructuring and that it initiated a process to evaluate strategic alternatives. After a comprehensive review of strategic alternatives, including identifying and reviewing potential candidates for a strategic transaction, on August 9, 2022, the Company entered into an Agreement and Plan of Merger and Reorganization (the “Disc Merger Agreement”) with Disc Medicine, Inc., a Delaware corporation (“Disc”), and Gemstone Merger Sub, Inc., a Delaware corporation and a wholly-owned subsidiary of the Company (“Gem Merger Sub”), pursuant to which, subject to the satisfaction or waiver of the conditions therein, Gem Merger Sub will merge with and into Disc (the “Disc Merger”), with Disc continuing as the surviving company and a wholly-owned subsidiary of the Company. In connection with the Disc Merger, the Company will distribute to the pre-closing Gemini stockholders contingent value rights (“CVRs”), representing the contractual right to receive payments from the post-closing combined company upon receipt of certain proceeds derived from consideration paid as a result of the disposition of the Company’s pre-Disc Merger assets, net of certain permitted deductions for expenses. The Disc Merger was unanimously approved by the Company’s board of directors (the “Board”), and the Board resolved to recommend approval of the Disc Merger Agreement to the Company’s shareholders. The closing of the Disc Merger is subject to approval by the stockholders of the Company and Disc as well as other customary closing conditions, including the effectiveness of a registration statement filed on Form S-4 with the SEC in connection with the transaction. If the merger is completed, the business of Disc will continue as the business of the combined company. For additional information regarding such transaction, please refer to Note 2,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to these condensed consolidated financial statements.</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Disc Merger and there can be no assurances that the Disc Merger will be successfully consummated. In the event that the Company does not complete the transaction with Disc, the Company may explore strategic alternatives, including, without limitation, another strategic transaction and/or pursue a dissolution and liquidation of the Company.</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refer to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condensed consolidated financial statements.</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to risks related to the Company’s ability to consummate the Disc Merger, and until the consummation of the Disc Merger, 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ongoing and evolving novel coronavirus disease (“COVID-19”) pandemic. If the Company does not successfully commercialize any of its product candidates, it will be unable to generate recurring product revenue or achieve profitability.</w:t>
      </w:r>
    </w:p>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the Business Combination, the Company primarily financed its operations through the sale of convertible preferred stock, borrowings under convertible promissory notes and borrowings under loan agreements. The Company believes that its $101.7 million of cash and cash equivalents as of September 30, 2022 will enable it to fund its planned operations for at least twelve months from the issuance date of these condensed consolidated financial statements, though the Company may raise additional capital through a combination of equity offerings, debt financings, collaborations, strategic alliances and marketing, distribution or licensing arrangements.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Furthermore, the operating plan could materially change depending on the outcome of our ongoing strategic alternative review process, including if the Disc Merger is not successfully consummated on a timely basis or at all. In the event that the Company does not complete the transaction with Disc, if adequate funds are not available to the Company on a timely basis, on acceptable terms or at all,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currently operating in a period of economic uncertainty and capital markets disruption, which has been significantly impacted by geopolitical instability, including in Europe, and record inflation. The Company's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and Europe, caused by political instability and conflict and economic challenges caused by the ongoing COVID-19 pandemic, have led to market disruptions, including significant volatility in commodity prices, credit and capital market instability and supply chain interruptions, which have caused record inflation globally.</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these macroeconomic conditions and it is not aware of any specific related event or circumstance that would require it to revise its estimates reflected in these condensed consolidated financial statements. Although, to date, the Company's business has not been materially impacted by these global economic and geopolitical conditions, it is impossible to predict the extent to which the Company's operations will be impacted in the short and long term, or the ways in which such instability could impact the Company's business and results of operations. The extent and duration of these market disruptions, whether as a result of the military conflict between Russia and Ukraine, geopolitical tensions, record inflation or otherwise, are impossible to predict, but could be substantial. Furthermore,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 Any such disruptions may also magnify the impact of other risks described in this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2022, the Company announced a corporate restructuring and that it initiated a process to evaluate strategic alternatives. After a comprehensive review of strategic alternatives, including identifying and reviewing potential candidates for a strategic transaction, on August 5, 2022, the Company formed a wholly-owned subsidiary, Gemstone Merger Sub, Inc. (“Gem Merger Sub”), a Delaware shell company formed solely for the purpose of merging with Disc Medicine, Inc., a Delaware corporation (“Disc”) in connection with the proposed merger transaction with Disc described below.</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9, 2022, the Company entered into the Disc Merger Agreement with Disc and Gem Merger Sub, pursuant to which, subject to the satisfaction or waiver of the conditions therein, Gem Merger Sub will merge with and into Disc, with Disc continuing as the surviving company and a wholly-owned subsidiary of the Company. The Disc Merger was unanimously approved by the Board, and the Board resolved to recommend approval of the Disc Merger Agreement to the Company’s shareholders.</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2022. The closing of the Disc Merger is subject to approval by the stockholders of the Company and Disc as well as other customary closing conditions, including the effectiveness of a registration statement on Form S-4 filed with the SEC in connection with the transaction and Nasdaq’s approval of the listing of the shares of the Company’s common stock to be issued in connection with the transaction. If the Company is unable to satisfy certain closing conditions or if other mutual closing conditions are not satisfied, Disc will not be obligated to complete the Disc Merger. The Disc Merger Agreement contains certain termination rights of each of the Company and Disc. Under certain circumstances detailed in the Disc Merger Agreement, the Company could be required to pay Disc a termination fee of $3,000,000 or Disc could be required to pay the Company a termination fee of $7,800,000. In addition, in certain circumstances upon the termination of the Disc Merger Agreement, the Company could be required to pay the costs and expenses of Disc in an amount not to exceed $750,000, or Disc could be required to pay our costs and expenses in an amount not to exceed $750,000. If the merger is completed, the business of Disc will continue as the business of the combined company. During both the three and nine months ended September 30, 2022, the Company capitalized $1.2 million of deferred transaction costs associated with the proposed merger transaction with Disc, which was included in other assets in the Company’s condensed consolidated balance sheet as of September 30, 2022.</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Subject to the terms and conditions of the Disc Merger Agreement, at the effective time of the Disc Merger (the "Effective Time"), each then outstanding share of Disc common stock (including shares of Disc common stock issued upon conversion of Disc preferred stock and shares of Disc common stock issued in the concurrent financing transaction) will be converted into the right to receive a number of shares of the Company’s common stock (subject to the payment of cash in lieu of fractional shares and after giving effect to a reverse stock split of the Company’s common stock) calculated in accordance with the Disc Merger Agreement (the “Exchange Ratio”). Further, at the Effective Time, each person who as of immediately prior to the Effective Time was a stockholder of record of the Company or had the right to receive the Company’s common stock will be entitled to receive a contractual CVR issued by the Company subject to and in accordance with the terms and conditions of a Contingent Value Rights Agreement between the Company, the holder’s representative and the rights agent (the “CVR Agreement”), representing the contractual right to receive payments from the post-closing combined company upon receipt of certain proceeds derived from consideration paid as a result of the disposition of the Company’s pre-Disc Merger assets, net of certain permitted deductions for expenses.</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Concurrently with the execution and delivery of the Disc Merger Agreement, certain parties have entered into agreements with Disc pursuant to which they have agreed, subject to the terms and conditions of such agreements, to purchase prior to the consummation of the Disc Merger shares of Disc common stock for an aggregate purchase price of approximately $53.5 million. Shares of Disc common stock issued pursuant to this financing transaction will be converted into shares of the Company’s common stock in the Disc Merger in accordance with the Exchange Ratio.</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Disc Merger and there can be no assurances that the Disc Merger will be successfully consummated. In the event that the Company does not complete the transaction with Disc, the Company may explore other strategic alternatives, including, without limitation, another strategic transaction and/or pursue a dissolution and liquidation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18"/>
          <w:szCs w:val="18"/>
          <w:color w:val="auto"/>
        </w:rPr>
        <w:t>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immediately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September 30,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Summary of Net Proceeds</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 FSDC Trust Account and cash (net of redemptions)</w:t>
            </w:r>
          </w:p>
        </w:tc>
        <w:tc>
          <w:tcPr>
            <w:tcW w:w="7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121,782</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95,060</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Equity issuance costs and other costs paid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(20,960 )</w:t>
            </w:r>
          </w:p>
        </w:tc>
      </w:tr>
      <w:tr>
        <w:trPr>
          <w:trHeight w:val="210"/>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195,882</w:t>
            </w:r>
          </w:p>
        </w:tc>
        <w:tc>
          <w:tcPr>
            <w:tcW w:w="10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Shares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15,535,150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25,041,150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26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Total shares of the Company's common stock outstanding immediately following</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42,998,664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2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the Business Combination</w:t>
            </w:r>
          </w:p>
        </w:tc>
        <w:tc>
          <w:tcPr>
            <w:tcW w:w="1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266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266065"/>
                    </a:xfrm>
                    <a:prstGeom prst="rect">
                      <a:avLst/>
                    </a:prstGeom>
                    <a:noFill/>
                  </pic:spPr>
                </pic:pic>
              </a:graphicData>
            </a:graphic>
          </wp:anchor>
        </w:drawing>
      </w:r>
    </w:p>
    <w:p>
      <w:pPr>
        <w:spacing w:after="0" w:line="160" w:lineRule="exact"/>
        <w:rPr>
          <w:sz w:val="20"/>
          <w:szCs w:val="20"/>
          <w:color w:val="auto"/>
        </w:rPr>
      </w:pPr>
    </w:p>
    <w:p>
      <w:pPr>
        <w:ind w:right="7680" w:firstLine="8"/>
        <w:spacing w:after="0" w:line="44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18"/>
          <w:szCs w:val="18"/>
          <w:color w:val="auto"/>
        </w:rPr>
        <w:t>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2022 and 2021 are not necessarily indicative of the results for the entire fiscal year or any other period. The condensed consolidated financial information for the three and nine months ended September 30, 2022 and 2021 have been prepared on the same basis as and should be read in conjunction with the audited financial statements and notes thereto for the year ended December 31, 2021 included in the Company’s Annual Report on Form 10-K as filed with the SEC on March 10, 2022.</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condensed consolidated financial statements.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unaudited condensed consolidated financial statements for the three and nine months ended September 30, 2022 are consistent with those discussed in Note 3 to the consolidated financial statements in the Company’s 2021 Annual Report on Form 10-K and are updated below as necessary.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CARES Act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CARES Act provided refundable employee retention credits, which could be used to offset payroll tax liabilities. On March 11, 2021, President Biden signed the American Rescue Plan Act (“ARPA”). The ARPA includes several provisions, such as measures that extend and expand the employee retention credit, previously enacted under the CARES Act, through December 31, 2021.</w:t>
      </w:r>
    </w:p>
    <w:p>
      <w:pPr>
        <w:spacing w:after="0" w:line="1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Measures not related to income-based taxes within the CARES Act include (1) allowing an employer to pay its share of Social Security payroll taxes that would otherwise be due from the date of enactment through December 31, 2020 over the following two years and (2) allowing eligible employers subject to closure due to the COVID-19 pandemic to receive a 50% credit on qualified wages against their employment taxes each quarter, with any excess credits eligible for refunds.</w:t>
      </w:r>
    </w:p>
    <w:p>
      <w:pPr>
        <w:spacing w:after="0" w:line="1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there is no authoritative guidance under GAAP for accounting for grants to for-profit business entities, the Company accounts for the grant by analogy to International Accounting Standards 20 – Accounting for Government Grants and Disclosure of Government Assistance (“IAS 20”). During the three months ended June 30, 2022, the Company recorded an employee retention credit of $1.0 million upon completion of an analysis providing reasonable assurance that it met the conditions set forth in the CARES Act and it was reasonably assured that it will receive the employee retention credit. The employee retention credit is recorded in research and development expenses and general and administrative expenses in the manner in which the qualified wages and related costs were classified. $0.7 million and $0.3 million have been recorded to reduce research and development and general and administrative expenses, respectively, in the accompanying condensed consolidated statement of operations and comprehensive loss for the nine months ended September 30, 2022. During the three months ended September 30, 2022, the Company received $0.1 million of the employee retention credit. As of September 30, 2022, the employee retention credit receivable of $0.9 million is included in prepaid expenses and other current assets in the accompanying condensed consolidated balance sheet.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Amendments to the FASB Accounting Standards Codification (</w:t>
      </w:r>
      <w:r>
        <w:rPr>
          <w:rFonts w:ascii="Times New Roman" w:cs="Times New Roman" w:eastAsia="Times New Roman" w:hAnsi="Times New Roman"/>
          <w:sz w:val="17"/>
          <w:szCs w:val="17"/>
          <w:color w:val="auto"/>
        </w:rPr>
        <w:t>“ASU 2016-02”),</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Company adopted ASU 2016-02 on January 1, 2022 using the modified retrospective approach. The Company elected the package of practical expedients which allows entities to not reassess (i) whether an arrangement is or contains a lease, (ii) the classification of its leases, and (iii) the accounting for initial direct costs. Further, the Company elected, by class of underlying asset, the short-term lease exception for leases with terms of twelve months or less. In doing so, the Company did not recognize a lease liability or right-of-use asset on its consolidated balance sheets for such short-term leases. Finally, the Company elected, by class of underlying asset, the practical expedient to not separate lease and non-lease components. The Company terminated its lease agreement on December 31, 2021 for its office and laboratory space.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 does not have any other leases within the scope of ASU 2016-02. Therefore, the adoption of ASU 2016-02 did not have an impact on the Company's condensed consolidated financial statements and related disclosures.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Company adopted ASU 2019-12 on January 1, 2022. The adoption did not have a material effect on the Company’s condensed consolidated financial statements.</w:t>
      </w:r>
    </w:p>
    <w:p>
      <w:pPr>
        <w:spacing w:after="0" w:line="1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This standard increases the transparency of transactions with the government that are accounted for by applying a grant or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model, and aims to reduce diversity that currently exists in the recognition, measurement, presentation, and disclosure of government assistance received by business entities due to the lack of specific authoritative guidance in GAAP. This standard requires an entity to provide information regarding the nature of the transaction with a government and the related accounting policy used to account for this transaction, the line item on the condensed consolidated balance sheet and condensed consolidated statement of operations and comprehensive loss that are affected by the transaction and the amounts applicable to each financial statement line item, and the significant terms and conditions of the transaction, including commitments and contingencies. The Company adopted ASU 2021-10 on January 1, 2022 using the prospective approach. The adoption did not have a material effect on the Company’s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cash amounted to $0 and $0.3 million as of September 30, 2022 and December 31, 2021, which consisted of $0.1 million to collateralize the Company’s credit card and $0.2 million to collateralize its irrevocable standby letter of credit for its facility lease arrangement as of December 31, 2021. The facility lease arrangement was terminated on December 31,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condensed consolidated balance sheets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statements of cash flows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 election, the condensed consolidated financial statements may not be comparable to companies that comply with public company FASB standards’ effective dates.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100,737</w:t>
            </w:r>
          </w:p>
        </w:tc>
        <w:tc>
          <w:tcPr>
            <w:tcW w:w="13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100,737</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5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60" w:type="dxa"/>
            <w:vAlign w:val="bottom"/>
          </w:tcPr>
          <w:p>
            <w:pPr>
              <w:spacing w:after="0"/>
              <w:rPr>
                <w:sz w:val="18"/>
                <w:szCs w:val="18"/>
                <w:color w:val="auto"/>
              </w:rPr>
            </w:pPr>
          </w:p>
        </w:tc>
        <w:tc>
          <w:tcPr>
            <w:tcW w:w="132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8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September 30, 2022 and December 31, 2021, cash equivalents were comprised of funds in money market accounts. There were no transfers or reclassifications between Level 1, Level 2 and Level 3 during the three and nine months ended September 30,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75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r>
      <w:tr>
        <w:trPr>
          <w:trHeight w:val="238"/>
        </w:trPr>
        <w:tc>
          <w:tcPr>
            <w:tcW w:w="7520" w:type="dxa"/>
            <w:vAlign w:val="bottom"/>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42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tcPr>
          <w:p>
            <w:pPr>
              <w:spacing w:after="0"/>
              <w:rPr>
                <w:sz w:val="18"/>
                <w:szCs w:val="18"/>
                <w:color w:val="auto"/>
              </w:rPr>
            </w:pPr>
          </w:p>
        </w:tc>
      </w:tr>
      <w:tr>
        <w:trPr>
          <w:trHeight w:val="249"/>
        </w:trPr>
        <w:tc>
          <w:tcPr>
            <w:tcW w:w="75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Corporate restructuring</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2021, the Company announced a restructuring plan that resulted in a reduction of the Company’s workforce by 11 positions, or approximately 26% of the Company’s then workforce. A majority of these employees’ separation from the Company occurred in mid-October 2021, and the remaining affected employees transitioned by the end of 2021. As a result, the Company incurred costs of $1.4 million during the year ended December 31, 2021 related to severance benefits for the affected employees.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2022, the Company announced an additional restructuring plan to reduce the Company's operations to preserve financial resources, resulting in a reduction of the Company’s workforce by 24 positions, or approximately 80% of the Company’s then workforce, by the end of the second quarter of 2022. As a result, the Company incurred costs of $1.7 million during the three months ended March 31, 2022 related to severance benefits for the affected employees.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severance benefits for both restructuring plans include severance payments, limited reimbursement of medical insurance premiums, outplacement services and other restructuring costs and expenses. Each affected employee’s eligibility for the severance benefits is contingent upon such employee’s execution (without revocation, as applicable) of a separation agreement, which includes a general release of claims against the Company. The October 2021 restructuring plan was completed by the end of 2021. The February 2022 restructuring plan was completed by the end of the second quarter of 2022.</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Of the $1.7 million in costs recognized related to the February 2022 restructuring plan, $1.0 million and $0.7 million have been charged to research and development and general and administrative expenses, respectively, in the accompanying condensed consolidated statement of operations and comprehensive loss for the nine months ended September 30, 2022. During the nine months ended September 30, 2022, the Company paid $2.6 million in severance benefits to separating employees related to the restructuring plans, with $0.9 million related to the October 2021 restructuring plan and $1.7 million related to the February 2022 restructuring plan. As of September 30, 2022 and December 31, 2021, unpaid severance costs of $18 thousand and $0.9 million, respectively, are included in accrued expenses and other current liabilities in the accompanying condensed consolidated balance sheet for each period.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Term loan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2019,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The Company repaid the Term Loan in whole in September 2022. As of September 30, 2022 and December 31, 2021, the Company had $0 and $5.4 million, respectively, in principal outstanding under the Term Loan.</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 Loan was governed by a loan and security agreement, entered into in February 2019, between the Company and SVB (the “SVB Loan Agreement”). The SVB Loan Agreement provided for two separate tranches under which the Company could borrow. In April 2019, the Company borrowed $7.5 million under the first tranche, and in December 2019, the Company borrowed $2.5 million under the second tranche.</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 Loan initially matured in July 2022 and accrued interest at a floating rate per annum equal to the greater of 3.75% or the prime rate minus 1.5% (4.0% as of September 15, 2022, the prepayment date). The Term Loan initially provided for monthly interest-only payments until July 2020. Thereafter, payments were payable in equal monthly installments of principal, plus all accrued and unpaid interest.</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was in January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Company did not record any adjustments to the Company’s condensed consolidated financial statements related to this deferral.</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prepaid the Term Loan in whole in September 2022 upon 5 days’ prior written notice to SVB. The prepayment of the Term Loan was subject to a prepayment charge of 0.5% of the then outstanding principal balance. At the end of the loan term, the Company was also required to pay a final end of term charge to SVB in the amount of 4.0% of the aggregate original principal amount advanced by SVB. The amount of the end of term charge had been accrued over the loan term as interest expense. The Company paid the end of term charge of $0.4 million in September 2022 upon prepayment of the Term Loan in whole. As of September 30, 2022 and December 31, 2021, the Company had a liability related to the end of term charge of $0 and $0.4 million, respectively, which has been classified within other long-term liabilities as of December 31, 2021.</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Term Loan was $41 thousand and $0.1 million for the three months ended September 30, 2022 and 2021, respectively, and $0.2 million and $0.4 million for the nine months ended September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promissory notes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August 2020, Old Gemini entered into a purchase agreement with various investors to issue $14.0 million in convertible promissory notes (the “Notes”). The Notes accrued simple interest at 8% per annum. The Company determined that a beneficial conversion feature (“BCF”) existed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 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a loss on conversion of convertible notes of $0.7 million for the difference between the reacquisition price of the Notes and the net carrying amount of the Notes in the condensed consolidated statements of operations and comprehensive loss for the three months ended March 31, 2021.</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Notes was $0 for each of the three months ended September 30, 2022 and 2021 and $0 and $1.7 million for the nine months ended September 30, 2022 and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condensed consolidated statement of stockholders’ equity has been retroactively adjusted for all periods presented to reflect the Business Combination and reverse recapitalization as defined in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Upon closing of the Business Combination and pursuant to the terms of the Company's Amended and Restated Certificate of Incorporation entered into on February 5, 2021 (the “Certificate of Incorporation”),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September 30, 2022.</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Certificate of Incorporation, the Company authorized 250,000,000 shares of common stock with a par value of $0.0001 per share.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No dividends have been declared to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Old Gemini Equity Incentive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options vest on the first anniversary of the grant date and the remaining options vest equally each month for three years thereafter.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Business Combination, the Company ceased granting awards under the 2017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Awards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Closing Date, the 10,567,508 options and 163,157 restricted stock units (“RSUs”) outstanding under the 2017 Plan and 2015 Plan were converted into 2,303,309 options and 35,561 RSUs, respectively, upon completion of the Business Combination after the effect of the Conversion Ratio. This effect of the Conversion Ratio has been retroactively adjusted throughout the Company’s unaudited condensed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Gemini Equity Incentive Plan</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Subject to this provision, the Company added 1,728,326 shares available for grant to the 2021 Plan effective January 1, 2022. As of September 30, 2022, 3,442,163 shares remained available for future issuance under the 2021 Plan.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granted under the 2021 Plan will be 100% of the fair market value of the underlying stock subject to the award, determined as of the date of the grant, or such higher amount as the plan administrator may determine in connection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the grant, and the term of stock option may not be greater than ten years. The vesting and other restrictions are determined at the discretion of the plan administrator.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February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September 30, 2022, 1,159,408 shares were available for issuance under the 2021 Inducement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July 2021, the Company’s board of directors approved the 2021 Employee Stock Purchase Plan (“2021 ESPP”). The first offering period under the 2021 ESPP began on December 1, 2021. The Company recorded $0 and $22 thousand of stock-based compensation expense related to the 2021 ESPP during the three and nine months ended September 30, 2022, respectively. As of September 30, 2022, 420,591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430,551 shares of common stock, or (c) such number of shares determined by the Company’s board of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condensed consolidated statements of operations and comprehensive loss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7"/>
                <w:szCs w:val="17"/>
                <w:color w:val="auto"/>
              </w:rPr>
            </w:pPr>
          </w:p>
        </w:tc>
      </w:tr>
      <w:tr>
        <w:trPr>
          <w:trHeight w:val="238"/>
        </w:trPr>
        <w:tc>
          <w:tcPr>
            <w:tcW w:w="578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09"/>
        </w:trPr>
        <w:tc>
          <w:tcPr>
            <w:tcW w:w="57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44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44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7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43,264,616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43,091,822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43,236,171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39,427,476</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-316865</wp:posOffset>
            </wp:positionV>
            <wp:extent cx="7747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-316865</wp:posOffset>
            </wp:positionV>
            <wp:extent cx="685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-316865</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unvested restricted stock and common stock options outstanding,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following potential common shares from the computation of diluted net loss per share attributable to common stockholders for the periods indicated because including them would have had an anti-dilutive effect: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00" w:type="dxa"/>
            <w:vAlign w:val="bottom"/>
          </w:tcPr>
          <w:p>
            <w:pPr>
              <w:spacing w:after="0"/>
              <w:rPr>
                <w:sz w:val="20"/>
                <w:szCs w:val="20"/>
                <w:color w:val="auto"/>
              </w:rPr>
            </w:pPr>
          </w:p>
        </w:tc>
      </w:tr>
      <w:tr>
        <w:trPr>
          <w:trHeight w:val="209"/>
        </w:trPr>
        <w:tc>
          <w:tcPr>
            <w:tcW w:w="774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569,084</w:t>
            </w:r>
          </w:p>
        </w:tc>
        <w:tc>
          <w:tcPr>
            <w:tcW w:w="26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3,301,028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4,988,293</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3,870,112</w:t>
            </w:r>
          </w:p>
        </w:tc>
        <w:tc>
          <w:tcPr>
            <w:tcW w:w="26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4,988,293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right="8460" w:firstLine="8"/>
        <w:spacing w:after="0" w:line="440"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debt obligations, license agreements and other purchase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(“Sanquin”) (the “2017 License Agreement”) to develop antibodies that bind and enhance the activity of CFH. As consideration for the license, the Company paid a one-time, non-refundable upfront payment of $0.1 million.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On March 7, 2022, the Company entered into an amendment to the 2017 License Agreement (the “2022 Amendment”) to clarify that certain patent rights directed to CFH potentiating antibodies are jointly owned by the Company and Sanquin. Under the 2022 Amendment, Sanquin granted the Company an exclusive (even as to Sanquin) royalty-bearing license, with the right to sublicense through multiple tiers, to the portion of these patent rights owned by Sanquin. The condensed consolidated financial statements as of September 30, 2022 do not include liabilities with respect to this agreement as the Company has not yet generated revenue and the achievement of certain milestones is not deemed probable.</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$0.1 million. In addition, an annual non-refundable, non-creditable development fee of $0.1 million is due on each anniversary date. The 2018 License Agreement includes additional consideration of $0.3 million contingent upon future commercialization of each licensed product. The condensed consolidated financial statements as of September 30, 2022 do not include a liability with respect to the additional consideration under this agreement as the Company has not yet generated revenue.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In October 2021, the Company terminated the 2019 License Agreement. As consideration for the license, the Company paid a one-time, non-refundable, non-creditable initial license fee of $0.1 million. In addition, an annual non-refundable, non-creditable development fee of $0.1 million was due on each anniversary date, beginning on the second anniversary date. The 2019 License Agreement included additional consideration of $0.4 million contingent upon future commercialization of each licensed product. The condensed consolidated financial statements as of September 30, 2022 do not include a liability with respect to the additional consideration under this agreement as the Company has not yet generated revenue.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for affinity purification of biopharmaceuticals. As consideration for the license, the Company paid an upfront license fee of $0.2 million. In addition, an annual license fee of $0.1 million is due on each anniversary date. The 2018 Master License Agreement includes additional consideration upon the achievement of certain development, commercial and sales milestones totaling up to $0.7 million, $2.2 million and $7.0 million, respectively. Finally, the Company is required to make royalty payments of 1.25% of net product sales if commercialization is achieved. The condensed consolidated financial statements as of September 30, 2022 do not include liabilities with respect to additional consideration under this agreement as the Company has not yet generated revenue and the achievement of certain milestones is not deemed probable.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jc w:val="both"/>
        <w:spacing w:after="0" w:line="235" w:lineRule="auto"/>
        <w:rPr>
          <w:sz w:val="20"/>
          <w:szCs w:val="20"/>
          <w:color w:val="auto"/>
        </w:rPr>
      </w:pPr>
      <w:r>
        <w:rPr>
          <w:rFonts w:ascii="Times New Roman" w:cs="Times New Roman" w:eastAsia="Times New Roman" w:hAnsi="Times New Roman"/>
          <w:sz w:val="18"/>
          <w:szCs w:val="18"/>
          <w:color w:val="auto"/>
        </w:rPr>
        <w:t>Company is required to make one-time milestone payments totaling up to $1.3 million in aggregate, as well as a contingent annual fee upon commercialization (1% of net sales, or $0.1 million, whichever is greater) and other fees after certain milestones are reached. Certain milestone payments may be waived if Catalent manufactures &gt;50% of the total product required for the relevant clinical trial. The condensed consolidated financial statements as of September 30, 2022 do not include liabilities with respect to this agreement as the Company has not yet generated revenue and the achievement of certain milestones is not deemed probable.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September 30,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September 30, 2022, the Company was not a party to any material legal matters or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There were no costs incurred under this arrangement for either of the three months ended September 30, 2022 and 2021. For the nine months ended September 30, 2022 and 2021, the costs incurred under this arrangement totaled $0 and $0.1 million, respectively, of which $0.1 million was recorded in stockholders’ equity as a reduction to additional paid-in capital as a result of the Business Combination and $10 thousand was recorded as general and administrative expense in the accompanying condensed consolidated statements of operations and comprehensive loss for the nine months ended September 30, 2021. There were no amounts owed under this arrangement as of September 30, 2022 and December 31, 2021. The executive of the Company associated with this firm resigned from the Company in February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2022, we announced a corporate restructuring and that we had initiated a process to evaluate strategic alternatives. After a comprehensive review of strategic alternatives, including identifying and reviewing potential candidates for a strategic transaction, on August 9, 2022, we entered into an Agreement and Plan of Merger and Reorganization (the “Disc Merger Agreement”) with Disc Medicine, Inc., a Delaware corporation (“Disc”), and Gemstone Merger Sub, Inc., a Delaware corporation and a wholly-owned subsidiary of ours (“Gem Merger Sub”), pursuant to which, subject to the satisfaction or waiver of the conditions therein, Gem Merger Sub will merge with and into Disc (the “Disc Merger”), with Disc continuing as the surviving company and a wholly-owned subsidiary of the Company. The Disc Merger was unanimously approved by our board of directors (the “Board”), and the Board resolved to recommend approval of the Disc Merger Agreement to our shareholders.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2022. The closing of the Disc Merger is subject to approval by our stockholders and the stockholders of Disc as well as other customary closing conditions, including the effectiveness of a registration statement on Form S-4 filed with the SEC in connection with the transaction and Nasdaq’s approval of the listing of the shares of the Company’s common stock to be issued in connection with the transaction. If we are unable to satisfy certain closing conditions or if other mutual closing conditions are not satisfied, Disc will not be obligated to complete the Disc Merger. The Disc Merger Agreement contains certain termination rights of each of us and Disc. Under certain circumstances detailed in the Disc Merger Agreement, we could be required to pay Disc a termination fee of $3,000,000 or Disc could be required to pay us a termination fee of $7,800,000. In addition, in certain circumstances upon the termination of the Disc Merger Agreement, we could be required to pay the costs and expenses of Disc in an amount not to exceed $750,000, or Disc could be required to pay our costs and expenses in an amount not to exceed $750,000. If the merger is completed, the business of Disc will continue as the business of the combined company.</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Subject to the terms and conditions of the Disc Merger Agreement, at the effective time of the Disc Merger (the "Effective Time"), each then outstanding share of Disc common stock (including shares of Disc common stock issued upon conversion of Disc preferred stock and shares of Disc common stock issued in the concurrent financing transaction) will be converted into the right to receive a number of shares of the Company’s common stock (subject to the payment of cash in lieu of fractional shares and after giving effect to a reverse stock split of the Company’s common stock) equal to the exchange ratio as further described in the Disc Merger Agreement (the “Exchange Ratio”). Pursuant to the Disc Merger Agreement, the Exchange Ratio is calculated using a formula intended to allocate existing Company and Disc securityholders a percentage of the combined company. The final Exchange Ratio is subject to adjustment prior to closing of the merger based on the Company’s net cash at closing and the aggregate proceeds from the sale of Disc common stock in the concurrent Disc financing transaction. Further, at the Effective Time, each person who as of immediately prior to the Effective Time was a stockholder of record of Gemini or had the right to receive our common stock will be entitled to receive a contractual contingent value right (“CVR”) issued by the Company subject to and in accordance with the terms and conditions of a Contingent Value Rights Agreement between the Company, the holder’s representative and the rights agent (the “CVR Agreement”), representing the contractual right to receive payments from the post-closing combined company upon receipt of certain proceeds derived from consideration paid as a result of the disposition of our pre-Disc Merger assets, net of certain permitted deductions for expenses.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execution and delivery of the Disc Merger Agreement, certain parties have entered into agreements with Disc pursuant to which they have agreed, subject to the terms and conditions of such agreements, to purchase prior to the consummation of the Disc Merger shares of Disc common stock for an aggregate purchase price of approximately $53.5 million. Shares of Disc common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stock issued pursuant to this financing transaction will be converted into shares of the Company’s common stock in the Disc Merger in accordance with the Exchange Ratio.</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Disc Merger and there can be no assurances that the Disc Merger will be successfully consummated. In the event that we do not complete the transaction with Disc, we may explore strategic alternatives, including, without limitation, another strategic transaction and/or pursue a dissolution and liquidation of the Company.</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we continue to pursue clinical development of GEM103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and Europe, caused by political instability and conflict and economic challenges caused by the ongoing COVID-19 pandemic, have led to market disruptions, including significant volatility in commodity prices, credit and capital market instability and supply chain interruptions, which have caused record inflation globally.</w:t>
      </w:r>
    </w:p>
    <w:p>
      <w:pPr>
        <w:spacing w:after="0" w:line="14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have not incurred impairment losses in the carrying values of our assets as a result of these macroeconomic conditions, and we are not aware of any specific related event or circumstance that would require us to revise our estimates reflected in our condensed consolidated financial statements. 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geopolitical tensions, record inflation or otherwise, are impossible to predict, but could be substantial. Furthermore, the ongoing COVID-19 pandemic and related impacts have resulted in and will likely continue to result in significant disruptions to the global economy and capital markets around the world. We cannot predict the future progression or full impact of the outbreak and its effects on our business and operations. Any such disruptions may also magnify the impact of other risks described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FSDC consummated a previously announced business combination pursuant to the terms of the Agreement and Plan of Merger, dated as of October 15, 2020 (as amended, supplemented or otherwise modified from time to time, the “Merger Agreement”), by and among Old Gemini, Stockholders’ Representative, and Merger Sub (the “Business Combination”).</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18"/>
          <w:szCs w:val="18"/>
          <w:color w:val="auto"/>
        </w:rPr>
        <w:t>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our company (the “Conversion Ratio”).</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read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our unaudited condensed consolidated financial statements included elsewhere in this Quarterly Report on Form 10-Q.</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in the near future, if at all. If our development efforts were to continue and were successful and we were to commercialize any of our product candidates,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clinical development of our product candidates. We expense research and development costs as incurred, which include:</w:t>
      </w:r>
    </w:p>
    <w:p>
      <w:pPr>
        <w:spacing w:after="0" w:line="6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17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our drug discovery efforts, preclinical studies, and clinical trials;</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that are primarily engaged to provide preclinical and clinical drug substance and product for our research and development programs;</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2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 and</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comply with regulatory requirements.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CMOs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manufacturing and clinical development activities. These employees work across multiple programs and, therefore, we do not track their costs by program.</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have historically been central to our business model. We anticipate that our research and development expenses will decrease in 2022 compared to 2021 due to our planned reduced clinical efforts in 2022 and restructuring plans implemented in connection with our exploration of strategic alternatives. If we were to continue to pursue development efforts and we believe a regulatory approval of a product candidate appears likely, we would anticipate an increase in payroll and other expenses as a result of our preparation of regulatory filings and precommercial activities.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costs of the efforts that would be necessary to complete the preclinical and clinical development of any of our product candidates or when, if ever, material net cash inflows may commence from any of our product candidates. The successful development and commercialization of any of our product candidates is highly uncertain. This uncertainty is due to the numerous risks and uncertainties associated with product development and commercialization, including the uncertainty of the following:</w:t>
      </w:r>
    </w:p>
    <w:p>
      <w:pPr>
        <w:spacing w:after="0" w:line="69"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outcome and costs of any continued preclinical development activities, clinical trials and other related development activities;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suspensions, or other setbacks or interruptions encountered, including as a result of the ongoing COVID-19 pandemic;</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any Investigational New Drug application (“IND”) enabling studies and obtaining clearance for future IND applications;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any clinical trials;</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U.S. Food and Drug Administration (“FDA”) and non-U.S. regulatory authorities;</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we or our third-party manufacturers are able to make and scale our products successfully;</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our clinical trials and for commercial launch;</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 of our product candidates.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any of these variables with respect to any of our programs would significantly change the costs, timing and viability associated with that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insurance costs and professional fees for legal, patent, consulting, investor and public relations, accounting and audit services. We expense general and administrative costs as incurred.</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2022 as compared to 2021 due to restructuring plans we implemented. If we were to continue product development efforts and at any point in the future we believe a regulatory approval of a product candidate appears likely, we would anticipate an increase in payroll and other expenses as a result of our preparation for commercial operations, especially as it relates to the sales and marketing of that product candidate. Additionally, depending on the outcome of our ongoing strategic alternative review process, there may be an increase in general and administrative expenses.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accrued on the Term Loan we entered into in February 2019 and, for the nine months ended September 30, 2021, interest expense for the Notes, including the accretion of the beneficial conversion feature discount recognized on the issuance date of the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restricted cash.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which requires the recognition of deferred tax assets and liabilities for the expected future tax consequences of events that have been included in the condensed consolidated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file income tax returns in the U.S. federal tax jurisdiction and state jurisdictions and may become subject to income tax audit and adjustments by related tax authorities. Our tax return period for U.S. federal income taxes for the tax years since 2018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as a result of subsequent shifts in our stock ownership.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(13,017 )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(1,696 )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(14,713 )</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(41 )</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(104 )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-1148080</wp:posOffset>
            </wp:positionV>
            <wp:extent cx="7747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$0.4 million for the three months ended September 30, 2022, compared to $13.5 million for the three months ended September 30, 2021. The decrease of $13.1 million was primarily due to a decrease in external research costs related to the elimination of our lab space and a decrease in development costs related to lower clinical trial activities of GEM103. In addition, research and development personnel costs were lower period over period, including stock-based compensation, due to a decrease in headcount in our research and development function in connection with the restructuring plans we implemented.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$3.3 million for the three months ended September 30, 2022, compared to $5.0 million for the three months ended September 30, 2021. The decrease of $1.7 million was primarily due to lower personnel-related costs, including stock-based compensation, due to a decrease in headcount in our general and administrative function in connection with the restructuring plans we implemented.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was $41 thousand and $0.1 million for the three months ended September 30, 2022 and 2021, respectively, related to interest on the Term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was $0.5 million and $5 thousand for the three months ended September 30, 2022 and 2021, respectively, related to interest earned on our cash, cash equivalents and restricted cash.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4"/>
                <w:szCs w:val="14"/>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(23,261 )</w:t>
            </w: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(1,851 )</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(26,148 )</w:t>
            </w:r>
          </w:p>
        </w:tc>
        <w:tc>
          <w:tcPr>
            <w:tcW w:w="4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(51,260 )</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(155 )</w:t>
            </w:r>
          </w:p>
        </w:tc>
        <w:tc>
          <w:tcPr>
            <w:tcW w:w="4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(2,073 )</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(711 )</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-1139825</wp:posOffset>
            </wp:positionV>
            <wp:extent cx="7747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-1139825</wp:posOffset>
            </wp:positionV>
            <wp:extent cx="6858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$12.8 million for the nine months ended September 30, 2022, compared to $36.1 million for the nine months ended September 30, 2021. The decrease of $23.3 million was primarily due to a decrease in external research costs related to the elimination of our lab space and a decrease in development costs related to lower clinical trial activities of GEM103. In addition, research and development personnel costs were lower period over period, including stock-based compensation, due to both a decrease in headcount in our research and development function in connection with the restructuring plans we implemented and the employee retention credit receivable recorded during the nine months ended September 30,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$13.3 million for the nine months ended September 30, 2022, compared to $15.2 million for the nine months ended September 30, 2021. The decrease of $1.9 million was primarily due to lower personnel-related costs due to both a decrease in headcount in our general and administrative function in connection with the restructuring plans we implemented and the employee retention credit receivable recorded during the nine months ended September 30,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2022, compared to $2.1 million for the nine months ended September 30, 2021. The decrease of $1.9 million is primarily due to accretion during the nine months ended September 30, 2021 of the beneficial conversion feature discount recognized at the issuance date of the Notes in 2020.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was $0.7 million and $11 thousand for the nine months ended September 30, 2022 and 2021, respectively, related to interest earned on our cash, cash equivalents and restricted cash.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loss on conversion of convertible notes was $0 for the nine months ended September 30, 2022, compared to $0.7 million for the nine months ended September 30, 2021. The decrease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currently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expect to generate revenue from sales of any product candidates for several years. Our net loss was $25.6 million for the nine months ended September 30, 2022. As of September 30, 2022, we had an accumulated deficit of $210.3 million.</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we funded our operations primarily with proceeds from the sale of preferred stock, borrowings under convertible promissory notes and borrowings under loan agreements. In January 2020, we received gross proceeds of $20.1 million from the sale of our preferred stock. In August 2020, we received gross proceeds of $14.0 million from borrowings under convertible promissory notes. In February 2021, in connection with the Business Combination, we received net proceeds of $195.9 million.</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$101.7 million. Continued cash generation is highly dependent on our ability to finance our operations through a combination of equity offerings, debt financings, collaboration arrangements and strategic transactions. However, our resource requirements could materially change depending on the outcome of our ongoing strategic alternative review process, including to the extent we identify and enter into any potential strategic transaction, including the outcome of the proposed merger with Disc.</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9, 2022, we entered into the Disc Merger Agreement pursuant to which, subject to the satisfaction or waiver of the conditions therein, Gem Merger Sub will merge with and into Disc, with Disc continuing as the surviving company and a wholly-owned subsidiary of the Company. The Disc Merger was unanimously approved by our Board, and the Board resolved to recommend approval of the Disc Merger Agreement to our shareholders. The closing of the Disc Merger is subject to approval by our stockholders and the stockholders of Disc and other customary closing conditions. The Company's future operations are highly dependent on the success of the proposed merger transaction with Disc.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(5,366 )</w:t>
            </w: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192,659</w:t>
            </w:r>
          </w:p>
        </w:tc>
        <w:tc>
          <w:tcPr>
            <w:tcW w:w="100" w:type="dxa"/>
            <w:vAlign w:val="bottom"/>
            <w:shd w:val="clear" w:color="auto" w:fill="CFF0FC"/>
          </w:tcPr>
          <w:p>
            <w:pPr>
              <w:spacing w:after="0"/>
              <w:rPr>
                <w:sz w:val="18"/>
                <w:szCs w:val="18"/>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(35,213 )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generate any cash inflows from our operating activities. Our cash flows from operating activities are significantly influenced by our use of cash for operating expenses and working capital requirements to support our business. We have historically experienced negative cash flows from operating activities as we invested in developing our platform, drug discovery efforts and related infrastructure.</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we used cash in operating activities of $29.8 million, reflecting a net loss of $25.6 million and a net change of $9.6 million in our operating assets and liabilities, partially offset by non-cash charges of $5.4 million. The non-cash charges consist primarily of $5.3 million of stock-based compensation expense. The net change in our operating assets and liabilities was primarily due to an increase in deferred transaction costs and a decrease in accounts payable and accrued expenses and other current liabilities.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the nine months ended September 30, 2021, we used cash in operating activities of $47.0 million, reflecting a net loss of $54.0 million, partially offset by non-cash charges of $8.9 million and a net change of $1.8 million in our operating assets and liabilities. The non-cash charges consist primarily of $6.1 million of stock-based compensation expense, $1.6 million accretion of the discount on the Notes, $0.7 million of expense related to the conversion of the Notes and $0.3 million of non-cash interest expense. The net change in our operating assets and liabilities was primarily due to an increase in prepaid expenses and other current currents, other assets and accrued expenses and other current liabilities, partially offset by a decrease in deferred offering costs and accounts payable.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we did not use any cash in investing activities.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we used cash in investing activities of less than $0.1 million, consisting of purchases of laboratory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net cash used in financing activities was $5.4 million, consisting primarily of principal payments made on our term loan.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net cash provided by financing activities was $192.7 million, consisting primarily of $195.9 million of net proceeds received in connection with the Business Combination, partially offset by principal payments made on our term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has historically been primarily related to our research and development activities. However, our resource requirements could materially change depending on the outcome of the proposed merger with Disc or the outcome of our ongoing strategic alternative review process, including to the extent we identify and enter into any other potential strategic transaction. Cash used to fund operating expenses is impacted by the timing of when we pay these expenses, as reflected in the change in our outstanding accounts payable, accrued expenses and prepaid expenses.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expect our expenses to decrease in 2022 compared to 2021 due to our planned reduced clinical efforts in 2022 and the implementations of the restructurings announced in October 2021 and February 2022. To the extent we continue to pursue the development of our product candidates, the timing and amount of our operating expenditures will depend largely on our ability to:</w:t>
      </w:r>
    </w:p>
    <w:p>
      <w:pPr>
        <w:spacing w:after="0" w:line="129"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our early-stage programs and clinical trials of our product candidates;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our behalf, including sourcing raw materials, our preclinical and clinical drug material and develop processes for late stage and commercial manufacturing;</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protect our intellectual property portfolio;</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our intellectual property rights, including enforcing and defending intellectual property related claims;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anticipated benefits of our restructuring plans.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would be derived from sales of products that we do not expect to be commercially available for many years, if ever. Accordingly, we will need to obtain substantial additional funds to achieve our business objectives.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$101.7 million. We believe that our cash and cash equivalents will enable us to fund our operating expenses and capital expenditure requirements through at least the next twelve months from the filing of this Quarterly Report on Form 10-Q. We have based this estimate on assumptions that may prove to be wrong, and we could utilize our available capital resources sooner than we expect. However, our future resource requirements could materially change depending on the outcome of the proposed merger transaction with Disc or the outcome of our ongoing strategic alternative review process, including to the extent we identify and enter into any other potential strategic transaction in the event we are unable to complete the proposed merger transaction with Disc.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1" w:name="page32"/>
    <w:bookmarkEnd w:id="31"/>
    <w:p>
      <w:pPr>
        <w:jc w:val="both"/>
        <w:spacing w:after="0" w:line="242" w:lineRule="auto"/>
        <w:rPr>
          <w:sz w:val="20"/>
          <w:szCs w:val="20"/>
          <w:color w:val="auto"/>
        </w:rPr>
      </w:pPr>
      <w:r>
        <w:rPr>
          <w:rFonts w:ascii="Times New Roman" w:cs="Times New Roman" w:eastAsia="Times New Roman" w:hAnsi="Times New Roman"/>
          <w:sz w:val="18"/>
          <w:szCs w:val="18"/>
          <w:color w:val="auto"/>
        </w:rPr>
        <w:t>Until such time as we can generate substantial product revenue, if ever, and subject to our pursuit of a potential strategic transaction and the consummation of such potential transaction (including the proposed merger transaction with Disc),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 candidates, we are unable to estimate the exact amount of our working capital requirements. Subject to our pursuit of a potential strategic transaction and the consummation of such potential transaction (including the proposed merger transaction with Disc), our future funding requirements will depend on and could increase significantly as a result of many factors, including:</w:t>
      </w:r>
    </w:p>
    <w:p>
      <w:pPr>
        <w:spacing w:after="0" w:line="150"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trials;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our product candidates to supply our clinical and preclinical development efforts and our clinical trials;</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and manufacturing commercial-grade product and necessary inventory to support commercial launch;</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strategic alliances on favorable terms, if at all;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February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We repaid the Term Loan in whole in September 2022. As of September 30, 2022 and December 31, 2021, we had $0 and $5.4 million, respectively, in principal outstanding under the Term Loan.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was governed by a loan and security agreement, entered into in February 2019, between Gemini and SVB (the “SVB Loan Agreement”). The SVB Loan Agreement provided for two separate tranches under which we could borrow. In April 2019, we borrowed $7.5 million under the first tranche, and in December 2019, we borrowed $2.5 million under the second tranche.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would have matured in January 2023 and accrued interest at a floating rate per annum equal to the greater of 3.75% or the prime rate minus 1.5% (4.0% as of September 15, 2022, the prepayment date). The Term Loan provided for monthly interest-only payments until February 2021. Thereafter, payments were payable in equal monthly installments of principal, plus all accrued and unpaid interest.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was January 2023 prior to the prepayment.</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prepaid the Term Loan in whole in September 2022 upon 5 days’ prior written notice to SVB. The prepayment of the Term Loan was subject to a prepayment charge of 0.5% of the then outstanding principal balance. At the end of the loan term, we were also required to pay a final end of term charge to SVB in the amount of 4.0% of the aggregate original principal amount advanced by SVB.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August 2020, we entered into a purchase agreement with existing investors to issue $14.0 million in convertible promissory notes, (the “Notes”). The Notes accrued simple interest at 8% per annum and matured in February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 and manufacturing organizations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of notice. Payments due upon cancellation consist only of payments for services provided or expenses incurred, including noncancelable obligations of our service providers, up to the date of cancellation. We recorded accrued expenses of approximately $0.1 million in our condensed consolidated balance sheet for expenditures incurred by CROs and CMOs as of September 30,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 Merger Agreement</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9, 2022, we entered into the Disc Merger Agreement pursuant to which, subject to the satisfaction or waiver of the conditions therein, Gem Merger Sub will merge with and into Disc, with Disc continuing as the surviving company and a wholly-owned subsidiary of the Company. The Disc Merger was unanimously approved by our Board, and the Board resolved to recommend approval of the Disc Merger Agreement to our shareholders. The closing of the Disc Merger is subject to approval by our stockholders and the stockholders of Disc and other customary closing conditions.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are unable to satisfy certain closing conditions or if other mutual closing conditions are not satisfied, Disc will not be obligated to complete the Disc Merger. The Disc Merger Agreement contains certain termination rights of each of us and Disc. Under certain circumstances detailed in the Disc Merger Agreement, we could be required to pay Disc a termination fee of $3,000,000 or Disc could be required to pay us a termination fee of $7,800,000. In addition, in certain circumstances upon the termination of the Disc Merger Agreement, we could be required to pay the costs and expenses of Disc in an amount not to exceed $750,000, or Disc could be required to pay our costs and expenses in an amount not to exceed $750,000.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there were no material changes to our critical accounting policies as reported in our 2021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w:t>
      </w:r>
    </w:p>
    <w:p>
      <w:pPr>
        <w:spacing w:after="0" w:line="4" w:lineRule="exact"/>
        <w:rPr>
          <w:sz w:val="20"/>
          <w:szCs w:val="20"/>
          <w:color w:val="auto"/>
        </w:rPr>
      </w:pPr>
    </w:p>
    <w:p>
      <w:pPr>
        <w:jc w:val="both"/>
        <w:ind w:firstLine="8"/>
        <w:spacing w:after="0" w:line="242"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our initial public offering,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Item 10(f)(1) of Regulation S-K. As such, we are not required to provide the information set forth in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of September 30, 2022, 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September 30, 2022 are effective at a level that provides such reasonable assurances.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Exchange Act Rules 13a-15(f) and 15d-15(f)) that occurred during the three months ended September 30, 2022 that have materially affected, or that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we have little or no control. A number of important risks and uncertainties, including those identified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our Annual Report on Form 10-K for the period ended December 31, 2021 and in subsequent filings, could cause our actual results to differ materially from those in the forward-looking statements. Other than the risk factors set forth below, there are no material changes to the risk factors described in our Annual Report on Form 10-K for the period ended December 31, 2021, as filed with the SEC on March 10, 2022. We may disclose changes to such factors or disclose additional factors from time to time in our future filings with the SEC.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Merger with Disc Medicine, Inc.</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or delays in completing, the proposed merger transaction with Disc (as defined below) announced on August 10, 2022 could materially and adversely affect our results of operations, business, financial results and/or stock price.</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announced a corporate restructuring and that it initiated a process to evaluate strategic alternatives. After a comprehensive review of strategic alternatives, including identifying and reviewing potential candidates for a strategic transaction, on August 9, 2022, the Company entered into an Agreement and Plan of Merger and Reorganization (the “Disc Merger Agreement”) with Disc Medicine, Inc., a Delaware corporation (“Disc”), and Gemstone Merger Sub, Inc., a Delaware corporation and a wholly-owned subsidiary of the Company (“Gem Merger Sub”), pursuant to which, subject to the satisfaction or waiver of the conditions therein, Gem Merger Sub will merge with and into Disc (the “Disc Merger”), with Disc continuing as the surviving company and a wholly-owned subsidiary of the Company. The closing of the Disc Merger is subject to approval by the stockholders of the Company and Disc as well as other customary closing conditions, including the effectiveness of a registration statement on Form S-4 filed with the SEC in connection with the transaction. If the merger is completed, the business of Disc will continue as the business of the combined company. Any failure to satisfy a required condition to closing may prevent, delay or otherwise materially and adversely affect the completion of the transaction, which could materially and adversely affect our results of operations, business, financial results and/or stock price. We cannot predict with certainty whether or when any of the required closing conditions will be satisfied or if another uncertainty may arise and cannot assure you that we will be able to successfully consummate the proposed merger as currently contemplated under the Disc Merger Agreement or at all.</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efforts to complete the Disc Merger could cause substantial disruptions in, and create uncertainty surrounding, our business, which may materially adversely affect our results of operations and our business. Uncertainty as to whether the Disc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Uncertainty as to our future could adversely affect our business and our relationship with collaborators, suppliers, vendors, regulators and other business partners. For example, vendors, collaborators and other counterparties may defer decisions about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Disc Merger Agreement.</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Risks related to the failure to consummate, or delay in consummating, the proposed merger transaction with Disc include, but are not limited to, the following:</w:t>
      </w:r>
    </w:p>
    <w:p>
      <w:pPr>
        <w:spacing w:after="0" w:line="40" w:lineRule="exact"/>
        <w:rPr>
          <w:sz w:val="20"/>
          <w:szCs w:val="20"/>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realize any or all of the potential benefits of the Disc Merger, which could have a negative effect on our results of operations, business or stock price;</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some circumstances, we may be required to pay a termination fee to Disc of $3,000,000, and/or expense reimbursement of up to $750,000;</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remain liable for significant transaction costs, including legal, accounting, financial advisory and other costs relating to the Disc Merger regardless of whether the Disc Merger is consummated;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decline to the extent that the current market price for our stock reflects a market assumption that the Disc Merger will be completed;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management and employees may have been diverted to the Disc Merger rather than to our own operations and the pursuit of other opportunities that could have been beneficial to us;</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litigation related to the strategic review process and/or the pending merger transaction with Disc, including any failure to complete the Disc Merger;</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potentially lose key personnel during the pendency of the Disc Merger as employees and other service providers may experience uncertainty about their future roles with us following completion of the Disc Merger; and</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Disc Merger Agreement, we are subject to certain customary restrictions on the conduct of our business prior to completing the Disc Merger, which restrictions could adversely affect our ability to conduct our business as we otherwise would have done if we were not subject to these restrictions.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of these events individually or in combination could materially and adversely affect our results of operations, business, and our stock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if or when the Disc Merger will be completed.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consummation of the Disc Merger is subject to the satisfaction or waiver of various conditions, including the authorization of the Disc Merger by our shareholders and Disc’s shareholders. We cannot guarantee that the closing conditions set forth in the Disc Merger Agreement will be satisfied. If we are unable to satisfy certain closing conditions or if other mutual closing conditions are not satisfied, Disc will not be obligated to complete the Disc Merger. Under certain circumstances, we would be required to pay Disc a termination fee of $3,000,000, and/or expense reimbursement of Disc of up to $750,000.</w:t>
      </w:r>
    </w:p>
    <w:p>
      <w:pPr>
        <w:spacing w:after="0" w:line="15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If the Disc Merger is not completed, our board of directors, in discharging its fiduciary obligations to our shareholders, would evaluate other strategic alternatives or financing options that may be available, which alternatives may not be as favorable to our shareholders as the Disc Merger, including a liquidation and dissolution. Any future sale or merger, financing or other transaction, including a liquidation or dissolution, may be subject to further shareholder approval. We may also be unable to find, evaluate or complete other strategic alternatives, which may have a materially adverse effect on our business.</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efforts to complete the Disc Merger could cause substantial disruptions in, and create uncertainty surrounding, our business, which may materially and adversely affect our results of operations and our business. Uncertainty as to whether the Disc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our management’s and employees’ attention is being directed toward the completion of the transaction and thus is being diverted from our day-to-day operations. Uncertainty as to our future could adversely affect our business and our relationship with collaborators, suppliers, vendors, regulators and other business partners. For example, vendors, collaborators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Disc Merger Agreement.</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Disc Merger is completed, the Disc Merger Agreement restricts Disc and us from taking specified actions without the consent of the other party, and requires us to operate in the ordinary course of business consistent with past practice. These restrictions may prevent Disc and us from making appropriate changes to our respective businesses or pursuing attractive business opportunities that may arise prior to the completion of the Disc Merger.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delay in completing the proposed Disc Merger may materially and adversely affect the timing and benefits that are expected to be achieved from the proposed Disc Merger.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set forth in the Disc Merger Agreement is not adjustable based on the market price of our common stock, so the merger consideration at the closing of the Disc Merger may have a greater or lesser value than at the time the Disc Merger Agreement was signed.</w:t>
      </w:r>
    </w:p>
    <w:p>
      <w:pPr>
        <w:spacing w:after="0" w:line="1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Disc Merger Agreement has set the exchange ratio for Disc capital stock being converted into the Company’s common stock, and the exchange ratio is based on the outstanding capital stock of Disc and the outstanding common stock of the Company, in each case immediately prior to the closing of the Disc Merger. Applying the exchange ratio formula in the Disc Merger Agreement, the former Disc equityholders immediately before the Disc Merger are expected to own approximately 72% of the outstanding capital stock of the combined company immediately following the Disc Merger, and the equityholders of Gemini immediately before the Disc Merger are expected to own approximately 28% of the outstanding capital stock of the combined company immediately following the Disc Merger, in each case, before giving effect to the concurrent financing and subject to certain assumptions detailed in the Disc Merger Agreement.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18"/>
          <w:szCs w:val="18"/>
          <w:color w:val="auto"/>
        </w:rPr>
        <w:t>Under certain circumstances further described in the Disc Merger Agreement, however, these ownership percentages may be adjusted upward or downward based on the cash levels of the respective companies at the closing of the Disc Merger, and as a result, either our stockholders or the Disc stockholders could own less of the combined company than expected.</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changes in the market price of our common stock before the completion of the Disc Merger will not affect the number of shares of our common stock issuable to Disc’s stockholders pursuant to the Disc Merger Agreement. Therefore, if before the completion of the Disc Merger the market price of our common stock declines from the market price on the date of the Disc Merger Agreement, then Disc’s stockholders could receive merger consideration with substantially lower value than the value of such merger consideration on the date of the Disc Merger Agreement. Similarly, if before the completion of the Disc Merger the market price of our common stock increases from the market price of our common stock on the date of the Disc Merger Agreement, then Disc’s stockholders could receive merger consideration with substantially greater value than the value of such merger consideration on the date of the Disc Merger Agreement. The Disc Merger Agreement does not include a price-based termination right.</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Disc Merger Agreement contains provisions that limit our ability to pursue alternatives to the Disc Merger, could discourage a potential competing acquiror of us from making an alternative transaction proposal and, in specified circumstances, could require us to pay a termination fee to Disc, which could significantly harm our financial condition and the market price of our common stock and negatively affect the future business and operations of each company.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 Merger Agreement contains provisions that make it difficult for us to entertain a third-party proposal for an acquisition of our company. These provisions include our agreement not to solicit or initiate any additional discussions with third parties regarding other proposals for our acquisition, as well as restrictions on our ability to respond to such proposals, subject to fulfillment of certain fiduciary requirements of our board of directors.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proposed Disc Merger is not completed and the Disc Merger Agreement is terminated under certain circumstances, we may be required to pay Disc a termination fee of up to $3,000,000, and/or expense reimbursement of up to $750,000. Even if a termination fee is not payable in connection with a termination of the Disc Merger Agreement, the Company will have incurred significant fees and expenses, which must be paid whether or not the Disc Merger is completed. Further, if the proposed Disc Merger is not completed, it could significantly harm the market price of our common stock.</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if the Disc Merger Agreement is terminated and the board of directors of the Company determines to seek another business combination, there can be no assurance that either we will be able to find a partner and close an alternative transaction on terms that are as favorable or more favorable than the terms set forth in the Disc Merger Agreement.</w:t>
      </w:r>
    </w:p>
    <w:p>
      <w:pPr>
        <w:spacing w:after="0" w:line="14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us and the members of our board of directors arising out of the proposed merger, which may delay or prevent the proposed merger.</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Putative stockholder complaints, including stockholder class action complaints, and other complaints may be filed against us, our board of directors, Disc, Disc’s board of directors and others in connection with the transactions contemplated by the Disc Merger Agreement. The outcome of litigation is uncertain, and we may not be successful in defending against any such future claims. Lawsuits that may be filed against us, our board of directors, Disc, or Disc’s board of directors could delay or prevent the Disc Merger, divert the attention of our management and employees from our day-to-day business and otherwise adversely affect our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potentially may not receive any payment on the CVRs and the CVRs may otherwise expire valueless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Disc Merger Agreement contemplates that, at or prior to the Effective Time, the Company, the holder’s representative and the Rights Agent (as defined in the CVR Agreement) will execute and deliver a contingent value rights agreement (the “CVR Agreement”), pursuant to which each person who as of immediately prior to the Effective Time was a stockholder of record of the Company or had the right to receive the Company’s common stock will be entitled to receive a contractual contingent value right ("CVR") issued by the Company subject to and in accordance with the terms and conditions of the CVR Agreement. Each CVR will entitle the holder of the CVR to receive a certain number of shares of common stock of the combined company calculated based on the quotient of the gross proceeds, if any, received in connection with the sale, license, transfer, disposition or other monetizing event of any assets related to drug products, raw materials, and biological materials to which Gemini or any of its subsidiaries owned or had rights to immediately prior to the Effective Time and the weighted average closing market price for the five trading days prior to the date of issuance of the CVR. The right of our stockholders to derive any value from the CVRs will be contingent solely upon the disposition of such assets within the time periods specified in the CVR Agreement.</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Gemini and Disc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p>
    <w:p>
      <w:pPr>
        <w:spacing w:after="0" w:line="1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August 2022, Disc entered into a subscription agreement with certain investors, including existing investors of Disc, pursuant to which the investors agreed to purchase, in the aggregate, $53.5 million in shares of common stock of Disc immediately prior to the closing of the merger, referred to as the Disc pre-closing financing. The closing of the Disc pre-closing financing is conditioned upon the satisfaction or waiver of the conditions to the closing of the merger as well as certain other conditions. The shares of Disc common stock issued in the Disc pre-closing financing will result in dilution to all securityholders of the combined company (i.e., both the pre-merger Gemini securityholders and former Disc securityholders). 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Gemini’s premerger securityholders and Disc’s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officers and directors may have interests in the proposed Disc Merger that are different from, or in conflict with or in addition to, those of the Company’s stockholders generally.</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officers and directors of the Company may have interests in the proposed Disc Merger that are different from the interests of the Company’s stockholders generally, including potentially, among others, the continued service as a director of the combined company, the acceleration of stock option vesting, and continued indemnification.</w:t>
      </w:r>
    </w:p>
    <w:p>
      <w:pPr>
        <w:spacing w:after="0" w:line="1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closing of the Disc Merger will also result in the acceleration of vesting of options to purchase shares of our common stock held by our executive officers and directors, whether or not there is a covered termination of such officer's employment. In addition, certain of Gemini’s current directors and executive officers are expected to become directors of the surviving company upon the closing of the Disc Merger, and all of Gemini’s directors and executive officers are entitled to certain indemnification and liability insurance coverage pursuant to the terms of the Disc Merger Agreement. These interests, among others, may influence the officers and directors of the Company and cause them to view the Disc Merger differently from how the Company’s stockholders generally may view 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following the Disc Merger may decline as a result of the Disc Merger.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decline as a result of the Disc Merger for a number of reasons, including if:</w:t>
      </w:r>
    </w:p>
    <w:p>
      <w:pPr>
        <w:spacing w:after="0" w:line="104"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react negatively to the prospects of the combined company's product candidates, business and financial condition following the Disc Merger;</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Disc Merger on the combined company's business and prospects is not consistent with the expectations of financial or industry analysts; or</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does not achieve the perceived benefits of the Disc Merger as rapidly or to the extent anticipated by financial or industry analysts.</w:t>
      </w:r>
    </w:p>
    <w:p>
      <w:pPr>
        <w:spacing w:after="0" w:line="13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Company’s equityholders will have a reduced ownership and voting interest in, and will exercise less influence over the management of, the Company following the closing of the Disc Merger as compared to their current ownership and voting interest in the Company.</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After the completion of the Disc Merger, the current securityholders of the Company will own a smaller percentage of the combined company than their ownership in the Company prior to the Disc Merger. Immediately after the Disc Merger, it is currently estimated that pre-merger Gemini’s equityholders will own approximately 28% of the common stock of the combined company, and pre-merger Disc equityholders will own approximately 72% of the common stock of the combined company, in each case, before giving effect to the concurrent financing and subject to certain assumptions. These estimates are based on the anticipated exchange ratio and are subject to adjustment as provided in the Disc Merger Agreement.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nine-member board of directors of the combined company will initially include one individual with prior affiliations with Gemini. Consequently, securityholders of Gemini will be able to exercise less influence over the management and policies of the combined organization following the closing of the Disc Merger than they currently exercise over the management and policies of Gemini.</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8" w:name="page39"/>
    <w:bookmarkEnd w:id="38"/>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Company’s stockholders may not realize a benefit from the Disc Merger commensurate with the ownership dilution they will experience in connection with the Disc Merger.</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combined company is unable to realize the strategic and financial benefits currently anticipated from the proposed Disc Merger, the Company’s stockholders will have experienced substantial dilution of their ownership interests in the Company without receiving the expected commensurate benefit, or only receive part of the commensurate benefit to the extent the combined company is able to realize only part of the expected strategic and financial benefits currently anticipated from the proposed Disc Merger.</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the lack of a public market for Disc’s capital stock makes it difficult to evaluate the value of Disc’s capital stock, the stockholders of Disc may receive shares of our common stock in the Disc Merger that have a value that is greater than the fair market value of Disc’s capital stock.</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outstanding capital stock of Disc is privately held and is not traded in any public market. The lack of a public market makes it extremely difficult to determine the fair market value of Disc. Because the percentage of our common stock to be issued to Disc’s stockholders was determined based on negotiations between the parties, it is possible that Gemini may pay more than the aggregate fair market value for Disc, which could adversely impact the value of the holders of Gemini’s common stock prior to the consummation of the merger.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 is not completed, Gemini’s stock price may decline significantly.</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market price of the Company’s common stock is subject to significant fluctuations. During the 12-month period ended November 4, 2022, the closing sales price of the Company’s common stock on Nasdaq ranged from a high of $3.92 on November 16, 2021 to a low of $1.22 on May 26, 2022. Market prices for securities of pharmaceutical, biotechnology and other life science companies have historically been particularly volatile. In addition, the market price of the Company common stock will likely be volatile based on whether stockholders and other investors believe that the Company can complete the merger or otherwise raise additional capital to support the Company’s operations if the merger is not consummated and another strategic transaction cannot be identified, negotiated and consummated in a timely manner, if at all. The volatility of the market price of the Company’s common stock is exacerbated by low trading volume. Additional factors that may cause the market price of the Company’s common stock to fluctuate include:</w:t>
      </w:r>
    </w:p>
    <w:p>
      <w:pPr>
        <w:spacing w:after="0" w:line="8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commercial partner agreements;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lack thereof, significant contracts, commercial relationships or capital commitments;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its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that may affect its research and development expenditures;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industry analyst expectations;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financial results.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the Company’s common stock. In the past, following periods of volatility in the market price of a company’s securities, stockholders have often instituted class action securities litigation against such companies.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consummate the Disc Merger or another strategic transaction, our board of directors may decide to pursue a dissolution and liquidation of the Company. In such an event, the amount of cash available for distribution to our stockholders will depend heavily on the timing of such liquidation as well as the amount of cash that will need to be reserved for commitments and contingent liabilities, as to which we can give you no assurance.</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can be no assurance that the Disc Merger will be completed. If the Disc Merger is not completed, our board of directors may decide to pursue a dissolution and liquidation of the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pursuing the Disc Merger. In addition, if our board of directors were to approve and recommend, and our stockholders were to approve, a dissolution and liquidation of the company, we would be required under Delaware corporate law to pay our outstanding obligations, as well as to make reasonable provision for contingent and unknown obligations, prior to making any distributions in liquidation to stockholders. Our commitments and contingent liabilities may include obligations under our employment and related agreements with certain employees that provide for severance and other payments following a termination of employment occurring for various reasons, including a change in control of the company, litigation against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 and other various claims and legal actions arising in the ordinary course of business, and other unexpected and/or contingent liabilities. As a result of this requirement, a portion of our assets would need to be reserved pending the resolution of such obligations.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we may be subject to litigation or other claims related to a dissolution and liquidation of the Company. If a dissolution and liquidation were to be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 of our company. A liquidation would be a lengthy and uncertain process with no assurance of any value ever being returned to our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remaining employees to facilitate the consummation of the merger.</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November 4, 2022, we had only four full-time employees and one part-time employee. Our ability to successfully complete the Disc Merger depends in large part on our ability to retain certain remaining personnel. Despite our efforts to retain these employees, one or more may terminate their employment with us on short notice. The loss of the services of certain employees could potentially harm our ability to consummate the Disc Merger, to run our day-to-day business operations, as well as to fulfill our reporting obligations as a public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right="5960" w:firstLine="8"/>
        <w:spacing w:after="0" w:line="360" w:lineRule="auto"/>
        <w:tabs>
          <w:tab w:leader="none" w:pos="2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Equity Securities and Use of Proceeds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b w:val="1"/>
          <w:bCs w:val="1"/>
          <w:color w:val="auto"/>
        </w:rPr>
        <w:t>Registration No. 333-249785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14"/>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8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4"/>
          </w:tcPr>
          <w:p>
            <w:pPr>
              <w:spacing w:after="0"/>
              <w:rPr>
                <w:rFonts w:ascii="Times New Roman" w:cs="Times New Roman" w:eastAsia="Times New Roman" w:hAnsi="Times New Roman"/>
                <w:sz w:val="18"/>
                <w:szCs w:val="18"/>
                <w:color w:val="0563C1"/>
              </w:rPr>
            </w:pPr>
            <w:hyperlink r:id="rId229">
              <w:r>
                <w:rPr>
                  <w:rFonts w:ascii="Times New Roman" w:cs="Times New Roman" w:eastAsia="Times New Roman" w:hAnsi="Times New Roman"/>
                  <w:sz w:val="18"/>
                  <w:szCs w:val="18"/>
                  <w:color w:val="0563C1"/>
                </w:rPr>
                <w:t>Amended and Restated Articles of Incorporation of Gemini Therapeutics, Inc. (incorporated by reference to Annex B to the Registrant’s</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563C1"/>
            </w:tcBorders>
            <w:gridSpan w:val="12"/>
          </w:tcPr>
          <w:p>
            <w:pPr>
              <w:spacing w:after="0" w:line="169" w:lineRule="exact"/>
              <w:rPr>
                <w:rFonts w:ascii="Times New Roman" w:cs="Times New Roman" w:eastAsia="Times New Roman" w:hAnsi="Times New Roman"/>
                <w:sz w:val="18"/>
                <w:szCs w:val="18"/>
                <w:color w:val="0563C1"/>
              </w:rPr>
            </w:pPr>
            <w:hyperlink r:id="rId229">
              <w:r>
                <w:rPr>
                  <w:rFonts w:ascii="Times New Roman" w:cs="Times New Roman" w:eastAsia="Times New Roman" w:hAnsi="Times New Roman"/>
                  <w:sz w:val="18"/>
                  <w:szCs w:val="18"/>
                  <w:color w:val="0563C1"/>
                </w:rPr>
                <w:t>Proxy Statement/Prospectus on Form S-4 (Registration No. 333-249785)).</w:t>
              </w:r>
            </w:hyperlink>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top w:val="single" w:sz="8" w:color="0563C1"/>
            </w:tcBorders>
            <w:gridSpan w:val="3"/>
          </w:tcPr>
          <w:p>
            <w:pPr>
              <w:spacing w:after="0" w:line="182" w:lineRule="exact"/>
              <w:rPr>
                <w:rFonts w:ascii="Times New Roman" w:cs="Times New Roman" w:eastAsia="Times New Roman" w:hAnsi="Times New Roman"/>
                <w:sz w:val="18"/>
                <w:szCs w:val="18"/>
                <w:color w:val="0563C1"/>
                <w:w w:val="97"/>
              </w:rPr>
            </w:pPr>
            <w:hyperlink r:id="rId230">
              <w:r>
                <w:rPr>
                  <w:rFonts w:ascii="Times New Roman" w:cs="Times New Roman" w:eastAsia="Times New Roman" w:hAnsi="Times New Roman"/>
                  <w:sz w:val="18"/>
                  <w:szCs w:val="18"/>
                  <w:color w:val="0563C1"/>
                  <w:w w:val="97"/>
                </w:rPr>
                <w:t>Amended and Restated By-laws of Gemini Therapeutics, Inc. (incorporated</w:t>
              </w:r>
            </w:hyperlink>
          </w:p>
        </w:tc>
        <w:tc>
          <w:tcPr>
            <w:tcW w:w="4820" w:type="dxa"/>
            <w:vAlign w:val="bottom"/>
            <w:gridSpan w:val="11"/>
          </w:tcPr>
          <w:p>
            <w:pPr>
              <w:ind w:left="140"/>
              <w:spacing w:after="0" w:line="182" w:lineRule="exact"/>
              <w:rPr>
                <w:rFonts w:ascii="Times New Roman" w:cs="Times New Roman" w:eastAsia="Times New Roman" w:hAnsi="Times New Roman"/>
                <w:sz w:val="18"/>
                <w:szCs w:val="18"/>
                <w:color w:val="0563C1"/>
              </w:rPr>
            </w:pPr>
            <w:hyperlink r:id="rId230">
              <w:r>
                <w:rPr>
                  <w:rFonts w:ascii="Times New Roman" w:cs="Times New Roman" w:eastAsia="Times New Roman" w:hAnsi="Times New Roman"/>
                  <w:sz w:val="18"/>
                  <w:szCs w:val="18"/>
                  <w:color w:val="0563C1"/>
                </w:rPr>
                <w:t>by reference to Annex C to the Registrant’s Proxy</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563C1"/>
              <w:bottom w:val="single" w:sz="8" w:color="0563C1"/>
            </w:tcBorders>
          </w:tcPr>
          <w:p>
            <w:pPr>
              <w:spacing w:after="0" w:line="169" w:lineRule="exact"/>
              <w:rPr>
                <w:rFonts w:ascii="Times New Roman" w:cs="Times New Roman" w:eastAsia="Times New Roman" w:hAnsi="Times New Roman"/>
                <w:sz w:val="18"/>
                <w:szCs w:val="18"/>
                <w:color w:val="0563C1"/>
                <w:w w:val="99"/>
              </w:rPr>
            </w:pPr>
            <w:hyperlink r:id="rId230">
              <w:r>
                <w:rPr>
                  <w:rFonts w:ascii="Times New Roman" w:cs="Times New Roman" w:eastAsia="Times New Roman" w:hAnsi="Times New Roman"/>
                  <w:sz w:val="18"/>
                  <w:szCs w:val="18"/>
                  <w:color w:val="0563C1"/>
                  <w:w w:val="99"/>
                </w:rPr>
                <w:t>Statement/Prospectus on Form S-4 (Registration No. 333-249785)).</w:t>
              </w:r>
            </w:hyperlink>
          </w:p>
        </w:tc>
        <w:tc>
          <w:tcPr>
            <w:tcW w:w="4260" w:type="dxa"/>
            <w:vAlign w:val="bottom"/>
            <w:tcBorders>
              <w:top w:val="single" w:sz="8" w:color="0563C1"/>
            </w:tcBorders>
            <w:gridSpan w:val="6"/>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4"/>
          </w:tcPr>
          <w:p>
            <w:pPr>
              <w:spacing w:after="0" w:line="182" w:lineRule="exact"/>
              <w:rPr>
                <w:rFonts w:ascii="Times New Roman" w:cs="Times New Roman" w:eastAsia="Times New Roman" w:hAnsi="Times New Roman"/>
                <w:sz w:val="18"/>
                <w:szCs w:val="18"/>
                <w:color w:val="0563C1"/>
              </w:rPr>
            </w:pPr>
            <w:hyperlink r:id="rId231">
              <w:r>
                <w:rPr>
                  <w:rFonts w:ascii="Times New Roman" w:cs="Times New Roman" w:eastAsia="Times New Roman" w:hAnsi="Times New Roman"/>
                  <w:sz w:val="18"/>
                  <w:szCs w:val="18"/>
                  <w:color w:val="0563C1"/>
                </w:rPr>
                <w:t>Form of Specimen Common Stock Certificate (incorporated by reference to Exhibit 4.1 to Form S-4/A (Registration No. 333-249785)).</w:t>
              </w:r>
            </w:hyperlink>
          </w:p>
        </w:tc>
        <w:tc>
          <w:tcPr>
            <w:tcW w:w="0" w:type="dxa"/>
            <w:vAlign w:val="bottom"/>
          </w:tcPr>
          <w:p>
            <w:pPr>
              <w:spacing w:after="0"/>
              <w:rPr>
                <w:sz w:val="1"/>
                <w:szCs w:val="1"/>
                <w:color w:val="auto"/>
              </w:rPr>
            </w:pPr>
          </w:p>
        </w:tc>
      </w:tr>
      <w:tr>
        <w:trPr>
          <w:trHeight w:val="183"/>
        </w:trPr>
        <w:tc>
          <w:tcPr>
            <w:tcW w:w="940" w:type="dxa"/>
            <w:vAlign w:val="bottom"/>
          </w:tcPr>
          <w:p>
            <w:pPr>
              <w:jc w:val="right"/>
              <w:ind w:right="432"/>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563C1"/>
            </w:tcBorders>
            <w:gridSpan w:val="11"/>
          </w:tcPr>
          <w:p>
            <w:pPr>
              <w:spacing w:after="0" w:line="182" w:lineRule="exact"/>
              <w:rPr>
                <w:rFonts w:ascii="Times New Roman" w:cs="Times New Roman" w:eastAsia="Times New Roman" w:hAnsi="Times New Roman"/>
                <w:sz w:val="18"/>
                <w:szCs w:val="18"/>
                <w:color w:val="0563C1"/>
              </w:rPr>
            </w:pPr>
            <w:hyperlink r:id="rId232">
              <w:r>
                <w:rPr>
                  <w:rFonts w:ascii="Times New Roman" w:cs="Times New Roman" w:eastAsia="Times New Roman" w:hAnsi="Times New Roman"/>
                  <w:sz w:val="18"/>
                  <w:szCs w:val="18"/>
                  <w:color w:val="0563C1"/>
                </w:rPr>
                <w:t>Registration Rights Agreement, dated February 5, 2021, by and among Gemini Therapeutics, Inc. and the stockholder parties thereto</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563C1"/>
            </w:tcBorders>
            <w:gridSpan w:val="8"/>
          </w:tcPr>
          <w:p>
            <w:pPr>
              <w:spacing w:after="0" w:line="169" w:lineRule="exact"/>
              <w:rPr>
                <w:rFonts w:ascii="Times New Roman" w:cs="Times New Roman" w:eastAsia="Times New Roman" w:hAnsi="Times New Roman"/>
                <w:sz w:val="18"/>
                <w:szCs w:val="18"/>
                <w:color w:val="0563C1"/>
              </w:rPr>
            </w:pPr>
            <w:hyperlink r:id="rId232">
              <w:r>
                <w:rPr>
                  <w:rFonts w:ascii="Times New Roman" w:cs="Times New Roman" w:eastAsia="Times New Roman" w:hAnsi="Times New Roman"/>
                  <w:sz w:val="18"/>
                  <w:szCs w:val="18"/>
                  <w:color w:val="0563C1"/>
                </w:rPr>
                <w:t>(incorporated by reference to Exhibit 10.1 on Form 8-A12B/A filed on February 5, 2021).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top w:val="single" w:sz="8" w:color="0563C1"/>
            </w:tcBorders>
            <w:gridSpan w:val="4"/>
          </w:tcPr>
          <w:p>
            <w:pPr>
              <w:spacing w:after="0" w:line="182" w:lineRule="exact"/>
              <w:rPr>
                <w:rFonts w:ascii="Times New Roman" w:cs="Times New Roman" w:eastAsia="Times New Roman" w:hAnsi="Times New Roman"/>
                <w:sz w:val="18"/>
                <w:szCs w:val="18"/>
                <w:color w:val="0563C1"/>
              </w:rPr>
            </w:pPr>
            <w:hyperlink r:id="rId233">
              <w:r>
                <w:rPr>
                  <w:rFonts w:ascii="Times New Roman" w:cs="Times New Roman" w:eastAsia="Times New Roman" w:hAnsi="Times New Roman"/>
                  <w:sz w:val="18"/>
                  <w:szCs w:val="18"/>
                  <w:color w:val="0563C1"/>
                </w:rPr>
                <w:t>Voting Agreement, dated February 5, 2021, by and among Gemini Therapeutics, Inc. and</w:t>
              </w:r>
            </w:hyperlink>
          </w:p>
        </w:tc>
        <w:tc>
          <w:tcPr>
            <w:tcW w:w="3700" w:type="dxa"/>
            <w:vAlign w:val="bottom"/>
            <w:gridSpan w:val="10"/>
          </w:tcPr>
          <w:p>
            <w:pPr>
              <w:spacing w:after="0" w:line="182" w:lineRule="exact"/>
              <w:rPr>
                <w:rFonts w:ascii="Times New Roman" w:cs="Times New Roman" w:eastAsia="Times New Roman" w:hAnsi="Times New Roman"/>
                <w:sz w:val="18"/>
                <w:szCs w:val="18"/>
                <w:color w:val="0563C1"/>
              </w:rPr>
            </w:pPr>
            <w:hyperlink r:id="rId233">
              <w:r>
                <w:rPr>
                  <w:rFonts w:ascii="Times New Roman" w:cs="Times New Roman" w:eastAsia="Times New Roman" w:hAnsi="Times New Roman"/>
                  <w:sz w:val="18"/>
                  <w:szCs w:val="18"/>
                  <w:color w:val="0563C1"/>
                </w:rPr>
                <w:t>the other parties thereto (incorporated by reference</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top w:val="single" w:sz="8" w:color="0563C1"/>
            </w:tcBorders>
            <w:gridSpan w:val="13"/>
          </w:tcPr>
          <w:p>
            <w:pPr>
              <w:spacing w:after="0" w:line="169" w:lineRule="exact"/>
              <w:rPr>
                <w:rFonts w:ascii="Times New Roman" w:cs="Times New Roman" w:eastAsia="Times New Roman" w:hAnsi="Times New Roman"/>
                <w:sz w:val="18"/>
                <w:szCs w:val="18"/>
                <w:color w:val="0563C1"/>
              </w:rPr>
            </w:pPr>
            <w:hyperlink r:id="rId233">
              <w:r>
                <w:rPr>
                  <w:rFonts w:ascii="Times New Roman" w:cs="Times New Roman" w:eastAsia="Times New Roman" w:hAnsi="Times New Roman"/>
                  <w:sz w:val="18"/>
                  <w:szCs w:val="18"/>
                  <w:color w:val="0563C1"/>
                </w:rPr>
                <w:t>to Exhibit 10.2 to the Registrant’s Current Report on Form 8-K filed on February 11,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20" w:type="dxa"/>
            <w:vAlign w:val="bottom"/>
            <w:tcBorders>
              <w:top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8"/>
              </w:rPr>
              <w:t>Certification of Principal Executive Officer Pursuant to Rules 13a-14(a) and 15d-14(a) under</w:t>
            </w:r>
          </w:p>
        </w:tc>
        <w:tc>
          <w:tcPr>
            <w:tcW w:w="3560" w:type="dxa"/>
            <w:vAlign w:val="bottom"/>
            <w:gridSpan w:val="9"/>
          </w:tcPr>
          <w:p>
            <w:pPr>
              <w:ind w:left="120"/>
              <w:spacing w:after="0" w:line="182" w:lineRule="exact"/>
              <w:rPr>
                <w:sz w:val="20"/>
                <w:szCs w:val="20"/>
                <w:color w:val="auto"/>
              </w:rPr>
            </w:pPr>
            <w:r>
              <w:rPr>
                <w:rFonts w:ascii="Times New Roman" w:cs="Times New Roman" w:eastAsia="Times New Roman" w:hAnsi="Times New Roman"/>
                <w:sz w:val="18"/>
                <w:szCs w:val="18"/>
                <w:color w:val="0563C1"/>
              </w:rPr>
              <w:t>the Securities Exchange Act of 1934, as</w:t>
            </w: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563C1"/>
            </w:tcBorders>
            <w:gridSpan w:val="10"/>
          </w:tcPr>
          <w:p>
            <w:pPr>
              <w:spacing w:after="0" w:line="169"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 2002.</w:t>
            </w:r>
          </w:p>
        </w:tc>
        <w:tc>
          <w:tcPr>
            <w:tcW w:w="5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2"/>
            <w:shd w:val="clear" w:color="auto" w:fill="0563C1"/>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563C1"/>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563C1"/>
            </w:tcBorders>
            <w:gridSpan w:val="9"/>
          </w:tcPr>
          <w:p>
            <w:pPr>
              <w:spacing w:after="0" w:line="169"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 2002.</w:t>
            </w:r>
          </w:p>
        </w:tc>
        <w:tc>
          <w:tcPr>
            <w:tcW w:w="5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2"/>
            <w:shd w:val="clear" w:color="auto" w:fill="0563C1"/>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563C1"/>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40" w:type="dxa"/>
            <w:vAlign w:val="bottom"/>
            <w:gridSpan w:val="6"/>
            <w:shd w:val="clear" w:color="auto" w:fill="0563C1"/>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300" w:firstLine="8"/>
        <w:spacing w:after="0" w:line="239" w:lineRule="auto"/>
        <w:tabs>
          <w:tab w:leader="none" w:pos="1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ind w:left="6860"/>
        <w:spacing w:after="0" w:line="219" w:lineRule="auto"/>
        <w:rPr>
          <w:sz w:val="20"/>
          <w:szCs w:val="20"/>
          <w:color w:val="auto"/>
        </w:rPr>
      </w:pPr>
      <w:r>
        <w:rPr>
          <w:rFonts w:ascii="Times New Roman" w:cs="Times New Roman" w:eastAsia="Times New Roman" w:hAnsi="Times New Roman"/>
          <w:sz w:val="18"/>
          <w:szCs w:val="18"/>
          <w:b w:val="1"/>
          <w:bCs w:val="1"/>
          <w:color w:val="auto"/>
        </w:rPr>
        <w:t>Interim President and 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78"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Brian Piekos</w:t>
      </w:r>
    </w:p>
    <w:p>
      <w:pPr>
        <w:jc w:val="center"/>
        <w:ind w:left="60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 RULE 15d-14(a)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Georges Gemayel, Ph.D., certify that:</w:t>
      </w:r>
    </w:p>
    <w:p>
      <w:pPr>
        <w:spacing w:after="0" w:line="225" w:lineRule="exact"/>
        <w:rPr>
          <w:sz w:val="20"/>
          <w:szCs w:val="20"/>
          <w:color w:val="auto"/>
        </w:rPr>
      </w:pPr>
    </w:p>
    <w:p>
      <w:pPr>
        <w:ind w:left="560" w:hanging="55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Gemini Therapeutics, Inc.;</w:t>
      </w:r>
    </w:p>
    <w:p>
      <w:pPr>
        <w:spacing w:after="0" w:line="117"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500" w:right="140" w:hanging="556"/>
        <w:spacing w:after="0" w:line="289"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500" w:right="200" w:hanging="556"/>
        <w:spacing w:after="0" w:line="289"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500" w:hanging="556"/>
        <w:spacing w:after="0" w:line="297"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1500" w:hanging="556"/>
        <w:spacing w:after="0" w:line="289"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1500" w:right="260" w:hanging="556"/>
        <w:spacing w:after="0" w:line="313"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500" w:hanging="556"/>
        <w:spacing w:after="0" w:line="313"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17145</wp:posOffset>
            </wp:positionV>
            <wp:extent cx="41148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5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 and Executive Chairman</w:t>
      </w:r>
    </w:p>
    <w:p>
      <w:pPr>
        <w:spacing w:after="0" w:line="9"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 RULE 15d-14(a)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Piekos, certify that:</w:t>
      </w:r>
    </w:p>
    <w:p>
      <w:pPr>
        <w:spacing w:after="0" w:line="225" w:lineRule="exact"/>
        <w:rPr>
          <w:sz w:val="20"/>
          <w:szCs w:val="20"/>
          <w:color w:val="auto"/>
        </w:rPr>
      </w:pPr>
    </w:p>
    <w:p>
      <w:pPr>
        <w:ind w:left="560" w:hanging="552"/>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Gemini Therapeutics, Inc.;</w:t>
      </w:r>
    </w:p>
    <w:p>
      <w:pPr>
        <w:spacing w:after="0" w:line="117"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500" w:right="140" w:hanging="556"/>
        <w:spacing w:after="0" w:line="289"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500" w:right="200" w:hanging="556"/>
        <w:spacing w:after="0" w:line="289"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500" w:hanging="556"/>
        <w:spacing w:after="0" w:line="297"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1500" w:hanging="556"/>
        <w:spacing w:after="0" w:line="289"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1500" w:right="260" w:hanging="556"/>
        <w:spacing w:after="0" w:line="313"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500" w:right="540" w:hanging="556"/>
        <w:spacing w:after="0" w:line="313"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3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057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connection with the Quarterly Report of Gemini Therapeutics, Inc. (the “Company”) on Form 10-Q for the period ending September 30, 2022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6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140"/>
        <w:spacing w:after="0"/>
        <w:tabs>
          <w:tab w:leader="none" w:pos="3940" w:val="left"/>
          <w:tab w:leader="none" w:pos="710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6"/>
          <w:szCs w:val="26"/>
          <w:color w:val="auto"/>
          <w:vertAlign w:val="subscript"/>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42773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41"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spacing w:after="0" w:line="23"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 and Executive Chairman</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69" w:lineRule="exact"/>
        <w:rPr>
          <w:sz w:val="20"/>
          <w:szCs w:val="20"/>
          <w:color w:val="auto"/>
        </w:rPr>
      </w:pPr>
    </w:p>
    <w:p>
      <w:pPr>
        <w:ind w:left="140"/>
        <w:spacing w:after="0"/>
        <w:tabs>
          <w:tab w:leader="none" w:pos="3940" w:val="left"/>
          <w:tab w:leader="none" w:pos="72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23"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jc w:val="both"/>
        <w:ind w:left="260" w:hanging="252"/>
        <w:spacing w:after="0" w:line="289"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1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29" Type="http://schemas.openxmlformats.org/officeDocument/2006/relationships/hyperlink" Target="https://www.sec.gov/Archives/edgar/data/0001816736/000121390021002636/fs42021a5_fsdevelopment.htm#T52" TargetMode="External"/><Relationship Id="rId230" Type="http://schemas.openxmlformats.org/officeDocument/2006/relationships/hyperlink" Target="https://www.sec.gov/Archives/edgar/data/0001816736/000121390021002636/fs42021a5_fsdevelopment.htm#T53" TargetMode="External"/><Relationship Id="rId231" Type="http://schemas.openxmlformats.org/officeDocument/2006/relationships/hyperlink" Target="https://www.sec.gov/Archives/edgar/data/1816736/000121390021002636/fs42021a5ex4-1_fsdevelop.htm" TargetMode="External"/><Relationship Id="rId232" Type="http://schemas.openxmlformats.org/officeDocument/2006/relationships/hyperlink" Target="https://www.sec.gov/Archives/edgar/data/0001816736/000121390021007091/ea134758ex10-1_gemini.htm" TargetMode="External"/><Relationship Id="rId233" Type="http://schemas.openxmlformats.org/officeDocument/2006/relationships/hyperlink" Target="https://www.sec.gov/Archives/edgar/data/0001816736/000121390021008478/ea135023ex10-2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2022-11-10T07:35:49Z</dcterms:created>
  <dcterms:modified xsi:type="dcterms:W3CDTF">2022-11-10T07:35:49Z</dcterms:modified>
</cp:coreProperties>
</file>