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ron-20260730.htm"/>
      <w:bookmarkStart w:id="1" w:name="ksiron20260730"/>
      <w:bookmarkEnd w:id="0"/>
      <w:bookmarkEnd w:id="1"/>
      <w:r>
        <w:rPr/>
        <w:t> </w:t>
      </w:r>
    </w:p>
    <w:p>
      <w:pPr>
        <w:pStyle w:val="TextBody"/>
        <w:bidi w:val="0"/>
        <w:spacing w:before="120" w:after="12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DISC MEDICINE,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85-1612845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321 Arsenal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101</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674-9274</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706"/>
        <w:gridCol w:w="146"/>
        <w:gridCol w:w="811"/>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120"/>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30, 2026, Disc Medicine, Inc. announced its financial results for the second quarter ended June 30, 2026 and provided a corporate update. A copy of the press release in connection with the announcement is being furnished as Exhibit 99.1 to this Current Report on Form 8-K.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iron-ex99_1.htm">
              <w:r>
                <w:rPr>
                  <w:rStyle w:val="InternetLink"/>
                  <w:rFonts w:ascii="Times New Roman" w:hAnsi="Times New Roman"/>
                  <w:color w:val="0000FF"/>
                  <w:sz w:val="20"/>
                  <w:u w:val="single"/>
                </w:rPr>
                <w:t>Press release issued by Disc Medicine, Inc. on July 30,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64" w:type="dxa"/>
        <w:jc w:val="left"/>
        <w:tblInd w:w="0" w:type="dxa"/>
        <w:tblLayout w:type="fixed"/>
        <w:tblCellMar>
          <w:top w:w="28" w:type="dxa"/>
          <w:left w:w="28" w:type="dxa"/>
          <w:bottom w:w="28" w:type="dxa"/>
          <w:right w:w="28" w:type="dxa"/>
        </w:tblCellMar>
      </w:tblPr>
      <w:tblGrid>
        <w:gridCol w:w="556"/>
        <w:gridCol w:w="1216"/>
        <w:gridCol w:w="451"/>
        <w:gridCol w:w="26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DISC MEDICINE,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Quisel, J.D.,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Name: John Quisel, J.D., Ph.D. </w:t>
              <w:br/>
              <w:t>Title: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iron-ex99_1.htm"/>
      <w:bookmarkStart w:id="3" w:name="ksironex99_1"/>
      <w:bookmarkStart w:id="4" w:name="iron-ex99_1.htm"/>
      <w:bookmarkStart w:id="5" w:name="ksironex99_1"/>
      <w:bookmarkEnd w:id="4"/>
      <w:bookmarkEnd w:id="5"/>
      <w:r>
        <w:br w:type="page"/>
      </w:r>
    </w:p>
    <w:tbl>
      <w:tblPr>
        <w:tblW w:w="5097" w:type="dxa"/>
        <w:jc w:val="left"/>
        <w:tblInd w:w="0" w:type="dxa"/>
        <w:tblLayout w:type="fixed"/>
        <w:tblCellMar>
          <w:top w:w="28" w:type="dxa"/>
          <w:left w:w="28" w:type="dxa"/>
          <w:bottom w:w="28" w:type="dxa"/>
          <w:right w:w="28" w:type="dxa"/>
        </w:tblCellMar>
      </w:tblPr>
      <w:tblGrid>
        <w:gridCol w:w="3761"/>
        <w:gridCol w:w="1336"/>
      </w:tblGrid>
      <w:tr>
        <w:trPr/>
        <w:tc>
          <w:tcPr>
            <w:tcW w:w="376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7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3241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24100" cy="352425"/>
                          </a:xfrm>
                          <a:prstGeom prst="rect">
                            <a:avLst/>
                          </a:prstGeom>
                        </pic:spPr>
                      </pic:pic>
                    </a:graphicData>
                  </a:graphic>
                </wp:inline>
              </w:drawing>
            </w:r>
          </w:p>
        </w:tc>
        <w:tc>
          <w:tcPr>
            <w:tcW w:w="13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Exhibit 99.1</w:t>
            </w:r>
          </w:p>
        </w:tc>
      </w:tr>
    </w:tbl>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Disc Medicine Reports Second Quarter 2026 Financial Results and Provides Business Update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Completed Type A meeting with the FDA on bitopertin and aligned that the Phase 3 APOLLO study, if successful, can serve as the basis for CRL response; topline data expected in Q4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Launched Expanded Access Program (EAP) for bitopertin for eligible erythropoietic protoporphyria (EPP)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Presented positive clinical data updates from the RALLY-MF Phase 2 trial of selcodebart (DISC-0974) in anemia of myelofibrosis and the HELIOS open-label extension trial of bitopertin in EPP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Completed enrollment for RESTORE-PV Phase 2 study of DISC-3405 in polycythemia vera (PV) with initial data expected in Q3 2026 and progressing Phase 1b study of DISC-3405 in sickle cell disease (SCD) with initial data expected in Q4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Strong financial position ending Q2 with approximately $718 million in cash, cash equivalents, and marketable securities, providing runway into 2029</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WATERTOWN, Mass., July 30, 2026 – Disc Medicine, Inc. (NASDAQ:IRON), a clinical-stage biopharmaceutical company focused on the discovery, development, and commercialization of novel treatments for patients suffering from serious hematologic diseases, today reported financial results for the second quarter ended June 30, 2026, and provided a review of recent program and corporate developments.</w:t>
      </w:r>
    </w:p>
    <w:p>
      <w:pPr>
        <w:pStyle w:val="TextBody"/>
        <w:bidi w:val="0"/>
        <w:jc w:val="both"/>
        <w:rPr/>
      </w:pPr>
      <w:r>
        <w:rPr>
          <w:color w:val="000000"/>
        </w:rPr>
        <w:t>“</w:t>
      </w:r>
      <w:r>
        <w:rPr>
          <w:rFonts w:ascii="Times New Roman" w:hAnsi="Times New Roman"/>
          <w:color w:val="000000"/>
          <w:sz w:val="20"/>
        </w:rPr>
        <w:t xml:space="preserve">The anticipated readout of the Phase 3 APOLLO trial of bitopertin in EPP in Q4 marks a significant milestone. We have continued driving forward on this program over the past quarter with the launch of our EAP,” said John Quisel, J.D., Ph.D., Chief Executive Officer and President of Disc. “We also look forward to significant advancement across the rest of our pipeline in the second half of 2026. We saw strong demand for the Phase 2 RESTORE-PV trial of DISC-3405 in polycythemia vera, which is now fully enrolled with initial data coming ahead of schedule in Q3. Along with an expected end of Phase 2 FDA interaction on selcodebart in MF anemia in Q4, we will potentially be positioned to advance two more programs into pivotal-stage development in 2027.”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Recent Highlights and Anticipated Milestones: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Bitopertin: GlyT1 Inhibitor (Heme Synthesis Modulator)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Completed Type A meeting with the FDA to discuss the CRL for bitopertin in erythropoietic protoporphyria (EPP) and aligned that the Phase 3 APOLLO study, if successful, can serve as the basis for CRL response and could potentially support a traditional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Presented updated data from the HELIOS open-label extension trial of bitopertin in EPP at the European Hematology Association (EHA) Annual Meeting, demonstrating sustained reductions in protoporphyrin IX (PPIX), significant improvement in light tolerance measures, and favorable longer-term safety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Launched an Expanded Access Program (EAP) for bitopertin in the US and select other geographies, providing eligible patients with EPP and XLP access to treatment prior to a regulatory decision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track to report APOLLO topline results in Q4 2026 and expect to submit CRL response and receive an FDA decision by mid-2027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APOLLO completed enrollment in March 2026 and enrolled ahead of schedule with a final N of 183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Selcodebart (DISC-0974): Anti-Hemojuvelin Antibody (Hepcidin Suppression)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Shared updated data from RALLY-MF trial of selcodebart in anemia of myelofibrosis (MF) in oral presentations at the American Society of Clinical Oncology (ASCO) and European Hematology Association (EHA) annual meetings, solidifying selcodebart’s differentiated emerging profile in MF. Data showed: </w:t>
      </w:r>
    </w:p>
    <w:p>
      <w:pPr>
        <w:pStyle w:val="HorizontalLine"/>
        <w:pBdr>
          <w:bottom w:val="double" w:sz="2" w:space="0" w:color="808080"/>
        </w:pBdr>
        <w:bidi w:val="0"/>
        <w:spacing w:before="0" w:after="283"/>
        <w:jc w:val="left"/>
        <w:rPr/>
      </w:pPr>
      <w:r>
        <w:rPr/>
      </w:r>
    </w:p>
    <w:tbl>
      <w:tblPr>
        <w:tblW w:w="3952" w:type="dxa"/>
        <w:jc w:val="left"/>
        <w:tblInd w:w="0" w:type="dxa"/>
        <w:tblLayout w:type="fixed"/>
        <w:tblCellMar>
          <w:top w:w="28" w:type="dxa"/>
          <w:left w:w="28" w:type="dxa"/>
          <w:bottom w:w="28" w:type="dxa"/>
          <w:right w:w="28" w:type="dxa"/>
        </w:tblCellMar>
      </w:tblPr>
      <w:tblGrid>
        <w:gridCol w:w="3761"/>
        <w:gridCol w:w="191"/>
      </w:tblGrid>
      <w:tr>
        <w:trPr/>
        <w:tc>
          <w:tcPr>
            <w:tcW w:w="3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3241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24100" cy="352425"/>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Major anemia response rate of 56% and overall anemia response rate of 72% across evaluable patients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Similar, strong response rates across transfusion cohorts and with or without background JAK inhibitor therapy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 data from RALLY-MF anticipated in Q4 2026, with an end-of-Phase 2 meeting with the FDA expected to occur by year-end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Received EU Orphan Drug Designation for selcodebart for the treatment of myelofibrosis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Progressing Phase 2 study in patients with inflammatory bowel disease (IBD) with initial data expected in 2027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DISC-3405: Anti-TMPRSS6 Antibody (Hepcidin Induction)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Completed enrollment for RESTORE-PV Phase 2 study in patients with polycythemia vera with initial data expected in Q3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Progressing Phase 1b study in patients with sickle cell disease with initial data expected in Q4 2026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Second Quarter 2026 Financial Results: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Cash Position:</w:t>
      </w:r>
      <w:r>
        <w:rPr>
          <w:color w:val="000000"/>
        </w:rPr>
        <w:t xml:space="preserve"> </w:t>
      </w:r>
      <w:r>
        <w:rPr>
          <w:rFonts w:ascii="Times New Roman" w:hAnsi="Times New Roman"/>
          <w:color w:val="000000"/>
          <w:sz w:val="20"/>
        </w:rPr>
        <w:t>Cash, cash equivalents, and marketable securities were $717.7 million as of June 30, 2026, which are expected to fund operational plans into 2029.</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Research and Development Expenses:</w:t>
      </w:r>
      <w:r>
        <w:rPr>
          <w:color w:val="000000"/>
        </w:rPr>
        <w:t xml:space="preserve"> </w:t>
      </w:r>
      <w:r>
        <w:rPr>
          <w:rFonts w:ascii="Times New Roman" w:hAnsi="Times New Roman"/>
          <w:color w:val="000000"/>
          <w:sz w:val="20"/>
        </w:rPr>
        <w:t>R&amp;D expenses were $46.9 million for the three months ended June 30, 2026, as compared to $46.3 million for the three months ended June 30, 2025. The increase in R&amp;D expenses was primarily driven by the progression of Disc's portfolio, including the advancement of the selcodebart (DISC-0974) and DISC-3405 clinical studies and drug manufacturing, as well as increased headcount. These increases were partially offset by a decrease in manufacturing costs related to bitopertin and a $10.0 million milestone payment incurred upon initiation of the APOLLO study during the comparative period.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Selling, General and Administrative Expenses:</w:t>
      </w:r>
      <w:r>
        <w:rPr>
          <w:color w:val="000000"/>
        </w:rPr>
        <w:t xml:space="preserve"> </w:t>
      </w:r>
      <w:r>
        <w:rPr>
          <w:rFonts w:ascii="Times New Roman" w:hAnsi="Times New Roman"/>
          <w:color w:val="000000"/>
          <w:sz w:val="20"/>
        </w:rPr>
        <w:t>SG&amp;A expenses were $18.1 million for the three months ended June 30, 2026, as compared to $15.1 million for the three months ended June 30, 2025. The increase in SG&amp;A expenses was primarily due to increased headcount.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Net Loss:</w:t>
      </w:r>
      <w:r>
        <w:rPr>
          <w:color w:val="000000"/>
        </w:rPr>
        <w:t xml:space="preserve"> </w:t>
      </w:r>
      <w:r>
        <w:rPr>
          <w:rFonts w:ascii="Times New Roman" w:hAnsi="Times New Roman"/>
          <w:color w:val="000000"/>
          <w:sz w:val="20"/>
        </w:rPr>
        <w:t>Net loss was $59.5 million for the three months ended June 30, 2026, as compared to $55.2 million for the three months ended June 30, 2025. The increase was primarily due to higher operating costs in the current period to support the continued advancement of our pipeline.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About Disc Medicine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Times New Roman" w:hAnsi="Times New Roman"/>
          <w:sz w:val="20"/>
        </w:rPr>
        <w:t>www.discmedicine.com</w:t>
      </w:r>
      <w:r>
        <w:rPr>
          <w:rFonts w:ascii="Times New Roman" w:hAnsi="Times New Roman"/>
          <w:color w:val="000000"/>
          <w:sz w:val="2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w:t>
      </w:r>
      <w:r>
        <w:rPr>
          <w:rFonts w:ascii="Times New Roman" w:hAnsi="Times New Roman"/>
          <w:sz w:val="20"/>
        </w:rPr>
        <w:t>ir.discmedicine.com</w:t>
      </w:r>
      <w:r>
        <w:rPr>
          <w:rFonts w:ascii="Times New Roman" w:hAnsi="Times New Roman"/>
          <w:color w:val="000000"/>
          <w:sz w:val="20"/>
        </w:rPr>
        <w:t xml:space="preserve"> in order to achieve broad, non-exclusionary distribution of information to the public and for complying with its disclosure obligations under Regulation FD.</w:t>
      </w:r>
    </w:p>
    <w:p>
      <w:pPr>
        <w:pStyle w:val="HorizontalLine"/>
        <w:pBdr>
          <w:bottom w:val="double" w:sz="2" w:space="0" w:color="808080"/>
        </w:pBdr>
        <w:bidi w:val="0"/>
        <w:spacing w:before="0" w:after="283"/>
        <w:jc w:val="left"/>
        <w:rPr/>
      </w:pPr>
      <w:r>
        <w:rPr/>
      </w:r>
    </w:p>
    <w:tbl>
      <w:tblPr>
        <w:tblW w:w="3952" w:type="dxa"/>
        <w:jc w:val="left"/>
        <w:tblInd w:w="0" w:type="dxa"/>
        <w:tblLayout w:type="fixed"/>
        <w:tblCellMar>
          <w:top w:w="28" w:type="dxa"/>
          <w:left w:w="28" w:type="dxa"/>
          <w:bottom w:w="28" w:type="dxa"/>
          <w:right w:w="28" w:type="dxa"/>
        </w:tblCellMar>
      </w:tblPr>
      <w:tblGrid>
        <w:gridCol w:w="3761"/>
        <w:gridCol w:w="191"/>
      </w:tblGrid>
      <w:tr>
        <w:trPr/>
        <w:tc>
          <w:tcPr>
            <w:tcW w:w="3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324100"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24100" cy="352425"/>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Disc Cautionary Statement Regarding 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selcodebart (DISC-0974) and DISC-3405, including projected timelines for the initiation and completion of its clinical trials, anticipated timing of release of data, and other clinical activities; the registrational pathway for bitopertin, including the potential for traditional approval, the potential for the APOLLO clinical trial to serve as the basis for the CRL response and any such approval, and the timing of any such approval, if granted; anticipated discussions with regulatory agencies;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and the other risks and uncertainties described in Disc’s filings with the Securities and Exchange Commission, including in the “Risk Factors” section of Disc’s Annual Report on Form 10-K for the year ended December 31, 2025,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Media Contact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Peg Rusconi</w:t>
      </w:r>
    </w:p>
    <w:p>
      <w:pPr>
        <w:pStyle w:val="TextBody"/>
        <w:bidi w:val="0"/>
        <w:jc w:val="left"/>
        <w:rPr>
          <w:rFonts w:ascii="Times New Roman" w:hAnsi="Times New Roman"/>
          <w:color w:val="000000"/>
          <w:sz w:val="20"/>
        </w:rPr>
      </w:pPr>
      <w:r>
        <w:rPr>
          <w:rFonts w:ascii="Times New Roman" w:hAnsi="Times New Roman"/>
          <w:color w:val="000000"/>
          <w:sz w:val="20"/>
        </w:rPr>
        <w:t>Deerfield Group</w:t>
      </w:r>
    </w:p>
    <w:p>
      <w:pPr>
        <w:pStyle w:val="TextBody"/>
        <w:bidi w:val="0"/>
        <w:jc w:val="left"/>
        <w:rPr>
          <w:rFonts w:ascii="Times New Roman" w:hAnsi="Times New Roman"/>
          <w:sz w:val="20"/>
        </w:rPr>
      </w:pPr>
      <w:r>
        <w:rPr>
          <w:rFonts w:ascii="Times New Roman" w:hAnsi="Times New Roman"/>
          <w:color w:val="0563C1"/>
          <w:sz w:val="20"/>
          <w:u w:val="single"/>
        </w:rPr>
        <w:t>peg.rusconi@deerfieldgroup.com</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212529"/>
          <w:sz w:val="20"/>
        </w:rPr>
      </w:pPr>
      <w:r>
        <w:rPr>
          <w:rFonts w:ascii="Times New Roman" w:hAnsi="Times New Roman"/>
          <w:b/>
          <w:color w:val="212529"/>
          <w:sz w:val="20"/>
        </w:rPr>
        <w:t>Investor Relations Contact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Christina Tartaglia</w:t>
      </w:r>
    </w:p>
    <w:p>
      <w:pPr>
        <w:pStyle w:val="TextBody"/>
        <w:bidi w:val="0"/>
        <w:jc w:val="left"/>
        <w:rPr>
          <w:rFonts w:ascii="Times New Roman" w:hAnsi="Times New Roman"/>
          <w:sz w:val="20"/>
        </w:rPr>
      </w:pPr>
      <w:r>
        <w:rPr>
          <w:rFonts w:ascii="Times New Roman" w:hAnsi="Times New Roman"/>
          <w:color w:val="212529"/>
          <w:sz w:val="20"/>
        </w:rPr>
        <w:t xml:space="preserve">Precision AQ </w:t>
      </w:r>
      <w:r>
        <w:rPr>
          <w:rFonts w:ascii="Times New Roman" w:hAnsi="Times New Roman"/>
          <w:color w:val="000000"/>
          <w:sz w:val="20"/>
        </w:rPr>
        <w:br/>
      </w:r>
      <w:r>
        <w:rPr>
          <w:rFonts w:ascii="Times New Roman" w:hAnsi="Times New Roman"/>
          <w:color w:val="0563C1"/>
          <w:sz w:val="20"/>
          <w:u w:val="single"/>
        </w:rPr>
        <w:t>christina.tartaglia@precisionaq.com</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3952" w:type="dxa"/>
        <w:jc w:val="left"/>
        <w:tblInd w:w="0" w:type="dxa"/>
        <w:tblLayout w:type="fixed"/>
        <w:tblCellMar>
          <w:top w:w="28" w:type="dxa"/>
          <w:left w:w="28" w:type="dxa"/>
          <w:bottom w:w="28" w:type="dxa"/>
          <w:right w:w="28" w:type="dxa"/>
        </w:tblCellMar>
      </w:tblPr>
      <w:tblGrid>
        <w:gridCol w:w="3761"/>
        <w:gridCol w:w="191"/>
      </w:tblGrid>
      <w:tr>
        <w:trPr/>
        <w:tc>
          <w:tcPr>
            <w:tcW w:w="3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324100"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24100" cy="352425"/>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DISC MEDICINE, INC.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amounts)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4" w:type="dxa"/>
            <w:gridSpan w:val="1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38,685,565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38,589,035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34,179,364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27" w:type="dxa"/>
        <w:jc w:val="left"/>
        <w:tblInd w:w="0" w:type="dxa"/>
        <w:tblLayout w:type="fixed"/>
        <w:tblCellMar>
          <w:top w:w="28" w:type="dxa"/>
          <w:left w:w="28" w:type="dxa"/>
          <w:bottom w:w="28" w:type="dxa"/>
          <w:right w:w="28" w:type="dxa"/>
        </w:tblCellMar>
      </w:tblPr>
      <w:tblGrid>
        <w:gridCol w:w="4111"/>
        <w:gridCol w:w="146"/>
        <w:gridCol w:w="211"/>
        <w:gridCol w:w="781"/>
        <w:gridCol w:w="146"/>
        <w:gridCol w:w="146"/>
        <w:gridCol w:w="233"/>
        <w:gridCol w:w="862"/>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DISC MEDICINE, INC.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2364</Words>
  <Characters>13408</Characters>
  <CharactersWithSpaces>15782</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