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Gemini Therapeutics, Inc. (f/k/a FS Development Corp.)</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36870G 105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Dennis Ryan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600 Montgomery Street, Suite 4500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 Francisco, California 94111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(415) 877-4887</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Copy to:</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Joel L. Rubinstein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Bryan Luchs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White &amp; Case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1221 Avenue of the Americas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10020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819-8200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February 5, 2021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ind w:left="3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040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040630"/>
                    </a:xfrm>
                    <a:prstGeom prst="rect">
                      <a:avLst/>
                    </a:prstGeom>
                    <a:noFill/>
                  </pic:spPr>
                </pic:pic>
              </a:graphicData>
            </a:graphic>
          </wp:anchor>
        </w:drawing>
        <w:t>CUSIP No. 36870G 105</w:t>
      </w:r>
    </w:p>
    <w:p>
      <w:pPr>
        <w:spacing w:after="0" w:line="185" w:lineRule="exact"/>
        <w:rPr>
          <w:sz w:val="20"/>
          <w:szCs w:val="20"/>
          <w:color w:val="auto"/>
        </w:rPr>
      </w:pPr>
    </w:p>
    <w:p>
      <w:pPr>
        <w:ind w:left="812" w:right="7560" w:hanging="736"/>
        <w:spacing w:after="0" w:line="286" w:lineRule="auto"/>
        <w:tabs>
          <w:tab w:leader="none" w:pos="812"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 OF REPORTING PERSONS </w:t>
      </w:r>
      <w:r>
        <w:rPr>
          <w:rFonts w:ascii="Times New Roman" w:cs="Times New Roman" w:eastAsia="Times New Roman" w:hAnsi="Times New Roman"/>
          <w:sz w:val="18"/>
          <w:szCs w:val="18"/>
          <w:color w:val="auto"/>
        </w:rPr>
        <w:t>FS Development Holdings, LLC</w:t>
      </w:r>
    </w:p>
    <w:p>
      <w:pPr>
        <w:spacing w:after="0" w:line="87" w:lineRule="exact"/>
        <w:rPr>
          <w:sz w:val="20"/>
          <w:szCs w:val="20"/>
          <w:color w:val="auto"/>
        </w:rPr>
      </w:pPr>
    </w:p>
    <w:p>
      <w:pPr>
        <w:ind w:left="812" w:hanging="736"/>
        <w:spacing w:after="0"/>
        <w:tabs>
          <w:tab w:leader="none" w:pos="812"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w:t>
      </w:r>
    </w:p>
    <w:p>
      <w:pPr>
        <w:spacing w:after="0" w:line="31" w:lineRule="exact"/>
        <w:rPr>
          <w:rFonts w:ascii="Times New Roman" w:cs="Times New Roman" w:eastAsia="Times New Roman" w:hAnsi="Times New Roman"/>
          <w:sz w:val="18"/>
          <w:szCs w:val="18"/>
          <w:b w:val="1"/>
          <w:bCs w:val="1"/>
          <w:color w:val="auto"/>
        </w:rPr>
      </w:pPr>
    </w:p>
    <w:p>
      <w:pPr>
        <w:ind w:left="812"/>
        <w:spacing w:after="0" w:line="207"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35" w:lineRule="exact"/>
        <w:rPr>
          <w:sz w:val="20"/>
          <w:szCs w:val="20"/>
          <w:color w:val="auto"/>
        </w:rPr>
      </w:pPr>
    </w:p>
    <w:p>
      <w:pPr>
        <w:ind w:left="812" w:hanging="736"/>
        <w:spacing w:after="0"/>
        <w:tabs>
          <w:tab w:leader="none" w:pos="812"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158" w:lineRule="exact"/>
        <w:rPr>
          <w:sz w:val="20"/>
          <w:szCs w:val="20"/>
          <w:color w:val="auto"/>
        </w:rPr>
      </w:pPr>
    </w:p>
    <w:p>
      <w:pPr>
        <w:ind w:left="812" w:right="8720" w:hanging="736"/>
        <w:spacing w:after="0" w:line="286" w:lineRule="auto"/>
        <w:tabs>
          <w:tab w:leader="none" w:pos="81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AF</w:t>
      </w:r>
    </w:p>
    <w:p>
      <w:pPr>
        <w:spacing w:after="0" w:line="63" w:lineRule="exact"/>
        <w:rPr>
          <w:sz w:val="20"/>
          <w:szCs w:val="20"/>
          <w:color w:val="auto"/>
        </w:rPr>
      </w:pPr>
    </w:p>
    <w:p>
      <w:pPr>
        <w:ind w:left="812" w:hanging="736"/>
        <w:spacing w:after="0" w:line="196" w:lineRule="exact"/>
        <w:tabs>
          <w:tab w:leader="none" w:pos="812"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CHECK BOX IF DISCLOSURE OF LEGAL PROCEEDINGS IS REQUIRED PURSUANT TO ITEMS 2(d) or 2(e) </w:t>
      </w:r>
      <w:r>
        <w:rPr>
          <w:rFonts w:ascii="MS PGothic" w:cs="MS PGothic" w:eastAsia="MS PGothic" w:hAnsi="MS PGothic"/>
          <w:sz w:val="17"/>
          <w:szCs w:val="17"/>
          <w:color w:val="auto"/>
        </w:rPr>
        <w:t>☐</w:t>
      </w:r>
    </w:p>
    <w:p>
      <w:pPr>
        <w:spacing w:after="0" w:line="194" w:lineRule="exact"/>
        <w:rPr>
          <w:sz w:val="20"/>
          <w:szCs w:val="20"/>
          <w:color w:val="auto"/>
        </w:rPr>
      </w:pPr>
    </w:p>
    <w:p>
      <w:pPr>
        <w:ind w:left="812" w:right="6500" w:hanging="736"/>
        <w:spacing w:after="0" w:line="286" w:lineRule="auto"/>
        <w:tabs>
          <w:tab w:leader="none" w:pos="81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Delaware</w:t>
      </w:r>
    </w:p>
    <w:p>
      <w:pPr>
        <w:sectPr>
          <w:pgSz w:w="11900" w:h="16838" w:orient="portrait"/>
          <w:cols w:equalWidth="0" w:num="1">
            <w:col w:w="11232"/>
          </w:cols>
          <w:pgMar w:left="328" w:top="1022"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8"/>
          <w:szCs w:val="18"/>
          <w:b w:val="1"/>
          <w:bCs w:val="1"/>
          <w:color w:val="auto"/>
        </w:rPr>
        <w:t>NUMBER OF</w:t>
      </w:r>
    </w:p>
    <w:p>
      <w:pPr>
        <w:spacing w:after="0" w:line="31" w:lineRule="exact"/>
        <w:rPr>
          <w:sz w:val="20"/>
          <w:szCs w:val="20"/>
          <w:color w:val="auto"/>
        </w:rPr>
      </w:pPr>
    </w:p>
    <w:p>
      <w:pPr>
        <w:ind w:left="552"/>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9"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18"/>
          <w:szCs w:val="18"/>
          <w:b w:val="1"/>
          <w:bCs w:val="1"/>
          <w:color w:val="auto"/>
        </w:rPr>
        <w:t>BENEFICIALLY</w:t>
      </w:r>
    </w:p>
    <w:p>
      <w:pPr>
        <w:spacing w:after="0" w:line="9" w:lineRule="exact"/>
        <w:rPr>
          <w:sz w:val="20"/>
          <w:szCs w:val="20"/>
          <w:color w:val="auto"/>
        </w:rPr>
      </w:pPr>
    </w:p>
    <w:p>
      <w:pPr>
        <w:ind w:left="412"/>
        <w:spacing w:after="0"/>
        <w:rPr>
          <w:sz w:val="20"/>
          <w:szCs w:val="20"/>
          <w:color w:val="auto"/>
        </w:rPr>
      </w:pPr>
      <w:r>
        <w:rPr>
          <w:rFonts w:ascii="Times New Roman" w:cs="Times New Roman" w:eastAsia="Times New Roman" w:hAnsi="Times New Roman"/>
          <w:sz w:val="18"/>
          <w:szCs w:val="18"/>
          <w:b w:val="1"/>
          <w:bCs w:val="1"/>
          <w:color w:val="auto"/>
        </w:rPr>
        <w:t>OWNED BY</w:t>
      </w:r>
    </w:p>
    <w:p>
      <w:pPr>
        <w:spacing w:after="0" w:line="9" w:lineRule="exact"/>
        <w:rPr>
          <w:sz w:val="20"/>
          <w:szCs w:val="20"/>
          <w:color w:val="auto"/>
        </w:rPr>
      </w:pPr>
    </w:p>
    <w:p>
      <w:pPr>
        <w:ind w:left="92"/>
        <w:spacing w:after="0"/>
        <w:rPr>
          <w:sz w:val="20"/>
          <w:szCs w:val="20"/>
          <w:color w:val="auto"/>
        </w:rPr>
      </w:pPr>
      <w:r>
        <w:rPr>
          <w:rFonts w:ascii="Times New Roman" w:cs="Times New Roman" w:eastAsia="Times New Roman" w:hAnsi="Times New Roman"/>
          <w:sz w:val="17"/>
          <w:szCs w:val="17"/>
          <w:b w:val="1"/>
          <w:bCs w:val="1"/>
          <w:color w:val="auto"/>
        </w:rPr>
        <w:t>EACH REPORTING</w:t>
      </w:r>
    </w:p>
    <w:p>
      <w:pPr>
        <w:spacing w:after="0" w:line="21" w:lineRule="exact"/>
        <w:rPr>
          <w:sz w:val="20"/>
          <w:szCs w:val="20"/>
          <w:color w:val="auto"/>
        </w:rPr>
      </w:pPr>
    </w:p>
    <w:p>
      <w:pPr>
        <w:ind w:left="552"/>
        <w:spacing w:after="0"/>
        <w:rPr>
          <w:sz w:val="20"/>
          <w:szCs w:val="20"/>
          <w:color w:val="auto"/>
        </w:rPr>
      </w:pPr>
      <w:r>
        <w:rPr>
          <w:rFonts w:ascii="Times New Roman" w:cs="Times New Roman" w:eastAsia="Times New Roman" w:hAnsi="Times New Roman"/>
          <w:sz w:val="18"/>
          <w:szCs w:val="18"/>
          <w:b w:val="1"/>
          <w:bCs w:val="1"/>
          <w:color w:val="auto"/>
        </w:rPr>
        <w:t>PERSON</w:t>
      </w:r>
    </w:p>
    <w:p>
      <w:pPr>
        <w:spacing w:after="0" w:line="9" w:lineRule="exact"/>
        <w:rPr>
          <w:sz w:val="20"/>
          <w:szCs w:val="20"/>
          <w:color w:val="auto"/>
        </w:rPr>
      </w:pPr>
    </w:p>
    <w:p>
      <w:pPr>
        <w:ind w:left="632"/>
        <w:spacing w:after="0"/>
        <w:rPr>
          <w:sz w:val="20"/>
          <w:szCs w:val="20"/>
          <w:color w:val="auto"/>
        </w:rPr>
      </w:pPr>
      <w:r>
        <w:rPr>
          <w:rFonts w:ascii="Times New Roman" w:cs="Times New Roman" w:eastAsia="Times New Roman" w:hAnsi="Times New Roman"/>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left="621" w:right="6660" w:hanging="621"/>
        <w:spacing w:after="0" w:line="286" w:lineRule="auto"/>
        <w:tabs>
          <w:tab w:leader="none" w:pos="621"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87" w:lineRule="exact"/>
        <w:rPr>
          <w:sz w:val="20"/>
          <w:szCs w:val="20"/>
          <w:color w:val="auto"/>
        </w:rPr>
      </w:pPr>
    </w:p>
    <w:p>
      <w:pPr>
        <w:ind w:left="621" w:right="6380" w:hanging="621"/>
        <w:spacing w:after="0" w:line="286" w:lineRule="auto"/>
        <w:tabs>
          <w:tab w:leader="none" w:pos="621"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VOTING POWER </w:t>
      </w:r>
      <w:r>
        <w:rPr>
          <w:rFonts w:ascii="Times New Roman" w:cs="Times New Roman" w:eastAsia="Times New Roman" w:hAnsi="Times New Roman"/>
          <w:sz w:val="18"/>
          <w:szCs w:val="18"/>
          <w:color w:val="auto"/>
        </w:rPr>
        <w:t>4,870,250</w:t>
      </w:r>
    </w:p>
    <w:p>
      <w:pPr>
        <w:spacing w:after="0" w:line="87" w:lineRule="exact"/>
        <w:rPr>
          <w:sz w:val="20"/>
          <w:szCs w:val="20"/>
          <w:color w:val="auto"/>
        </w:rPr>
      </w:pPr>
    </w:p>
    <w:p>
      <w:pPr>
        <w:ind w:left="621" w:right="6220" w:hanging="621"/>
        <w:spacing w:after="0" w:line="286" w:lineRule="auto"/>
        <w:tabs>
          <w:tab w:leader="none" w:pos="621"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DISPOSITIVE POWER </w:t>
      </w:r>
      <w:r>
        <w:rPr>
          <w:rFonts w:ascii="Times New Roman" w:cs="Times New Roman" w:eastAsia="Times New Roman" w:hAnsi="Times New Roman"/>
          <w:sz w:val="18"/>
          <w:szCs w:val="18"/>
          <w:color w:val="auto"/>
        </w:rPr>
        <w:t>0</w:t>
      </w:r>
    </w:p>
    <w:p>
      <w:pPr>
        <w:spacing w:after="0" w:line="87" w:lineRule="exact"/>
        <w:rPr>
          <w:sz w:val="20"/>
          <w:szCs w:val="20"/>
          <w:color w:val="auto"/>
        </w:rPr>
      </w:pPr>
    </w:p>
    <w:p>
      <w:pPr>
        <w:ind w:left="621" w:right="5960" w:hanging="621"/>
        <w:spacing w:after="0" w:line="286" w:lineRule="auto"/>
        <w:tabs>
          <w:tab w:leader="none" w:pos="621"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4,870,250</w:t>
      </w:r>
    </w:p>
    <w:p>
      <w:pPr>
        <w:spacing w:after="0" w:line="87" w:lineRule="exact"/>
        <w:rPr>
          <w:sz w:val="20"/>
          <w:szCs w:val="20"/>
          <w:color w:val="auto"/>
        </w:rPr>
      </w:pPr>
    </w:p>
    <w:p>
      <w:pPr>
        <w:sectPr>
          <w:pgSz w:w="11900" w:h="16838" w:orient="portrait"/>
          <w:cols w:equalWidth="0" w:num="2">
            <w:col w:w="1732" w:space="239"/>
            <w:col w:w="9261"/>
          </w:cols>
          <w:pgMar w:left="328" w:top="1022" w:right="339" w:bottom="1440" w:gutter="0" w:footer="0" w:header="0"/>
          <w:type w:val="continuous"/>
        </w:sectPr>
      </w:pPr>
    </w:p>
    <w:p>
      <w:pPr>
        <w:ind w:left="812" w:right="3500" w:hanging="736"/>
        <w:spacing w:after="0" w:line="286" w:lineRule="auto"/>
        <w:tabs>
          <w:tab w:leader="none" w:pos="812"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4,870,250</w:t>
      </w:r>
    </w:p>
    <w:p>
      <w:pPr>
        <w:spacing w:after="0" w:line="62" w:lineRule="exact"/>
        <w:rPr>
          <w:rFonts w:ascii="Times New Roman" w:cs="Times New Roman" w:eastAsia="Times New Roman" w:hAnsi="Times New Roman"/>
          <w:sz w:val="18"/>
          <w:szCs w:val="18"/>
          <w:b w:val="1"/>
          <w:bCs w:val="1"/>
          <w:color w:val="auto"/>
        </w:rPr>
      </w:pPr>
    </w:p>
    <w:p>
      <w:pPr>
        <w:ind w:left="812" w:hanging="736"/>
        <w:spacing w:after="0" w:line="207" w:lineRule="exact"/>
        <w:tabs>
          <w:tab w:leader="none" w:pos="812"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182" w:lineRule="exact"/>
        <w:rPr>
          <w:rFonts w:ascii="Times New Roman" w:cs="Times New Roman" w:eastAsia="Times New Roman" w:hAnsi="Times New Roman"/>
          <w:sz w:val="18"/>
          <w:szCs w:val="18"/>
          <w:b w:val="1"/>
          <w:bCs w:val="1"/>
          <w:color w:val="auto"/>
        </w:rPr>
      </w:pPr>
    </w:p>
    <w:p>
      <w:pPr>
        <w:ind w:left="812" w:right="5020" w:hanging="736"/>
        <w:spacing w:after="0" w:line="286" w:lineRule="auto"/>
        <w:tabs>
          <w:tab w:leader="none" w:pos="812"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PERCENT OF CLASS REPRESENTED BY AMOUNT IN ROW (11) </w:t>
      </w:r>
      <w:r>
        <w:rPr>
          <w:rFonts w:ascii="Times New Roman" w:cs="Times New Roman" w:eastAsia="Times New Roman" w:hAnsi="Times New Roman"/>
          <w:sz w:val="18"/>
          <w:szCs w:val="18"/>
          <w:color w:val="auto"/>
        </w:rPr>
        <w:t>10.75%*</w:t>
      </w:r>
    </w:p>
    <w:p>
      <w:pPr>
        <w:spacing w:after="0" w:line="87" w:lineRule="exact"/>
        <w:rPr>
          <w:sz w:val="20"/>
          <w:szCs w:val="20"/>
          <w:color w:val="auto"/>
        </w:rPr>
      </w:pPr>
    </w:p>
    <w:p>
      <w:pPr>
        <w:ind w:left="72"/>
        <w:spacing w:after="0"/>
        <w:tabs>
          <w:tab w:leader="none" w:pos="792" w:val="left"/>
        </w:tabs>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TYPE OF REPORTING PERSON</w:t>
      </w:r>
    </w:p>
    <w:p>
      <w:pPr>
        <w:spacing w:after="0" w:line="31" w:lineRule="exact"/>
        <w:rPr>
          <w:sz w:val="20"/>
          <w:szCs w:val="20"/>
          <w:color w:val="auto"/>
        </w:rPr>
      </w:pPr>
    </w:p>
    <w:p>
      <w:pPr>
        <w:ind w:left="812"/>
        <w:spacing w:after="0"/>
        <w:rPr>
          <w:sz w:val="20"/>
          <w:szCs w:val="20"/>
          <w:color w:val="auto"/>
        </w:rPr>
      </w:pPr>
      <w:r>
        <w:rPr>
          <w:rFonts w:ascii="Times New Roman" w:cs="Times New Roman" w:eastAsia="Times New Roman" w:hAnsi="Times New Roman"/>
          <w:sz w:val="18"/>
          <w:szCs w:val="18"/>
          <w:color w:val="auto"/>
        </w:rPr>
        <w:t>OO</w:t>
      </w:r>
    </w:p>
    <w:p>
      <w:pPr>
        <w:spacing w:after="0" w:line="301" w:lineRule="exact"/>
        <w:rPr>
          <w:sz w:val="20"/>
          <w:szCs w:val="20"/>
          <w:color w:val="auto"/>
        </w:rPr>
      </w:pPr>
    </w:p>
    <w:p>
      <w:pPr>
        <w:jc w:val="both"/>
        <w:ind w:left="332" w:hanging="332"/>
        <w:spacing w:after="0" w:line="266" w:lineRule="auto"/>
        <w:tabs>
          <w:tab w:leader="none" w:pos="3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is calculated based on 45,301,990 shares of common stock, par value $0.0001 (the “Common Stock”), of Gemini Therapeutics, Inc. (the “Issuer”) outstanding as of February 5, 2021, as reported by the Issuer in its Current Report on Form 8-K filed with the U.S. Securities and Exchange Commission on February 11, 2021 (the “8-K”).</w:t>
      </w:r>
    </w:p>
    <w:p>
      <w:pPr>
        <w:spacing w:after="0" w:line="200" w:lineRule="exact"/>
        <w:rPr>
          <w:sz w:val="20"/>
          <w:szCs w:val="20"/>
          <w:color w:val="auto"/>
        </w:rPr>
      </w:pPr>
    </w:p>
    <w:p>
      <w:pPr>
        <w:spacing w:after="0" w:line="21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022" w:right="339" w:bottom="1440" w:gutter="0" w:footer="0" w:header="0"/>
          <w:type w:val="continuous"/>
        </w:sectPr>
      </w:pPr>
    </w:p>
    <w:bookmarkStart w:id="2" w:name="page3"/>
    <w:bookmarkEnd w:id="2"/>
    <w:p>
      <w:pPr>
        <w:ind w:left="3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040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040630"/>
                    </a:xfrm>
                    <a:prstGeom prst="rect">
                      <a:avLst/>
                    </a:prstGeom>
                    <a:noFill/>
                  </pic:spPr>
                </pic:pic>
              </a:graphicData>
            </a:graphic>
          </wp:anchor>
        </w:drawing>
        <w:t>CUSIP No. 36870G 105</w:t>
      </w:r>
    </w:p>
    <w:p>
      <w:pPr>
        <w:spacing w:after="0" w:line="185" w:lineRule="exact"/>
        <w:rPr>
          <w:sz w:val="20"/>
          <w:szCs w:val="20"/>
          <w:color w:val="auto"/>
        </w:rPr>
      </w:pPr>
    </w:p>
    <w:p>
      <w:pPr>
        <w:ind w:left="812" w:right="7560" w:hanging="736"/>
        <w:spacing w:after="0" w:line="286" w:lineRule="auto"/>
        <w:tabs>
          <w:tab w:leader="none" w:pos="81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 OF REPORTING PERSONS </w:t>
      </w:r>
      <w:r>
        <w:rPr>
          <w:rFonts w:ascii="Times New Roman" w:cs="Times New Roman" w:eastAsia="Times New Roman" w:hAnsi="Times New Roman"/>
          <w:sz w:val="18"/>
          <w:szCs w:val="18"/>
          <w:color w:val="auto"/>
        </w:rPr>
        <w:t>Foresite Capital Fund V, L.P.</w:t>
      </w:r>
    </w:p>
    <w:p>
      <w:pPr>
        <w:spacing w:after="0" w:line="87" w:lineRule="exact"/>
        <w:rPr>
          <w:sz w:val="20"/>
          <w:szCs w:val="20"/>
          <w:color w:val="auto"/>
        </w:rPr>
      </w:pPr>
    </w:p>
    <w:p>
      <w:pPr>
        <w:ind w:left="812" w:hanging="736"/>
        <w:spacing w:after="0"/>
        <w:tabs>
          <w:tab w:leader="none" w:pos="81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w:t>
      </w:r>
    </w:p>
    <w:p>
      <w:pPr>
        <w:spacing w:after="0" w:line="31" w:lineRule="exact"/>
        <w:rPr>
          <w:rFonts w:ascii="Times New Roman" w:cs="Times New Roman" w:eastAsia="Times New Roman" w:hAnsi="Times New Roman"/>
          <w:sz w:val="18"/>
          <w:szCs w:val="18"/>
          <w:b w:val="1"/>
          <w:bCs w:val="1"/>
          <w:color w:val="auto"/>
        </w:rPr>
      </w:pPr>
    </w:p>
    <w:p>
      <w:pPr>
        <w:ind w:left="812"/>
        <w:spacing w:after="0" w:line="207"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35" w:lineRule="exact"/>
        <w:rPr>
          <w:sz w:val="20"/>
          <w:szCs w:val="20"/>
          <w:color w:val="auto"/>
        </w:rPr>
      </w:pPr>
    </w:p>
    <w:p>
      <w:pPr>
        <w:ind w:left="812" w:hanging="736"/>
        <w:spacing w:after="0"/>
        <w:tabs>
          <w:tab w:leader="none" w:pos="812"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158" w:lineRule="exact"/>
        <w:rPr>
          <w:sz w:val="20"/>
          <w:szCs w:val="20"/>
          <w:color w:val="auto"/>
        </w:rPr>
      </w:pPr>
    </w:p>
    <w:p>
      <w:pPr>
        <w:ind w:left="812" w:right="8720" w:hanging="736"/>
        <w:spacing w:after="0" w:line="286" w:lineRule="auto"/>
        <w:tabs>
          <w:tab w:leader="none" w:pos="812"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WC</w:t>
      </w:r>
    </w:p>
    <w:p>
      <w:pPr>
        <w:spacing w:after="0" w:line="63" w:lineRule="exact"/>
        <w:rPr>
          <w:sz w:val="20"/>
          <w:szCs w:val="20"/>
          <w:color w:val="auto"/>
        </w:rPr>
      </w:pPr>
    </w:p>
    <w:p>
      <w:pPr>
        <w:ind w:left="812" w:hanging="736"/>
        <w:spacing w:after="0" w:line="196" w:lineRule="exact"/>
        <w:tabs>
          <w:tab w:leader="none" w:pos="812"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CHECK BOX IF DISCLOSURE OF LEGAL PROCEEDINGS IS REQUIRED PURSUANT TO ITEMS 2(d) or 2(e) </w:t>
      </w:r>
      <w:r>
        <w:rPr>
          <w:rFonts w:ascii="MS PGothic" w:cs="MS PGothic" w:eastAsia="MS PGothic" w:hAnsi="MS PGothic"/>
          <w:sz w:val="17"/>
          <w:szCs w:val="17"/>
          <w:color w:val="auto"/>
        </w:rPr>
        <w:t>☐</w:t>
      </w:r>
    </w:p>
    <w:p>
      <w:pPr>
        <w:spacing w:after="0" w:line="194" w:lineRule="exact"/>
        <w:rPr>
          <w:sz w:val="20"/>
          <w:szCs w:val="20"/>
          <w:color w:val="auto"/>
        </w:rPr>
      </w:pPr>
    </w:p>
    <w:p>
      <w:pPr>
        <w:ind w:left="812" w:right="6500" w:hanging="736"/>
        <w:spacing w:after="0" w:line="286" w:lineRule="auto"/>
        <w:tabs>
          <w:tab w:leader="none" w:pos="812"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Delaware</w:t>
      </w:r>
    </w:p>
    <w:p>
      <w:pPr>
        <w:sectPr>
          <w:pgSz w:w="11900" w:h="16838" w:orient="portrait"/>
          <w:cols w:equalWidth="0" w:num="1">
            <w:col w:w="11232"/>
          </w:cols>
          <w:pgMar w:left="328" w:top="1022"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NUMBER OF</w:t>
      </w:r>
    </w:p>
    <w:p>
      <w:pPr>
        <w:spacing w:after="0" w:line="31"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9"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BENEFICIALLY</w:t>
      </w:r>
    </w:p>
    <w:p>
      <w:pPr>
        <w:spacing w:after="0" w:line="9"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OWNED BY</w:t>
      </w:r>
    </w:p>
    <w:p>
      <w:pPr>
        <w:spacing w:after="0" w:line="9"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7"/>
          <w:szCs w:val="17"/>
          <w:b w:val="1"/>
          <w:bCs w:val="1"/>
          <w:color w:val="auto"/>
        </w:rPr>
        <w:t>EACH REPORTING</w:t>
      </w:r>
    </w:p>
    <w:p>
      <w:pPr>
        <w:spacing w:after="0" w:line="21"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PERSON</w:t>
      </w:r>
    </w:p>
    <w:p>
      <w:pPr>
        <w:spacing w:after="0" w:line="9"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left="621" w:right="6660" w:hanging="621"/>
        <w:spacing w:after="0" w:line="286" w:lineRule="auto"/>
        <w:tabs>
          <w:tab w:leader="none" w:pos="621"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87" w:lineRule="exact"/>
        <w:rPr>
          <w:sz w:val="20"/>
          <w:szCs w:val="20"/>
          <w:color w:val="auto"/>
        </w:rPr>
      </w:pPr>
    </w:p>
    <w:p>
      <w:pPr>
        <w:ind w:left="621" w:right="6380" w:hanging="621"/>
        <w:spacing w:after="0" w:line="286" w:lineRule="auto"/>
        <w:tabs>
          <w:tab w:leader="none" w:pos="621"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VOTING POWER </w:t>
      </w:r>
      <w:r>
        <w:rPr>
          <w:rFonts w:ascii="Times New Roman" w:cs="Times New Roman" w:eastAsia="Times New Roman" w:hAnsi="Times New Roman"/>
          <w:sz w:val="18"/>
          <w:szCs w:val="18"/>
          <w:color w:val="auto"/>
        </w:rPr>
        <w:t>4,870,250</w:t>
      </w:r>
    </w:p>
    <w:p>
      <w:pPr>
        <w:spacing w:after="0" w:line="87" w:lineRule="exact"/>
        <w:rPr>
          <w:sz w:val="20"/>
          <w:szCs w:val="20"/>
          <w:color w:val="auto"/>
        </w:rPr>
      </w:pPr>
    </w:p>
    <w:p>
      <w:pPr>
        <w:ind w:left="621" w:right="6220" w:hanging="621"/>
        <w:spacing w:after="0" w:line="286" w:lineRule="auto"/>
        <w:tabs>
          <w:tab w:leader="none" w:pos="621"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DISPOSITIVE POWER </w:t>
      </w:r>
      <w:r>
        <w:rPr>
          <w:rFonts w:ascii="Times New Roman" w:cs="Times New Roman" w:eastAsia="Times New Roman" w:hAnsi="Times New Roman"/>
          <w:sz w:val="18"/>
          <w:szCs w:val="18"/>
          <w:color w:val="auto"/>
        </w:rPr>
        <w:t>0</w:t>
      </w:r>
    </w:p>
    <w:p>
      <w:pPr>
        <w:spacing w:after="0" w:line="87" w:lineRule="exact"/>
        <w:rPr>
          <w:sz w:val="20"/>
          <w:szCs w:val="20"/>
          <w:color w:val="auto"/>
        </w:rPr>
      </w:pPr>
    </w:p>
    <w:p>
      <w:pPr>
        <w:ind w:left="621" w:right="5960" w:hanging="621"/>
        <w:spacing w:after="0" w:line="286" w:lineRule="auto"/>
        <w:tabs>
          <w:tab w:leader="none" w:pos="621"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4,870,250</w:t>
      </w:r>
    </w:p>
    <w:p>
      <w:pPr>
        <w:spacing w:after="0" w:line="87" w:lineRule="exact"/>
        <w:rPr>
          <w:sz w:val="20"/>
          <w:szCs w:val="20"/>
          <w:color w:val="auto"/>
        </w:rPr>
      </w:pPr>
    </w:p>
    <w:p>
      <w:pPr>
        <w:sectPr>
          <w:pgSz w:w="11900" w:h="16838" w:orient="portrait"/>
          <w:cols w:equalWidth="0" w:num="2">
            <w:col w:w="1732" w:space="239"/>
            <w:col w:w="9261"/>
          </w:cols>
          <w:pgMar w:left="328" w:top="1022" w:right="339" w:bottom="1440" w:gutter="0" w:footer="0" w:header="0"/>
          <w:type w:val="continuous"/>
        </w:sectPr>
      </w:pPr>
    </w:p>
    <w:p>
      <w:pPr>
        <w:ind w:left="812" w:right="3500" w:hanging="736"/>
        <w:spacing w:after="0" w:line="286" w:lineRule="auto"/>
        <w:tabs>
          <w:tab w:leader="none" w:pos="812"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4,870,250</w:t>
      </w:r>
    </w:p>
    <w:p>
      <w:pPr>
        <w:spacing w:after="0" w:line="62" w:lineRule="exact"/>
        <w:rPr>
          <w:rFonts w:ascii="Times New Roman" w:cs="Times New Roman" w:eastAsia="Times New Roman" w:hAnsi="Times New Roman"/>
          <w:sz w:val="18"/>
          <w:szCs w:val="18"/>
          <w:b w:val="1"/>
          <w:bCs w:val="1"/>
          <w:color w:val="auto"/>
        </w:rPr>
      </w:pPr>
    </w:p>
    <w:p>
      <w:pPr>
        <w:ind w:left="812" w:hanging="736"/>
        <w:spacing w:after="0" w:line="207" w:lineRule="exact"/>
        <w:tabs>
          <w:tab w:leader="none" w:pos="812"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182" w:lineRule="exact"/>
        <w:rPr>
          <w:rFonts w:ascii="Times New Roman" w:cs="Times New Roman" w:eastAsia="Times New Roman" w:hAnsi="Times New Roman"/>
          <w:sz w:val="18"/>
          <w:szCs w:val="18"/>
          <w:b w:val="1"/>
          <w:bCs w:val="1"/>
          <w:color w:val="auto"/>
        </w:rPr>
      </w:pPr>
    </w:p>
    <w:p>
      <w:pPr>
        <w:ind w:left="812" w:right="5020" w:hanging="736"/>
        <w:spacing w:after="0" w:line="286" w:lineRule="auto"/>
        <w:tabs>
          <w:tab w:leader="none" w:pos="812"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PERCENT OF CLASS REPRESENTED BY AMOUNT IN ROW (11) </w:t>
      </w:r>
      <w:r>
        <w:rPr>
          <w:rFonts w:ascii="Times New Roman" w:cs="Times New Roman" w:eastAsia="Times New Roman" w:hAnsi="Times New Roman"/>
          <w:sz w:val="18"/>
          <w:szCs w:val="18"/>
          <w:color w:val="auto"/>
        </w:rPr>
        <w:t>10.75%*</w:t>
      </w:r>
    </w:p>
    <w:p>
      <w:pPr>
        <w:spacing w:after="0" w:line="87" w:lineRule="exact"/>
        <w:rPr>
          <w:sz w:val="20"/>
          <w:szCs w:val="20"/>
          <w:color w:val="auto"/>
        </w:rPr>
      </w:pPr>
    </w:p>
    <w:p>
      <w:pPr>
        <w:ind w:left="72"/>
        <w:spacing w:after="0"/>
        <w:tabs>
          <w:tab w:leader="none" w:pos="792" w:val="left"/>
        </w:tabs>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TYPE OF REPORTING PERSON</w:t>
      </w:r>
    </w:p>
    <w:p>
      <w:pPr>
        <w:spacing w:after="0" w:line="31" w:lineRule="exact"/>
        <w:rPr>
          <w:sz w:val="20"/>
          <w:szCs w:val="20"/>
          <w:color w:val="auto"/>
        </w:rPr>
      </w:pPr>
    </w:p>
    <w:p>
      <w:pPr>
        <w:ind w:left="812"/>
        <w:spacing w:after="0"/>
        <w:rPr>
          <w:sz w:val="20"/>
          <w:szCs w:val="20"/>
          <w:color w:val="auto"/>
        </w:rPr>
      </w:pPr>
      <w:r>
        <w:rPr>
          <w:rFonts w:ascii="Times New Roman" w:cs="Times New Roman" w:eastAsia="Times New Roman" w:hAnsi="Times New Roman"/>
          <w:sz w:val="18"/>
          <w:szCs w:val="18"/>
          <w:color w:val="auto"/>
        </w:rPr>
        <w:t>PN</w:t>
      </w:r>
    </w:p>
    <w:p>
      <w:pPr>
        <w:spacing w:after="0" w:line="301" w:lineRule="exact"/>
        <w:rPr>
          <w:sz w:val="20"/>
          <w:szCs w:val="20"/>
          <w:color w:val="auto"/>
        </w:rPr>
      </w:pPr>
    </w:p>
    <w:p>
      <w:pPr>
        <w:ind w:left="332" w:hanging="332"/>
        <w:spacing w:after="0" w:line="282" w:lineRule="auto"/>
        <w:tabs>
          <w:tab w:leader="none" w:pos="3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is calculated based on 45,301,990 shares of the Common Stock of the Issuer outstanding as of February 5, 2021, as reported by the Issuer in the 8-K.</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022" w:right="339" w:bottom="1440" w:gutter="0" w:footer="0" w:header="0"/>
          <w:type w:val="continuous"/>
        </w:sectPr>
      </w:pPr>
    </w:p>
    <w:bookmarkStart w:id="3" w:name="page4"/>
    <w:bookmarkEnd w:id="3"/>
    <w:p>
      <w:pPr>
        <w:ind w:left="3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040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040630"/>
                    </a:xfrm>
                    <a:prstGeom prst="rect">
                      <a:avLst/>
                    </a:prstGeom>
                    <a:noFill/>
                  </pic:spPr>
                </pic:pic>
              </a:graphicData>
            </a:graphic>
          </wp:anchor>
        </w:drawing>
        <w:t>CUSIP No. 36870G 105</w:t>
      </w:r>
    </w:p>
    <w:p>
      <w:pPr>
        <w:spacing w:after="0" w:line="185" w:lineRule="exact"/>
        <w:rPr>
          <w:sz w:val="20"/>
          <w:szCs w:val="20"/>
          <w:color w:val="auto"/>
        </w:rPr>
      </w:pPr>
    </w:p>
    <w:p>
      <w:pPr>
        <w:ind w:left="812" w:right="7560" w:hanging="736"/>
        <w:spacing w:after="0" w:line="286" w:lineRule="auto"/>
        <w:tabs>
          <w:tab w:leader="none" w:pos="812"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 OF REPORTING PERSONS </w:t>
      </w:r>
      <w:r>
        <w:rPr>
          <w:rFonts w:ascii="Times New Roman" w:cs="Times New Roman" w:eastAsia="Times New Roman" w:hAnsi="Times New Roman"/>
          <w:sz w:val="18"/>
          <w:szCs w:val="18"/>
          <w:color w:val="auto"/>
        </w:rPr>
        <w:t>Foresite Capital Management V, LLC</w:t>
      </w:r>
    </w:p>
    <w:p>
      <w:pPr>
        <w:spacing w:after="0" w:line="87" w:lineRule="exact"/>
        <w:rPr>
          <w:sz w:val="20"/>
          <w:szCs w:val="20"/>
          <w:color w:val="auto"/>
        </w:rPr>
      </w:pPr>
    </w:p>
    <w:p>
      <w:pPr>
        <w:ind w:left="812" w:hanging="736"/>
        <w:spacing w:after="0"/>
        <w:tabs>
          <w:tab w:leader="none" w:pos="812"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w:t>
      </w:r>
    </w:p>
    <w:p>
      <w:pPr>
        <w:spacing w:after="0" w:line="31" w:lineRule="exact"/>
        <w:rPr>
          <w:rFonts w:ascii="Times New Roman" w:cs="Times New Roman" w:eastAsia="Times New Roman" w:hAnsi="Times New Roman"/>
          <w:sz w:val="18"/>
          <w:szCs w:val="18"/>
          <w:b w:val="1"/>
          <w:bCs w:val="1"/>
          <w:color w:val="auto"/>
        </w:rPr>
      </w:pPr>
    </w:p>
    <w:p>
      <w:pPr>
        <w:ind w:left="812"/>
        <w:spacing w:after="0" w:line="207"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35" w:lineRule="exact"/>
        <w:rPr>
          <w:sz w:val="20"/>
          <w:szCs w:val="20"/>
          <w:color w:val="auto"/>
        </w:rPr>
      </w:pPr>
    </w:p>
    <w:p>
      <w:pPr>
        <w:ind w:left="812" w:hanging="736"/>
        <w:spacing w:after="0"/>
        <w:tabs>
          <w:tab w:leader="none" w:pos="81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158" w:lineRule="exact"/>
        <w:rPr>
          <w:sz w:val="20"/>
          <w:szCs w:val="20"/>
          <w:color w:val="auto"/>
        </w:rPr>
      </w:pPr>
    </w:p>
    <w:p>
      <w:pPr>
        <w:ind w:left="812" w:right="8720" w:hanging="736"/>
        <w:spacing w:after="0" w:line="286" w:lineRule="auto"/>
        <w:tabs>
          <w:tab w:leader="none" w:pos="812"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AF</w:t>
      </w:r>
    </w:p>
    <w:p>
      <w:pPr>
        <w:spacing w:after="0" w:line="63" w:lineRule="exact"/>
        <w:rPr>
          <w:sz w:val="20"/>
          <w:szCs w:val="20"/>
          <w:color w:val="auto"/>
        </w:rPr>
      </w:pPr>
    </w:p>
    <w:p>
      <w:pPr>
        <w:ind w:left="812" w:hanging="736"/>
        <w:spacing w:after="0" w:line="196" w:lineRule="exact"/>
        <w:tabs>
          <w:tab w:leader="none" w:pos="812"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CHECK BOX IF DISCLOSURE OF LEGAL PROCEEDINGS IS REQUIRED PURSUANT TO ITEMS 2(d) or 2(e) </w:t>
      </w:r>
      <w:r>
        <w:rPr>
          <w:rFonts w:ascii="MS PGothic" w:cs="MS PGothic" w:eastAsia="MS PGothic" w:hAnsi="MS PGothic"/>
          <w:sz w:val="17"/>
          <w:szCs w:val="17"/>
          <w:color w:val="auto"/>
        </w:rPr>
        <w:t>☐</w:t>
      </w:r>
    </w:p>
    <w:p>
      <w:pPr>
        <w:spacing w:after="0" w:line="194" w:lineRule="exact"/>
        <w:rPr>
          <w:sz w:val="20"/>
          <w:szCs w:val="20"/>
          <w:color w:val="auto"/>
        </w:rPr>
      </w:pPr>
    </w:p>
    <w:p>
      <w:pPr>
        <w:ind w:left="812" w:right="6500" w:hanging="736"/>
        <w:spacing w:after="0" w:line="286" w:lineRule="auto"/>
        <w:tabs>
          <w:tab w:leader="none" w:pos="812"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Delaware</w:t>
      </w:r>
    </w:p>
    <w:p>
      <w:pPr>
        <w:sectPr>
          <w:pgSz w:w="11900" w:h="16838" w:orient="portrait"/>
          <w:cols w:equalWidth="0" w:num="1">
            <w:col w:w="11232"/>
          </w:cols>
          <w:pgMar w:left="328" w:top="1022"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NUMBER OF</w:t>
      </w:r>
    </w:p>
    <w:p>
      <w:pPr>
        <w:spacing w:after="0" w:line="31"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9"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BENEFICIALLY</w:t>
      </w:r>
    </w:p>
    <w:p>
      <w:pPr>
        <w:spacing w:after="0" w:line="9"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OWNED BY</w:t>
      </w:r>
    </w:p>
    <w:p>
      <w:pPr>
        <w:spacing w:after="0" w:line="9"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7"/>
          <w:szCs w:val="17"/>
          <w:b w:val="1"/>
          <w:bCs w:val="1"/>
          <w:color w:val="auto"/>
        </w:rPr>
        <w:t>EACH REPORTING</w:t>
      </w:r>
    </w:p>
    <w:p>
      <w:pPr>
        <w:spacing w:after="0" w:line="21"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PERSON</w:t>
      </w:r>
    </w:p>
    <w:p>
      <w:pPr>
        <w:spacing w:after="0" w:line="9"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left="621" w:right="6660" w:hanging="621"/>
        <w:spacing w:after="0" w:line="286" w:lineRule="auto"/>
        <w:tabs>
          <w:tab w:leader="none" w:pos="621"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87" w:lineRule="exact"/>
        <w:rPr>
          <w:sz w:val="20"/>
          <w:szCs w:val="20"/>
          <w:color w:val="auto"/>
        </w:rPr>
      </w:pPr>
    </w:p>
    <w:p>
      <w:pPr>
        <w:ind w:left="621" w:right="6380" w:hanging="621"/>
        <w:spacing w:after="0" w:line="286" w:lineRule="auto"/>
        <w:tabs>
          <w:tab w:leader="none" w:pos="621"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VOTING POWER </w:t>
      </w:r>
      <w:r>
        <w:rPr>
          <w:rFonts w:ascii="Times New Roman" w:cs="Times New Roman" w:eastAsia="Times New Roman" w:hAnsi="Times New Roman"/>
          <w:sz w:val="18"/>
          <w:szCs w:val="18"/>
          <w:color w:val="auto"/>
        </w:rPr>
        <w:t>4,870,250</w:t>
      </w:r>
    </w:p>
    <w:p>
      <w:pPr>
        <w:spacing w:after="0" w:line="87" w:lineRule="exact"/>
        <w:rPr>
          <w:sz w:val="20"/>
          <w:szCs w:val="20"/>
          <w:color w:val="auto"/>
        </w:rPr>
      </w:pPr>
    </w:p>
    <w:p>
      <w:pPr>
        <w:ind w:left="621" w:right="6220" w:hanging="621"/>
        <w:spacing w:after="0" w:line="286" w:lineRule="auto"/>
        <w:tabs>
          <w:tab w:leader="none" w:pos="621"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DISPOSITIVE POWER </w:t>
      </w:r>
      <w:r>
        <w:rPr>
          <w:rFonts w:ascii="Times New Roman" w:cs="Times New Roman" w:eastAsia="Times New Roman" w:hAnsi="Times New Roman"/>
          <w:sz w:val="18"/>
          <w:szCs w:val="18"/>
          <w:color w:val="auto"/>
        </w:rPr>
        <w:t>0</w:t>
      </w:r>
    </w:p>
    <w:p>
      <w:pPr>
        <w:spacing w:after="0" w:line="87" w:lineRule="exact"/>
        <w:rPr>
          <w:sz w:val="20"/>
          <w:szCs w:val="20"/>
          <w:color w:val="auto"/>
        </w:rPr>
      </w:pPr>
    </w:p>
    <w:p>
      <w:pPr>
        <w:ind w:left="621" w:right="5960" w:hanging="621"/>
        <w:spacing w:after="0" w:line="286" w:lineRule="auto"/>
        <w:tabs>
          <w:tab w:leader="none" w:pos="621"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4,870,250</w:t>
      </w:r>
    </w:p>
    <w:p>
      <w:pPr>
        <w:spacing w:after="0" w:line="87" w:lineRule="exact"/>
        <w:rPr>
          <w:sz w:val="20"/>
          <w:szCs w:val="20"/>
          <w:color w:val="auto"/>
        </w:rPr>
      </w:pPr>
    </w:p>
    <w:p>
      <w:pPr>
        <w:sectPr>
          <w:pgSz w:w="11900" w:h="16838" w:orient="portrait"/>
          <w:cols w:equalWidth="0" w:num="2">
            <w:col w:w="1732" w:space="239"/>
            <w:col w:w="9261"/>
          </w:cols>
          <w:pgMar w:left="328" w:top="1022" w:right="339" w:bottom="1440" w:gutter="0" w:footer="0" w:header="0"/>
          <w:type w:val="continuous"/>
        </w:sectPr>
      </w:pPr>
    </w:p>
    <w:p>
      <w:pPr>
        <w:ind w:left="812" w:right="3500" w:hanging="736"/>
        <w:spacing w:after="0" w:line="286" w:lineRule="auto"/>
        <w:tabs>
          <w:tab w:leader="none" w:pos="81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4,870,250</w:t>
      </w:r>
    </w:p>
    <w:p>
      <w:pPr>
        <w:spacing w:after="0" w:line="62" w:lineRule="exact"/>
        <w:rPr>
          <w:rFonts w:ascii="Times New Roman" w:cs="Times New Roman" w:eastAsia="Times New Roman" w:hAnsi="Times New Roman"/>
          <w:sz w:val="18"/>
          <w:szCs w:val="18"/>
          <w:b w:val="1"/>
          <w:bCs w:val="1"/>
          <w:color w:val="auto"/>
        </w:rPr>
      </w:pPr>
    </w:p>
    <w:p>
      <w:pPr>
        <w:ind w:left="812" w:hanging="736"/>
        <w:spacing w:after="0" w:line="207" w:lineRule="exact"/>
        <w:tabs>
          <w:tab w:leader="none" w:pos="81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182" w:lineRule="exact"/>
        <w:rPr>
          <w:rFonts w:ascii="Times New Roman" w:cs="Times New Roman" w:eastAsia="Times New Roman" w:hAnsi="Times New Roman"/>
          <w:sz w:val="18"/>
          <w:szCs w:val="18"/>
          <w:b w:val="1"/>
          <w:bCs w:val="1"/>
          <w:color w:val="auto"/>
        </w:rPr>
      </w:pPr>
    </w:p>
    <w:p>
      <w:pPr>
        <w:ind w:left="812" w:right="5020" w:hanging="736"/>
        <w:spacing w:after="0" w:line="286" w:lineRule="auto"/>
        <w:tabs>
          <w:tab w:leader="none" w:pos="81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PERCENT OF CLASS REPRESENTED BY AMOUNT IN ROW (11) </w:t>
      </w:r>
      <w:r>
        <w:rPr>
          <w:rFonts w:ascii="Times New Roman" w:cs="Times New Roman" w:eastAsia="Times New Roman" w:hAnsi="Times New Roman"/>
          <w:sz w:val="18"/>
          <w:szCs w:val="18"/>
          <w:color w:val="auto"/>
        </w:rPr>
        <w:t>10.75%*</w:t>
      </w:r>
    </w:p>
    <w:p>
      <w:pPr>
        <w:spacing w:after="0" w:line="87" w:lineRule="exact"/>
        <w:rPr>
          <w:sz w:val="20"/>
          <w:szCs w:val="20"/>
          <w:color w:val="auto"/>
        </w:rPr>
      </w:pPr>
    </w:p>
    <w:p>
      <w:pPr>
        <w:ind w:left="72"/>
        <w:spacing w:after="0"/>
        <w:tabs>
          <w:tab w:leader="none" w:pos="792" w:val="left"/>
        </w:tabs>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TYPE OF REPORTING PERSON</w:t>
      </w:r>
    </w:p>
    <w:p>
      <w:pPr>
        <w:spacing w:after="0" w:line="31" w:lineRule="exact"/>
        <w:rPr>
          <w:sz w:val="20"/>
          <w:szCs w:val="20"/>
          <w:color w:val="auto"/>
        </w:rPr>
      </w:pPr>
    </w:p>
    <w:p>
      <w:pPr>
        <w:ind w:left="812"/>
        <w:spacing w:after="0"/>
        <w:rPr>
          <w:sz w:val="20"/>
          <w:szCs w:val="20"/>
          <w:color w:val="auto"/>
        </w:rPr>
      </w:pPr>
      <w:r>
        <w:rPr>
          <w:rFonts w:ascii="Times New Roman" w:cs="Times New Roman" w:eastAsia="Times New Roman" w:hAnsi="Times New Roman"/>
          <w:sz w:val="18"/>
          <w:szCs w:val="18"/>
          <w:color w:val="auto"/>
        </w:rPr>
        <w:t>OO</w:t>
      </w:r>
    </w:p>
    <w:p>
      <w:pPr>
        <w:spacing w:after="0" w:line="301" w:lineRule="exact"/>
        <w:rPr>
          <w:sz w:val="20"/>
          <w:szCs w:val="20"/>
          <w:color w:val="auto"/>
        </w:rPr>
      </w:pPr>
    </w:p>
    <w:p>
      <w:pPr>
        <w:ind w:left="332" w:hanging="332"/>
        <w:spacing w:after="0" w:line="282" w:lineRule="auto"/>
        <w:tabs>
          <w:tab w:leader="none" w:pos="3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is calculated based on 45,301,990 shares of the Common Stock of the Issuer outstanding as of February 5, 2021, as reported by the Issuer in the 8-K.</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022" w:right="339" w:bottom="1440" w:gutter="0" w:footer="0" w:header="0"/>
          <w:type w:val="continuous"/>
        </w:sectPr>
      </w:pPr>
    </w:p>
    <w:bookmarkStart w:id="4" w:name="page5"/>
    <w:bookmarkEnd w:id="4"/>
    <w:p>
      <w:pPr>
        <w:ind w:left="3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040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040630"/>
                    </a:xfrm>
                    <a:prstGeom prst="rect">
                      <a:avLst/>
                    </a:prstGeom>
                    <a:noFill/>
                  </pic:spPr>
                </pic:pic>
              </a:graphicData>
            </a:graphic>
          </wp:anchor>
        </w:drawing>
        <w:t>CUSIP No. 36870G 105</w:t>
      </w:r>
    </w:p>
    <w:p>
      <w:pPr>
        <w:spacing w:after="0" w:line="185" w:lineRule="exact"/>
        <w:rPr>
          <w:sz w:val="20"/>
          <w:szCs w:val="20"/>
          <w:color w:val="auto"/>
        </w:rPr>
      </w:pPr>
    </w:p>
    <w:p>
      <w:pPr>
        <w:ind w:left="812" w:right="7420" w:hanging="736"/>
        <w:spacing w:after="0" w:line="317" w:lineRule="auto"/>
        <w:tabs>
          <w:tab w:leader="none" w:pos="812"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 OF REPORTING PERSONS </w:t>
      </w:r>
      <w:r>
        <w:rPr>
          <w:rFonts w:ascii="Times New Roman" w:cs="Times New Roman" w:eastAsia="Times New Roman" w:hAnsi="Times New Roman"/>
          <w:sz w:val="17"/>
          <w:szCs w:val="17"/>
          <w:color w:val="auto"/>
        </w:rPr>
        <w:t>Foresite Capital Opportunity Fund V, L.P.</w:t>
      </w:r>
    </w:p>
    <w:p>
      <w:pPr>
        <w:spacing w:after="0" w:line="64" w:lineRule="exact"/>
        <w:rPr>
          <w:sz w:val="20"/>
          <w:szCs w:val="20"/>
          <w:color w:val="auto"/>
        </w:rPr>
      </w:pPr>
    </w:p>
    <w:p>
      <w:pPr>
        <w:ind w:left="812" w:hanging="736"/>
        <w:spacing w:after="0"/>
        <w:tabs>
          <w:tab w:leader="none" w:pos="812"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w:t>
      </w:r>
    </w:p>
    <w:p>
      <w:pPr>
        <w:spacing w:after="0" w:line="31" w:lineRule="exact"/>
        <w:rPr>
          <w:rFonts w:ascii="Times New Roman" w:cs="Times New Roman" w:eastAsia="Times New Roman" w:hAnsi="Times New Roman"/>
          <w:sz w:val="18"/>
          <w:szCs w:val="18"/>
          <w:b w:val="1"/>
          <w:bCs w:val="1"/>
          <w:color w:val="auto"/>
        </w:rPr>
      </w:pPr>
    </w:p>
    <w:p>
      <w:pPr>
        <w:ind w:left="812"/>
        <w:spacing w:after="0" w:line="207"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35" w:lineRule="exact"/>
        <w:rPr>
          <w:sz w:val="20"/>
          <w:szCs w:val="20"/>
          <w:color w:val="auto"/>
        </w:rPr>
      </w:pPr>
    </w:p>
    <w:p>
      <w:pPr>
        <w:ind w:left="812" w:hanging="736"/>
        <w:spacing w:after="0"/>
        <w:tabs>
          <w:tab w:leader="none" w:pos="812"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158" w:lineRule="exact"/>
        <w:rPr>
          <w:sz w:val="20"/>
          <w:szCs w:val="20"/>
          <w:color w:val="auto"/>
        </w:rPr>
      </w:pPr>
    </w:p>
    <w:p>
      <w:pPr>
        <w:ind w:left="812" w:right="8720" w:hanging="736"/>
        <w:spacing w:after="0" w:line="286" w:lineRule="auto"/>
        <w:tabs>
          <w:tab w:leader="none" w:pos="812"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WC</w:t>
      </w:r>
    </w:p>
    <w:p>
      <w:pPr>
        <w:spacing w:after="0" w:line="63" w:lineRule="exact"/>
        <w:rPr>
          <w:sz w:val="20"/>
          <w:szCs w:val="20"/>
          <w:color w:val="auto"/>
        </w:rPr>
      </w:pPr>
    </w:p>
    <w:p>
      <w:pPr>
        <w:ind w:left="812" w:hanging="736"/>
        <w:spacing w:after="0" w:line="196" w:lineRule="exact"/>
        <w:tabs>
          <w:tab w:leader="none" w:pos="812"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CHECK BOX IF DISCLOSURE OF LEGAL PROCEEDINGS IS REQUIRED PURSUANT TO ITEMS 2(d) or 2(e) </w:t>
      </w:r>
      <w:r>
        <w:rPr>
          <w:rFonts w:ascii="MS PGothic" w:cs="MS PGothic" w:eastAsia="MS PGothic" w:hAnsi="MS PGothic"/>
          <w:sz w:val="17"/>
          <w:szCs w:val="17"/>
          <w:color w:val="auto"/>
        </w:rPr>
        <w:t>☐</w:t>
      </w:r>
    </w:p>
    <w:p>
      <w:pPr>
        <w:spacing w:after="0" w:line="194" w:lineRule="exact"/>
        <w:rPr>
          <w:sz w:val="20"/>
          <w:szCs w:val="20"/>
          <w:color w:val="auto"/>
        </w:rPr>
      </w:pPr>
    </w:p>
    <w:p>
      <w:pPr>
        <w:ind w:left="812" w:right="6500" w:hanging="736"/>
        <w:spacing w:after="0" w:line="286" w:lineRule="auto"/>
        <w:tabs>
          <w:tab w:leader="none" w:pos="812"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Delaware</w:t>
      </w:r>
    </w:p>
    <w:p>
      <w:pPr>
        <w:sectPr>
          <w:pgSz w:w="11900" w:h="16838" w:orient="portrait"/>
          <w:cols w:equalWidth="0" w:num="1">
            <w:col w:w="11232"/>
          </w:cols>
          <w:pgMar w:left="328" w:top="1022"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NUMBER OF</w:t>
      </w:r>
    </w:p>
    <w:p>
      <w:pPr>
        <w:spacing w:after="0" w:line="31"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9"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BENEFICIALLY</w:t>
      </w:r>
    </w:p>
    <w:p>
      <w:pPr>
        <w:spacing w:after="0" w:line="9"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OWNED BY</w:t>
      </w:r>
    </w:p>
    <w:p>
      <w:pPr>
        <w:spacing w:after="0" w:line="9"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7"/>
          <w:szCs w:val="17"/>
          <w:b w:val="1"/>
          <w:bCs w:val="1"/>
          <w:color w:val="auto"/>
        </w:rPr>
        <w:t>EACH REPORTING</w:t>
      </w:r>
    </w:p>
    <w:p>
      <w:pPr>
        <w:spacing w:after="0" w:line="21"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PERSON</w:t>
      </w:r>
    </w:p>
    <w:p>
      <w:pPr>
        <w:spacing w:after="0" w:line="9"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left="621" w:right="6660" w:hanging="621"/>
        <w:spacing w:after="0" w:line="286" w:lineRule="auto"/>
        <w:tabs>
          <w:tab w:leader="none" w:pos="621"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87" w:lineRule="exact"/>
        <w:rPr>
          <w:sz w:val="20"/>
          <w:szCs w:val="20"/>
          <w:color w:val="auto"/>
        </w:rPr>
      </w:pPr>
    </w:p>
    <w:p>
      <w:pPr>
        <w:ind w:left="621" w:right="6380" w:hanging="621"/>
        <w:spacing w:after="0" w:line="286" w:lineRule="auto"/>
        <w:tabs>
          <w:tab w:leader="none" w:pos="621"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VOTING POWER </w:t>
      </w:r>
      <w:r>
        <w:rPr>
          <w:rFonts w:ascii="Times New Roman" w:cs="Times New Roman" w:eastAsia="Times New Roman" w:hAnsi="Times New Roman"/>
          <w:sz w:val="18"/>
          <w:szCs w:val="18"/>
          <w:color w:val="auto"/>
        </w:rPr>
        <w:t>4,870,250</w:t>
      </w:r>
    </w:p>
    <w:p>
      <w:pPr>
        <w:spacing w:after="0" w:line="87" w:lineRule="exact"/>
        <w:rPr>
          <w:sz w:val="20"/>
          <w:szCs w:val="20"/>
          <w:color w:val="auto"/>
        </w:rPr>
      </w:pPr>
    </w:p>
    <w:p>
      <w:pPr>
        <w:ind w:left="621" w:right="6220" w:hanging="621"/>
        <w:spacing w:after="0" w:line="286" w:lineRule="auto"/>
        <w:tabs>
          <w:tab w:leader="none" w:pos="621"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DISPOSITIVE POWER </w:t>
      </w:r>
      <w:r>
        <w:rPr>
          <w:rFonts w:ascii="Times New Roman" w:cs="Times New Roman" w:eastAsia="Times New Roman" w:hAnsi="Times New Roman"/>
          <w:sz w:val="18"/>
          <w:szCs w:val="18"/>
          <w:color w:val="auto"/>
        </w:rPr>
        <w:t>0</w:t>
      </w:r>
    </w:p>
    <w:p>
      <w:pPr>
        <w:spacing w:after="0" w:line="87" w:lineRule="exact"/>
        <w:rPr>
          <w:sz w:val="20"/>
          <w:szCs w:val="20"/>
          <w:color w:val="auto"/>
        </w:rPr>
      </w:pPr>
    </w:p>
    <w:p>
      <w:pPr>
        <w:ind w:left="621" w:right="5960" w:hanging="621"/>
        <w:spacing w:after="0" w:line="286" w:lineRule="auto"/>
        <w:tabs>
          <w:tab w:leader="none" w:pos="621"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4,870,250</w:t>
      </w:r>
    </w:p>
    <w:p>
      <w:pPr>
        <w:spacing w:after="0" w:line="87" w:lineRule="exact"/>
        <w:rPr>
          <w:sz w:val="20"/>
          <w:szCs w:val="20"/>
          <w:color w:val="auto"/>
        </w:rPr>
      </w:pPr>
    </w:p>
    <w:p>
      <w:pPr>
        <w:sectPr>
          <w:pgSz w:w="11900" w:h="16838" w:orient="portrait"/>
          <w:cols w:equalWidth="0" w:num="2">
            <w:col w:w="1732" w:space="239"/>
            <w:col w:w="9261"/>
          </w:cols>
          <w:pgMar w:left="328" w:top="1022" w:right="339" w:bottom="1440" w:gutter="0" w:footer="0" w:header="0"/>
          <w:type w:val="continuous"/>
        </w:sectPr>
      </w:pPr>
    </w:p>
    <w:p>
      <w:pPr>
        <w:ind w:left="812" w:right="3500" w:hanging="736"/>
        <w:spacing w:after="0" w:line="286" w:lineRule="auto"/>
        <w:tabs>
          <w:tab w:leader="none" w:pos="812"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4,870,250</w:t>
      </w:r>
    </w:p>
    <w:p>
      <w:pPr>
        <w:spacing w:after="0" w:line="62" w:lineRule="exact"/>
        <w:rPr>
          <w:rFonts w:ascii="Times New Roman" w:cs="Times New Roman" w:eastAsia="Times New Roman" w:hAnsi="Times New Roman"/>
          <w:sz w:val="18"/>
          <w:szCs w:val="18"/>
          <w:b w:val="1"/>
          <w:bCs w:val="1"/>
          <w:color w:val="auto"/>
        </w:rPr>
      </w:pPr>
    </w:p>
    <w:p>
      <w:pPr>
        <w:ind w:left="812" w:hanging="736"/>
        <w:spacing w:after="0" w:line="207" w:lineRule="exact"/>
        <w:tabs>
          <w:tab w:leader="none" w:pos="812"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182" w:lineRule="exact"/>
        <w:rPr>
          <w:rFonts w:ascii="Times New Roman" w:cs="Times New Roman" w:eastAsia="Times New Roman" w:hAnsi="Times New Roman"/>
          <w:sz w:val="18"/>
          <w:szCs w:val="18"/>
          <w:b w:val="1"/>
          <w:bCs w:val="1"/>
          <w:color w:val="auto"/>
        </w:rPr>
      </w:pPr>
    </w:p>
    <w:p>
      <w:pPr>
        <w:ind w:left="812" w:right="5020" w:hanging="736"/>
        <w:spacing w:after="0" w:line="286" w:lineRule="auto"/>
        <w:tabs>
          <w:tab w:leader="none" w:pos="812"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PERCENT OF CLASS REPRESENTED BY AMOUNT IN ROW (11) </w:t>
      </w:r>
      <w:r>
        <w:rPr>
          <w:rFonts w:ascii="Times New Roman" w:cs="Times New Roman" w:eastAsia="Times New Roman" w:hAnsi="Times New Roman"/>
          <w:sz w:val="18"/>
          <w:szCs w:val="18"/>
          <w:color w:val="auto"/>
        </w:rPr>
        <w:t>10.75%*</w:t>
      </w:r>
    </w:p>
    <w:p>
      <w:pPr>
        <w:spacing w:after="0" w:line="87" w:lineRule="exact"/>
        <w:rPr>
          <w:sz w:val="20"/>
          <w:szCs w:val="20"/>
          <w:color w:val="auto"/>
        </w:rPr>
      </w:pPr>
    </w:p>
    <w:p>
      <w:pPr>
        <w:ind w:left="72"/>
        <w:spacing w:after="0"/>
        <w:tabs>
          <w:tab w:leader="none" w:pos="792" w:val="left"/>
        </w:tabs>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TYPE OF REPORTING PERSON</w:t>
      </w:r>
    </w:p>
    <w:p>
      <w:pPr>
        <w:spacing w:after="0" w:line="31" w:lineRule="exact"/>
        <w:rPr>
          <w:sz w:val="20"/>
          <w:szCs w:val="20"/>
          <w:color w:val="auto"/>
        </w:rPr>
      </w:pPr>
    </w:p>
    <w:p>
      <w:pPr>
        <w:ind w:left="812"/>
        <w:spacing w:after="0"/>
        <w:rPr>
          <w:sz w:val="20"/>
          <w:szCs w:val="20"/>
          <w:color w:val="auto"/>
        </w:rPr>
      </w:pPr>
      <w:r>
        <w:rPr>
          <w:rFonts w:ascii="Times New Roman" w:cs="Times New Roman" w:eastAsia="Times New Roman" w:hAnsi="Times New Roman"/>
          <w:sz w:val="18"/>
          <w:szCs w:val="18"/>
          <w:color w:val="auto"/>
        </w:rPr>
        <w:t>PN</w:t>
      </w:r>
    </w:p>
    <w:p>
      <w:pPr>
        <w:spacing w:after="0" w:line="301" w:lineRule="exact"/>
        <w:rPr>
          <w:sz w:val="20"/>
          <w:szCs w:val="20"/>
          <w:color w:val="auto"/>
        </w:rPr>
      </w:pPr>
    </w:p>
    <w:p>
      <w:pPr>
        <w:ind w:left="332" w:hanging="332"/>
        <w:spacing w:after="0" w:line="282" w:lineRule="auto"/>
        <w:tabs>
          <w:tab w:leader="none" w:pos="3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is calculated based on 45,301,990 shares of the Common Stock of the Issuer outstanding as of February 5, 2021, as reported by the Issuer in the 8-K.</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022" w:right="339" w:bottom="1440" w:gutter="0" w:footer="0" w:header="0"/>
          <w:type w:val="continuous"/>
        </w:sectPr>
      </w:pPr>
    </w:p>
    <w:bookmarkStart w:id="5" w:name="page6"/>
    <w:bookmarkEnd w:id="5"/>
    <w:p>
      <w:pPr>
        <w:ind w:left="3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040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040630"/>
                    </a:xfrm>
                    <a:prstGeom prst="rect">
                      <a:avLst/>
                    </a:prstGeom>
                    <a:noFill/>
                  </pic:spPr>
                </pic:pic>
              </a:graphicData>
            </a:graphic>
          </wp:anchor>
        </w:drawing>
        <w:t>CUSIP No. 36870G 105</w:t>
      </w:r>
    </w:p>
    <w:p>
      <w:pPr>
        <w:spacing w:after="0" w:line="185" w:lineRule="exact"/>
        <w:rPr>
          <w:sz w:val="20"/>
          <w:szCs w:val="20"/>
          <w:color w:val="auto"/>
        </w:rPr>
      </w:pPr>
    </w:p>
    <w:p>
      <w:pPr>
        <w:ind w:left="812" w:hanging="736"/>
        <w:spacing w:after="0"/>
        <w:tabs>
          <w:tab w:leader="none" w:pos="812"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REPORTING PERSONS</w:t>
      </w:r>
    </w:p>
    <w:p>
      <w:pPr>
        <w:spacing w:after="0" w:line="31" w:lineRule="exact"/>
        <w:rPr>
          <w:rFonts w:ascii="Times New Roman" w:cs="Times New Roman" w:eastAsia="Times New Roman" w:hAnsi="Times New Roman"/>
          <w:sz w:val="18"/>
          <w:szCs w:val="18"/>
          <w:b w:val="1"/>
          <w:bCs w:val="1"/>
          <w:color w:val="auto"/>
        </w:rPr>
      </w:pPr>
    </w:p>
    <w:p>
      <w:pPr>
        <w:ind w:left="81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Foresite Capital Opportunity Management V, LLC</w:t>
      </w:r>
    </w:p>
    <w:p>
      <w:pPr>
        <w:spacing w:after="0" w:line="135" w:lineRule="exact"/>
        <w:rPr>
          <w:sz w:val="20"/>
          <w:szCs w:val="20"/>
          <w:color w:val="auto"/>
        </w:rPr>
      </w:pPr>
    </w:p>
    <w:p>
      <w:pPr>
        <w:ind w:left="812" w:hanging="736"/>
        <w:spacing w:after="0"/>
        <w:tabs>
          <w:tab w:leader="none" w:pos="812"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w:t>
      </w:r>
    </w:p>
    <w:p>
      <w:pPr>
        <w:spacing w:after="0" w:line="31" w:lineRule="exact"/>
        <w:rPr>
          <w:rFonts w:ascii="Times New Roman" w:cs="Times New Roman" w:eastAsia="Times New Roman" w:hAnsi="Times New Roman"/>
          <w:sz w:val="18"/>
          <w:szCs w:val="18"/>
          <w:b w:val="1"/>
          <w:bCs w:val="1"/>
          <w:color w:val="auto"/>
        </w:rPr>
      </w:pPr>
    </w:p>
    <w:p>
      <w:pPr>
        <w:ind w:left="812"/>
        <w:spacing w:after="0" w:line="207"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35" w:lineRule="exact"/>
        <w:rPr>
          <w:sz w:val="20"/>
          <w:szCs w:val="20"/>
          <w:color w:val="auto"/>
        </w:rPr>
      </w:pPr>
    </w:p>
    <w:p>
      <w:pPr>
        <w:ind w:left="812" w:hanging="736"/>
        <w:spacing w:after="0"/>
        <w:tabs>
          <w:tab w:leader="none" w:pos="812"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158" w:lineRule="exact"/>
        <w:rPr>
          <w:sz w:val="20"/>
          <w:szCs w:val="20"/>
          <w:color w:val="auto"/>
        </w:rPr>
      </w:pPr>
    </w:p>
    <w:p>
      <w:pPr>
        <w:ind w:left="812" w:right="8720" w:hanging="736"/>
        <w:spacing w:after="0" w:line="286" w:lineRule="auto"/>
        <w:tabs>
          <w:tab w:leader="none" w:pos="812"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AF</w:t>
      </w:r>
    </w:p>
    <w:p>
      <w:pPr>
        <w:spacing w:after="0" w:line="63" w:lineRule="exact"/>
        <w:rPr>
          <w:sz w:val="20"/>
          <w:szCs w:val="20"/>
          <w:color w:val="auto"/>
        </w:rPr>
      </w:pPr>
    </w:p>
    <w:p>
      <w:pPr>
        <w:ind w:left="812" w:hanging="736"/>
        <w:spacing w:after="0" w:line="196" w:lineRule="exact"/>
        <w:tabs>
          <w:tab w:leader="none" w:pos="812"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CHECK BOX IF DISCLOSURE OF LEGAL PROCEEDINGS IS REQUIRED PURSUANT TO ITEMS 2(d) or 2(e) </w:t>
      </w:r>
      <w:r>
        <w:rPr>
          <w:rFonts w:ascii="MS PGothic" w:cs="MS PGothic" w:eastAsia="MS PGothic" w:hAnsi="MS PGothic"/>
          <w:sz w:val="17"/>
          <w:szCs w:val="17"/>
          <w:color w:val="auto"/>
        </w:rPr>
        <w:t>☐</w:t>
      </w:r>
    </w:p>
    <w:p>
      <w:pPr>
        <w:spacing w:after="0" w:line="194" w:lineRule="exact"/>
        <w:rPr>
          <w:sz w:val="20"/>
          <w:szCs w:val="20"/>
          <w:color w:val="auto"/>
        </w:rPr>
      </w:pPr>
    </w:p>
    <w:p>
      <w:pPr>
        <w:ind w:left="812" w:right="6500" w:hanging="736"/>
        <w:spacing w:after="0" w:line="286" w:lineRule="auto"/>
        <w:tabs>
          <w:tab w:leader="none" w:pos="812"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Delaware</w:t>
      </w:r>
    </w:p>
    <w:p>
      <w:pPr>
        <w:sectPr>
          <w:pgSz w:w="11900" w:h="16838" w:orient="portrait"/>
          <w:cols w:equalWidth="0" w:num="1">
            <w:col w:w="11232"/>
          </w:cols>
          <w:pgMar w:left="328" w:top="1022"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NUMBER OF</w:t>
      </w:r>
    </w:p>
    <w:p>
      <w:pPr>
        <w:spacing w:after="0" w:line="31"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9"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BENEFICIALLY</w:t>
      </w:r>
    </w:p>
    <w:p>
      <w:pPr>
        <w:spacing w:after="0" w:line="9"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OWNED BY</w:t>
      </w:r>
    </w:p>
    <w:p>
      <w:pPr>
        <w:spacing w:after="0" w:line="9"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7"/>
          <w:szCs w:val="17"/>
          <w:b w:val="1"/>
          <w:bCs w:val="1"/>
          <w:color w:val="auto"/>
        </w:rPr>
        <w:t>EACH REPORTING</w:t>
      </w:r>
    </w:p>
    <w:p>
      <w:pPr>
        <w:spacing w:after="0" w:line="21"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PERSON</w:t>
      </w:r>
    </w:p>
    <w:p>
      <w:pPr>
        <w:spacing w:after="0" w:line="9"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left="621" w:right="6660" w:hanging="621"/>
        <w:spacing w:after="0" w:line="286" w:lineRule="auto"/>
        <w:tabs>
          <w:tab w:leader="none" w:pos="621"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87" w:lineRule="exact"/>
        <w:rPr>
          <w:sz w:val="20"/>
          <w:szCs w:val="20"/>
          <w:color w:val="auto"/>
        </w:rPr>
      </w:pPr>
    </w:p>
    <w:p>
      <w:pPr>
        <w:ind w:left="621" w:right="6380" w:hanging="621"/>
        <w:spacing w:after="0" w:line="286" w:lineRule="auto"/>
        <w:tabs>
          <w:tab w:leader="none" w:pos="621"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VOTING POWER </w:t>
      </w:r>
      <w:r>
        <w:rPr>
          <w:rFonts w:ascii="Times New Roman" w:cs="Times New Roman" w:eastAsia="Times New Roman" w:hAnsi="Times New Roman"/>
          <w:sz w:val="18"/>
          <w:szCs w:val="18"/>
          <w:color w:val="auto"/>
        </w:rPr>
        <w:t>4,870,250</w:t>
      </w:r>
    </w:p>
    <w:p>
      <w:pPr>
        <w:spacing w:after="0" w:line="87" w:lineRule="exact"/>
        <w:rPr>
          <w:sz w:val="20"/>
          <w:szCs w:val="20"/>
          <w:color w:val="auto"/>
        </w:rPr>
      </w:pPr>
    </w:p>
    <w:p>
      <w:pPr>
        <w:ind w:left="621" w:right="6220" w:hanging="621"/>
        <w:spacing w:after="0" w:line="286" w:lineRule="auto"/>
        <w:tabs>
          <w:tab w:leader="none" w:pos="621"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DISPOSITIVE POWER </w:t>
      </w:r>
      <w:r>
        <w:rPr>
          <w:rFonts w:ascii="Times New Roman" w:cs="Times New Roman" w:eastAsia="Times New Roman" w:hAnsi="Times New Roman"/>
          <w:sz w:val="18"/>
          <w:szCs w:val="18"/>
          <w:color w:val="auto"/>
        </w:rPr>
        <w:t>0</w:t>
      </w:r>
    </w:p>
    <w:p>
      <w:pPr>
        <w:spacing w:after="0" w:line="87" w:lineRule="exact"/>
        <w:rPr>
          <w:sz w:val="20"/>
          <w:szCs w:val="20"/>
          <w:color w:val="auto"/>
        </w:rPr>
      </w:pPr>
    </w:p>
    <w:p>
      <w:pPr>
        <w:ind w:left="621" w:right="5960" w:hanging="621"/>
        <w:spacing w:after="0" w:line="286" w:lineRule="auto"/>
        <w:tabs>
          <w:tab w:leader="none" w:pos="621"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4,870,250</w:t>
      </w:r>
    </w:p>
    <w:p>
      <w:pPr>
        <w:spacing w:after="0" w:line="87" w:lineRule="exact"/>
        <w:rPr>
          <w:sz w:val="20"/>
          <w:szCs w:val="20"/>
          <w:color w:val="auto"/>
        </w:rPr>
      </w:pPr>
    </w:p>
    <w:p>
      <w:pPr>
        <w:sectPr>
          <w:pgSz w:w="11900" w:h="16838" w:orient="portrait"/>
          <w:cols w:equalWidth="0" w:num="2">
            <w:col w:w="1732" w:space="239"/>
            <w:col w:w="9261"/>
          </w:cols>
          <w:pgMar w:left="328" w:top="1022" w:right="339" w:bottom="1440" w:gutter="0" w:footer="0" w:header="0"/>
          <w:type w:val="continuous"/>
        </w:sectPr>
      </w:pPr>
    </w:p>
    <w:p>
      <w:pPr>
        <w:ind w:left="812" w:right="3500" w:hanging="736"/>
        <w:spacing w:after="0" w:line="286" w:lineRule="auto"/>
        <w:tabs>
          <w:tab w:leader="none" w:pos="812"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4,870,250</w:t>
      </w:r>
    </w:p>
    <w:p>
      <w:pPr>
        <w:spacing w:after="0" w:line="62" w:lineRule="exact"/>
        <w:rPr>
          <w:rFonts w:ascii="Times New Roman" w:cs="Times New Roman" w:eastAsia="Times New Roman" w:hAnsi="Times New Roman"/>
          <w:sz w:val="18"/>
          <w:szCs w:val="18"/>
          <w:b w:val="1"/>
          <w:bCs w:val="1"/>
          <w:color w:val="auto"/>
        </w:rPr>
      </w:pPr>
    </w:p>
    <w:p>
      <w:pPr>
        <w:ind w:left="812" w:hanging="736"/>
        <w:spacing w:after="0" w:line="207" w:lineRule="exact"/>
        <w:tabs>
          <w:tab w:leader="none" w:pos="812"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182" w:lineRule="exact"/>
        <w:rPr>
          <w:rFonts w:ascii="Times New Roman" w:cs="Times New Roman" w:eastAsia="Times New Roman" w:hAnsi="Times New Roman"/>
          <w:sz w:val="18"/>
          <w:szCs w:val="18"/>
          <w:b w:val="1"/>
          <w:bCs w:val="1"/>
          <w:color w:val="auto"/>
        </w:rPr>
      </w:pPr>
    </w:p>
    <w:p>
      <w:pPr>
        <w:ind w:left="812" w:right="5020" w:hanging="736"/>
        <w:spacing w:after="0" w:line="286" w:lineRule="auto"/>
        <w:tabs>
          <w:tab w:leader="none" w:pos="812"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PERCENT OF CLASS REPRESENTED BY AMOUNT IN ROW (11) </w:t>
      </w:r>
      <w:r>
        <w:rPr>
          <w:rFonts w:ascii="Times New Roman" w:cs="Times New Roman" w:eastAsia="Times New Roman" w:hAnsi="Times New Roman"/>
          <w:sz w:val="18"/>
          <w:szCs w:val="18"/>
          <w:color w:val="auto"/>
        </w:rPr>
        <w:t>10.75%*</w:t>
      </w:r>
    </w:p>
    <w:p>
      <w:pPr>
        <w:spacing w:after="0" w:line="87" w:lineRule="exact"/>
        <w:rPr>
          <w:sz w:val="20"/>
          <w:szCs w:val="20"/>
          <w:color w:val="auto"/>
        </w:rPr>
      </w:pPr>
    </w:p>
    <w:p>
      <w:pPr>
        <w:ind w:left="72"/>
        <w:spacing w:after="0"/>
        <w:tabs>
          <w:tab w:leader="none" w:pos="792" w:val="left"/>
        </w:tabs>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TYPE OF REPORTING PERSON</w:t>
      </w:r>
    </w:p>
    <w:p>
      <w:pPr>
        <w:spacing w:after="0" w:line="31" w:lineRule="exact"/>
        <w:rPr>
          <w:sz w:val="20"/>
          <w:szCs w:val="20"/>
          <w:color w:val="auto"/>
        </w:rPr>
      </w:pPr>
    </w:p>
    <w:p>
      <w:pPr>
        <w:ind w:left="812"/>
        <w:spacing w:after="0"/>
        <w:rPr>
          <w:sz w:val="20"/>
          <w:szCs w:val="20"/>
          <w:color w:val="auto"/>
        </w:rPr>
      </w:pPr>
      <w:r>
        <w:rPr>
          <w:rFonts w:ascii="Times New Roman" w:cs="Times New Roman" w:eastAsia="Times New Roman" w:hAnsi="Times New Roman"/>
          <w:sz w:val="18"/>
          <w:szCs w:val="18"/>
          <w:color w:val="auto"/>
        </w:rPr>
        <w:t>OO</w:t>
      </w:r>
    </w:p>
    <w:p>
      <w:pPr>
        <w:spacing w:after="0" w:line="301" w:lineRule="exact"/>
        <w:rPr>
          <w:sz w:val="20"/>
          <w:szCs w:val="20"/>
          <w:color w:val="auto"/>
        </w:rPr>
      </w:pPr>
    </w:p>
    <w:p>
      <w:pPr>
        <w:ind w:left="332" w:hanging="332"/>
        <w:spacing w:after="0" w:line="282" w:lineRule="auto"/>
        <w:tabs>
          <w:tab w:leader="none" w:pos="33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is calculated based on 45,301,990 shares of the Common Stock of the Issuer outstanding as of February 5, 2021, as reported by the Issuer in the 8-K.</w:t>
      </w:r>
    </w:p>
    <w:p>
      <w:pPr>
        <w:spacing w:after="0" w:line="3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022" w:right="339" w:bottom="1440" w:gutter="0" w:footer="0" w:header="0"/>
          <w:type w:val="continuous"/>
        </w:sectPr>
      </w:pPr>
    </w:p>
    <w:bookmarkStart w:id="6" w:name="page7"/>
    <w:bookmarkEnd w:id="6"/>
    <w:p>
      <w:pPr>
        <w:ind w:left="3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5040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040630"/>
                    </a:xfrm>
                    <a:prstGeom prst="rect">
                      <a:avLst/>
                    </a:prstGeom>
                    <a:noFill/>
                  </pic:spPr>
                </pic:pic>
              </a:graphicData>
            </a:graphic>
          </wp:anchor>
        </w:drawing>
        <w:t>CUSIP No. 36870G 105</w:t>
      </w:r>
    </w:p>
    <w:p>
      <w:pPr>
        <w:spacing w:after="0" w:line="185" w:lineRule="exact"/>
        <w:rPr>
          <w:sz w:val="20"/>
          <w:szCs w:val="20"/>
          <w:color w:val="auto"/>
        </w:rPr>
      </w:pPr>
    </w:p>
    <w:p>
      <w:pPr>
        <w:ind w:left="812" w:right="7560" w:hanging="736"/>
        <w:spacing w:after="0" w:line="286" w:lineRule="auto"/>
        <w:tabs>
          <w:tab w:leader="none" w:pos="812"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 OF REPORTING PERSONS </w:t>
      </w:r>
      <w:r>
        <w:rPr>
          <w:rFonts w:ascii="Times New Roman" w:cs="Times New Roman" w:eastAsia="Times New Roman" w:hAnsi="Times New Roman"/>
          <w:sz w:val="18"/>
          <w:szCs w:val="18"/>
          <w:color w:val="auto"/>
        </w:rPr>
        <w:t>James Tananbaum</w:t>
      </w:r>
    </w:p>
    <w:p>
      <w:pPr>
        <w:spacing w:after="0" w:line="87" w:lineRule="exact"/>
        <w:rPr>
          <w:sz w:val="20"/>
          <w:szCs w:val="20"/>
          <w:color w:val="auto"/>
        </w:rPr>
      </w:pPr>
    </w:p>
    <w:p>
      <w:pPr>
        <w:ind w:left="812" w:hanging="736"/>
        <w:spacing w:after="0"/>
        <w:tabs>
          <w:tab w:leader="none" w:pos="812"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w:t>
      </w:r>
    </w:p>
    <w:p>
      <w:pPr>
        <w:spacing w:after="0" w:line="31" w:lineRule="exact"/>
        <w:rPr>
          <w:rFonts w:ascii="Times New Roman" w:cs="Times New Roman" w:eastAsia="Times New Roman" w:hAnsi="Times New Roman"/>
          <w:sz w:val="18"/>
          <w:szCs w:val="18"/>
          <w:b w:val="1"/>
          <w:bCs w:val="1"/>
          <w:color w:val="auto"/>
        </w:rPr>
      </w:pPr>
    </w:p>
    <w:p>
      <w:pPr>
        <w:ind w:left="812"/>
        <w:spacing w:after="0" w:line="207"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35" w:lineRule="exact"/>
        <w:rPr>
          <w:sz w:val="20"/>
          <w:szCs w:val="20"/>
          <w:color w:val="auto"/>
        </w:rPr>
      </w:pPr>
    </w:p>
    <w:p>
      <w:pPr>
        <w:ind w:left="812" w:hanging="736"/>
        <w:spacing w:after="0"/>
        <w:tabs>
          <w:tab w:leader="none" w:pos="812"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158" w:lineRule="exact"/>
        <w:rPr>
          <w:sz w:val="20"/>
          <w:szCs w:val="20"/>
          <w:color w:val="auto"/>
        </w:rPr>
      </w:pPr>
    </w:p>
    <w:p>
      <w:pPr>
        <w:ind w:left="812" w:right="8720" w:hanging="736"/>
        <w:spacing w:after="0" w:line="286" w:lineRule="auto"/>
        <w:tabs>
          <w:tab w:leader="none" w:pos="812"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AF</w:t>
      </w:r>
    </w:p>
    <w:p>
      <w:pPr>
        <w:spacing w:after="0" w:line="63" w:lineRule="exact"/>
        <w:rPr>
          <w:sz w:val="20"/>
          <w:szCs w:val="20"/>
          <w:color w:val="auto"/>
        </w:rPr>
      </w:pPr>
    </w:p>
    <w:p>
      <w:pPr>
        <w:ind w:left="812" w:hanging="736"/>
        <w:spacing w:after="0" w:line="196" w:lineRule="exact"/>
        <w:tabs>
          <w:tab w:leader="none" w:pos="812"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CHECK BOX IF DISCLOSURE OF LEGAL PROCEEDINGS IS REQUIRED PURSUANT TO ITEMS 2(d) or 2(e) </w:t>
      </w:r>
      <w:r>
        <w:rPr>
          <w:rFonts w:ascii="MS PGothic" w:cs="MS PGothic" w:eastAsia="MS PGothic" w:hAnsi="MS PGothic"/>
          <w:sz w:val="17"/>
          <w:szCs w:val="17"/>
          <w:color w:val="auto"/>
        </w:rPr>
        <w:t>☐</w:t>
      </w:r>
    </w:p>
    <w:p>
      <w:pPr>
        <w:spacing w:after="0" w:line="194" w:lineRule="exact"/>
        <w:rPr>
          <w:sz w:val="20"/>
          <w:szCs w:val="20"/>
          <w:color w:val="auto"/>
        </w:rPr>
      </w:pPr>
    </w:p>
    <w:p>
      <w:pPr>
        <w:ind w:left="812" w:right="6500" w:hanging="736"/>
        <w:spacing w:after="0" w:line="286" w:lineRule="auto"/>
        <w:tabs>
          <w:tab w:leader="none" w:pos="812"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Delaware</w:t>
      </w:r>
    </w:p>
    <w:p>
      <w:pPr>
        <w:sectPr>
          <w:pgSz w:w="11900" w:h="16838" w:orient="portrait"/>
          <w:cols w:equalWidth="0" w:num="1">
            <w:col w:w="11232"/>
          </w:cols>
          <w:pgMar w:left="328" w:top="1049"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NUMBER OF</w:t>
      </w:r>
    </w:p>
    <w:p>
      <w:pPr>
        <w:spacing w:after="0" w:line="31"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9"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BENEFICIALLY</w:t>
      </w:r>
    </w:p>
    <w:p>
      <w:pPr>
        <w:spacing w:after="0" w:line="9"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OWNED BY</w:t>
      </w:r>
    </w:p>
    <w:p>
      <w:pPr>
        <w:spacing w:after="0" w:line="9"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7"/>
          <w:szCs w:val="17"/>
          <w:b w:val="1"/>
          <w:bCs w:val="1"/>
          <w:color w:val="auto"/>
        </w:rPr>
        <w:t>EACH REPORTING</w:t>
      </w:r>
    </w:p>
    <w:p>
      <w:pPr>
        <w:spacing w:after="0" w:line="21"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PERSON</w:t>
      </w:r>
    </w:p>
    <w:p>
      <w:pPr>
        <w:spacing w:after="0" w:line="9" w:lineRule="exact"/>
        <w:rPr>
          <w:sz w:val="20"/>
          <w:szCs w:val="20"/>
          <w:color w:val="auto"/>
        </w:rPr>
      </w:pPr>
    </w:p>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left="621" w:right="6660" w:hanging="621"/>
        <w:spacing w:after="0" w:line="286" w:lineRule="auto"/>
        <w:tabs>
          <w:tab w:leader="none" w:pos="621"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87" w:lineRule="exact"/>
        <w:rPr>
          <w:sz w:val="20"/>
          <w:szCs w:val="20"/>
          <w:color w:val="auto"/>
        </w:rPr>
      </w:pPr>
    </w:p>
    <w:p>
      <w:pPr>
        <w:ind w:left="621" w:right="6380" w:hanging="621"/>
        <w:spacing w:after="0" w:line="286" w:lineRule="auto"/>
        <w:tabs>
          <w:tab w:leader="none" w:pos="621"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VOTING POWER </w:t>
      </w:r>
      <w:r>
        <w:rPr>
          <w:rFonts w:ascii="Times New Roman" w:cs="Times New Roman" w:eastAsia="Times New Roman" w:hAnsi="Times New Roman"/>
          <w:sz w:val="18"/>
          <w:szCs w:val="18"/>
          <w:color w:val="auto"/>
        </w:rPr>
        <w:t>4,870,250</w:t>
      </w:r>
    </w:p>
    <w:p>
      <w:pPr>
        <w:spacing w:after="0" w:line="87" w:lineRule="exact"/>
        <w:rPr>
          <w:sz w:val="20"/>
          <w:szCs w:val="20"/>
          <w:color w:val="auto"/>
        </w:rPr>
      </w:pPr>
    </w:p>
    <w:p>
      <w:pPr>
        <w:ind w:left="621" w:right="6220" w:hanging="621"/>
        <w:spacing w:after="0" w:line="286" w:lineRule="auto"/>
        <w:tabs>
          <w:tab w:leader="none" w:pos="621"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DISPOSITIVE POWER </w:t>
      </w:r>
      <w:r>
        <w:rPr>
          <w:rFonts w:ascii="Times New Roman" w:cs="Times New Roman" w:eastAsia="Times New Roman" w:hAnsi="Times New Roman"/>
          <w:sz w:val="18"/>
          <w:szCs w:val="18"/>
          <w:color w:val="auto"/>
        </w:rPr>
        <w:t>0</w:t>
      </w:r>
    </w:p>
    <w:p>
      <w:pPr>
        <w:spacing w:after="0" w:line="87" w:lineRule="exact"/>
        <w:rPr>
          <w:sz w:val="20"/>
          <w:szCs w:val="20"/>
          <w:color w:val="auto"/>
        </w:rPr>
      </w:pPr>
    </w:p>
    <w:p>
      <w:pPr>
        <w:ind w:left="621" w:right="5960" w:hanging="621"/>
        <w:spacing w:after="0" w:line="286" w:lineRule="auto"/>
        <w:tabs>
          <w:tab w:leader="none" w:pos="621"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4,870,250</w:t>
      </w:r>
    </w:p>
    <w:p>
      <w:pPr>
        <w:spacing w:after="0" w:line="87" w:lineRule="exact"/>
        <w:rPr>
          <w:sz w:val="20"/>
          <w:szCs w:val="20"/>
          <w:color w:val="auto"/>
        </w:rPr>
      </w:pPr>
    </w:p>
    <w:p>
      <w:pPr>
        <w:sectPr>
          <w:pgSz w:w="11900" w:h="16838" w:orient="portrait"/>
          <w:cols w:equalWidth="0" w:num="2">
            <w:col w:w="1732" w:space="239"/>
            <w:col w:w="9261"/>
          </w:cols>
          <w:pgMar w:left="328" w:top="1049" w:right="339" w:bottom="1440" w:gutter="0" w:footer="0" w:header="0"/>
          <w:type w:val="continuous"/>
        </w:sectPr>
      </w:pPr>
    </w:p>
    <w:p>
      <w:pPr>
        <w:ind w:left="812" w:right="3500" w:hanging="736"/>
        <w:spacing w:after="0" w:line="286" w:lineRule="auto"/>
        <w:tabs>
          <w:tab w:leader="none" w:pos="812"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4,870,250</w:t>
      </w:r>
    </w:p>
    <w:p>
      <w:pPr>
        <w:spacing w:after="0" w:line="62" w:lineRule="exact"/>
        <w:rPr>
          <w:rFonts w:ascii="Times New Roman" w:cs="Times New Roman" w:eastAsia="Times New Roman" w:hAnsi="Times New Roman"/>
          <w:sz w:val="18"/>
          <w:szCs w:val="18"/>
          <w:b w:val="1"/>
          <w:bCs w:val="1"/>
          <w:color w:val="auto"/>
        </w:rPr>
      </w:pPr>
    </w:p>
    <w:p>
      <w:pPr>
        <w:ind w:left="812" w:hanging="736"/>
        <w:spacing w:after="0" w:line="207" w:lineRule="exact"/>
        <w:tabs>
          <w:tab w:leader="none" w:pos="812"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182" w:lineRule="exact"/>
        <w:rPr>
          <w:rFonts w:ascii="Times New Roman" w:cs="Times New Roman" w:eastAsia="Times New Roman" w:hAnsi="Times New Roman"/>
          <w:sz w:val="18"/>
          <w:szCs w:val="18"/>
          <w:b w:val="1"/>
          <w:bCs w:val="1"/>
          <w:color w:val="auto"/>
        </w:rPr>
      </w:pPr>
    </w:p>
    <w:p>
      <w:pPr>
        <w:ind w:left="812" w:right="5020" w:hanging="736"/>
        <w:spacing w:after="0" w:line="286" w:lineRule="auto"/>
        <w:tabs>
          <w:tab w:leader="none" w:pos="812"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PERCENT OF CLASS REPRESENTED BY AMOUNT IN ROW (11) </w:t>
      </w:r>
      <w:r>
        <w:rPr>
          <w:rFonts w:ascii="Times New Roman" w:cs="Times New Roman" w:eastAsia="Times New Roman" w:hAnsi="Times New Roman"/>
          <w:sz w:val="18"/>
          <w:szCs w:val="18"/>
          <w:color w:val="auto"/>
        </w:rPr>
        <w:t>10.75%*</w:t>
      </w:r>
    </w:p>
    <w:p>
      <w:pPr>
        <w:spacing w:after="0" w:line="87" w:lineRule="exact"/>
        <w:rPr>
          <w:sz w:val="20"/>
          <w:szCs w:val="20"/>
          <w:color w:val="auto"/>
        </w:rPr>
      </w:pPr>
    </w:p>
    <w:p>
      <w:pPr>
        <w:ind w:left="72"/>
        <w:spacing w:after="0"/>
        <w:tabs>
          <w:tab w:leader="none" w:pos="792" w:val="left"/>
        </w:tabs>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TYPE OF REPORTING PERSON</w:t>
      </w:r>
    </w:p>
    <w:p>
      <w:pPr>
        <w:spacing w:after="0" w:line="31" w:lineRule="exact"/>
        <w:rPr>
          <w:sz w:val="20"/>
          <w:szCs w:val="20"/>
          <w:color w:val="auto"/>
        </w:rPr>
      </w:pPr>
    </w:p>
    <w:p>
      <w:pPr>
        <w:ind w:left="812"/>
        <w:spacing w:after="0"/>
        <w:rPr>
          <w:sz w:val="20"/>
          <w:szCs w:val="20"/>
          <w:color w:val="auto"/>
        </w:rPr>
      </w:pPr>
      <w:r>
        <w:rPr>
          <w:rFonts w:ascii="Times New Roman" w:cs="Times New Roman" w:eastAsia="Times New Roman" w:hAnsi="Times New Roman"/>
          <w:sz w:val="18"/>
          <w:szCs w:val="18"/>
          <w:color w:val="auto"/>
        </w:rPr>
        <w:t>IN</w:t>
      </w:r>
    </w:p>
    <w:p>
      <w:pPr>
        <w:spacing w:after="0" w:line="301" w:lineRule="exact"/>
        <w:rPr>
          <w:sz w:val="20"/>
          <w:szCs w:val="20"/>
          <w:color w:val="auto"/>
        </w:rPr>
      </w:pPr>
    </w:p>
    <w:p>
      <w:pPr>
        <w:ind w:left="332" w:hanging="332"/>
        <w:spacing w:after="0" w:line="282" w:lineRule="auto"/>
        <w:tabs>
          <w:tab w:leader="none" w:pos="33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is calculated based on 45,301,990 shares of the Common Stock of the Issuer outstanding as of February 5, 2021, as reported by the Issuer in the 8-K.</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049" w:right="339" w:bottom="1440" w:gutter="0" w:footer="0" w:header="0"/>
          <w:type w:val="continuous"/>
        </w:sectPr>
      </w:pPr>
    </w:p>
    <w:bookmarkStart w:id="7" w:name="page8"/>
    <w:bookmarkEnd w:id="7"/>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SECURITY AND ISSUER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statement on Schedule 13D relates to the common stock, par value $0.0001 per share (the “Common Stock”), of Gemini Therapeutics, Inc. (formerly known as FS Development Corp. (“FSDC”)), a Delaware corporation (the “Issuer”). The principal executive offices of the Issuer are located at 300 One Kendall Square, 3rd Floor, Cambridge, Massachusetts 02139.</w:t>
      </w:r>
    </w:p>
    <w:p>
      <w:pPr>
        <w:spacing w:after="0" w:line="17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IDENTITY AND BACKGROUND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Schedule 13D is being filed by the following persons (the “Reporting Persons”):</w:t>
      </w:r>
    </w:p>
    <w:p>
      <w:pPr>
        <w:spacing w:after="0" w:line="225" w:lineRule="exact"/>
        <w:rPr>
          <w:sz w:val="20"/>
          <w:szCs w:val="20"/>
          <w:color w:val="auto"/>
        </w:rPr>
      </w:pPr>
    </w:p>
    <w:p>
      <w:pPr>
        <w:ind w:left="660" w:hanging="328"/>
        <w:spacing w:after="0" w:line="261"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Holdings, LLC (“FSDH”) is a Delaware limited liability company with a principal place of business located at 600 Montgomery Street, Suite 4500, San Francisco, California 94111. The principal business of FSDH is investing in securities.</w:t>
      </w:r>
    </w:p>
    <w:p>
      <w:pPr>
        <w:jc w:val="both"/>
        <w:ind w:left="660" w:hanging="328"/>
        <w:spacing w:after="0" w:line="250"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Foresite Capital Management V LLC (“FCM V LLC”) and Foresite Capital Opportunity Management V, LLC (“FCOM V LLC”) are general partners, respectively, of Foresite Capital Fund V, L.P. (“FCF V”) and Foresite Capital Opportunity Fund V, L.P. (“FCOF V”), the sole shareholders of FSDH.</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James Tananbaum, a director of the Issuer, is the managing member of each of FCM V LLC and FCOM V LLC.</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last five years, none of the Reporting Person has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4 hereof is hereby incorporated by reference into this Item 3, as applicable. The source of funds for acquiring the securities described herein that are directly held by FSDH was the working capital of FCF V and FCOF F.</w:t>
      </w:r>
    </w:p>
    <w:p>
      <w:pPr>
        <w:spacing w:after="0" w:line="15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PURPOSE OF THE TRANSACTION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Subscription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incorporation of FS Development Corp. on June 25, 2020, 2,875,000 shares of Class B common stock, par value $0.0001 per share, (the “Founder Shares”) were purchased by FSDH for the amount of $25,000 pursuant to that certain Securities Subscription Agreement, dated as of June 30, 2020 (the “Securities Subscription Agreement”) with FSDC. On July 24, 2020, FSDH transferred 30,000 Founder Shares to each of its independent director nominees at their original per-share purchase price, for an aggregate of 90,000 Founder Shares transferred. On August 11, 2020, FSDC effected a 1:1.05 stock split of the of the Class B common stock, resulting in FSDH holding an aggregate of 2,928,750 Founder Shares and there being an aggregate of 3,018,750 Founder Shares outstanding.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Securities Subscription Agreement does not purport to be complete and is qualified in its entirety by the terms of the Securities Subscription Agreement, a copy of which is attached as Exhibit 1 hereto and is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Stock Purchase Agreement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11, 2020, FSDH purchased from FSDC an aggregate of 441,500 shares of Class A common stock (the “Private Placement Shares”) pursuant to that certain Private Placement Class A Common Stock Purchase Agreement, dated as of August 11, 2020 (the “Private Placement Stock Purchase Agreement”), by and between FSDH and FSDC, at a purchase price of $10.00 per Private Placement Share. The Private Placement Shares were substantially identical to the shares of Class A common stock sold in the initial public offering of FSDC, except that, so long as such shares are held by FSDH and its permitted transferees such shares may not, subject to certain limited exceptions, be transferred, assigned or sold until the earlier to occur of:</w:t>
      </w:r>
    </w:p>
    <w:p>
      <w:pPr>
        <w:spacing w:after="0" w:line="3" w:lineRule="exact"/>
        <w:rPr>
          <w:sz w:val="20"/>
          <w:szCs w:val="20"/>
          <w:color w:val="auto"/>
        </w:rPr>
      </w:pPr>
    </w:p>
    <w:p>
      <w:pPr>
        <w:jc w:val="both"/>
        <w:ind w:firstLine="8"/>
        <w:spacing w:after="0" w:line="255" w:lineRule="auto"/>
        <w:tabs>
          <w:tab w:leader="none" w:pos="2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after the initial business combination and (ii) the date on which FSDC completes a liquidation, merger, capital stock exchange or other similar transaction after the initial business combination that results in all of FSDC’s shareholders having the right to exchange their Class A common stock for cash, securities or other property; except to certain permitted transferees and under certain circumstances.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Private Placement Stock Purchase Agreement does not purport to be complete and is qualified in its entirety by the terms of the Private Placement Stock Purchase Agreement, a copy of which is attached as Exhibit 2 hereto and is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Agreement and Related Agreements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5, 2021, the Issuer consummated the transactions contemplated by that certain Agreement and Plan of Merger, dated October 15, 2020 (the “Merger Agreement”), by and among the Issuer and the other parties thereto (the transactions contemplated by the Merger Agreement are referred to herein collectively as the “Business Combination”). In connection with the Business Combination, the Issuer changed its name from “FS Development Corp.” to “Gemini Therapeutics, Inc.” In addition, upon consummation of the Business Combination, all of the issued and outstanding shares of Class B common stock of FSDC were automatically converted into shares of Class A common stock on a one-for-one basis and all of the shares of Class A common stock of FSDC were then reclassified into a single class of common stock of Gemini Therapeutics, Inc. Accordingly, references to shares of Class B common stock or FSDC’s Class A common stock of FSDC throughout this Schedule 13D refer to shares of common stock of Gemini Therapeutics, Inc.</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14, 2020, in connection with the execution of the Merger Agreement, FCF V entered into that certain Subscription Agreement with FSDC, pursuant to which FCF V agreed to subscribe for 1,500,000 shares of Class A common stock of FSDC (the “PIPE Shares”) at a purchase price of $10.00 per share and an aggregate purchase price of $15,000,000 in connection with the closing of the Business Combination.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27, 2020, pursuant to that certain Assignment and Assumption Agreement, dated as of December 27, 2020, by and among FCF V, FSDC and FSDH, FCF V assigned to FSDH its obligation to purchase the PIPE Shares,. On February 5, 2021, in connection with the closing of the Business Combination, FSDH purchased 1,500,000 PIPE Shares from FSDC at a purchase price of $10 per share.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Merger Agreement and the Subscription Agreement do not purport to be complete and are qualified in their entirety by the terms of the Merger Agreement and the Subscription Agreement, copies of which are attached as Exhibit 3 and Exhibit 4, respectively, hereto and are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5, 2021, in connection with the closing of the Business Combination, the Issuer, FSDH and the other parties thereto entered into that certain Registration Rights Agreement, (the “Registration Rights Agreement”), pursuant to which FSDH was granted certain demand and “piggyback” registration rights, which are subject to customary conditions and limitations. The Registration Rights Agreement restricts the ability of FSDH to transfer its shares for a period of 180 days following the closing of the Business Combination, subject to certain permitted transfers.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does not purport to be complete and is qualified in its entirety by the terms of the Registration Rights Agreement, a copy of which is attached as Exhibit 5 hereto and is incorporated herein by reference.</w:t>
      </w:r>
    </w:p>
    <w:p>
      <w:pPr>
        <w:spacing w:after="0" w:line="15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OF SECURITIES OF THE ISSUER.</w:t>
      </w:r>
    </w:p>
    <w:p>
      <w:pPr>
        <w:spacing w:after="0" w:line="229" w:lineRule="exact"/>
        <w:rPr>
          <w:sz w:val="20"/>
          <w:szCs w:val="20"/>
          <w:color w:val="auto"/>
        </w:rPr>
      </w:pPr>
    </w:p>
    <w:p>
      <w:pPr>
        <w:ind w:left="260" w:hanging="252"/>
        <w:spacing w:after="0"/>
        <w:tabs>
          <w:tab w:leader="none" w:pos="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w:t>
      </w:r>
    </w:p>
    <w:p>
      <w:pPr>
        <w:spacing w:after="0" w:line="225" w:lineRule="exact"/>
        <w:rPr>
          <w:rFonts w:ascii="Times New Roman" w:cs="Times New Roman" w:eastAsia="Times New Roman" w:hAnsi="Times New Roman"/>
          <w:sz w:val="18"/>
          <w:szCs w:val="18"/>
          <w:color w:val="auto"/>
        </w:rPr>
      </w:pPr>
    </w:p>
    <w:p>
      <w:pPr>
        <w:ind w:left="680" w:right="20" w:hanging="344"/>
        <w:spacing w:after="0" w:line="261" w:lineRule="auto"/>
        <w:tabs>
          <w:tab w:leader="none" w:pos="6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FSDH beneficially owned directly 4,870,250 shares of Common Stock, representing 10.75% of the Issuer’s Common Stock.</w:t>
      </w:r>
    </w:p>
    <w:p>
      <w:pPr>
        <w:jc w:val="both"/>
        <w:ind w:left="680" w:hanging="344"/>
        <w:spacing w:after="0" w:line="253" w:lineRule="auto"/>
        <w:tabs>
          <w:tab w:leader="none" w:pos="6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FCM V LLC and FCOM V LLC are general partners, respectively, of FCF V and FCOF V, the sole members of FSDH, and Dr. Tananbaum, a director of the Issuer, is the managing member of each of FCM V LLC and FCOM V, LLC. As a result, Dr. Tananbaum, FCM V LLC, FCOM V LLC, FCF V and FCOF V may be deemed to indirectly beneficially own the shares held by FSDH. Each of Dr. Tananbaum, FCM V LLC, FCOM V LLC, FCF V and FCOF V disclaims beneficial ownership of these shares except to the extent of any pecuniary interest therein.</w:t>
      </w:r>
    </w:p>
    <w:p>
      <w:pPr>
        <w:spacing w:after="0" w:line="189" w:lineRule="exact"/>
        <w:rPr>
          <w:sz w:val="20"/>
          <w:szCs w:val="20"/>
          <w:color w:val="auto"/>
        </w:rPr>
      </w:pPr>
    </w:p>
    <w:p>
      <w:pPr>
        <w:ind w:right="20" w:firstLine="8"/>
        <w:spacing w:after="0" w:line="282" w:lineRule="auto"/>
        <w:tabs>
          <w:tab w:leader="none" w:pos="2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transactions described in Item 4 of this Schedule 13D, none of the Reporting Persons has engaged in any transaction during the past 60 days involving the Common Stock.</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1000" w:hanging="998"/>
        <w:spacing w:after="0" w:line="286" w:lineRule="auto"/>
        <w:tabs>
          <w:tab w:leader="none" w:pos="9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CONTRACTS, ARRANGEMENTS, UNDERSTANDINGS OR RELATIONSHIPS WITH RESPECT TO SECURITIES OF THE ISSUER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Items 4 and 5 hereof is hereby incorporated by reference into this Item 6, as applicable.</w:t>
      </w:r>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MATERIAL TO BE FILED AS EXHIBITS</w:t>
      </w:r>
    </w:p>
    <w:p>
      <w:pPr>
        <w:spacing w:after="0" w:line="225"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4" w:lineRule="exact"/>
        <w:rPr>
          <w:sz w:val="20"/>
          <w:szCs w:val="20"/>
          <w:color w:val="auto"/>
        </w:rPr>
      </w:pPr>
    </w:p>
    <w:p>
      <w:pPr>
        <w:ind w:left="1260" w:right="20" w:hanging="924"/>
        <w:spacing w:after="0" w:line="261" w:lineRule="auto"/>
        <w:tabs>
          <w:tab w:leader="none" w:pos="1260" w:val="left"/>
        </w:tabs>
        <w:numPr>
          <w:ilvl w:val="0"/>
          <w:numId w:val="77"/>
        </w:numPr>
        <w:rPr>
          <w:rFonts w:ascii="Times New Roman" w:cs="Times New Roman" w:eastAsia="Times New Roman" w:hAnsi="Times New Roman"/>
          <w:sz w:val="18"/>
          <w:szCs w:val="18"/>
          <w:u w:val="single" w:color="auto"/>
          <w:color w:val="0000EE"/>
        </w:rPr>
      </w:pPr>
      <w:hyperlink r:id="rId28">
        <w:r>
          <w:rPr>
            <w:rFonts w:ascii="Times New Roman" w:cs="Times New Roman" w:eastAsia="Times New Roman" w:hAnsi="Times New Roman"/>
            <w:sz w:val="18"/>
            <w:szCs w:val="18"/>
            <w:u w:val="single" w:color="auto"/>
            <w:color w:val="0000EE"/>
          </w:rPr>
          <w:t>Securities Subscription Agreement, dated as of June 30, 2020, between FSDC and FSDH (incorporated by reference to Exhibit 10.7 to the</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Amendment No. 1 to Form S-1 filed by FSDC on August 7, 2020 (File No. 333-240098)).</w:t>
        </w:r>
      </w:hyperlink>
    </w:p>
    <w:p>
      <w:pPr>
        <w:ind w:left="1260" w:right="20" w:hanging="924"/>
        <w:spacing w:after="0" w:line="250" w:lineRule="auto"/>
        <w:tabs>
          <w:tab w:leader="none" w:pos="1260" w:val="left"/>
        </w:tabs>
        <w:numPr>
          <w:ilvl w:val="0"/>
          <w:numId w:val="78"/>
        </w:numPr>
        <w:rPr>
          <w:rFonts w:ascii="Times New Roman" w:cs="Times New Roman" w:eastAsia="Times New Roman" w:hAnsi="Times New Roman"/>
          <w:sz w:val="18"/>
          <w:szCs w:val="18"/>
          <w:u w:val="single" w:color="auto"/>
          <w:color w:val="0000EE"/>
        </w:rPr>
      </w:pPr>
      <w:hyperlink r:id="rId29">
        <w:r>
          <w:rPr>
            <w:rFonts w:ascii="Times New Roman" w:cs="Times New Roman" w:eastAsia="Times New Roman" w:hAnsi="Times New Roman"/>
            <w:sz w:val="18"/>
            <w:szCs w:val="18"/>
            <w:u w:val="single" w:color="auto"/>
            <w:color w:val="0000EE"/>
          </w:rPr>
          <w:t>Private Placement Class A Common Stock Purchase Agreement, dated as of August 11, 2020, between FSDC and FSDH (incorporated by</w:t>
        </w:r>
      </w:hyperlink>
      <w:r>
        <w:rPr>
          <w:rFonts w:ascii="Times New Roman" w:cs="Times New Roman" w:eastAsia="Times New Roman" w:hAnsi="Times New Roman"/>
          <w:sz w:val="18"/>
          <w:szCs w:val="18"/>
          <w:u w:val="single" w:color="auto"/>
          <w:color w:val="0000EE"/>
        </w:rPr>
        <w:t xml:space="preserve"> </w:t>
      </w:r>
      <w:hyperlink r:id="rId29">
        <w:r>
          <w:rPr>
            <w:rFonts w:ascii="Times New Roman" w:cs="Times New Roman" w:eastAsia="Times New Roman" w:hAnsi="Times New Roman"/>
            <w:sz w:val="18"/>
            <w:szCs w:val="18"/>
            <w:u w:val="single" w:color="auto"/>
            <w:color w:val="0000EE"/>
          </w:rPr>
          <w:t>reference to Exhibit 10.3 to the Current Report on Form 8-K filed by FSDC on August 14, 2020 (File No. 001-39438)).</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1260" w:hanging="924"/>
        <w:spacing w:after="0" w:line="260" w:lineRule="auto"/>
        <w:tabs>
          <w:tab w:leader="none" w:pos="1260" w:val="left"/>
        </w:tabs>
        <w:numPr>
          <w:ilvl w:val="0"/>
          <w:numId w:val="79"/>
        </w:numPr>
        <w:rPr>
          <w:rFonts w:ascii="Times New Roman" w:cs="Times New Roman" w:eastAsia="Times New Roman" w:hAnsi="Times New Roman"/>
          <w:sz w:val="18"/>
          <w:szCs w:val="18"/>
          <w:u w:val="single" w:color="auto"/>
          <w:color w:val="0000EE"/>
        </w:rPr>
      </w:pPr>
      <w:hyperlink r:id="rId31">
        <w:r>
          <w:rPr>
            <w:rFonts w:ascii="Times New Roman" w:cs="Times New Roman" w:eastAsia="Times New Roman" w:hAnsi="Times New Roman"/>
            <w:sz w:val="18"/>
            <w:szCs w:val="18"/>
            <w:u w:val="single" w:color="auto"/>
            <w:color w:val="0000EE"/>
          </w:rPr>
          <w:t>Agreement and Plan of Merger, dated as of October 15, 2020, between the Issuer, FSG Merger Sub, Inc., FSDC and Shareholder</w:t>
        </w:r>
      </w:hyperlink>
      <w:r>
        <w:rPr>
          <w:rFonts w:ascii="Times New Roman" w:cs="Times New Roman" w:eastAsia="Times New Roman" w:hAnsi="Times New Roman"/>
          <w:sz w:val="18"/>
          <w:szCs w:val="18"/>
          <w:u w:val="single" w:color="auto"/>
          <w:color w:val="0000EE"/>
        </w:rPr>
        <w:t xml:space="preserve"> </w:t>
      </w:r>
      <w:hyperlink r:id="rId31">
        <w:r>
          <w:rPr>
            <w:rFonts w:ascii="Times New Roman" w:cs="Times New Roman" w:eastAsia="Times New Roman" w:hAnsi="Times New Roman"/>
            <w:sz w:val="18"/>
            <w:szCs w:val="18"/>
            <w:u w:val="single" w:color="auto"/>
            <w:color w:val="0000EE"/>
          </w:rPr>
          <w:t>Representative Services LLC (incorporated by reference to Exhibit 2.1 to the Current Report on Form 8-K filed by FSDC on October 20,</w:t>
        </w:r>
      </w:hyperlink>
    </w:p>
    <w:p>
      <w:pPr>
        <w:spacing w:after="0" w:line="181" w:lineRule="exact"/>
        <w:rPr>
          <w:rFonts w:ascii="Times New Roman" w:cs="Times New Roman" w:eastAsia="Times New Roman" w:hAnsi="Times New Roman"/>
          <w:sz w:val="18"/>
          <w:szCs w:val="18"/>
          <w:color w:val="auto"/>
        </w:rPr>
      </w:pPr>
    </w:p>
    <w:p>
      <w:pPr>
        <w:ind w:left="1260" w:hanging="924"/>
        <w:spacing w:after="0" w:line="261" w:lineRule="auto"/>
        <w:tabs>
          <w:tab w:leader="none" w:pos="1260" w:val="left"/>
        </w:tabs>
        <w:numPr>
          <w:ilvl w:val="0"/>
          <w:numId w:val="80"/>
        </w:numPr>
        <w:rPr>
          <w:rFonts w:ascii="Times New Roman" w:cs="Times New Roman" w:eastAsia="Times New Roman" w:hAnsi="Times New Roman"/>
          <w:sz w:val="18"/>
          <w:szCs w:val="18"/>
          <w:u w:val="single" w:color="auto"/>
          <w:color w:val="0000EE"/>
        </w:rPr>
      </w:pPr>
      <w:hyperlink r:id="rId32">
        <w:r>
          <w:rPr>
            <w:rFonts w:ascii="Times New Roman" w:cs="Times New Roman" w:eastAsia="Times New Roman" w:hAnsi="Times New Roman"/>
            <w:sz w:val="18"/>
            <w:szCs w:val="18"/>
            <w:u w:val="single" w:color="auto"/>
            <w:color w:val="0000EE"/>
          </w:rPr>
          <w:t>Form of Subscription Agreement (incorporated by reference to Exhibit 10.7 to the Current Report on Form 8-K filed by the Issuer on</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October 20, 2020 (File No. 001-39438)).</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411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1260" w:hanging="924"/>
        <w:spacing w:after="0" w:line="250" w:lineRule="auto"/>
        <w:tabs>
          <w:tab w:leader="none" w:pos="1260" w:val="left"/>
        </w:tabs>
        <w:numPr>
          <w:ilvl w:val="0"/>
          <w:numId w:val="81"/>
        </w:numPr>
        <w:rPr>
          <w:rFonts w:ascii="Times New Roman" w:cs="Times New Roman" w:eastAsia="Times New Roman" w:hAnsi="Times New Roman"/>
          <w:sz w:val="18"/>
          <w:szCs w:val="18"/>
          <w:u w:val="single" w:color="auto"/>
          <w:color w:val="0000EE"/>
        </w:rPr>
      </w:pPr>
      <w:hyperlink r:id="rId34">
        <w:r>
          <w:rPr>
            <w:rFonts w:ascii="Times New Roman" w:cs="Times New Roman" w:eastAsia="Times New Roman" w:hAnsi="Times New Roman"/>
            <w:sz w:val="18"/>
            <w:szCs w:val="18"/>
            <w:u w:val="single" w:color="auto"/>
            <w:color w:val="0000EE"/>
          </w:rPr>
          <w:t>Registration Rights Agreement, dated February 5, 2021, by and among the Issuer, FSDC and the parties listed on the signature pages</w:t>
        </w:r>
      </w:hyperlink>
      <w:r>
        <w:rPr>
          <w:rFonts w:ascii="Times New Roman" w:cs="Times New Roman" w:eastAsia="Times New Roman" w:hAnsi="Times New Roman"/>
          <w:sz w:val="18"/>
          <w:szCs w:val="18"/>
          <w:u w:val="single" w:color="auto"/>
          <w:color w:val="0000EE"/>
        </w:rPr>
        <w:t xml:space="preserve"> </w:t>
      </w:r>
      <w:hyperlink r:id="rId34">
        <w:r>
          <w:rPr>
            <w:rFonts w:ascii="Times New Roman" w:cs="Times New Roman" w:eastAsia="Times New Roman" w:hAnsi="Times New Roman"/>
            <w:sz w:val="18"/>
            <w:szCs w:val="18"/>
            <w:u w:val="single" w:color="auto"/>
            <w:color w:val="0000EE"/>
          </w:rPr>
          <w:t>thereto (incorporated by reference to Exhibit 10.1 to the Current Report on Form 8-K filed by the Issuer on February 5, 2021 (File No.</w:t>
        </w:r>
      </w:hyperlink>
    </w:p>
    <w:tbl>
      <w:tblPr>
        <w:tblLayout w:type="fixed"/>
        <w:tblInd w:w="340" w:type="dxa"/>
        <w:tblCellMar>
          <w:top w:w="0" w:type="dxa"/>
          <w:left w:w="0" w:type="dxa"/>
          <w:bottom w:w="0" w:type="dxa"/>
          <w:right w:w="0" w:type="dxa"/>
        </w:tblCellMar>
      </w:tblPr>
      <w:tr>
        <w:trPr>
          <w:trHeight w:val="198"/>
        </w:trPr>
        <w:tc>
          <w:tcPr>
            <w:tcW w:w="580" w:type="dxa"/>
            <w:vAlign w:val="bottom"/>
          </w:tcPr>
          <w:p>
            <w:pPr>
              <w:spacing w:after="0"/>
              <w:rPr>
                <w:sz w:val="17"/>
                <w:szCs w:val="17"/>
                <w:color w:val="auto"/>
              </w:rPr>
            </w:pPr>
          </w:p>
        </w:tc>
        <w:tc>
          <w:tcPr>
            <w:tcW w:w="4740" w:type="dxa"/>
            <w:vAlign w:val="bottom"/>
          </w:tcPr>
          <w:p>
            <w:pPr>
              <w:ind w:left="340"/>
              <w:spacing w:after="0" w:line="199" w:lineRule="exact"/>
              <w:rPr>
                <w:rFonts w:ascii="Times New Roman" w:cs="Times New Roman" w:eastAsia="Times New Roman" w:hAnsi="Times New Roman"/>
                <w:sz w:val="18"/>
                <w:szCs w:val="18"/>
                <w:u w:val="single" w:color="auto"/>
                <w:color w:val="0000EE"/>
              </w:rPr>
            </w:pPr>
            <w:hyperlink r:id="rId34">
              <w:r>
                <w:rPr>
                  <w:rFonts w:ascii="Times New Roman" w:cs="Times New Roman" w:eastAsia="Times New Roman" w:hAnsi="Times New Roman"/>
                  <w:sz w:val="18"/>
                  <w:szCs w:val="18"/>
                  <w:u w:val="single" w:color="auto"/>
                  <w:color w:val="0000EE"/>
                </w:rPr>
                <w:t>001-39438)).</w:t>
              </w:r>
            </w:hyperlink>
          </w:p>
        </w:tc>
      </w:tr>
      <w:tr>
        <w:trPr>
          <w:trHeight w:val="234"/>
        </w:trPr>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11*</w:t>
            </w:r>
          </w:p>
        </w:tc>
        <w:tc>
          <w:tcPr>
            <w:tcW w:w="4740" w:type="dxa"/>
            <w:vAlign w:val="bottom"/>
          </w:tcPr>
          <w:p>
            <w:pPr>
              <w:ind w:left="340"/>
              <w:spacing w:after="0"/>
              <w:rPr>
                <w:rFonts w:ascii="Times New Roman" w:cs="Times New Roman" w:eastAsia="Times New Roman" w:hAnsi="Times New Roman"/>
                <w:sz w:val="18"/>
                <w:szCs w:val="18"/>
                <w:u w:val="single" w:color="auto"/>
                <w:color w:val="0000EE"/>
                <w:w w:val="99"/>
              </w:rPr>
            </w:pPr>
            <w:hyperlink w:anchor="page12">
              <w:r>
                <w:rPr>
                  <w:rFonts w:ascii="Times New Roman" w:cs="Times New Roman" w:eastAsia="Times New Roman" w:hAnsi="Times New Roman"/>
                  <w:sz w:val="18"/>
                  <w:szCs w:val="18"/>
                  <w:u w:val="single" w:color="auto"/>
                  <w:color w:val="0000EE"/>
                  <w:w w:val="99"/>
                </w:rPr>
                <w:t>Joint Filing Agreement by and among the Reporting Persons.</w:t>
              </w:r>
            </w:hyperlink>
          </w:p>
        </w:tc>
      </w:tr>
    </w:tbl>
    <w:p>
      <w:pPr>
        <w:spacing w:after="0" w:line="198" w:lineRule="exact"/>
        <w:rPr>
          <w:sz w:val="20"/>
          <w:szCs w:val="20"/>
          <w:color w:val="auto"/>
        </w:rPr>
      </w:pPr>
    </w:p>
    <w:p>
      <w:pPr>
        <w:ind w:left="340" w:hanging="332"/>
        <w:spacing w:after="0"/>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or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12,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FS DEVELOPMENT HOLDINGS,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B.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B. Tananbaum</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FORESITE CAPITAL FUND V,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Foresite Capital Management V,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B.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B. Tananbaum</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FORESITE CAPITAL MANAGEMENT V,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B.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B. Tananbaum</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FORESITE CAPITAL OPPORTUNITY FUND V,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Foresite Capital Opportunity Management V,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B.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B. Tananbaum</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FORESITE CAPITAL OPPORTUNITY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V,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B.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B. Tananbaum</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B.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B. Tananbaum</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and in accordance with the Securities Exchange Act of 1934, as amended, and the rules and regulations thereunder (the “Exchange Act”) the undersigned hereby agree to the joint filing on behalf of each of them of any filing required by such party under Section 13 of the Exchange Act or any rule or regulation thereunder (including any amendment, restatement, supplement, and/or exhibit thereto) with respect to securities of Gemini Therapeutics, Inc. (f/k/a FS Development Corp.), a Delaware corporation, and further agree to the filing, furnishing, and/or incorporation by reference of this Agreement as an exhibit thereto. Each of them is responsible for the timely filing of such filings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This Agreement shall remain in full force and effect until revoked by any party hereto in a signed writing provided to each other party hereto, and then only with respect to such revoking party. This Agreement may be executed in any number of counterparts all of which taken together shall constitute one and the same instrument.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12, 2021</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FS DEVELOPMENT HOLDINGS, LLC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James B.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James B. Tananbaum</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FORESITE CAPITAL FUND V, L.P.</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Foresite Capital Management V, LLC</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James B.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James B. Tananbaum</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FORESITE CAPITAL MANAGEMENT V, LLC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James B.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James B. Tananbaum</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FORESITE CAPITAL OPPORTUNITY FUND V, L.P.</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Foresite Capital Opportunity Management V, LLC</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James B.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James B. Tananbaum</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FORESITE CAPITAL OPPORTUNITY</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MANAGEMENT V, LLC</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James B.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James B. Tananbaum</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James B.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James B.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1"/>
      <w:numFmt w:val="bullet"/>
      <w:start w:val="1"/>
    </w:lvl>
  </w:abstractNum>
  <w:abstractNum w:abstractNumId="1">
    <w:nsid w:val="70A64E2A"/>
    <w:multiLevelType w:val="hybridMultilevel"/>
    <w:lvl w:ilvl="0">
      <w:lvlJc w:val="left"/>
      <w:lvlText w:val="2"/>
      <w:numFmt w:val="bullet"/>
      <w:start w:val="1"/>
    </w:lvl>
  </w:abstractNum>
  <w:abstractNum w:abstractNumId="2">
    <w:nsid w:val="6A2342EC"/>
    <w:multiLevelType w:val="hybridMultilevel"/>
    <w:lvl w:ilvl="0">
      <w:lvlJc w:val="left"/>
      <w:lvlText w:val="3"/>
      <w:numFmt w:val="bullet"/>
      <w:start w:val="1"/>
    </w:lvl>
  </w:abstractNum>
  <w:abstractNum w:abstractNumId="3">
    <w:nsid w:val="2A487CB0"/>
    <w:multiLevelType w:val="hybridMultilevel"/>
    <w:lvl w:ilvl="0">
      <w:lvlJc w:val="left"/>
      <w:lvlText w:val="4"/>
      <w:numFmt w:val="bullet"/>
      <w:start w:val="1"/>
    </w:lvl>
  </w:abstractNum>
  <w:abstractNum w:abstractNumId="4">
    <w:nsid w:val="1D4ED43B"/>
    <w:multiLevelType w:val="hybridMultilevel"/>
    <w:lvl w:ilvl="0">
      <w:lvlJc w:val="left"/>
      <w:lvlText w:val="5"/>
      <w:numFmt w:val="bullet"/>
      <w:start w:val="1"/>
    </w:lvl>
  </w:abstractNum>
  <w:abstractNum w:abstractNumId="5">
    <w:nsid w:val="725A06FB"/>
    <w:multiLevelType w:val="hybridMultilevel"/>
    <w:lvl w:ilvl="0">
      <w:lvlJc w:val="left"/>
      <w:lvlText w:val="6"/>
      <w:numFmt w:val="bullet"/>
      <w:start w:val="1"/>
    </w:lvl>
  </w:abstractNum>
  <w:abstractNum w:abstractNumId="6">
    <w:nsid w:val="2CD89A32"/>
    <w:multiLevelType w:val="hybridMultilevel"/>
    <w:lvl w:ilvl="0">
      <w:lvlJc w:val="left"/>
      <w:lvlText w:val="7"/>
      <w:numFmt w:val="bullet"/>
      <w:start w:val="1"/>
    </w:lvl>
  </w:abstractNum>
  <w:abstractNum w:abstractNumId="7">
    <w:nsid w:val="57E4CCAF"/>
    <w:multiLevelType w:val="hybridMultilevel"/>
    <w:lvl w:ilvl="0">
      <w:lvlJc w:val="left"/>
      <w:lvlText w:val="8"/>
      <w:numFmt w:val="bullet"/>
      <w:start w:val="1"/>
    </w:lvl>
  </w:abstractNum>
  <w:abstractNum w:abstractNumId="8">
    <w:nsid w:val="7A6D8D3C"/>
    <w:multiLevelType w:val="hybridMultilevel"/>
    <w:lvl w:ilvl="0">
      <w:lvlJc w:val="left"/>
      <w:lvlText w:val="9"/>
      <w:numFmt w:val="bullet"/>
      <w:start w:val="1"/>
    </w:lvl>
  </w:abstractNum>
  <w:abstractNum w:abstractNumId="9">
    <w:nsid w:val="4B588F54"/>
    <w:multiLevelType w:val="hybridMultilevel"/>
    <w:lvl w:ilvl="0">
      <w:lvlJc w:val="left"/>
      <w:lvlText w:val="%1"/>
      <w:numFmt w:val="decimal"/>
      <w:start w:val="10"/>
    </w:lvl>
  </w:abstractNum>
  <w:abstractNum w:abstractNumId="10">
    <w:nsid w:val="542289EC"/>
    <w:multiLevelType w:val="hybridMultilevel"/>
    <w:lvl w:ilvl="0">
      <w:lvlJc w:val="left"/>
      <w:lvlText w:val="%1"/>
      <w:numFmt w:val="decimal"/>
      <w:start w:val="1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1"/>
      <w:numFmt w:val="bullet"/>
      <w:start w:val="1"/>
    </w:lvl>
  </w:abstractNum>
  <w:abstractNum w:abstractNumId="13">
    <w:nsid w:val="7644A45C"/>
    <w:multiLevelType w:val="hybridMultilevel"/>
    <w:lvl w:ilvl="0">
      <w:lvlJc w:val="left"/>
      <w:lvlText w:val="2"/>
      <w:numFmt w:val="bullet"/>
      <w:start w:val="1"/>
    </w:lvl>
  </w:abstractNum>
  <w:abstractNum w:abstractNumId="14">
    <w:nsid w:val="32FFF902"/>
    <w:multiLevelType w:val="hybridMultilevel"/>
    <w:lvl w:ilvl="0">
      <w:lvlJc w:val="left"/>
      <w:lvlText w:val="3"/>
      <w:numFmt w:val="bullet"/>
      <w:start w:val="1"/>
    </w:lvl>
  </w:abstractNum>
  <w:abstractNum w:abstractNumId="15">
    <w:nsid w:val="684A481A"/>
    <w:multiLevelType w:val="hybridMultilevel"/>
    <w:lvl w:ilvl="0">
      <w:lvlJc w:val="left"/>
      <w:lvlText w:val="4"/>
      <w:numFmt w:val="bullet"/>
      <w:start w:val="1"/>
    </w:lvl>
  </w:abstractNum>
  <w:abstractNum w:abstractNumId="16">
    <w:nsid w:val="579478FE"/>
    <w:multiLevelType w:val="hybridMultilevel"/>
    <w:lvl w:ilvl="0">
      <w:lvlJc w:val="left"/>
      <w:lvlText w:val="5"/>
      <w:numFmt w:val="bullet"/>
      <w:start w:val="1"/>
    </w:lvl>
  </w:abstractNum>
  <w:abstractNum w:abstractNumId="17">
    <w:nsid w:val="749ABB43"/>
    <w:multiLevelType w:val="hybridMultilevel"/>
    <w:lvl w:ilvl="0">
      <w:lvlJc w:val="left"/>
      <w:lvlText w:val="6"/>
      <w:numFmt w:val="bullet"/>
      <w:start w:val="1"/>
    </w:lvl>
  </w:abstractNum>
  <w:abstractNum w:abstractNumId="18">
    <w:nsid w:val="3DC240FB"/>
    <w:multiLevelType w:val="hybridMultilevel"/>
    <w:lvl w:ilvl="0">
      <w:lvlJc w:val="left"/>
      <w:lvlText w:val="7"/>
      <w:numFmt w:val="bullet"/>
      <w:start w:val="1"/>
    </w:lvl>
  </w:abstractNum>
  <w:abstractNum w:abstractNumId="19">
    <w:nsid w:val="1BA026FA"/>
    <w:multiLevelType w:val="hybridMultilevel"/>
    <w:lvl w:ilvl="0">
      <w:lvlJc w:val="left"/>
      <w:lvlText w:val="8"/>
      <w:numFmt w:val="bullet"/>
      <w:start w:val="1"/>
    </w:lvl>
  </w:abstractNum>
  <w:abstractNum w:abstractNumId="20">
    <w:nsid w:val="79A1DEAA"/>
    <w:multiLevelType w:val="hybridMultilevel"/>
    <w:lvl w:ilvl="0">
      <w:lvlJc w:val="left"/>
      <w:lvlText w:val="9"/>
      <w:numFmt w:val="bullet"/>
      <w:start w:val="1"/>
    </w:lvl>
  </w:abstractNum>
  <w:abstractNum w:abstractNumId="21">
    <w:nsid w:val="75C6C33A"/>
    <w:multiLevelType w:val="hybridMultilevel"/>
    <w:lvl w:ilvl="0">
      <w:lvlJc w:val="left"/>
      <w:lvlText w:val="%1"/>
      <w:numFmt w:val="decimal"/>
      <w:start w:val="10"/>
    </w:lvl>
  </w:abstractNum>
  <w:abstractNum w:abstractNumId="22">
    <w:nsid w:val="12E685FB"/>
    <w:multiLevelType w:val="hybridMultilevel"/>
    <w:lvl w:ilvl="0">
      <w:lvlJc w:val="left"/>
      <w:lvlText w:val="%1"/>
      <w:numFmt w:val="decimal"/>
      <w:start w:val="1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1"/>
      <w:numFmt w:val="bullet"/>
      <w:start w:val="1"/>
    </w:lvl>
  </w:abstractNum>
  <w:abstractNum w:abstractNumId="25">
    <w:nsid w:val="374A3FE6"/>
    <w:multiLevelType w:val="hybridMultilevel"/>
    <w:lvl w:ilvl="0">
      <w:lvlJc w:val="left"/>
      <w:lvlText w:val="2"/>
      <w:numFmt w:val="bullet"/>
      <w:start w:val="1"/>
    </w:lvl>
  </w:abstractNum>
  <w:abstractNum w:abstractNumId="26">
    <w:nsid w:val="4F4EF005"/>
    <w:multiLevelType w:val="hybridMultilevel"/>
    <w:lvl w:ilvl="0">
      <w:lvlJc w:val="left"/>
      <w:lvlText w:val="3"/>
      <w:numFmt w:val="bullet"/>
      <w:start w:val="1"/>
    </w:lvl>
  </w:abstractNum>
  <w:abstractNum w:abstractNumId="27">
    <w:nsid w:val="23F9C13C"/>
    <w:multiLevelType w:val="hybridMultilevel"/>
    <w:lvl w:ilvl="0">
      <w:lvlJc w:val="left"/>
      <w:lvlText w:val="4"/>
      <w:numFmt w:val="bullet"/>
      <w:start w:val="1"/>
    </w:lvl>
  </w:abstractNum>
  <w:abstractNum w:abstractNumId="28">
    <w:nsid w:val="649BB77C"/>
    <w:multiLevelType w:val="hybridMultilevel"/>
    <w:lvl w:ilvl="0">
      <w:lvlJc w:val="left"/>
      <w:lvlText w:val="5"/>
      <w:numFmt w:val="bullet"/>
      <w:start w:val="1"/>
    </w:lvl>
  </w:abstractNum>
  <w:abstractNum w:abstractNumId="29">
    <w:nsid w:val="275AC794"/>
    <w:multiLevelType w:val="hybridMultilevel"/>
    <w:lvl w:ilvl="0">
      <w:lvlJc w:val="left"/>
      <w:lvlText w:val="6"/>
      <w:numFmt w:val="bullet"/>
      <w:start w:val="1"/>
    </w:lvl>
  </w:abstractNum>
  <w:abstractNum w:abstractNumId="30">
    <w:nsid w:val="39386575"/>
    <w:multiLevelType w:val="hybridMultilevel"/>
    <w:lvl w:ilvl="0">
      <w:lvlJc w:val="left"/>
      <w:lvlText w:val="7"/>
      <w:numFmt w:val="bullet"/>
      <w:start w:val="1"/>
    </w:lvl>
  </w:abstractNum>
  <w:abstractNum w:abstractNumId="31">
    <w:nsid w:val="1CF10FD8"/>
    <w:multiLevelType w:val="hybridMultilevel"/>
    <w:lvl w:ilvl="0">
      <w:lvlJc w:val="left"/>
      <w:lvlText w:val="8"/>
      <w:numFmt w:val="bullet"/>
      <w:start w:val="1"/>
    </w:lvl>
  </w:abstractNum>
  <w:abstractNum w:abstractNumId="32">
    <w:nsid w:val="180115BE"/>
    <w:multiLevelType w:val="hybridMultilevel"/>
    <w:lvl w:ilvl="0">
      <w:lvlJc w:val="left"/>
      <w:lvlText w:val="9"/>
      <w:numFmt w:val="bullet"/>
      <w:start w:val="1"/>
    </w:lvl>
  </w:abstractNum>
  <w:abstractNum w:abstractNumId="33">
    <w:nsid w:val="235BA861"/>
    <w:multiLevelType w:val="hybridMultilevel"/>
    <w:lvl w:ilvl="0">
      <w:lvlJc w:val="left"/>
      <w:lvlText w:val="%1"/>
      <w:numFmt w:val="decimal"/>
      <w:start w:val="10"/>
    </w:lvl>
  </w:abstractNum>
  <w:abstractNum w:abstractNumId="34">
    <w:nsid w:val="47398C89"/>
    <w:multiLevelType w:val="hybridMultilevel"/>
    <w:lvl w:ilvl="0">
      <w:lvlJc w:val="left"/>
      <w:lvlText w:val="%1"/>
      <w:numFmt w:val="decimal"/>
      <w:start w:val="1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1"/>
      <w:numFmt w:val="bullet"/>
      <w:start w:val="1"/>
    </w:lvl>
  </w:abstractNum>
  <w:abstractNum w:abstractNumId="37">
    <w:nsid w:val="741226BB"/>
    <w:multiLevelType w:val="hybridMultilevel"/>
    <w:lvl w:ilvl="0">
      <w:lvlJc w:val="left"/>
      <w:lvlText w:val="2"/>
      <w:numFmt w:val="bullet"/>
      <w:start w:val="1"/>
    </w:lvl>
  </w:abstractNum>
  <w:abstractNum w:abstractNumId="38">
    <w:nsid w:val="D34B6A8"/>
    <w:multiLevelType w:val="hybridMultilevel"/>
    <w:lvl w:ilvl="0">
      <w:lvlJc w:val="left"/>
      <w:lvlText w:val="3"/>
      <w:numFmt w:val="bullet"/>
      <w:start w:val="1"/>
    </w:lvl>
  </w:abstractNum>
  <w:abstractNum w:abstractNumId="39">
    <w:nsid w:val="10233C99"/>
    <w:multiLevelType w:val="hybridMultilevel"/>
    <w:lvl w:ilvl="0">
      <w:lvlJc w:val="left"/>
      <w:lvlText w:val="4"/>
      <w:numFmt w:val="bullet"/>
      <w:start w:val="1"/>
    </w:lvl>
  </w:abstractNum>
  <w:abstractNum w:abstractNumId="40">
    <w:nsid w:val="3F6AB60F"/>
    <w:multiLevelType w:val="hybridMultilevel"/>
    <w:lvl w:ilvl="0">
      <w:lvlJc w:val="left"/>
      <w:lvlText w:val="5"/>
      <w:numFmt w:val="bullet"/>
      <w:start w:val="1"/>
    </w:lvl>
  </w:abstractNum>
  <w:abstractNum w:abstractNumId="41">
    <w:nsid w:val="61574095"/>
    <w:multiLevelType w:val="hybridMultilevel"/>
    <w:lvl w:ilvl="0">
      <w:lvlJc w:val="left"/>
      <w:lvlText w:val="6"/>
      <w:numFmt w:val="bullet"/>
      <w:start w:val="1"/>
    </w:lvl>
  </w:abstractNum>
  <w:abstractNum w:abstractNumId="42">
    <w:nsid w:val="7E0C57B1"/>
    <w:multiLevelType w:val="hybridMultilevel"/>
    <w:lvl w:ilvl="0">
      <w:lvlJc w:val="left"/>
      <w:lvlText w:val="7"/>
      <w:numFmt w:val="bullet"/>
      <w:start w:val="1"/>
    </w:lvl>
  </w:abstractNum>
  <w:abstractNum w:abstractNumId="43">
    <w:nsid w:val="77AE35EB"/>
    <w:multiLevelType w:val="hybridMultilevel"/>
    <w:lvl w:ilvl="0">
      <w:lvlJc w:val="left"/>
      <w:lvlText w:val="8"/>
      <w:numFmt w:val="bullet"/>
      <w:start w:val="1"/>
    </w:lvl>
  </w:abstractNum>
  <w:abstractNum w:abstractNumId="44">
    <w:nsid w:val="579BE4F1"/>
    <w:multiLevelType w:val="hybridMultilevel"/>
    <w:lvl w:ilvl="0">
      <w:lvlJc w:val="left"/>
      <w:lvlText w:val="9"/>
      <w:numFmt w:val="bullet"/>
      <w:start w:val="1"/>
    </w:lvl>
  </w:abstractNum>
  <w:abstractNum w:abstractNumId="45">
    <w:nsid w:val="310C50B3"/>
    <w:multiLevelType w:val="hybridMultilevel"/>
    <w:lvl w:ilvl="0">
      <w:lvlJc w:val="left"/>
      <w:lvlText w:val="%1"/>
      <w:numFmt w:val="decimal"/>
      <w:start w:val="10"/>
    </w:lvl>
  </w:abstractNum>
  <w:abstractNum w:abstractNumId="46">
    <w:nsid w:val="5FF87E05"/>
    <w:multiLevelType w:val="hybridMultilevel"/>
    <w:lvl w:ilvl="0">
      <w:lvlJc w:val="left"/>
      <w:lvlText w:val="%1"/>
      <w:numFmt w:val="decimal"/>
      <w:start w:val="1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1"/>
      <w:numFmt w:val="bullet"/>
      <w:start w:val="1"/>
    </w:lvl>
  </w:abstractNum>
  <w:abstractNum w:abstractNumId="49">
    <w:nsid w:val="1DBABF00"/>
    <w:multiLevelType w:val="hybridMultilevel"/>
    <w:lvl w:ilvl="0">
      <w:lvlJc w:val="left"/>
      <w:lvlText w:val="2"/>
      <w:numFmt w:val="bullet"/>
      <w:start w:val="1"/>
    </w:lvl>
  </w:abstractNum>
  <w:abstractNum w:abstractNumId="50">
    <w:nsid w:val="4AD084E9"/>
    <w:multiLevelType w:val="hybridMultilevel"/>
    <w:lvl w:ilvl="0">
      <w:lvlJc w:val="left"/>
      <w:lvlText w:val="3"/>
      <w:numFmt w:val="bullet"/>
      <w:start w:val="1"/>
    </w:lvl>
  </w:abstractNum>
  <w:abstractNum w:abstractNumId="51">
    <w:nsid w:val="1F48EAA1"/>
    <w:multiLevelType w:val="hybridMultilevel"/>
    <w:lvl w:ilvl="0">
      <w:lvlJc w:val="left"/>
      <w:lvlText w:val="4"/>
      <w:numFmt w:val="bullet"/>
      <w:start w:val="1"/>
    </w:lvl>
  </w:abstractNum>
  <w:abstractNum w:abstractNumId="52">
    <w:nsid w:val="1381823A"/>
    <w:multiLevelType w:val="hybridMultilevel"/>
    <w:lvl w:ilvl="0">
      <w:lvlJc w:val="left"/>
      <w:lvlText w:val="5"/>
      <w:numFmt w:val="bullet"/>
      <w:start w:val="1"/>
    </w:lvl>
  </w:abstractNum>
  <w:abstractNum w:abstractNumId="53">
    <w:nsid w:val="5DB70AE5"/>
    <w:multiLevelType w:val="hybridMultilevel"/>
    <w:lvl w:ilvl="0">
      <w:lvlJc w:val="left"/>
      <w:lvlText w:val="6"/>
      <w:numFmt w:val="bullet"/>
      <w:start w:val="1"/>
    </w:lvl>
  </w:abstractNum>
  <w:abstractNum w:abstractNumId="54">
    <w:nsid w:val="100F8FCA"/>
    <w:multiLevelType w:val="hybridMultilevel"/>
    <w:lvl w:ilvl="0">
      <w:lvlJc w:val="left"/>
      <w:lvlText w:val="7"/>
      <w:numFmt w:val="bullet"/>
      <w:start w:val="1"/>
    </w:lvl>
  </w:abstractNum>
  <w:abstractNum w:abstractNumId="55">
    <w:nsid w:val="6590700B"/>
    <w:multiLevelType w:val="hybridMultilevel"/>
    <w:lvl w:ilvl="0">
      <w:lvlJc w:val="left"/>
      <w:lvlText w:val="8"/>
      <w:numFmt w:val="bullet"/>
      <w:start w:val="1"/>
    </w:lvl>
  </w:abstractNum>
  <w:abstractNum w:abstractNumId="56">
    <w:nsid w:val="15014ACB"/>
    <w:multiLevelType w:val="hybridMultilevel"/>
    <w:lvl w:ilvl="0">
      <w:lvlJc w:val="left"/>
      <w:lvlText w:val="9"/>
      <w:numFmt w:val="bullet"/>
      <w:start w:val="1"/>
    </w:lvl>
  </w:abstractNum>
  <w:abstractNum w:abstractNumId="57">
    <w:nsid w:val="5F5E7FD0"/>
    <w:multiLevelType w:val="hybridMultilevel"/>
    <w:lvl w:ilvl="0">
      <w:lvlJc w:val="left"/>
      <w:lvlText w:val="%1"/>
      <w:numFmt w:val="decimal"/>
      <w:start w:val="10"/>
    </w:lvl>
  </w:abstractNum>
  <w:abstractNum w:abstractNumId="58">
    <w:nsid w:val="98A3148"/>
    <w:multiLevelType w:val="hybridMultilevel"/>
    <w:lvl w:ilvl="0">
      <w:lvlJc w:val="left"/>
      <w:lvlText w:val="%1"/>
      <w:numFmt w:val="decimal"/>
      <w:start w:val="11"/>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1"/>
      <w:numFmt w:val="bullet"/>
      <w:start w:val="1"/>
    </w:lvl>
  </w:abstractNum>
  <w:abstractNum w:abstractNumId="61">
    <w:nsid w:val="42C296BD"/>
    <w:multiLevelType w:val="hybridMultilevel"/>
    <w:lvl w:ilvl="0">
      <w:lvlJc w:val="left"/>
      <w:lvlText w:val="2"/>
      <w:numFmt w:val="bullet"/>
      <w:start w:val="1"/>
    </w:lvl>
  </w:abstractNum>
  <w:abstractNum w:abstractNumId="62">
    <w:nsid w:val="168E121F"/>
    <w:multiLevelType w:val="hybridMultilevel"/>
    <w:lvl w:ilvl="0">
      <w:lvlJc w:val="left"/>
      <w:lvlText w:val="3"/>
      <w:numFmt w:val="bullet"/>
      <w:start w:val="1"/>
    </w:lvl>
  </w:abstractNum>
  <w:abstractNum w:abstractNumId="63">
    <w:nsid w:val="1EBA5D23"/>
    <w:multiLevelType w:val="hybridMultilevel"/>
    <w:lvl w:ilvl="0">
      <w:lvlJc w:val="left"/>
      <w:lvlText w:val="4"/>
      <w:numFmt w:val="bullet"/>
      <w:start w:val="1"/>
    </w:lvl>
  </w:abstractNum>
  <w:abstractNum w:abstractNumId="64">
    <w:nsid w:val="661E3F1E"/>
    <w:multiLevelType w:val="hybridMultilevel"/>
    <w:lvl w:ilvl="0">
      <w:lvlJc w:val="left"/>
      <w:lvlText w:val="5"/>
      <w:numFmt w:val="bullet"/>
      <w:start w:val="1"/>
    </w:lvl>
  </w:abstractNum>
  <w:abstractNum w:abstractNumId="65">
    <w:nsid w:val="5DC79EA8"/>
    <w:multiLevelType w:val="hybridMultilevel"/>
    <w:lvl w:ilvl="0">
      <w:lvlJc w:val="left"/>
      <w:lvlText w:val="6"/>
      <w:numFmt w:val="bullet"/>
      <w:start w:val="1"/>
    </w:lvl>
  </w:abstractNum>
  <w:abstractNum w:abstractNumId="66">
    <w:nsid w:val="540A471C"/>
    <w:multiLevelType w:val="hybridMultilevel"/>
    <w:lvl w:ilvl="0">
      <w:lvlJc w:val="left"/>
      <w:lvlText w:val="7"/>
      <w:numFmt w:val="bullet"/>
      <w:start w:val="1"/>
    </w:lvl>
  </w:abstractNum>
  <w:abstractNum w:abstractNumId="67">
    <w:nsid w:val="7BD3EE7B"/>
    <w:multiLevelType w:val="hybridMultilevel"/>
    <w:lvl w:ilvl="0">
      <w:lvlJc w:val="left"/>
      <w:lvlText w:val="8"/>
      <w:numFmt w:val="bullet"/>
      <w:start w:val="1"/>
    </w:lvl>
  </w:abstractNum>
  <w:abstractNum w:abstractNumId="68">
    <w:nsid w:val="51D9C564"/>
    <w:multiLevelType w:val="hybridMultilevel"/>
    <w:lvl w:ilvl="0">
      <w:lvlJc w:val="left"/>
      <w:lvlText w:val="9"/>
      <w:numFmt w:val="bullet"/>
      <w:start w:val="1"/>
    </w:lvl>
  </w:abstractNum>
  <w:abstractNum w:abstractNumId="69">
    <w:nsid w:val="613EFDC5"/>
    <w:multiLevelType w:val="hybridMultilevel"/>
    <w:lvl w:ilvl="0">
      <w:lvlJc w:val="left"/>
      <w:lvlText w:val="%1"/>
      <w:numFmt w:val="decimal"/>
      <w:start w:val="10"/>
    </w:lvl>
  </w:abstractNum>
  <w:abstractNum w:abstractNumId="70">
    <w:nsid w:val="BF72B14"/>
    <w:multiLevelType w:val="hybridMultilevel"/>
    <w:lvl w:ilvl="0">
      <w:lvlJc w:val="left"/>
      <w:lvlText w:val="%1"/>
      <w:numFmt w:val="decimal"/>
      <w:start w:val="11"/>
    </w:lvl>
  </w:abstractNum>
  <w:abstractNum w:abstractNumId="71">
    <w:nsid w:val="11447B73"/>
    <w:multiLevelType w:val="hybridMultilevel"/>
    <w:lvl w:ilvl="0">
      <w:lvlJc w:val="left"/>
      <w:lvlText w:val="*"/>
      <w:numFmt w:val="bullet"/>
      <w:start w:val="1"/>
    </w:lvl>
  </w:abstractNum>
  <w:abstractNum w:abstractNumId="72">
    <w:nsid w:val="42963E5A"/>
    <w:multiLevelType w:val="hybridMultilevel"/>
    <w:lvl w:ilvl="0">
      <w:lvlJc w:val="left"/>
      <w:lvlText w:val="(%1)"/>
      <w:numFmt w:val="decimal"/>
      <w:start w:val="1"/>
    </w:lvl>
  </w:abstractNum>
  <w:abstractNum w:abstractNumId="73">
    <w:nsid w:val="A0382C5"/>
    <w:multiLevelType w:val="hybridMultilevel"/>
    <w:lvl w:ilvl="0">
      <w:lvlJc w:val="left"/>
      <w:lvlText w:val="(%1)"/>
      <w:numFmt w:val="lowerRoman"/>
      <w:start w:val="1"/>
    </w:lvl>
  </w:abstractNum>
  <w:abstractNum w:abstractNumId="74">
    <w:nsid w:val="8F2B15E"/>
    <w:multiLevelType w:val="hybridMultilevel"/>
    <w:lvl w:ilvl="0">
      <w:lvlJc w:val="left"/>
      <w:lvlText w:val="(%1)"/>
      <w:numFmt w:val="lowerLetter"/>
      <w:start w:val="1"/>
    </w:lvl>
    <w:lvl w:ilvl="1">
      <w:lvlJc w:val="left"/>
      <w:lvlText w:val="%2."/>
      <w:numFmt w:val="decimal"/>
      <w:start w:val="1"/>
    </w:lvl>
  </w:abstractNum>
  <w:abstractNum w:abstractNumId="75">
    <w:nsid w:val="1A32234B"/>
    <w:multiLevelType w:val="hybridMultilevel"/>
    <w:lvl w:ilvl="0">
      <w:lvlJc w:val="left"/>
      <w:lvlText w:val="(%1)"/>
      <w:numFmt w:val="lowerLetter"/>
      <w:start w:val="3"/>
    </w:lvl>
  </w:abstractNum>
  <w:abstractNum w:abstractNumId="76">
    <w:nsid w:val="3B0FD379"/>
    <w:multiLevelType w:val="hybridMultilevel"/>
    <w:lvl w:ilvl="0">
      <w:lvlJc w:val="left"/>
      <w:lvlText w:val="1"/>
      <w:numFmt w:val="bullet"/>
      <w:start w:val="1"/>
    </w:lvl>
  </w:abstractNum>
  <w:abstractNum w:abstractNumId="77">
    <w:nsid w:val="68EB2F63"/>
    <w:multiLevelType w:val="hybridMultilevel"/>
    <w:lvl w:ilvl="0">
      <w:lvlJc w:val="left"/>
      <w:lvlText w:val="2"/>
      <w:numFmt w:val="bullet"/>
      <w:start w:val="1"/>
    </w:lvl>
  </w:abstractNum>
  <w:abstractNum w:abstractNumId="78">
    <w:nsid w:val="4962813B"/>
    <w:multiLevelType w:val="hybridMultilevel"/>
    <w:lvl w:ilvl="0">
      <w:lvlJc w:val="left"/>
      <w:lvlText w:val="3"/>
      <w:numFmt w:val="bullet"/>
      <w:start w:val="1"/>
    </w:lvl>
  </w:abstractNum>
  <w:abstractNum w:abstractNumId="79">
    <w:nsid w:val="60B6DF70"/>
    <w:multiLevelType w:val="hybridMultilevel"/>
    <w:lvl w:ilvl="0">
      <w:lvlJc w:val="left"/>
      <w:lvlText w:val="4"/>
      <w:numFmt w:val="bullet"/>
      <w:start w:val="1"/>
    </w:lvl>
  </w:abstractNum>
  <w:abstractNum w:abstractNumId="80">
    <w:nsid w:val="6A5EE64"/>
    <w:multiLevelType w:val="hybridMultilevel"/>
    <w:lvl w:ilvl="0">
      <w:lvlJc w:val="left"/>
      <w:lvlText w:val="5"/>
      <w:numFmt w:val="bullet"/>
      <w:start w:val="1"/>
    </w:lvl>
  </w:abstractNum>
  <w:abstractNum w:abstractNumId="81">
    <w:nsid w:val="1433062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0" Type="http://schemas.openxmlformats.org/officeDocument/2006/relationships/image" Target="media/image21.png"/><Relationship Id="rId33"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28" Type="http://schemas.openxmlformats.org/officeDocument/2006/relationships/hyperlink" Target="http://www.sec.gov/Archives/edgar/data/1816736/000121390020020902/fs12020a1ex10-7_fsdevelopmnt.htm" TargetMode="External"/><Relationship Id="rId29" Type="http://schemas.openxmlformats.org/officeDocument/2006/relationships/hyperlink" Target="http://www.sec.gov/Archives/edgar/data/1816736/000121390020022350/ea125578ex10-3_fsdevelop.htm" TargetMode="External"/><Relationship Id="rId31" Type="http://schemas.openxmlformats.org/officeDocument/2006/relationships/hyperlink" Target="http://www.sec.gov/Archives/edgar/data/1816736/000121390020032122/ea128463ex2-1_fsdevelopment.htm" TargetMode="External"/><Relationship Id="rId32" Type="http://schemas.openxmlformats.org/officeDocument/2006/relationships/hyperlink" Target="http://www.sec.gov/Archives/edgar/data/1816736/000121390020032122/ea128463ex10-1_fsdevelopment.htm" TargetMode="External"/><Relationship Id="rId34" Type="http://schemas.openxmlformats.org/officeDocument/2006/relationships/hyperlink" Target="http://www.sec.gov/Archives/edgar/data/1816736/000121390021007091/ea134758ex10-1_gemin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2021-02-12T15:51:42Z</dcterms:created>
  <dcterms:modified xsi:type="dcterms:W3CDTF">2021-02-12T15:51:42Z</dcterms:modified>
</cp:coreProperties>
</file>