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January 13,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GEMINI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001-39438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85-1612845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ind w:left="1864"/>
        <w:spacing w:after="0"/>
        <w:rPr>
          <w:sz w:val="20"/>
          <w:szCs w:val="20"/>
          <w:color w:val="auto"/>
        </w:rPr>
      </w:pPr>
      <w:r>
        <w:rPr>
          <w:rFonts w:ascii="Arial" w:cs="Arial" w:eastAsia="Arial" w:hAnsi="Arial"/>
          <w:sz w:val="16"/>
          <w:szCs w:val="16"/>
          <w:b w:val="1"/>
          <w:bCs w:val="1"/>
          <w:color w:val="auto"/>
        </w:rPr>
        <w:t>Address Not Applicable</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Address Not Applicable</w:t>
      </w:r>
    </w:p>
    <w:p>
      <w:pPr>
        <w:spacing w:after="0" w:line="50" w:lineRule="exact"/>
        <w:rPr>
          <w:sz w:val="24"/>
          <w:szCs w:val="24"/>
          <w:color w:val="auto"/>
        </w:rPr>
      </w:pPr>
    </w:p>
    <w:p>
      <w:pPr>
        <w:sectPr>
          <w:pgSz w:w="11900" w:h="16838" w:orient="portrait"/>
          <w:cols w:equalWidth="0" w:num="2">
            <w:col w:w="6704" w:space="720"/>
            <w:col w:w="36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(617) 401-4400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GMTX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bl>
    <w:p>
      <w:pPr>
        <w:spacing w:after="0" w:line="210" w:lineRule="exact"/>
        <w:rPr>
          <w:sz w:val="24"/>
          <w:szCs w:val="24"/>
          <w:color w:val="auto"/>
        </w:rPr>
      </w:pPr>
    </w:p>
    <w:p>
      <w:pPr>
        <w:ind w:left="424" w:right="180" w:hanging="424"/>
        <w:spacing w:after="0" w:line="277" w:lineRule="auto"/>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7" w:lineRule="exact"/>
        <w:rPr>
          <w:sz w:val="24"/>
          <w:szCs w:val="24"/>
          <w:color w:val="auto"/>
        </w:rPr>
      </w:pPr>
    </w:p>
    <w:p>
      <w:pPr>
        <w:ind w:left="424" w:right="180" w:hanging="424"/>
        <w:spacing w:after="0" w:line="277" w:lineRule="auto"/>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168910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1200" w:right="80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January 13, 2022, the Company awarded its Chief Financial Officer, Brian Piekos, a one-time cash and equity bonus award, pursuant to which Mr. Piekos is eligible to receive a cash incentive of up to $212,625 upon achievement of certain corporate milestones and a restricted stock unit award relating to 280,876 shares of the Company’s common stock vesting on the one (1)-year anniversary of the date of grant.</w:t>
      </w:r>
    </w:p>
    <w:p>
      <w:pPr>
        <w:sectPr>
          <w:pgSz w:w="11900" w:h="16838" w:orient="portrait"/>
          <w:cols w:equalWidth="0" w:num="1">
            <w:col w:w="10800"/>
          </w:cols>
          <w:pgMar w:left="440" w:top="297" w:right="659" w:bottom="1440" w:gutter="0" w:footer="0" w:header="0"/>
        </w:sectPr>
      </w:pPr>
    </w:p>
    <w:bookmarkStart w:id="2" w:name="page3"/>
    <w:bookmarkEnd w:id="2"/>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Gemini Therapeutics,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Jason Meyenburg</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14, 2022</w:t>
      </w:r>
    </w:p>
    <w:sectPr>
      <w:pgSz w:w="11900" w:h="16838" w:orient="portrait"/>
      <w:cols w:equalWidth="0" w:num="1">
        <w:col w:w="10260"/>
      </w:cols>
      <w:pgMar w:left="440" w:top="29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2022-01-14T07:02:23Z</dcterms:created>
  <dcterms:modified xsi:type="dcterms:W3CDTF">2022-01-14T07:02:23Z</dcterms:modified>
</cp:coreProperties>
</file>