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Quisel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Disc Medicine, Inc.</w:t>
              </w:r>
            </w:hyperlink>
            <w:r>
              <w:rPr/>
              <w:t xml:space="preserve"> [ </w:t>
            </w:r>
            <w:r>
              <w:rPr>
                <w:rFonts w:ascii="Times;serif" w:hAnsi="Times;serif"/>
                <w:color w:val="0000FF"/>
                <w:sz w:val="24"/>
                <w:shd w:fill="FFFFFF" w:val="clear"/>
              </w:rPr>
              <w:t>IRON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259,064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78.1061</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250,664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79.1952</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237,952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79.842</w:t>
            </w:r>
            <w:r>
              <w:rPr>
                <w:rFonts w:ascii="Times;serif" w:hAnsi="Times;serif"/>
                <w:color w:val="008000"/>
                <w:position w:val="7"/>
                <w:sz w:val="16"/>
                <w:sz w:val="20"/>
                <w:shd w:fill="FFFFFF" w:val="clear"/>
              </w:rPr>
              <w:t>(4)</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226,064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12/28/2032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91,586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$77.50 to $78.49,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$78.53 to $79.52,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$79.53 to $80.02,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this option vest in 48 equal monthly installments following December 29, 2022,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Rahul Khara,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86788" TargetMode="External"/><Relationship Id="rId5" Type="http://schemas.openxmlformats.org/officeDocument/2006/relationships/hyperlink" Target="http://www.sec.gov/cgi-bin/browse-edgar?action=getcompany&amp;CIK=0001816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797</Words>
  <Characters>4266</Characters>
  <CharactersWithSpaces>4955</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