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764"/>
        <w:spacing w:after="0"/>
        <w:rPr>
          <w:sz w:val="20"/>
          <w:szCs w:val="20"/>
          <w:color w:val="auto"/>
        </w:rPr>
      </w:pPr>
      <w:r>
        <w:rPr>
          <w:rFonts w:ascii="Times New Roman" w:cs="Times New Roman" w:eastAsia="Times New Roman" w:hAnsi="Times New Roman"/>
          <w:sz w:val="17"/>
          <w:szCs w:val="17"/>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under the Exchange Act (17 CFR 240.13e-4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3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January 25, 2023, Disc Medicine, Inc. (the “Company”) entered into a Sales Agreement (the “Agreement”) with SVB Securities LLC (“SVB Securities”) pursuant to which the Company may, from time to time in its sole discretion, issue and sell through SVB Securities, acting as sales agent, shares of the Company’s common stock, par value $0.0001 per share (the “Placement Shares”). The issuance and sale, if any, of Placement Shares with an aggregate offering price of up to $100.0 million by the Company under the Agreement will be made pursuant to a prospectus supplement to the Company’s registration statement on Form S-3 (File No. 333-269272), originally filed with the Securities and Exchange Commission (the “SEC”) on January 18, 2023, which became effective on January 24, 2023.</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Agreement, SVB Securities may sell the Placement Shares by any method permitted by law deemed to be an “at the market” offering as defined in Rule 415 of the Securities Act of 1933, as amended (the “Securities Act”), including, without limitation, sales made directly on or through the Nasdaq Global Market, on or through any other existing trading market for the Company’s common stock. SVB Securities will use commercially reasonable efforts consistent with its normal trading and sales practices to sell the Placement Shares from time to time, based upon instructions from the Company (including any price or size limits or other customary parameters or conditions the Company may impose). SVB Securities will not purchase any Placement Shares on a principal basis pursuant to the Agreement unless the Company and SVB Securities enter into a separate written agreement setting forth the terms of such sale.</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will pay SVB Securities a commission of up to 3.0% of the gross sales proceeds of any Placement Shares sold through SVB Securities, acting as sales agent, under the Agreement.</w:t>
      </w:r>
    </w:p>
    <w:p>
      <w:pPr>
        <w:spacing w:after="0" w:line="162"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Placement Shares under the Agreement. The offering of Placement Shares pursuant to the Agreement will terminate upon the earlier to occur of (i) the issuance and sale, through SVB Securities, of all Placement Shares subject to the Agreement and (ii) termination of the Agreement in accordance with its terms.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Agreement contains representations, warranties and covenants that are customary for transactions of this type. In addition, the Company has agreed to indemnify SVB Securities against certain liabilities, including liabilities under the Securities Act of 1933, as amended, and the Securities Exchange Act of 1934, as amended.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the Agreement, a copy of which is filed herewith as Exhibit 1.1 to this Current Report on Form 8-K and is incorporated herein by reference. A copy of the opinion of Goodwin Procter LLP relating to the validity of the Placement Shares in the offering is attached as Exhibit 5.1 hereto.</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4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4"/>
                <w:szCs w:val="14"/>
                <w:color w:val="auto"/>
              </w:rPr>
            </w:pPr>
          </w:p>
        </w:tc>
        <w:tc>
          <w:tcPr>
            <w:tcW w:w="2420" w:type="dxa"/>
            <w:vAlign w:val="bottom"/>
            <w:tcBorders>
              <w:bottom w:val="single" w:sz="8" w:color="auto"/>
            </w:tcBorders>
            <w:gridSpan w:val="2"/>
            <w:vMerge w:val="continue"/>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3"/>
                <w:szCs w:val="23"/>
                <w:color w:val="auto"/>
              </w:rPr>
            </w:pPr>
          </w:p>
        </w:tc>
        <w:tc>
          <w:tcPr>
            <w:tcW w:w="7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Sales Agreement dated January 25, 2023 by and between Disc Medicine, Inc. and SVB Securities LLC</w:t>
            </w:r>
          </w:p>
        </w:tc>
        <w:tc>
          <w:tcPr>
            <w:tcW w:w="0" w:type="dxa"/>
            <w:vAlign w:val="bottom"/>
          </w:tcPr>
          <w:p>
            <w:pPr>
              <w:spacing w:after="0"/>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23.1</w:t>
            </w:r>
          </w:p>
        </w:tc>
        <w:tc>
          <w:tcPr>
            <w:tcW w:w="540" w:type="dxa"/>
            <w:vAlign w:val="bottom"/>
          </w:tcPr>
          <w:p>
            <w:pPr>
              <w:spacing w:after="0"/>
              <w:rPr>
                <w:sz w:val="24"/>
                <w:szCs w:val="24"/>
                <w:color w:val="auto"/>
              </w:rPr>
            </w:pPr>
          </w:p>
        </w:tc>
        <w:tc>
          <w:tcPr>
            <w:tcW w:w="4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(contained in Exhibit 5.1)</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January 25,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40"/>
          </w:cols>
          <w:pgMar w:left="440" w:top="293"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($0.0001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SVB Securities LLC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51" w:lineRule="exact"/>
        <w:rPr>
          <w:sz w:val="20"/>
          <w:szCs w:val="20"/>
          <w:color w:val="auto"/>
        </w:rPr>
      </w:pPr>
    </w:p>
    <w:p>
      <w:pPr>
        <w:ind w:right="280" w:firstLine="436"/>
        <w:spacing w:after="0" w:line="254"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 up to $100 million of shares of common stock, $0.0001 par value per share, of the Company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subject to the limitations set forth in Section 5(c)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and to be declared effective by the Commission, although nothing in this Agreement shall be construed as requiring the Company to issue any Placement Shares.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prepared and will file,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 including (a)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(b) a prospectus supplement specifically relating to the Placement Shares to be issued from time to time pursuant to this Agreement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will furnish to the Agent, for use by the Agent, copies of the base prospectus included as part of such registration statement at the time it becomes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including all</w:t>
      </w:r>
    </w:p>
    <w:p>
      <w:pPr>
        <w:sectPr>
          <w:pgSz w:w="11900" w:h="16838" w:orient="portrait"/>
          <w:cols w:equalWidth="0" w:num="1">
            <w:col w:w="11020"/>
          </w:cols>
          <w:pgMar w:left="440" w:top="117" w:right="439" w:bottom="1440" w:gutter="0" w:footer="0" w:header="0"/>
        </w:sectPr>
      </w:pPr>
    </w:p>
    <w:bookmarkStart w:id="5" w:name="page6"/>
    <w:bookmarkEnd w:id="5"/>
    <w:p>
      <w:pPr>
        <w:ind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436"/>
        <w:spacing w:after="0" w:line="25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any Placement Shares through the Agent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in writing by the parties) (each such notice,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The Placement Notice must originate from one of the individuals authorized to act on behalf of the Company and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and shall be addressed to each of the recipients from the Agent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may be updated by either party from time to time by sending a written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in writing, by any means provided for under Section 12,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4"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effected through the Agent shall be calculated in accordance with the 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83" w:lineRule="exact"/>
        <w:rPr>
          <w:sz w:val="20"/>
          <w:szCs w:val="20"/>
          <w:color w:val="auto"/>
        </w:rPr>
      </w:pPr>
    </w:p>
    <w:p>
      <w:pPr>
        <w:ind w:left="4" w:firstLine="436"/>
        <w:spacing w:after="0" w:line="251" w:lineRule="auto"/>
        <w:tabs>
          <w:tab w:leader="none" w:pos="6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sales made directly on or through Nasdaq, on or through any other existing trading market for the Common Stock or to or through a market maker. If expressly authorized by the Company (including in a Placement Notice), the Agent may also sell Placement Shares in negotiated transactions. Notwithstanding the provisions of Section 6(oo),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w:t>
      </w:r>
    </w:p>
    <w:p>
      <w:pPr>
        <w:spacing w:after="0" w:line="8" w:lineRule="exact"/>
        <w:rPr>
          <w:rFonts w:ascii="Times New Roman" w:cs="Times New Roman" w:eastAsia="Times New Roman" w:hAnsi="Times New Roman"/>
          <w:sz w:val="18"/>
          <w:szCs w:val="18"/>
          <w:color w:val="auto"/>
        </w:rPr>
      </w:pPr>
    </w:p>
    <w:p>
      <w:pPr>
        <w:ind w:left="4" w:right="80" w:hanging="4"/>
        <w:spacing w:after="0" w:line="255"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Common Stock is purchased and sold on Nasdaq.</w:t>
      </w:r>
    </w:p>
    <w:p>
      <w:pPr>
        <w:spacing w:after="0" w:line="18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58" w:lineRule="auto"/>
        <w:tabs>
          <w:tab w:leader="none" w:pos="6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suspend any sale of Placement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shall not affect or impair either party’s obligations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Placement Shares sold hereunder prior to the receipt of such notice. Each of the parties agrees that no such</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7" w:name="page8"/>
    <w:bookmarkEnd w:id="7"/>
    <w:p>
      <w:pPr>
        <w:ind w:left="4" w:right="2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under this Section 4 shall be effective against the other party unless notice is sent by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w:t>
      </w:r>
    </w:p>
    <w:p>
      <w:pPr>
        <w:spacing w:after="0" w:line="175" w:lineRule="exact"/>
        <w:rPr>
          <w:sz w:val="20"/>
          <w:szCs w:val="20"/>
          <w:color w:val="auto"/>
        </w:rPr>
      </w:pPr>
    </w:p>
    <w:p>
      <w:pPr>
        <w:ind w:left="4" w:right="100" w:firstLine="436"/>
        <w:spacing w:after="0" w:line="261" w:lineRule="auto"/>
        <w:tabs>
          <w:tab w:leader="none" w:pos="6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during any period in which the Company is, or may reasonably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80" w:lineRule="exact"/>
        <w:rPr>
          <w:sz w:val="20"/>
          <w:szCs w:val="20"/>
          <w:color w:val="auto"/>
        </w:rPr>
      </w:pPr>
    </w:p>
    <w:p>
      <w:pPr>
        <w:ind w:left="624" w:hanging="184"/>
        <w:spacing w:after="0"/>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and Delivery of the Placement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9" w:lineRule="auto"/>
        <w:tabs>
          <w:tab w:leader="none" w:pos="68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Placement Shares</w:t>
      </w:r>
      <w:r>
        <w:rPr>
          <w:rFonts w:ascii="Times New Roman" w:cs="Times New Roman" w:eastAsia="Times New Roman" w:hAnsi="Times New Roman"/>
          <w:sz w:val="17"/>
          <w:szCs w:val="17"/>
          <w:color w:val="auto"/>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Times New Roman" w:cs="Times New Roman" w:eastAsia="Times New Roman" w:hAnsi="Times New Roman"/>
          <w:sz w:val="17"/>
          <w:szCs w:val="17"/>
          <w:b w:val="1"/>
          <w:bCs w:val="1"/>
          <w:u w:val="single" w:color="auto"/>
          <w:color w:val="auto"/>
        </w:rPr>
        <w:t>Settlement Date</w:t>
      </w:r>
      <w:r>
        <w:rPr>
          <w:rFonts w:ascii="Times New Roman" w:cs="Times New Roman" w:eastAsia="Times New Roman" w:hAnsi="Times New Roman"/>
          <w:sz w:val="17"/>
          <w:szCs w:val="17"/>
          <w:color w:val="auto"/>
        </w:rPr>
        <w:t>”). The amount of proceeds to be delivered to the Company on a Settlement Date against receipt of the Placement Shares sold (the “</w:t>
      </w:r>
      <w:r>
        <w:rPr>
          <w:rFonts w:ascii="Times New Roman" w:cs="Times New Roman" w:eastAsia="Times New Roman" w:hAnsi="Times New Roman"/>
          <w:sz w:val="17"/>
          <w:szCs w:val="17"/>
          <w:b w:val="1"/>
          <w:bCs w:val="1"/>
          <w:u w:val="single" w:color="auto"/>
          <w:color w:val="auto"/>
        </w:rPr>
        <w:t>Net Proceeds</w:t>
      </w:r>
      <w:r>
        <w:rPr>
          <w:rFonts w:ascii="Times New Roman" w:cs="Times New Roman" w:eastAsia="Times New Roman" w:hAnsi="Times New Roman"/>
          <w:sz w:val="17"/>
          <w:szCs w:val="17"/>
          <w:color w:val="auto"/>
        </w:rPr>
        <w:t>”) will be equal to the aggregate gross sales price received by the Agent at which such Placement Shares were sold, after deduction of (i) the Agent’s commission, discount or other compensation for such sales payable by the Company pursuant to Section 2 hereof,</w:t>
      </w:r>
    </w:p>
    <w:p>
      <w:pPr>
        <w:spacing w:after="0" w:line="2" w:lineRule="exact"/>
        <w:rPr>
          <w:rFonts w:ascii="Times New Roman" w:cs="Times New Roman" w:eastAsia="Times New Roman" w:hAnsi="Times New Roman"/>
          <w:sz w:val="17"/>
          <w:szCs w:val="17"/>
          <w:color w:val="auto"/>
        </w:rPr>
      </w:pPr>
    </w:p>
    <w:p>
      <w:pPr>
        <w:ind w:left="4" w:hanging="4"/>
        <w:spacing w:after="0" w:line="260"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due and payable by the Company to the Agent hereunder pursuant to Section 7(g) hereof and (iii) any transaction fees imposed by any governmental or self-regulatory organization in respect of such sales.</w:t>
      </w:r>
    </w:p>
    <w:p>
      <w:pPr>
        <w:spacing w:after="0" w:line="181"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at least one Trading Day prior to the Settlement Date) at The Depository Trust Company through its Deposit and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and documented legal fees and expenses), as incurred,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3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8" w:name="page9"/>
    <w:bookmarkEnd w:id="8"/>
    <w:p>
      <w:pPr>
        <w:ind w:left="4" w:firstLine="436"/>
        <w:spacing w:after="0" w:line="267" w:lineRule="auto"/>
        <w:tabs>
          <w:tab w:leader="none" w:pos="68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Limitations on Offering Size</w:t>
      </w:r>
      <w:r>
        <w:rPr>
          <w:rFonts w:ascii="Times New Roman" w:cs="Times New Roman" w:eastAsia="Times New Roman" w:hAnsi="Times New Roman"/>
          <w:sz w:val="17"/>
          <w:szCs w:val="17"/>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(x) board of directors or a duly authorized committee thereof or (y) authorized executive officers of the Company are authorized to issue and sell from time to time, and notified to the Agent in writing, or (v) the dollar amount of shares of Common Stock for which the Company has filed the Prospectus Supplement. Under no circumstances shall the Company cause or request the offer or sale of any Placement Shares pursuant to this Agreement at a price lower than the minimum price authorized from time to time by the Company’s</w:t>
      </w:r>
    </w:p>
    <w:p>
      <w:pPr>
        <w:spacing w:after="0" w:line="2" w:lineRule="exact"/>
        <w:rPr>
          <w:rFonts w:ascii="Times New Roman" w:cs="Times New Roman" w:eastAsia="Times New Roman" w:hAnsi="Times New Roman"/>
          <w:sz w:val="17"/>
          <w:szCs w:val="17"/>
          <w:color w:val="auto"/>
        </w:rPr>
      </w:pPr>
    </w:p>
    <w:p>
      <w:pPr>
        <w:ind w:left="4" w:right="160" w:hanging="4"/>
        <w:spacing w:after="0" w:line="253"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or a duly authorized committee thereof or (y) authorized executive officers of the Company,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89" w:lineRule="exact"/>
        <w:rPr>
          <w:sz w:val="20"/>
          <w:szCs w:val="20"/>
          <w:color w:val="auto"/>
        </w:rPr>
      </w:pPr>
    </w:p>
    <w:p>
      <w:pPr>
        <w:ind w:left="4" w:right="40" w:firstLine="436"/>
        <w:spacing w:after="0" w:line="257" w:lineRule="auto"/>
        <w:tabs>
          <w:tab w:leader="none" w:pos="6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w:t>
      </w:r>
    </w:p>
    <w:p>
      <w:pPr>
        <w:spacing w:after="0" w:line="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an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 w:right="80" w:firstLine="436"/>
        <w:spacing w:after="0" w:line="253" w:lineRule="auto"/>
        <w:tabs>
          <w:tab w:leader="none" w:pos="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transactions contemplated by this Agreement meet the requirements for and comply with the conditions for the use of Form S-3 (including General Instructions I.A and I.B.1.) under the Securities Act. The Registration Statement will be filed with the Commission and will be declared effective by the Commission under the Securities Act prior to the issuance of any Placement Notices by the Company. At the time the Registration Statement originally became effective and at the time the Company’s Annual Report on Form 10-K for the year ended December 31, 2021,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w:t>
      </w: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Shares that may be sold pursuant to</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176" w:lineRule="exact"/>
        <w:rPr>
          <w:sz w:val="20"/>
          <w:szCs w:val="20"/>
          <w:color w:val="auto"/>
        </w:rPr>
      </w:pPr>
    </w:p>
    <w:p>
      <w:pPr>
        <w:ind w:firstLine="436"/>
        <w:spacing w:after="0" w:line="252"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“emerging growth company,” as defined in Section 2(a) of the Securities Act (an “</w:t>
      </w:r>
      <w:r>
        <w:rPr>
          <w:rFonts w:ascii="Times New Roman" w:cs="Times New Roman" w:eastAsia="Times New Roman" w:hAnsi="Times New Roman"/>
          <w:sz w:val="18"/>
          <w:szCs w:val="18"/>
          <w:b w:val="1"/>
          <w:bCs w:val="1"/>
          <w:u w:val="single" w:color="auto"/>
          <w:color w:val="auto"/>
        </w:rPr>
        <w:t>Emerging Growth 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ind w:left="-40" w:right="200" w:firstLine="436"/>
        <w:spacing w:after="0" w:line="266" w:lineRule="auto"/>
        <w:tabs>
          <w:tab w:leader="none" w:pos="6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left="-40" w:right="80" w:firstLine="436"/>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Common Stock is registered pursuant to Section 12(b)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87" w:lineRule="exact"/>
        <w:rPr>
          <w:rFonts w:ascii="Times New Roman" w:cs="Times New Roman" w:eastAsia="Times New Roman" w:hAnsi="Times New Roman"/>
          <w:sz w:val="18"/>
          <w:szCs w:val="18"/>
          <w:color w:val="auto"/>
        </w:rPr>
      </w:pPr>
    </w:p>
    <w:p>
      <w:pPr>
        <w:ind w:left="-40" w:firstLine="436"/>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83" w:lineRule="exact"/>
        <w:rPr>
          <w:rFonts w:ascii="Times New Roman" w:cs="Times New Roman" w:eastAsia="Times New Roman" w:hAnsi="Times New Roman"/>
          <w:sz w:val="18"/>
          <w:szCs w:val="18"/>
          <w:color w:val="auto"/>
        </w:rPr>
      </w:pPr>
    </w:p>
    <w:p>
      <w:pPr>
        <w:ind w:left="-40" w:firstLine="436"/>
        <w:spacing w:after="0" w:line="254" w:lineRule="auto"/>
        <w:tabs>
          <w:tab w:leader="none" w:pos="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jurisdiction of its incorporation, has the corporate power and authority to own, lease and operate its property and to conduct its business as described in each of the Registration Statement and the Prospectus and to enter into and perform its obligations under this Agreement.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0" w:right="40" w:firstLine="436"/>
        <w:spacing w:after="0" w:line="254" w:lineRule="auto"/>
        <w:tabs>
          <w:tab w:leader="none" w:pos="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(for purposes of this Agreement, as defined in Rule 405 under the Securities Act) (each, a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incorporated, organized or formed and is validly existing in good standing (where such concept exists) under the laws of the jurisdiction of its incorporation or organization and has full power and authority to acquire, own, lease and operate its properties, and to conduct its business as described in the Registration Statement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Except for Disc</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70" w:right="499" w:bottom="1440" w:gutter="0" w:footer="0" w:header="0"/>
        </w:sectPr>
      </w:pPr>
    </w:p>
    <w:bookmarkStart w:id="11" w:name="page12"/>
    <w:bookmarkEnd w:id="11"/>
    <w:p>
      <w:pPr>
        <w:ind w:right="1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Medicine Opco, Inc., a Delaware corporation, Disc Medicine B.V., a Netherlands private limited company, and Disc Medicine Securities Corp., a Delaware corporation, the Company does not own or control, directly or indirectly, any corporation, association or other entity, other than the Subsidiaries listed on Exhibit 21.1 to the Company’s Registration Statement on Form S-4 filed with the Commission on September 2, 2022.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73" w:lineRule="exact"/>
        <w:rPr>
          <w:sz w:val="20"/>
          <w:szCs w:val="20"/>
          <w:color w:val="auto"/>
        </w:rPr>
      </w:pPr>
    </w:p>
    <w:p>
      <w:pPr>
        <w:ind w:right="20" w:firstLine="436"/>
        <w:spacing w:after="0" w:line="253"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authorized and outstanding capitalization as set forth in the Company’s Current Report on Form 8-K filed with the Commission on December 29, 2022, as of the dates referred to therein (subject, in each case, to the issuance of Placement Shares under this Agreement, the issuance of shares of Common Stock upon exercise of share options and warrants disclosed as outstanding as of the date hereof in the Registration Statement and the Prospectus and the grant of options under existing share option plans described in the Registration Statement and the Prospectus). The Common Stock conforms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“Stock Plans”)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187" w:lineRule="exact"/>
        <w:rPr>
          <w:rFonts w:ascii="Times New Roman" w:cs="Times New Roman" w:eastAsia="Times New Roman" w:hAnsi="Times New Roman"/>
          <w:sz w:val="18"/>
          <w:szCs w:val="18"/>
          <w:color w:val="auto"/>
        </w:rPr>
      </w:pPr>
    </w:p>
    <w:p>
      <w:pPr>
        <w:ind w:right="40" w:firstLine="436"/>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have been duly authorized and, when issued, delivered and paid for in accordance with the terms of this Agreement, will be validly issued, fully paid and nonassessable and will conform in all material respects to the description thereof contained in the Prospectus. The issuance and sale of the Placement Shares will not be subject to any preemptive or similar rights that have not been validly waived.</w:t>
      </w:r>
    </w:p>
    <w:p>
      <w:pPr>
        <w:spacing w:after="0" w:line="17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right="380" w:firstLine="436"/>
        <w:spacing w:after="0" w:line="266"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Placement Shares and the application of the proceeds thereof as described in the Prospectus, will not be required to register as an “investment company” as such term is defined in the Investment Company Act of 1940, as amended.</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 (i) and (iii), as would not, individually or in the aggregate, reasonably be expected to have a Material Adverse Effect on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Placement Shares.</w:t>
      </w:r>
    </w:p>
    <w:p>
      <w:pPr>
        <w:spacing w:after="0" w:line="180" w:lineRule="exact"/>
        <w:rPr>
          <w:sz w:val="20"/>
          <w:szCs w:val="20"/>
          <w:color w:val="auto"/>
        </w:rPr>
      </w:pPr>
    </w:p>
    <w:p>
      <w:pPr>
        <w:ind w:right="300" w:firstLine="436"/>
        <w:spacing w:after="0" w:line="266"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and the Prospectus there has not occurred any Material Adverse Effect, or any development involving a Material Adverse Effect, in the condition, financial or otherwise, or in the earnings, business or operations of the Company and its Subsidiaries, taken as a whole.</w:t>
      </w:r>
    </w:p>
    <w:p>
      <w:pPr>
        <w:spacing w:after="0" w:line="175" w:lineRule="exact"/>
        <w:rPr>
          <w:rFonts w:ascii="Times New Roman" w:cs="Times New Roman" w:eastAsia="Times New Roman" w:hAnsi="Times New Roman"/>
          <w:sz w:val="18"/>
          <w:szCs w:val="18"/>
          <w:color w:val="auto"/>
        </w:rPr>
      </w:pPr>
    </w:p>
    <w:p>
      <w:pPr>
        <w:ind w:right="300" w:firstLine="436"/>
        <w:spacing w:after="0" w:line="261"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 except as have been validly waived or complied with in connection with the issuance and sale of the Placement Shares contemplated hereby.</w:t>
      </w:r>
    </w:p>
    <w:p>
      <w:pPr>
        <w:spacing w:after="0" w:line="179" w:lineRule="exact"/>
        <w:rPr>
          <w:rFonts w:ascii="Times New Roman" w:cs="Times New Roman" w:eastAsia="Times New Roman" w:hAnsi="Times New Roman"/>
          <w:sz w:val="18"/>
          <w:szCs w:val="18"/>
          <w:color w:val="auto"/>
        </w:rPr>
      </w:pPr>
    </w:p>
    <w:p>
      <w:pPr>
        <w:ind w:firstLine="436"/>
        <w:spacing w:after="0" w:line="251"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included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u w:val="single" w:color="auto"/>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 or the Prospectus that are not included or incorporated by reference therein as required. The Company and the Subsidiaries do not have any material liabilities or obligations, direct or contingent (including any off-balance sheet obligations), not disclosed in the Registration Statement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(“PCAOB”), has participated in or otherwise aided the preparation of, or audited, the financial statements, supporting schedules or other financial data filed with the Commission as a part of the Registration Statement and the Prospectus.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firstLine="436"/>
        <w:spacing w:after="0" w:line="254" w:lineRule="auto"/>
        <w:tabs>
          <w:tab w:leader="none" w:pos="6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legal or governmental proceedings pending or, to the knowledge of the Company, threatened to which the Company or its Subsidiaries are a party or to which any of the properties or assets of the Company or its Subsidiaries is subject (i) other than proceedings accurately described in all material respects in each of the Registration Statement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91" w:lineRule="exact"/>
        <w:rPr>
          <w:rFonts w:ascii="Times New Roman" w:cs="Times New Roman" w:eastAsia="Times New Roman" w:hAnsi="Times New Roman"/>
          <w:sz w:val="18"/>
          <w:szCs w:val="18"/>
          <w:color w:val="auto"/>
        </w:rPr>
      </w:pPr>
    </w:p>
    <w:p>
      <w:pPr>
        <w:ind w:right="20" w:firstLine="436"/>
        <w:spacing w:after="0" w:line="25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Ernst &amp; Young LLP has not been engaged by the Company to perform any “prohibited activities” or provided to the Company any “non-audit services” (as defined in Section 10A of the Exchange Act).</w:t>
      </w:r>
    </w:p>
    <w:p>
      <w:pPr>
        <w:spacing w:after="0" w:line="187"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175"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179" w:lineRule="exact"/>
        <w:rPr>
          <w:rFonts w:ascii="Times New Roman" w:cs="Times New Roman" w:eastAsia="Times New Roman" w:hAnsi="Times New Roman"/>
          <w:sz w:val="18"/>
          <w:szCs w:val="18"/>
          <w:color w:val="auto"/>
        </w:rPr>
      </w:pPr>
    </w:p>
    <w:p>
      <w:pPr>
        <w:ind w:right="200" w:firstLine="436"/>
        <w:spacing w:after="0" w:line="256" w:lineRule="auto"/>
        <w:tabs>
          <w:tab w:leader="none" w:pos="7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pacing w:after="0" w:line="187" w:lineRule="exact"/>
        <w:rPr>
          <w:rFonts w:ascii="Times New Roman" w:cs="Times New Roman" w:eastAsia="Times New Roman" w:hAnsi="Times New Roman"/>
          <w:sz w:val="18"/>
          <w:szCs w:val="18"/>
          <w:color w:val="auto"/>
        </w:rPr>
      </w:pPr>
    </w:p>
    <w:p>
      <w:pPr>
        <w:ind w:right="340" w:firstLine="436"/>
        <w:spacing w:after="0" w:line="274" w:lineRule="auto"/>
        <w:tabs>
          <w:tab w:leader="none" w:pos="6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ind w:left="4" w:right="40" w:firstLine="436"/>
        <w:spacing w:after="0" w:line="258" w:lineRule="auto"/>
        <w:tabs>
          <w:tab w:leader="none" w:pos="69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possess and are operating in material compliance with all certificates, authorizations and permits issued by the appropriate federal, state or foreign regulatory authorities necessary to conduct their respective businesses as described in the Registration Statement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w:t>
      </w:r>
    </w:p>
    <w:p>
      <w:pPr>
        <w:spacing w:after="0" w:line="18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existing assets at reasonable intervals and appropriate action is taken with respect to any differences.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88"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7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183"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7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4" w:right="400" w:firstLine="436"/>
        <w:spacing w:after="0" w:line="261" w:lineRule="auto"/>
        <w:tabs>
          <w:tab w:leader="none" w:pos="7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5" w:name="page16"/>
    <w:bookmarkEnd w:id="15"/>
    <w:p>
      <w:pPr>
        <w:ind w:left="-20" w:firstLine="436"/>
        <w:spacing w:after="0" w:line="252" w:lineRule="auto"/>
        <w:tabs>
          <w:tab w:leader="none" w:pos="7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its Subsidiaries that would reasonably be expected to have a 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193" w:lineRule="exact"/>
        <w:rPr>
          <w:rFonts w:ascii="Times New Roman" w:cs="Times New Roman" w:eastAsia="Times New Roman" w:hAnsi="Times New Roman"/>
          <w:sz w:val="18"/>
          <w:szCs w:val="18"/>
          <w:color w:val="auto"/>
        </w:rPr>
      </w:pPr>
    </w:p>
    <w:p>
      <w:pPr>
        <w:ind w:left="-20" w:right="300" w:firstLine="436"/>
        <w:spacing w:after="0" w:line="261" w:lineRule="auto"/>
        <w:tabs>
          <w:tab w:leader="none" w:pos="7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actions to ensure that, upon the effectiveness of the Registration Statement, it will be in compliance with all applicable provisions of the Sarbanes-Oxley Act of 2002 and the rules and regulations promulgated in connection therewith with which the Company is required to comply as of the effectiveness of the Registration Statement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including Section 402 relating to loans.</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3" w:lineRule="auto"/>
        <w:tabs>
          <w:tab w:leader="none" w:pos="7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affiliates, or any director, officer, or employee thereof, or, to the Company’s knowledge, any of its other affiliates, or any agent or representative of the Company or its Subsidiary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u w:val="single" w:color="auto"/>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each of its Subsidiaries and affiliates, and to the Company’s knowledge, each of its other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60" w:top="270" w:right="479" w:bottom="1440" w:gutter="0" w:footer="0" w:header="0"/>
        </w:sectPr>
      </w:pPr>
    </w:p>
    <w:bookmarkStart w:id="16" w:name="page17"/>
    <w:bookmarkEnd w:id="16"/>
    <w:p>
      <w:pPr>
        <w:ind w:firstLine="436"/>
        <w:spacing w:after="0" w:line="255"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Subsidiaries with respect to the Anti-Money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ind w:right="300" w:firstLine="436"/>
        <w:spacing w:after="0" w:line="266"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76"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66"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the so-called Donetsk People’s Republic or the so-called Luhansk People’s Republic, Cuba, Iran, North Korea and Syria).</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sale of the Placement Shares,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620" w:firstLine="408"/>
        <w:spacing w:after="0" w:line="282" w:lineRule="auto"/>
        <w:tabs>
          <w:tab w:leader="none" w:pos="1676"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financing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220" w:firstLine="7"/>
        <w:spacing w:after="0" w:line="282" w:lineRule="auto"/>
        <w:tabs>
          <w:tab w:leader="none" w:pos="126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by any Person (including any Person participating in the transactions contemplated by this Agreement).</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66" w:lineRule="auto"/>
        <w:tabs>
          <w:tab w:leader="none" w:pos="117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color w:val="auto"/>
        </w:rPr>
      </w:pPr>
    </w:p>
    <w:p>
      <w:pPr>
        <w:ind w:right="20" w:firstLine="436"/>
        <w:spacing w:after="0" w:line="254" w:lineRule="auto"/>
        <w:tabs>
          <w:tab w:leader="none" w:pos="7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color w:val="auto"/>
        </w:rPr>
        <w:t>”)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7" w:name="page18"/>
    <w:bookmarkEnd w:id="17"/>
    <w:p>
      <w:pPr>
        <w:ind w:left="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 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194" w:lineRule="exact"/>
        <w:rPr>
          <w:sz w:val="20"/>
          <w:szCs w:val="20"/>
          <w:color w:val="auto"/>
        </w:rPr>
      </w:pPr>
    </w:p>
    <w:p>
      <w:pPr>
        <w:ind w:left="4" w:firstLine="436"/>
        <w:spacing w:after="0" w:line="253" w:lineRule="auto"/>
        <w:tabs>
          <w:tab w:leader="none" w:pos="70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u w:val="single" w:color="auto"/>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w:t>
      </w:r>
    </w:p>
    <w:p>
      <w:pPr>
        <w:spacing w:after="0" w:line="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distributed in source code form, (2) licensed for the purpose of making derivative works or (3) redistributed at no charge.</w:t>
      </w:r>
    </w:p>
    <w:p>
      <w:pPr>
        <w:spacing w:after="0" w:line="206"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78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Times New Roman" w:cs="Times New Roman" w:eastAsia="Times New Roman" w:hAnsi="Times New Roman"/>
          <w:sz w:val="18"/>
          <w:szCs w:val="18"/>
          <w:b w:val="1"/>
          <w:bCs w:val="1"/>
          <w:u w:val="single" w:color="auto"/>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u w:val="single" w:color="auto"/>
          <w:color w:val="auto"/>
        </w:rPr>
        <w:t>Data</w:t>
      </w:r>
      <w:r>
        <w:rPr>
          <w:rFonts w:ascii="Times New Roman" w:cs="Times New Roman" w:eastAsia="Times New Roman" w:hAnsi="Times New Roman"/>
          <w:sz w:val="18"/>
          <w:szCs w:val="18"/>
          <w:color w:val="auto"/>
        </w:rPr>
        <w:t>”); (ii) the Company has not received any notification of or complaint regarding any material non-compliance 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187"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70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b w:val="1"/>
          <w:bCs w:val="1"/>
          <w:u w:val="single" w:color="auto"/>
          <w:color w:val="auto"/>
        </w:rPr>
        <w:t>Breach</w:t>
      </w:r>
      <w:r>
        <w:rPr>
          <w:rFonts w:ascii="Times New Roman" w:cs="Times New Roman" w:eastAsia="Times New Roman" w:hAnsi="Times New Roman"/>
          <w:sz w:val="18"/>
          <w:szCs w:val="18"/>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8" w:name="page19"/>
    <w:bookmarkEnd w:id="18"/>
    <w:p>
      <w:pPr>
        <w:ind w:firstLine="436"/>
        <w:spacing w:after="0" w:line="252" w:lineRule="auto"/>
        <w:tabs>
          <w:tab w:leader="none" w:pos="8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preclinical studies and tests and clinical trials conducted by or on behalf of the Company that are described in the Registration Statement and the Prospectus (the “</w:t>
      </w:r>
      <w:r>
        <w:rPr>
          <w:rFonts w:ascii="Times New Roman" w:cs="Times New Roman" w:eastAsia="Times New Roman" w:hAnsi="Times New Roman"/>
          <w:sz w:val="18"/>
          <w:szCs w:val="18"/>
          <w:b w:val="1"/>
          <w:bCs w:val="1"/>
          <w:u w:val="single" w:color="auto"/>
          <w:color w:val="auto"/>
        </w:rPr>
        <w:t>Company Studies and Trials</w:t>
      </w:r>
      <w:r>
        <w:rPr>
          <w:rFonts w:ascii="Times New Roman" w:cs="Times New Roman" w:eastAsia="Times New Roman" w:hAnsi="Times New Roman"/>
          <w:sz w:val="18"/>
          <w:szCs w:val="18"/>
          <w:color w:val="auto"/>
        </w:rPr>
        <w:t>”)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 and the Prospectus are accurate in all material respects; the Company has no knowledge of any other studies or trials not described in the Registration Statement and the Prospectus, the results of which are inconsistent with or reasonably call into question the results described or referred to in such documents when viewed in the context in which such results are described and the stage of development; and the Company has not received any written notices, correspondence or other written communication from the U.S.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or any foreign, state or local governmental body exercising comparable authority requiring the termination, suspension or material modification of any Company Studies and Trials, where such termination, suspension or material modification would reasonably be expected to have a Material Adverse Effect and, to the Company’s knowledge, there are no reasonable grounds for the same. To the Company’s knowledge, none of the Company Studies and Trials involved any investigator 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197" w:lineRule="exact"/>
        <w:rPr>
          <w:rFonts w:ascii="Times New Roman" w:cs="Times New Roman" w:eastAsia="Times New Roman" w:hAnsi="Times New Roman"/>
          <w:sz w:val="18"/>
          <w:szCs w:val="18"/>
          <w:color w:val="auto"/>
        </w:rPr>
      </w:pPr>
    </w:p>
    <w:p>
      <w:pPr>
        <w:ind w:right="40" w:firstLine="436"/>
        <w:spacing w:after="0" w:line="267" w:lineRule="auto"/>
        <w:tabs>
          <w:tab w:leader="none" w:pos="78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described in the Registration Statement and the Prospectus, as applicable, the Company (i) is and at all times has been in material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 Act (21 U.S.C. § 301 et seq.), and the federal Anti-kickback Statute (42 U.S.C. § 1320a-7b(b)), the regulations promulgated pursuant to such laws, and any successor government programs, and comparable state laws (collectively, the “</w:t>
      </w:r>
      <w:r>
        <w:rPr>
          <w:rFonts w:ascii="Times New Roman" w:cs="Times New Roman" w:eastAsia="Times New Roman" w:hAnsi="Times New Roman"/>
          <w:sz w:val="17"/>
          <w:szCs w:val="17"/>
          <w:b w:val="1"/>
          <w:bCs w:val="1"/>
          <w:u w:val="single" w:color="auto"/>
          <w:color w:val="auto"/>
        </w:rPr>
        <w:t>Applicable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Laws</w:t>
      </w:r>
      <w:r>
        <w:rPr>
          <w:rFonts w:ascii="Times New Roman" w:cs="Times New Roman" w:eastAsia="Times New Roman" w:hAnsi="Times New Roman"/>
          <w:sz w:val="17"/>
          <w:szCs w:val="17"/>
          <w:color w:val="auto"/>
        </w:rPr>
        <w:t>”), except for such non-compliance as would not, individually or in the aggregate, have a Material Adverse Effect; (ii) has not received any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from any court or arbitrator or governmental or regulatory authority alleging or asserting non-compliance with any Applicable Laws or any licenses, exemptions, certificates, approvals, clearances, authorizations, permits and registrations required by any such Applicable Laws (“</w:t>
      </w:r>
      <w:r>
        <w:rPr>
          <w:rFonts w:ascii="Times New Roman" w:cs="Times New Roman" w:eastAsia="Times New Roman" w:hAnsi="Times New Roman"/>
          <w:sz w:val="17"/>
          <w:szCs w:val="17"/>
          <w:b w:val="1"/>
          <w:bCs w:val="1"/>
          <w:u w:val="single" w:color="auto"/>
          <w:color w:val="auto"/>
        </w:rPr>
        <w:t>Authorizations</w:t>
      </w:r>
      <w:r>
        <w:rPr>
          <w:rFonts w:ascii="Times New Roman" w:cs="Times New Roman" w:eastAsia="Times New Roman" w:hAnsi="Times New Roman"/>
          <w:sz w:val="17"/>
          <w:szCs w:val="17"/>
          <w:color w:val="auto"/>
        </w:rPr>
        <w:t>”), except for such non-compliance as would not, individually or in the aggregate, have a Material Adverse Effect; (iii) possesses all material Authorizations and such Authorizations are valid and in full force and effect and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except such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such as would not, individually or in the aggregate, have a Material Adverse Effect; (vi) has filed, obtained, maintained or submitted all material reports, documents, forms, notices, applications, records and claims as required by any 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19" w:name="page20"/>
    <w:bookmarkEnd w:id="19"/>
    <w:p>
      <w:pPr>
        <w:ind w:left="4" w:right="240" w:firstLine="436"/>
        <w:spacing w:after="0" w:line="276" w:lineRule="auto"/>
        <w:tabs>
          <w:tab w:leader="none" w:pos="78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acknowledges and agrees that the Agent has informed the Company that the Agent may, to the extent permitted under the Securities Act and the Exchange Act, purchase and sell shares of Common Stock for its own account while this Agreement is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w:t>
      </w:r>
    </w:p>
    <w:p>
      <w:pPr>
        <w:ind w:left="4" w:hanging="4"/>
        <w:spacing w:after="0" w:line="255"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8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 transaction.</w:t>
      </w:r>
    </w:p>
    <w:p>
      <w:pPr>
        <w:spacing w:after="0" w:line="225"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7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any member firm of FINRA. To the Company’s knowledge,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in connection with the filing to be made and other supplemental information to be provided to FINRA pursuant to FINRA Rule 5110 in connection with the transactions contemplated by this Agreement is true, complete and correct.</w:t>
      </w:r>
    </w:p>
    <w:p>
      <w:pPr>
        <w:spacing w:after="0" w:line="191" w:lineRule="exact"/>
        <w:rPr>
          <w:rFonts w:ascii="Times New Roman" w:cs="Times New Roman" w:eastAsia="Times New Roman" w:hAnsi="Times New Roman"/>
          <w:sz w:val="18"/>
          <w:szCs w:val="18"/>
          <w:color w:val="auto"/>
        </w:rPr>
      </w:pPr>
    </w:p>
    <w:p>
      <w:pPr>
        <w:ind w:left="4" w:firstLine="436"/>
        <w:spacing w:after="0" w:line="266" w:lineRule="auto"/>
        <w:tabs>
          <w:tab w:leader="none" w:pos="72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74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independent directors (or independent director nominees, once appointed, if applicable) named in the Registration Statement and Prospectus satisfies the independence standards established by Nasdaq and, with respect to members of the Company’s audit committee, the enhanced independence standards contained in Rule 10A-3(b)(1) promulgated by the Commission under the Exchange Act.</w:t>
      </w:r>
    </w:p>
    <w:p>
      <w:pPr>
        <w:spacing w:after="0" w:line="175" w:lineRule="exact"/>
        <w:rPr>
          <w:rFonts w:ascii="Times New Roman" w:cs="Times New Roman" w:eastAsia="Times New Roman" w:hAnsi="Times New Roman"/>
          <w:sz w:val="18"/>
          <w:szCs w:val="18"/>
          <w:color w:val="auto"/>
        </w:rPr>
      </w:pPr>
    </w:p>
    <w:p>
      <w:pPr>
        <w:ind w:left="4" w:firstLine="436"/>
        <w:spacing w:after="0" w:line="256" w:lineRule="auto"/>
        <w:tabs>
          <w:tab w:leader="none" w:pos="70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7"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7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20" w:name="page21"/>
    <w:bookmarkEnd w:id="20"/>
    <w:p>
      <w:pPr>
        <w:ind w:left="780" w:hanging="344"/>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in or subject to a bankruptcy or insolvency proceeding in any jurisdiction.</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8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U.S.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ind w:right="140" w:firstLine="436"/>
        <w:spacing w:after="0" w:line="256"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trading on Nasdaq on January 24, 2023,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u w:val="single" w:color="auto"/>
          <w:color w:val="auto"/>
        </w:rPr>
        <w:t>Non-Affiliate Shares</w:t>
      </w:r>
      <w:r>
        <w:rPr>
          <w:rFonts w:ascii="Times New Roman" w:cs="Times New Roman" w:eastAsia="Times New Roman" w:hAnsi="Times New Roman"/>
          <w:sz w:val="18"/>
          <w:szCs w:val="18"/>
          <w:color w:val="auto"/>
        </w:rPr>
        <w:t>”), was approximately $150.6 million (calculated by multiplying (x) the price at which the common equity of the Company was last sold on Nasdaq on January 24, 2023 by (y) the number of Non-Affiliate Shares outstanding on January 24, 2023). The Company is not a shell company (as defined in Rule 405) and has not been a shell company for at least 12 calendar months previously.</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117" w:lineRule="exact"/>
        <w:rPr>
          <w:sz w:val="20"/>
          <w:szCs w:val="20"/>
          <w:color w:val="auto"/>
        </w:rPr>
      </w:pPr>
    </w:p>
    <w:p>
      <w:pPr>
        <w:ind w:right="40" w:firstLine="436"/>
        <w:spacing w:after="0" w:line="255"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in writing thereto within two Business Days (provided, however, that (A) the failure of the Agent to make such objection shall not relieve the Company of any obligation or liability hereunder, or affect the Agent’s right to rely on the representations and warranties made by the Company in this Agreement, (B) the Company has no obligation to provide the Agent any advance copy of such filing or to provide the Agent an opportunity to object to such filing if the filing does not name the Agent and does not relate to the transaction herein provided, and (C) the only remedy the Agent shall have with respect to the failure by the Company to provide the Agent with such copy or the filing of such amendment or supplement despite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spacing w:after="0" w:line="191" w:lineRule="exact"/>
        <w:rPr>
          <w:sz w:val="20"/>
          <w:szCs w:val="20"/>
          <w:color w:val="auto"/>
        </w:rPr>
      </w:pPr>
    </w:p>
    <w:p>
      <w:pPr>
        <w:ind w:firstLine="436"/>
        <w:spacing w:after="0" w:line="255"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88"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2" w:name="page23"/>
    <w:bookmarkEnd w:id="2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spacing w:after="0" w:line="183" w:lineRule="exact"/>
        <w:rPr>
          <w:sz w:val="20"/>
          <w:szCs w:val="20"/>
          <w:color w:val="auto"/>
        </w:rPr>
      </w:pPr>
    </w:p>
    <w:p>
      <w:pPr>
        <w:ind w:right="180" w:firstLine="436"/>
        <w:spacing w:after="0" w:line="258"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issued or will issue securities that are traded on Nasdaq.</w:t>
      </w:r>
    </w:p>
    <w:p>
      <w:pPr>
        <w:spacing w:after="0" w:line="183"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w:t>
      </w:r>
    </w:p>
    <w:p>
      <w:pPr>
        <w:spacing w:after="0" w:line="5"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(vii) the reasonable and documented fees and associated expenses of the Agent’s outside legal counsel for filings with the FINRA Corporate Financing Department in an amount not to exceed $15,000 (excluding FINRA filing fees referred to in clause (vi) above and in addition to the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70" w:right="519" w:bottom="1440" w:gutter="0" w:footer="0" w:header="0"/>
        </w:sectPr>
      </w:pPr>
    </w:p>
    <w:bookmarkStart w:id="23" w:name="page24"/>
    <w:bookmarkEnd w:id="23"/>
    <w:p>
      <w:pPr>
        <w:ind w:left="4" w:right="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disbursements referred to in clause (viii) below), and (viii) the reasonable fees and disbursements of the Agent’s outside legal counsel (A) in an amount not to exceed $75,000 arising out of executing this Agreement and the Company’s delivery of the initial certificate pursuant to Section 7(m) and</w:t>
      </w:r>
    </w:p>
    <w:p>
      <w:pPr>
        <w:spacing w:after="0" w:line="1" w:lineRule="exact"/>
        <w:rPr>
          <w:sz w:val="20"/>
          <w:szCs w:val="20"/>
          <w:color w:val="auto"/>
        </w:rPr>
      </w:pPr>
    </w:p>
    <w:p>
      <w:pPr>
        <w:ind w:left="4" w:right="140" w:hanging="4"/>
        <w:spacing w:after="0" w:line="255" w:lineRule="auto"/>
        <w:tabs>
          <w:tab w:leader="none" w:pos="2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amount not to exceed $15,000 in connection with each other Representation Date (as defined below) on which the Company is required to provide a certificate pursuant to Section 7(m) (in addition to the fees and associated expenses referred to in clause (vii) above) except that to the extent any such Representation Date includes a review of the Company’s Annual Report on Form 10-K, such amount shall not exceed $25,000.</w:t>
      </w:r>
    </w:p>
    <w:p>
      <w:pPr>
        <w:spacing w:after="0" w:line="18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left="4" w:firstLine="436"/>
        <w:spacing w:after="0" w:line="252" w:lineRule="auto"/>
        <w:tabs>
          <w:tab w:leader="none" w:pos="6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sixtieth day immediately following the final Settlement Date with respect to Placement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vesting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spacing w:after="0" w:line="190"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79"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24" w:name="page25"/>
    <w:bookmarkEnd w:id="24"/>
    <w:p>
      <w:pPr>
        <w:ind w:right="40" w:firstLine="436"/>
        <w:spacing w:after="0" w:line="25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Filings Relating to Placement of Placement Shares</w:t>
      </w:r>
      <w:r>
        <w:rPr>
          <w:rFonts w:ascii="Times New Roman" w:cs="Times New Roman" w:eastAsia="Times New Roman" w:hAnsi="Times New Roman"/>
          <w:sz w:val="18"/>
          <w:szCs w:val="18"/>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88" w:lineRule="exact"/>
        <w:rPr>
          <w:rFonts w:ascii="Times New Roman" w:cs="Times New Roman" w:eastAsia="Times New Roman" w:hAnsi="Times New Roman"/>
          <w:sz w:val="18"/>
          <w:szCs w:val="18"/>
          <w:color w:val="auto"/>
        </w:rPr>
      </w:pPr>
    </w:p>
    <w:p>
      <w:pPr>
        <w:ind w:right="140" w:firstLine="436"/>
        <w:spacing w:after="0" w:line="282" w:lineRule="auto"/>
        <w:tabs>
          <w:tab w:leader="none" w:pos="7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or prior to the date on which the Company first delivers a Placement Notice pursuant to this agreement (the “</w:t>
      </w:r>
      <w:r>
        <w:rPr>
          <w:rFonts w:ascii="Times New Roman" w:cs="Times New Roman" w:eastAsia="Times New Roman" w:hAnsi="Times New Roman"/>
          <w:sz w:val="18"/>
          <w:szCs w:val="18"/>
          <w:b w:val="1"/>
          <w:bCs w:val="1"/>
          <w:u w:val="single" w:color="auto"/>
          <w:color w:val="auto"/>
        </w:rPr>
        <w:t>First Placement Notice Date</w:t>
      </w:r>
      <w:r>
        <w:rPr>
          <w:rFonts w:ascii="Times New Roman" w:cs="Times New Roman" w:eastAsia="Times New Roman" w:hAnsi="Times New Roman"/>
          <w:sz w:val="18"/>
          <w:szCs w:val="18"/>
          <w:color w:val="auto"/>
        </w:rPr>
        <w:t>”) and each time the Company:</w:t>
      </w:r>
    </w:p>
    <w:p>
      <w:pPr>
        <w:spacing w:after="0" w:line="53" w:lineRule="exact"/>
        <w:rPr>
          <w:rFonts w:ascii="Times New Roman" w:cs="Times New Roman" w:eastAsia="Times New Roman" w:hAnsi="Times New Roman"/>
          <w:sz w:val="18"/>
          <w:szCs w:val="18"/>
          <w:color w:val="auto"/>
        </w:rPr>
      </w:pPr>
    </w:p>
    <w:p>
      <w:pPr>
        <w:ind w:right="40" w:firstLine="987"/>
        <w:spacing w:after="0" w:line="266" w:lineRule="auto"/>
        <w:tabs>
          <w:tab w:leader="none" w:pos="120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225" w:lineRule="exact"/>
        <w:rPr>
          <w:rFonts w:ascii="Times New Roman" w:cs="Times New Roman" w:eastAsia="Times New Roman" w:hAnsi="Times New Roman"/>
          <w:sz w:val="18"/>
          <w:szCs w:val="18"/>
          <w:color w:val="auto"/>
        </w:rPr>
      </w:pPr>
    </w:p>
    <w:p>
      <w:pPr>
        <w:ind w:right="140" w:firstLine="987"/>
        <w:spacing w:after="0" w:line="266"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information that is “furnished” pursuant to Item 2.02 or Item 7.01 of Form 8-K)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5" w:name="page26"/>
    <w:bookmarkEnd w:id="25"/>
    <w:p>
      <w:pPr>
        <w:ind w:firstLine="436"/>
        <w:spacing w:after="0" w:line="254"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to be furnished to the Agent the written opinion and negative assurance letter of Goodwin Procter LLP, counsel to the Company or such other counsel satisfactory to the Agent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 and negative assurance letter for subsequent Representation Dates, Company Counsel may furnish the Agent with a letter to the effect that the Agent may rely on a prior opinion or negative assurance letter delivered by Company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88" w:lineRule="exact"/>
        <w:rPr>
          <w:rFonts w:ascii="Times New Roman" w:cs="Times New Roman" w:eastAsia="Times New Roman" w:hAnsi="Times New Roman"/>
          <w:sz w:val="18"/>
          <w:szCs w:val="18"/>
          <w:color w:val="auto"/>
        </w:rPr>
      </w:pPr>
    </w:p>
    <w:p>
      <w:pPr>
        <w:ind w:right="140" w:firstLine="436"/>
        <w:spacing w:after="0" w:line="253"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Opinion</w:t>
      </w:r>
      <w:r>
        <w:rPr>
          <w:rFonts w:ascii="Times New Roman" w:cs="Times New Roman" w:eastAsia="Times New Roman" w:hAnsi="Times New Roman"/>
          <w:sz w:val="18"/>
          <w:szCs w:val="18"/>
          <w:color w:val="auto"/>
        </w:rPr>
        <w:t>. On or prior to the First Placement Notice Date and on any date on which the Company is obligated to deliver a certificate pursuant to Section 7(m) for which no waiver is applicable, the Company shall cause to be furnished to the Agent the written opinions of White &amp; Case LLP, Wolf, Greenfield &amp; Sacks, P.C. and Troutman Pepper Hamilton Sanders LLP, counsel for the Company with respect to intellectual property matters, or such other intellectual property counsel satisfactory to the Agent (“</w:t>
      </w:r>
      <w:r>
        <w:rPr>
          <w:rFonts w:ascii="Times New Roman" w:cs="Times New Roman" w:eastAsia="Times New Roman" w:hAnsi="Times New Roman"/>
          <w:sz w:val="18"/>
          <w:szCs w:val="18"/>
          <w:b w:val="1"/>
          <w:bCs w:val="1"/>
          <w:u w:val="single" w:color="auto"/>
          <w:color w:val="auto"/>
        </w:rPr>
        <w:t>Intellectual Property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letter is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written opinion for subsequent Representation Dates, Intellectual 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94"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First Placement Notice Date and on any date on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Section 7(p);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and (iii) update the Initial Comfort Letter with any information that would have been included in the Initial Comfort Letter had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given on such date and modified as necessary to relate to the Registration Statement and the Prospectus, as amended and supplemented to the date of such letter.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ind w:right="100" w:firstLine="436"/>
        <w:spacing w:after="0" w:line="258"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Activities</w:t>
      </w:r>
      <w:r>
        <w:rPr>
          <w:rFonts w:ascii="Times New Roman" w:cs="Times New Roman" w:eastAsia="Times New Roman" w:hAnsi="Times New Roman"/>
          <w:sz w:val="18"/>
          <w:szCs w:val="18"/>
          <w:color w:val="auto"/>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bid for and purchase shares of Common Stock in accordance with Rule 10b-18 under the Exchange Act.</w:t>
      </w:r>
    </w:p>
    <w:p>
      <w:pPr>
        <w:spacing w:after="0" w:line="183" w:lineRule="exact"/>
        <w:rPr>
          <w:rFonts w:ascii="Times New Roman" w:cs="Times New Roman" w:eastAsia="Times New Roman" w:hAnsi="Times New Roman"/>
          <w:sz w:val="18"/>
          <w:szCs w:val="18"/>
          <w:color w:val="auto"/>
        </w:rPr>
      </w:pPr>
    </w:p>
    <w:p>
      <w:pPr>
        <w:ind w:firstLine="436"/>
        <w:spacing w:after="0" w:line="282" w:lineRule="auto"/>
        <w:tabs>
          <w:tab w:leader="none" w:pos="6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161" w:lineRule="exact"/>
        <w:rPr>
          <w:rFonts w:ascii="Times New Roman" w:cs="Times New Roman" w:eastAsia="Times New Roman" w:hAnsi="Times New Roman"/>
          <w:sz w:val="18"/>
          <w:szCs w:val="18"/>
          <w:color w:val="auto"/>
        </w:rPr>
      </w:pPr>
    </w:p>
    <w:p>
      <w:pPr>
        <w:ind w:right="140" w:firstLine="436"/>
        <w:spacing w:after="0" w:line="258" w:lineRule="auto"/>
        <w:tabs>
          <w:tab w:leader="none" w:pos="6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certificates, authorizations or permits required by federal, state and local law in order to conduct their businesses as described in the Prospectus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w:t>
      </w:r>
    </w:p>
    <w:p>
      <w:pPr>
        <w:spacing w:after="0" w:line="183" w:lineRule="exact"/>
        <w:rPr>
          <w:rFonts w:ascii="Times New Roman" w:cs="Times New Roman" w:eastAsia="Times New Roman" w:hAnsi="Times New Roman"/>
          <w:sz w:val="18"/>
          <w:szCs w:val="18"/>
          <w:color w:val="auto"/>
        </w:rPr>
      </w:pPr>
    </w:p>
    <w:p>
      <w:pPr>
        <w:ind w:right="540" w:firstLine="436"/>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by the Company and the Agent in its capacity as agent hereunder (such approval by the Agent not to be unreasonably conditioned, delayed or withheld),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firstLine="436"/>
        <w:spacing w:after="0" w:line="252"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Sarbanes-Oxley Act</w:t>
      </w:r>
      <w:r>
        <w:rPr>
          <w:rFonts w:ascii="Times New Roman" w:cs="Times New Roman" w:eastAsia="Times New Roman" w:hAnsi="Times New Roman"/>
          <w:sz w:val="18"/>
          <w:szCs w:val="18"/>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U.S.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U.S.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95"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will promptly notify the Agent if the company ceases to be an Emerging Growth Company at any time prior to the completion of the Agent’s distribution of the Placement Shares pursuant to this Agreement.</w:t>
      </w:r>
    </w:p>
    <w:p>
      <w:pPr>
        <w:spacing w:after="0" w:line="161"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 of Registration Statement.</w:t>
      </w:r>
      <w:r>
        <w:rPr>
          <w:rFonts w:ascii="Times New Roman" w:cs="Times New Roman" w:eastAsia="Times New Roman" w:hAnsi="Times New Roman"/>
          <w:sz w:val="18"/>
          <w:szCs w:val="18"/>
          <w:color w:val="auto"/>
        </w:rPr>
        <w:t xml:space="preserve"> If, immediately prior to the third anniversary of the initial effective date of the Registration Statement (the “</w:t>
      </w:r>
      <w:r>
        <w:rPr>
          <w:rFonts w:ascii="Times New Roman" w:cs="Times New Roman" w:eastAsia="Times New Roman" w:hAnsi="Times New Roman"/>
          <w:sz w:val="18"/>
          <w:szCs w:val="18"/>
          <w:b w:val="1"/>
          <w:bCs w:val="1"/>
          <w:u w:val="single" w:color="auto"/>
          <w:color w:val="auto"/>
        </w:rPr>
        <w:t>Renewal Date</w:t>
      </w:r>
      <w:r>
        <w:rPr>
          <w:rFonts w:ascii="Times New Roman" w:cs="Times New Roman" w:eastAsia="Times New Roman" w:hAnsi="Times New Roman"/>
          <w:sz w:val="18"/>
          <w:szCs w:val="18"/>
          <w:color w:val="auto"/>
        </w:rPr>
        <w:t>”), any of the Placement Shares remain unsold and this Agreement has not been terminated, the Company will,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88" w:lineRule="exact"/>
        <w:rPr>
          <w:sz w:val="20"/>
          <w:szCs w:val="20"/>
          <w:color w:val="auto"/>
        </w:rPr>
      </w:pPr>
    </w:p>
    <w:p>
      <w:pPr>
        <w:ind w:right="80" w:firstLine="436"/>
        <w:spacing w:after="0" w:line="258" w:lineRule="auto"/>
        <w:tabs>
          <w:tab w:leader="none" w:pos="7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Instruction I.B.6. of Form S-3</w:t>
      </w:r>
      <w:r>
        <w:rPr>
          <w:rFonts w:ascii="Times New Roman" w:cs="Times New Roman" w:eastAsia="Times New Roman" w:hAnsi="Times New Roman"/>
          <w:sz w:val="18"/>
          <w:szCs w:val="18"/>
          <w:color w:val="auto"/>
        </w:rPr>
        <w:t>.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General Instruction I.B.6. of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82" w:lineRule="exact"/>
        <w:rPr>
          <w:sz w:val="20"/>
          <w:szCs w:val="20"/>
          <w:color w:val="auto"/>
        </w:rPr>
      </w:pPr>
    </w:p>
    <w:p>
      <w:pPr>
        <w:ind w:firstLine="436"/>
        <w:spacing w:after="0" w:line="282" w:lineRule="auto"/>
        <w:tabs>
          <w:tab w:leader="none" w:pos="7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 The Company will indemnify and hold harmless the Agent against any documentary, stamp or similar issue tax, including any interest and penalties, on the issue and sale of the Placement Shares.</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has engaged and will maintain, at its sole expense, a transfer agent and registrar for the Common Stock.</w:t>
      </w:r>
    </w:p>
    <w:p>
      <w:pPr>
        <w:spacing w:after="0" w:line="225" w:lineRule="exact"/>
        <w:rPr>
          <w:sz w:val="20"/>
          <w:szCs w:val="20"/>
          <w:color w:val="auto"/>
        </w:rPr>
      </w:pPr>
    </w:p>
    <w:p>
      <w:pPr>
        <w:ind w:right="340" w:firstLine="436"/>
        <w:spacing w:after="0" w:line="261"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80" w:lineRule="exact"/>
        <w:rPr>
          <w:sz w:val="20"/>
          <w:szCs w:val="20"/>
          <w:color w:val="auto"/>
        </w:rPr>
      </w:pPr>
    </w:p>
    <w:p>
      <w:pPr>
        <w:ind w:right="420" w:firstLine="436"/>
        <w:spacing w:after="0" w:line="282"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61" w:lineRule="exact"/>
        <w:rPr>
          <w:rFonts w:ascii="Times New Roman" w:cs="Times New Roman" w:eastAsia="Times New Roman" w:hAnsi="Times New Roman"/>
          <w:sz w:val="18"/>
          <w:szCs w:val="18"/>
          <w:color w:val="auto"/>
        </w:rPr>
      </w:pPr>
    </w:p>
    <w:p>
      <w:pPr>
        <w:ind w:firstLine="436"/>
        <w:spacing w:after="0" w:line="269" w:lineRule="auto"/>
        <w:tabs>
          <w:tab w:leader="none" w:pos="68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Notices</w:t>
      </w:r>
      <w:r>
        <w:rPr>
          <w:rFonts w:ascii="Times New Roman" w:cs="Times New Roman" w:eastAsia="Times New Roman" w:hAnsi="Times New Roman"/>
          <w:sz w:val="17"/>
          <w:szCs w:val="17"/>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78" w:lineRule="exact"/>
        <w:rPr>
          <w:rFonts w:ascii="Times New Roman" w:cs="Times New Roman" w:eastAsia="Times New Roman" w:hAnsi="Times New Roman"/>
          <w:sz w:val="17"/>
          <w:szCs w:val="17"/>
          <w:color w:val="auto"/>
        </w:rPr>
      </w:pPr>
    </w:p>
    <w:p>
      <w:pPr>
        <w:jc w:val="both"/>
        <w:ind w:right="140" w:firstLine="436"/>
        <w:spacing w:after="0" w:line="266"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opinion is material and is required to be stated therein or is necessary to make the statements therein not misleading.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29" w:name="page30"/>
    <w:bookmarkEnd w:id="29"/>
    <w:p>
      <w:pPr>
        <w:ind w:left="-20" w:firstLine="436"/>
        <w:spacing w:after="0" w:line="255" w:lineRule="auto"/>
        <w:tabs>
          <w:tab w:leader="none" w:pos="6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8" w:lineRule="exact"/>
        <w:rPr>
          <w:rFonts w:ascii="Times New Roman" w:cs="Times New Roman" w:eastAsia="Times New Roman" w:hAnsi="Times New Roman"/>
          <w:sz w:val="18"/>
          <w:szCs w:val="18"/>
          <w:color w:val="auto"/>
        </w:rPr>
      </w:pPr>
    </w:p>
    <w:p>
      <w:pPr>
        <w:ind w:left="-20" w:right="340" w:firstLine="436"/>
        <w:spacing w:after="0" w:line="266" w:lineRule="auto"/>
        <w:tabs>
          <w:tab w:leader="none" w:pos="6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75" w:lineRule="exact"/>
        <w:rPr>
          <w:rFonts w:ascii="Times New Roman" w:cs="Times New Roman" w:eastAsia="Times New Roman" w:hAnsi="Times New Roman"/>
          <w:sz w:val="18"/>
          <w:szCs w:val="18"/>
          <w:color w:val="auto"/>
        </w:rPr>
      </w:pPr>
    </w:p>
    <w:p>
      <w:pPr>
        <w:jc w:val="both"/>
        <w:ind w:left="-20" w:firstLine="436"/>
        <w:spacing w:after="0" w:line="261"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The Agent shall have received from Wilmer Cutler Pickering Hale and Dorr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179" w:lineRule="exact"/>
        <w:rPr>
          <w:rFonts w:ascii="Times New Roman" w:cs="Times New Roman" w:eastAsia="Times New Roman" w:hAnsi="Times New Roman"/>
          <w:sz w:val="18"/>
          <w:szCs w:val="18"/>
          <w:color w:val="auto"/>
        </w:rPr>
      </w:pPr>
    </w:p>
    <w:p>
      <w:pPr>
        <w:ind w:left="-20" w:right="240" w:firstLine="436"/>
        <w:spacing w:after="0" w:line="282"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Agent shall have received the Comfort Letter required to be delivered pursuant to Section 7(p) on or before the date on which such delivery of such Comfort Letter is required pursuant to Section 7(p).</w:t>
      </w:r>
    </w:p>
    <w:p>
      <w:pPr>
        <w:spacing w:after="0" w:line="161"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The Agent shall have received the certificate required to be delivered pursuant to Section 7(m) on or before the date on which delivery of such certificate is required pursuant to Section 7(m).</w:t>
      </w:r>
    </w:p>
    <w:p>
      <w:pPr>
        <w:spacing w:after="0" w:line="161" w:lineRule="exact"/>
        <w:rPr>
          <w:rFonts w:ascii="Times New Roman" w:cs="Times New Roman" w:eastAsia="Times New Roman" w:hAnsi="Times New Roman"/>
          <w:sz w:val="18"/>
          <w:szCs w:val="18"/>
          <w:color w:val="auto"/>
        </w:rPr>
      </w:pPr>
    </w:p>
    <w:p>
      <w:pPr>
        <w:ind w:left="-20" w:right="60" w:firstLine="436"/>
        <w:spacing w:after="0" w:line="255"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0" w:right="380" w:firstLine="436"/>
        <w:spacing w:after="0" w:line="282"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The Common Stock shall be duly listed, and admitted and authorized for trading, subject to official notice of issuance, on Nasdaq. Trading in the Common Stock shall not have been suspended on, and the Common Stock shall not have been delisted from, Nasdaq.</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30" w:name="page31"/>
    <w:bookmarkEnd w:id="30"/>
    <w:p>
      <w:pPr>
        <w:ind w:left="4" w:right="380" w:firstLine="436"/>
        <w:spacing w:after="0" w:line="258" w:lineRule="auto"/>
        <w:tabs>
          <w:tab w:leader="none" w:pos="65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Materials</w:t>
      </w:r>
      <w:r>
        <w:rPr>
          <w:rFonts w:ascii="Times New Roman" w:cs="Times New Roman" w:eastAsia="Times New Roman" w:hAnsi="Times New Roman"/>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83"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74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Either (i) the Placement Shares shall have been approved for listing on Nasdaq, subject only to notice of issuance, or</w:t>
      </w:r>
    </w:p>
    <w:p>
      <w:pPr>
        <w:spacing w:after="0" w:line="27" w:lineRule="exact"/>
        <w:rPr>
          <w:rFonts w:ascii="Times New Roman" w:cs="Times New Roman" w:eastAsia="Times New Roman" w:hAnsi="Times New Roman"/>
          <w:sz w:val="18"/>
          <w:szCs w:val="18"/>
          <w:color w:val="auto"/>
        </w:rPr>
      </w:pPr>
    </w:p>
    <w:p>
      <w:pPr>
        <w:ind w:left="4" w:right="540" w:hanging="4"/>
        <w:spacing w:after="0" w:line="260" w:lineRule="auto"/>
        <w:tabs>
          <w:tab w:leader="none" w:pos="2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181"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FINRA shall have raised no objection to the terms of the offering contemplated hereby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 to terminate this Agreement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11(a).</w:t>
      </w:r>
    </w:p>
    <w:p>
      <w:pPr>
        <w:spacing w:after="0" w:line="207" w:lineRule="exact"/>
        <w:rPr>
          <w:sz w:val="20"/>
          <w:szCs w:val="20"/>
          <w:color w:val="auto"/>
        </w:rPr>
      </w:pPr>
    </w:p>
    <w:p>
      <w:pPr>
        <w:ind w:left="624" w:hanging="184"/>
        <w:spacing w:after="0"/>
        <w:tabs>
          <w:tab w:leader="none" w:pos="6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6" w:lineRule="auto"/>
        <w:tabs>
          <w:tab w:leader="none" w:pos="68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Indemnification</w:t>
      </w:r>
      <w:r>
        <w:rPr>
          <w:rFonts w:ascii="Times New Roman" w:cs="Times New Roman" w:eastAsia="Times New Roman" w:hAnsi="Times New Roman"/>
          <w:sz w:val="17"/>
          <w:szCs w:val="17"/>
          <w:color w:val="auto"/>
        </w:rPr>
        <w:t>.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w:t>
      </w:r>
    </w:p>
    <w:p>
      <w:pPr>
        <w:spacing w:after="0" w:line="9" w:lineRule="exact"/>
        <w:rPr>
          <w:rFonts w:ascii="Times New Roman" w:cs="Times New Roman" w:eastAsia="Times New Roman" w:hAnsi="Times New Roman"/>
          <w:sz w:val="17"/>
          <w:szCs w:val="17"/>
          <w:color w:val="auto"/>
        </w:rPr>
      </w:pPr>
    </w:p>
    <w:p>
      <w:pPr>
        <w:ind w:left="4" w:right="60" w:hanging="4"/>
        <w:spacing w:after="0" w:line="253" w:lineRule="auto"/>
        <w:tabs>
          <w:tab w:leader="none" w:pos="2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by any of the indemnifying parties of any of their respective representations, warranties or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1" w:name="page32"/>
    <w:bookmarkEnd w:id="31"/>
    <w:p>
      <w:pPr>
        <w:ind w:left="-40" w:firstLine="436"/>
        <w:spacing w:after="0" w:line="25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Indemnification</w:t>
      </w:r>
      <w:r>
        <w:rPr>
          <w:rFonts w:ascii="Times New Roman" w:cs="Times New Roman" w:eastAsia="Times New Roman" w:hAnsi="Times New Roman"/>
          <w:sz w:val="18"/>
          <w:szCs w:val="18"/>
          <w:color w:val="auto"/>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7" w:lineRule="exact"/>
        <w:rPr>
          <w:rFonts w:ascii="Times New Roman" w:cs="Times New Roman" w:eastAsia="Times New Roman" w:hAnsi="Times New Roman"/>
          <w:sz w:val="18"/>
          <w:szCs w:val="18"/>
          <w:color w:val="auto"/>
        </w:rPr>
      </w:pPr>
    </w:p>
    <w:p>
      <w:pPr>
        <w:ind w:left="-40" w:right="20" w:firstLine="436"/>
        <w:spacing w:after="0" w:line="251" w:lineRule="auto"/>
        <w:tabs>
          <w:tab w:leader="none" w:pos="6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documented fees, disbursements and other charges will be reimbursed by the indemnifying party promptly after the indemnifying party receives a written invoice relating to such documented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80" w:top="270" w:right="479" w:bottom="1440" w:gutter="0" w:footer="0" w:header="0"/>
        </w:sectPr>
      </w:pPr>
    </w:p>
    <w:bookmarkStart w:id="32" w:name="page33"/>
    <w:bookmarkEnd w:id="32"/>
    <w:p>
      <w:pPr>
        <w:ind w:left="-20" w:right="80" w:firstLine="436"/>
        <w:spacing w:after="0" w:line="257" w:lineRule="auto"/>
        <w:tabs>
          <w:tab w:leader="none" w:pos="6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ind w:left="-20" w:firstLine="436"/>
        <w:spacing w:after="0" w:line="251" w:lineRule="auto"/>
        <w:tabs>
          <w:tab w:leader="none" w:pos="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documented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68" w:right="47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194" w:lineRule="exact"/>
        <w:rPr>
          <w:sz w:val="20"/>
          <w:szCs w:val="20"/>
          <w:color w:val="auto"/>
        </w:rPr>
      </w:pPr>
    </w:p>
    <w:p>
      <w:pPr>
        <w:ind w:right="200" w:firstLine="436"/>
        <w:spacing w:after="0" w:line="258" w:lineRule="auto"/>
        <w:tabs>
          <w:tab w:leader="none" w:pos="7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95"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ten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4" w:name="page35"/>
    <w:bookmarkEnd w:id="34"/>
    <w:p>
      <w:pPr>
        <w:jc w:val="both"/>
        <w:ind w:right="40" w:firstLine="436"/>
        <w:spacing w:after="0" w:line="261"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shall have the right, by giving ten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Section 7(g), Section 9, Section 10, Section 11(f), Section 16 and Section 17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173" w:lineRule="exact"/>
        <w:rPr>
          <w:rFonts w:ascii="Times New Roman" w:cs="Times New Roman" w:eastAsia="Times New Roman" w:hAnsi="Times New Roman"/>
          <w:sz w:val="18"/>
          <w:szCs w:val="18"/>
          <w:color w:val="auto"/>
        </w:rPr>
      </w:pPr>
    </w:p>
    <w:p>
      <w:pPr>
        <w:ind w:right="60" w:firstLine="436"/>
        <w:spacing w:after="0" w:line="257"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remain obligated to reimburse the Agent’s expenses pursuant to Section 7(g).</w:t>
      </w:r>
    </w:p>
    <w:p>
      <w:pPr>
        <w:spacing w:after="0" w:line="184" w:lineRule="exact"/>
        <w:rPr>
          <w:sz w:val="20"/>
          <w:szCs w:val="20"/>
          <w:color w:val="auto"/>
        </w:rPr>
      </w:pPr>
    </w:p>
    <w:p>
      <w:pPr>
        <w:ind w:right="200" w:firstLine="436"/>
        <w:spacing w:after="0" w:line="282" w:lineRule="auto"/>
        <w:tabs>
          <w:tab w:leader="none" w:pos="7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SVB Securities LLC</w:t>
      </w:r>
    </w:p>
    <w:p>
      <w:pPr>
        <w:ind w:left="440"/>
        <w:spacing w:after="0" w:line="196"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Peter M. Fry</w:t>
      </w:r>
    </w:p>
    <w:p>
      <w:pPr>
        <w:spacing w:after="0" w:line="9"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E-mail: peter.fry@svbsecurities.com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SVB Securities LLC</w:t>
      </w:r>
    </w:p>
    <w:p>
      <w:pPr>
        <w:ind w:left="440"/>
        <w:spacing w:after="0" w:line="196"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Stuart R. Nayman, Esq.</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stuart.nayman@svbsecurities.com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World Trade Center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250 Greenwich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Lisa Firenze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lisa.firenze@wilmerhale.com</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20"/>
          </w:cols>
          <w:pgMar w:left="440" w:top="270" w:right="539" w:bottom="1440" w:gutter="0" w:footer="0" w:header="0"/>
        </w:sectPr>
      </w:pPr>
    </w:p>
    <w:bookmarkStart w:id="35" w:name="page36"/>
    <w:bookmarkEnd w:id="3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if to the Company, shall be delivered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321 Arsenal St, Suite 101</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Watertown, Massachusetts 02472</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Rahul Khara, General Counsel</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rkhara@discmedicine.com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444" w:right="8400" w:hanging="4"/>
        <w:spacing w:after="0" w:line="265" w:lineRule="auto"/>
        <w:tabs>
          <w:tab w:leader="none" w:pos="75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Northern Avenue Boston, Massachusetts 02210 Attention: William D. Collins</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wcollins@goodwinlaw.com</w:t>
      </w:r>
    </w:p>
    <w:p>
      <w:pPr>
        <w:spacing w:after="0" w:line="207"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w:t>
      </w:r>
    </w:p>
    <w:p>
      <w:pPr>
        <w:spacing w:after="0" w:line="2" w:lineRule="exact"/>
        <w:rPr>
          <w:sz w:val="20"/>
          <w:szCs w:val="20"/>
          <w:color w:val="auto"/>
        </w:rPr>
      </w:pPr>
    </w:p>
    <w:p>
      <w:pPr>
        <w:ind w:left="4" w:hanging="4"/>
        <w:spacing w:after="0" w:line="255" w:lineRule="auto"/>
        <w:tabs>
          <w:tab w:leader="none" w:pos="3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10 days of receipt of the written request for Nonelectronic Notice.</w:t>
      </w:r>
    </w:p>
    <w:p>
      <w:pPr>
        <w:spacing w:after="0" w:line="183" w:lineRule="exact"/>
        <w:rPr>
          <w:sz w:val="20"/>
          <w:szCs w:val="20"/>
          <w:color w:val="auto"/>
        </w:rPr>
      </w:pPr>
    </w:p>
    <w:p>
      <w:pPr>
        <w:ind w:left="4" w:right="40" w:firstLine="436"/>
        <w:spacing w:after="0" w:line="254" w:lineRule="auto"/>
        <w:tabs>
          <w:tab w:leader="none" w:pos="7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Agent may assign its rights and obligations hereunder to an affiliate of the Agent without obtaining the Company’s consent, so long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affiliate is a registered broker-dealer.</w:t>
      </w:r>
    </w:p>
    <w:p>
      <w:pPr>
        <w:spacing w:after="0" w:line="191"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7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36" w:name="page37"/>
    <w:bookmarkEnd w:id="36"/>
    <w:p>
      <w:pPr>
        <w:ind w:firstLine="436"/>
        <w:spacing w:after="0" w:line="252" w:lineRule="auto"/>
        <w:tabs>
          <w:tab w:leader="none" w:pos="7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 Amendment; Severability; Waiver</w:t>
      </w:r>
      <w:r>
        <w:rPr>
          <w:rFonts w:ascii="Times New Roman" w:cs="Times New Roman" w:eastAsia="Times New Roman" w:hAnsi="Times New Roman"/>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of this Agreement may be amended by either party from time to time by sending a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and, upon such amendment, all references herein to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shall automatically be deemed to refer to such amended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93" w:lineRule="exact"/>
        <w:rPr>
          <w:rFonts w:ascii="Times New Roman" w:cs="Times New Roman" w:eastAsia="Times New Roman" w:hAnsi="Times New Roman"/>
          <w:sz w:val="18"/>
          <w:szCs w:val="18"/>
          <w:color w:val="auto"/>
        </w:rPr>
      </w:pPr>
    </w:p>
    <w:p>
      <w:pPr>
        <w:ind w:right="100" w:firstLine="436"/>
        <w:spacing w:after="0" w:line="257" w:lineRule="auto"/>
        <w:tabs>
          <w:tab w:leader="none" w:pos="7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6" w:lineRule="exact"/>
        <w:rPr>
          <w:rFonts w:ascii="Times New Roman" w:cs="Times New Roman" w:eastAsia="Times New Roman" w:hAnsi="Times New Roman"/>
          <w:sz w:val="18"/>
          <w:szCs w:val="18"/>
          <w:color w:val="auto"/>
        </w:rPr>
      </w:pPr>
    </w:p>
    <w:p>
      <w:pPr>
        <w:jc w:val="both"/>
        <w:ind w:right="20" w:firstLine="436"/>
        <w:spacing w:after="0" w:line="270" w:lineRule="auto"/>
        <w:tabs>
          <w:tab w:leader="none" w:pos="71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2"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shall have a comparable meaning when used in the plural, and vice versa.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37" w:name="page38"/>
    <w:bookmarkEnd w:id="37"/>
    <w:p>
      <w:pPr>
        <w:ind w:right="740" w:firstLine="436"/>
        <w:spacing w:after="0" w:line="282"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words “hereof,” “hereto,” “herein” and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pacing w:after="0" w:line="22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6" w:lineRule="exact"/>
        <w:rPr>
          <w:sz w:val="20"/>
          <w:szCs w:val="20"/>
          <w:color w:val="auto"/>
        </w:rPr>
      </w:pPr>
    </w:p>
    <w:p>
      <w:pPr>
        <w:ind w:firstLine="436"/>
        <w:spacing w:after="0" w:line="254"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sz w:val="20"/>
          <w:szCs w:val="20"/>
          <w:color w:val="auto"/>
        </w:rPr>
      </w:pPr>
    </w:p>
    <w:p>
      <w:pPr>
        <w:ind w:right="20" w:firstLine="436"/>
        <w:spacing w:after="0" w:line="258"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83" w:lineRule="exact"/>
        <w:rPr>
          <w:rFonts w:ascii="Times New Roman" w:cs="Times New Roman" w:eastAsia="Times New Roman" w:hAnsi="Times New Roman"/>
          <w:sz w:val="18"/>
          <w:szCs w:val="18"/>
          <w:color w:val="auto"/>
        </w:rPr>
      </w:pPr>
    </w:p>
    <w:p>
      <w:pPr>
        <w:ind w:right="460" w:firstLine="436"/>
        <w:spacing w:after="0" w:line="282"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38" w:name="page39"/>
    <w:bookmarkEnd w:id="38"/>
    <w:p>
      <w:pPr>
        <w:ind w:left="4" w:right="140" w:firstLine="436"/>
        <w:spacing w:after="0" w:line="261" w:lineRule="auto"/>
        <w:tabs>
          <w:tab w:leader="none" w:pos="6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80" w:lineRule="exact"/>
        <w:rPr>
          <w:sz w:val="20"/>
          <w:szCs w:val="20"/>
          <w:color w:val="auto"/>
        </w:rPr>
      </w:pPr>
    </w:p>
    <w:p>
      <w:pPr>
        <w:ind w:left="4" w:right="40" w:firstLine="436"/>
        <w:spacing w:after="0" w:line="261" w:lineRule="auto"/>
        <w:tabs>
          <w:tab w:leader="none" w:pos="7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8"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71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71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171" w:lineRule="exact"/>
        <w:rPr>
          <w:rFonts w:ascii="Times New Roman" w:cs="Times New Roman" w:eastAsia="Times New Roman" w:hAnsi="Times New Roman"/>
          <w:sz w:val="18"/>
          <w:szCs w:val="18"/>
          <w:color w:val="auto"/>
        </w:rPr>
      </w:pPr>
    </w:p>
    <w:p>
      <w:pPr>
        <w:ind w:left="4" w:firstLine="436"/>
        <w:spacing w:after="0" w:line="286" w:lineRule="auto"/>
        <w:tabs>
          <w:tab w:leader="none" w:pos="71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Information</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 means solely the following information in the Registration Statement and the Prospectus: the ninth paragraph under the heading “Plan of Distribution” in the Prospectus Supplement.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39" w:name="page40"/>
    <w:bookmarkEnd w:id="3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00"/>
          </w:cols>
          <w:pgMar w:left="440" w:top="270" w:right="559" w:bottom="1440" w:gutter="0" w:footer="0" w:header="0"/>
        </w:sectPr>
      </w:pPr>
    </w:p>
    <w:bookmarkStart w:id="40" w:name="page41"/>
    <w:bookmarkEnd w:id="4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Quisel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SVB SECURITIES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Peter M. Fry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Head of Alternative Equities</w:t>
      </w:r>
    </w:p>
    <w:p>
      <w:pPr>
        <w:sectPr>
          <w:pgSz w:w="11900" w:h="16838" w:orient="portrait"/>
          <w:cols w:equalWidth="0" w:num="1">
            <w:col w:w="10980"/>
          </w:cols>
          <w:pgMar w:left="440" w:top="270" w:right="4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46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24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Disc Medicine, Inc.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SVB Securities LLC</w:t>
            </w:r>
          </w:p>
        </w:tc>
      </w:tr>
      <w:tr>
        <w:trPr>
          <w:trHeight w:val="2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SVB Securities—At the Market Offering—Placement Notice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dated January 25, 2023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Disc Medicine,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SVB Securities LLC (“</w:t>
      </w:r>
      <w:r>
        <w:rPr>
          <w:rFonts w:ascii="Times New Roman" w:cs="Times New Roman" w:eastAsia="Times New Roman" w:hAnsi="Times New Roman"/>
          <w:sz w:val="18"/>
          <w:szCs w:val="18"/>
          <w:b w:val="1"/>
          <w:bCs w:val="1"/>
          <w:u w:val="single" w:color="auto"/>
          <w:color w:val="auto"/>
        </w:rPr>
        <w:t>SVB Securities</w:t>
      </w:r>
      <w:r>
        <w:rPr>
          <w:rFonts w:ascii="Times New Roman" w:cs="Times New Roman" w:eastAsia="Times New Roman" w:hAnsi="Times New Roman"/>
          <w:sz w:val="18"/>
          <w:szCs w:val="18"/>
          <w:color w:val="auto"/>
        </w:rPr>
        <w:t>”), I hereby request on behalf of the Company that SVB Securities sell up to [ ] shares of common stock, $0.0001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at a minimum market price of $ per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ectPr>
          <w:pgSz w:w="11900" w:h="16838" w:orient="portrait"/>
          <w:cols w:equalWidth="0" w:num="1">
            <w:col w:w="11020"/>
          </w:cols>
          <w:pgMar w:left="440" w:top="266"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jquisel@discmedicine.com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Joanne Bryce, jbryce@discmedicine.com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Rahul Khara, rkhara@discmedicine.com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SVB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Dubin, M.D., dan.dubin@svbsecurities.com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Pitt, sean.pitt@svbsecurities.com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atm@svbsecurities.com</w:t>
      </w:r>
    </w:p>
    <w:p>
      <w:pPr>
        <w:sectPr>
          <w:pgSz w:w="11900" w:h="16838" w:orient="portrait"/>
          <w:cols w:equalWidth="0" w:num="1">
            <w:col w:w="11020"/>
          </w:cols>
          <w:pgMar w:left="440" w:top="266"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pay SVB Securities compensation in cash equal to 3% of the gross proceeds from the sales of Placement Shares pursuant to the terms of the Sales Agreement of which this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forms a part.</w:t>
      </w:r>
    </w:p>
    <w:p>
      <w:pPr>
        <w:sectPr>
          <w:pgSz w:w="11900" w:h="16838" w:orient="portrait"/>
          <w:cols w:equalWidth="0" w:num="1">
            <w:col w:w="11020"/>
          </w:cols>
          <w:pgMar w:left="440" w:top="266" w:right="439" w:bottom="1440" w:gutter="0" w:footer="0" w:header="0"/>
        </w:sectPr>
      </w:pPr>
    </w:p>
    <w:bookmarkStart w:id="44" w:name="page45"/>
    <w:bookmarkEnd w:id="44"/>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697355" cy="3860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97355" cy="386080"/>
                    </a:xfrm>
                    <a:prstGeom prst="rect">
                      <a:avLst/>
                    </a:prstGeom>
                    <a:noFill/>
                  </pic:spPr>
                </pic:pic>
              </a:graphicData>
            </a:graphic>
          </wp:anchor>
        </w:drawing>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112"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+1 617 570 1000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11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333-269272) (as amended or supplemented, the “Registration Statement”) filed on January 18, 2023 with the Securities and Exchange Commission (the “Commission”) pursuant to the Securities Act of 1933, as amended (the “Securities Act”), relating to the registration of the offering by Disc Medicine, Inc., a Delaware corporation (the “Company”) of up to $300,000,000 of any combination of securities of the types specified therein. Reference is made to our opinion letter dated January 17, 2023 and included as Exhibit 5.1 to the Registration Statement. We are delivering this supplemental opinion letter in connection with the prospectus supplement (the “Prospectus Supplement”) filed on January 25, 2023 by the Company with the Commission pursuant to Rule 424 under the Securities Act. The Prospectus Supplement relates to the offering by the Company of up to $100,000,000 in shares (the “Shares”) of the Company’s common stock, par value $0.0001 per share (“Common Stock”) covered by the Registration Statement. The Shares are being offered and sold by the sales agent named in, and pursuant to, the sales agreement by and between the Company and such sales agent.</w:t>
      </w:r>
    </w:p>
    <w:p>
      <w:pPr>
        <w:spacing w:after="0" w:line="188"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ectPr>
          <w:pgSz w:w="11900" w:h="16838" w:orient="portrait"/>
          <w:cols w:equalWidth="0" w:num="1">
            <w:col w:w="11020"/>
          </w:cols>
          <w:pgMar w:left="440" w:top="117"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Future Approval and Issuance, will be validly issued, fully paid and nonassessable.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Exhibit 5.1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1."/>
      <w:numFmt w:val="decimal"/>
      <w:start w:val="2"/>
    </w:lvl>
  </w:abstractNum>
  <w:abstractNum w:abstractNumId="3">
    <w:nsid w:val="419AC241"/>
    <w:multiLevelType w:val="hybridMultilevel"/>
    <w:lvl w:ilvl="0">
      <w:lvlJc w:val="left"/>
      <w:lvlText w:val="%1"/>
      <w:numFmt w:val="lowerRoman"/>
      <w:start w:val="1"/>
    </w:lvl>
    <w:lvl w:ilvl="1">
      <w:lvlJc w:val="left"/>
      <w:lvlText w:val="%2."/>
      <w:numFmt w:val="decimal"/>
      <w:start w:val="3"/>
    </w:lvl>
  </w:abstractNum>
  <w:abstractNum w:abstractNumId="4">
    <w:nsid w:val="5577F8E1"/>
    <w:multiLevelType w:val="hybridMultilevel"/>
    <w:lvl w:ilvl="0">
      <w:lvlJc w:val="left"/>
      <w:lvlText w:val="(%1)"/>
      <w:numFmt w:val="lowerRoman"/>
      <w:start w:val="3"/>
    </w:lvl>
    <w:lvl w:ilvl="1">
      <w:lvlJc w:val="left"/>
      <w:lvlText w:val="%2."/>
      <w:numFmt w:val="decimal"/>
      <w:start w:val="4"/>
    </w:lvl>
  </w:abstractNum>
  <w:abstractNum w:abstractNumId="5">
    <w:nsid w:val="440BADFC"/>
    <w:multiLevelType w:val="hybridMultilevel"/>
    <w:lvl w:ilvl="0">
      <w:lvlJc w:val="left"/>
      <w:lvlText w:val="(%1)"/>
      <w:numFmt w:val="lowerLetter"/>
      <w:start w:val="1"/>
    </w:lvl>
  </w:abstractNum>
  <w:abstractNum w:abstractNumId="6">
    <w:nsid w:val="5072367"/>
    <w:multiLevelType w:val="hybridMultilevel"/>
    <w:lvl w:ilvl="0">
      <w:lvlJc w:val="left"/>
      <w:lvlText w:val="(%1)"/>
      <w:numFmt w:val="lowerLetter"/>
      <w:start w:val="2"/>
    </w:lvl>
  </w:abstractNum>
  <w:abstractNum w:abstractNumId="7">
    <w:nsid w:val="3804823E"/>
    <w:multiLevelType w:val="hybridMultilevel"/>
    <w:lvl w:ilvl="0">
      <w:lvlJc w:val="left"/>
      <w:lvlText w:val="%1."/>
      <w:numFmt w:val="decimal"/>
      <w:start w:val="5"/>
    </w:lvl>
  </w:abstractNum>
  <w:abstractNum w:abstractNumId="8">
    <w:nsid w:val="77465F01"/>
    <w:multiLevelType w:val="hybridMultilevel"/>
    <w:lvl w:ilvl="0">
      <w:lvlJc w:val="left"/>
      <w:lvlText w:val="%1"/>
      <w:numFmt w:val="lowerLetter"/>
      <w:start w:val="1"/>
    </w:lvl>
    <w:lvl w:ilvl="1">
      <w:lvlJc w:val="left"/>
      <w:lvlText w:val="(%2)"/>
      <w:numFmt w:val="lowerLetter"/>
      <w:start w:val="1"/>
    </w:lvl>
  </w:abstractNum>
  <w:abstractNum w:abstractNumId="9">
    <w:nsid w:val="7724C67E"/>
    <w:multiLevelType w:val="hybridMultilevel"/>
    <w:lvl w:ilvl="0">
      <w:lvlJc w:val="left"/>
      <w:lvlText w:val="(%1)"/>
      <w:numFmt w:val="lowerLetter"/>
      <w:start w:val="35"/>
    </w:lvl>
    <w:lvl w:ilvl="1">
      <w:lvlJc w:val="left"/>
      <w:lvlText w:val="(%2)"/>
      <w:numFmt w:val="lowerLetter"/>
      <w:start w:val="2"/>
    </w:lvl>
  </w:abstractNum>
  <w:abstractNum w:abstractNumId="10">
    <w:nsid w:val="5C482A97"/>
    <w:multiLevelType w:val="hybridMultilevel"/>
    <w:lvl w:ilvl="0">
      <w:lvlJc w:val="left"/>
      <w:lvlText w:val="%1"/>
      <w:numFmt w:val="lowerLetter"/>
      <w:start w:val="1"/>
    </w:lvl>
    <w:lvl w:ilvl="1">
      <w:lvlJc w:val="left"/>
      <w:lvlText w:val="(%2)"/>
      <w:numFmt w:val="lowerLetter"/>
      <w:start w:val="3"/>
    </w:lvl>
  </w:abstractNum>
  <w:abstractNum w:abstractNumId="11">
    <w:nsid w:val="2463B9EA"/>
    <w:multiLevelType w:val="hybridMultilevel"/>
    <w:lvl w:ilvl="0">
      <w:lvlJc w:val="left"/>
      <w:lvlText w:val="(%1)"/>
      <w:numFmt w:val="lowerLetter"/>
      <w:start w:val="24"/>
    </w:lvl>
    <w:lvl w:ilvl="1">
      <w:lvlJc w:val="left"/>
      <w:lvlText w:val="%2"/>
      <w:numFmt w:val="lowerLetter"/>
      <w:start w:val="1"/>
    </w:lvl>
  </w:abstractNum>
  <w:abstractNum w:abstractNumId="12">
    <w:nsid w:val="5E884ADC"/>
    <w:multiLevelType w:val="hybridMultilevel"/>
    <w:lvl w:ilvl="0">
      <w:lvlJc w:val="left"/>
      <w:lvlText w:val="%1"/>
      <w:numFmt w:val="lowerRoman"/>
      <w:start w:val="1"/>
    </w:lvl>
    <w:lvl w:ilvl="1">
      <w:lvlJc w:val="left"/>
      <w:lvlText w:val="%2."/>
      <w:numFmt w:val="decimal"/>
      <w:start w:val="6"/>
    </w:lvl>
  </w:abstractNum>
  <w:abstractNum w:abstractNumId="13">
    <w:nsid w:val="51EAD36B"/>
    <w:multiLevelType w:val="hybridMultilevel"/>
    <w:lvl w:ilvl="0">
      <w:lvlJc w:val="left"/>
      <w:lvlText w:val="(%1)"/>
      <w:numFmt w:val="lowerRoman"/>
      <w:start w:val="1"/>
    </w:lvl>
    <w:lvl w:ilvl="1">
      <w:lvlJc w:val="left"/>
      <w:lvlText w:val="%2"/>
      <w:numFmt w:val="decimal"/>
      <w:start w:val="1"/>
    </w:lvl>
  </w:abstractNum>
  <w:abstractNum w:abstractNumId="14">
    <w:nsid w:val="2D517796"/>
    <w:multiLevelType w:val="hybridMultilevel"/>
    <w:lvl w:ilvl="0">
      <w:lvlJc w:val="left"/>
      <w:lvlText w:val="(%1)"/>
      <w:numFmt w:val="lowerLetter"/>
      <w:start w:val="1"/>
    </w:lvl>
  </w:abstractNum>
  <w:abstractNum w:abstractNumId="15">
    <w:nsid w:val="580BD78F"/>
    <w:multiLevelType w:val="hybridMultilevel"/>
    <w:lvl w:ilvl="0">
      <w:lvlJc w:val="left"/>
      <w:lvlText w:val="(%1)"/>
      <w:numFmt w:val="lowerLetter"/>
      <w:start w:val="2"/>
    </w:lvl>
  </w:abstractNum>
  <w:abstractNum w:abstractNumId="16">
    <w:nsid w:val="153EA438"/>
    <w:multiLevelType w:val="hybridMultilevel"/>
    <w:lvl w:ilvl="0">
      <w:lvlJc w:val="left"/>
      <w:lvlText w:val="(%1)"/>
      <w:numFmt w:val="lowerLetter"/>
      <w:start w:val="6"/>
    </w:lvl>
  </w:abstractNum>
  <w:abstractNum w:abstractNumId="17">
    <w:nsid w:val="3855585C"/>
    <w:multiLevelType w:val="hybridMultilevel"/>
    <w:lvl w:ilvl="0">
      <w:lvlJc w:val="left"/>
      <w:lvlText w:val="(%1)"/>
      <w:numFmt w:val="lowerLetter"/>
      <w:start w:val="11"/>
    </w:lvl>
  </w:abstractNum>
  <w:abstractNum w:abstractNumId="18">
    <w:nsid w:val="70A64E2A"/>
    <w:multiLevelType w:val="hybridMultilevel"/>
    <w:lvl w:ilvl="0">
      <w:lvlJc w:val="left"/>
      <w:lvlText w:val="(%1)"/>
      <w:numFmt w:val="lowerLetter"/>
      <w:start w:val="16"/>
    </w:lvl>
  </w:abstractNum>
  <w:abstractNum w:abstractNumId="19">
    <w:nsid w:val="6A2342EC"/>
    <w:multiLevelType w:val="hybridMultilevel"/>
    <w:lvl w:ilvl="0">
      <w:lvlJc w:val="left"/>
      <w:lvlText w:val="(%1)"/>
      <w:numFmt w:val="lowerLetter"/>
      <w:start w:val="19"/>
    </w:lvl>
  </w:abstractNum>
  <w:abstractNum w:abstractNumId="20">
    <w:nsid w:val="2A487CB0"/>
    <w:multiLevelType w:val="hybridMultilevel"/>
    <w:lvl w:ilvl="0">
      <w:lvlJc w:val="left"/>
      <w:lvlText w:val="%1"/>
      <w:numFmt w:val="lowerLetter"/>
      <w:start w:val="1"/>
    </w:lvl>
    <w:lvl w:ilvl="1">
      <w:lvlJc w:val="left"/>
      <w:lvlText w:val="(%2)"/>
      <w:numFmt w:val="lowerLetter"/>
      <w:start w:val="25"/>
    </w:lvl>
  </w:abstractNum>
  <w:abstractNum w:abstractNumId="21">
    <w:nsid w:val="1D4ED43B"/>
    <w:multiLevelType w:val="hybridMultilevel"/>
    <w:lvl w:ilvl="0">
      <w:lvlJc w:val="left"/>
      <w:lvlText w:val="(%1)"/>
      <w:numFmt w:val="lowerLetter"/>
      <w:start w:val="9"/>
    </w:lvl>
    <w:lvl w:ilvl="1">
      <w:lvlJc w:val="left"/>
      <w:lvlText w:val="(%2)"/>
      <w:numFmt w:val="lowerLetter"/>
      <w:start w:val="27"/>
    </w:lvl>
  </w:abstractNum>
  <w:abstractNum w:abstractNumId="22">
    <w:nsid w:val="725A06FB"/>
    <w:multiLevelType w:val="hybridMultilevel"/>
    <w:lvl w:ilvl="0">
      <w:lvlJc w:val="left"/>
      <w:lvlText w:val="(%1)"/>
      <w:numFmt w:val="lowerLetter"/>
      <w:start w:val="30"/>
    </w:lvl>
  </w:abstractNum>
  <w:abstractNum w:abstractNumId="23">
    <w:nsid w:val="2CD89A32"/>
    <w:multiLevelType w:val="hybridMultilevel"/>
    <w:lvl w:ilvl="0">
      <w:lvlJc w:val="left"/>
      <w:lvlText w:val="(%1)"/>
      <w:numFmt w:val="lowerLetter"/>
      <w:start w:val="33"/>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24">
    <w:nsid w:val="57E4CCAF"/>
    <w:multiLevelType w:val="hybridMultilevel"/>
    <w:lvl w:ilvl="0">
      <w:lvlJc w:val="left"/>
      <w:lvlText w:val="%1"/>
      <w:numFmt w:val="decimal"/>
      <w:start w:val="1"/>
    </w:lvl>
    <w:lvl w:ilvl="1">
      <w:lvlJc w:val="left"/>
      <w:lvlText w:val="(%2)"/>
      <w:numFmt w:val="lowerLetter"/>
      <w:start w:val="36"/>
    </w:lvl>
  </w:abstractNum>
  <w:abstractNum w:abstractNumId="25">
    <w:nsid w:val="7A6D8D3C"/>
    <w:multiLevelType w:val="hybridMultilevel"/>
    <w:lvl w:ilvl="0">
      <w:lvlJc w:val="left"/>
      <w:lvlText w:val="(%1)"/>
      <w:numFmt w:val="decimal"/>
      <w:start w:val="1"/>
    </w:lvl>
    <w:lvl w:ilvl="1">
      <w:lvlJc w:val="left"/>
      <w:lvlText w:val="(%2)"/>
      <w:numFmt w:val="lowerLetter"/>
      <w:start w:val="37"/>
    </w:lvl>
  </w:abstractNum>
  <w:abstractNum w:abstractNumId="26">
    <w:nsid w:val="4B588F54"/>
    <w:multiLevelType w:val="hybridMultilevel"/>
    <w:lvl w:ilvl="0">
      <w:lvlJc w:val="left"/>
      <w:lvlText w:val="(%1)"/>
      <w:numFmt w:val="lowerLetter"/>
      <w:start w:val="39"/>
    </w:lvl>
  </w:abstractNum>
  <w:abstractNum w:abstractNumId="27">
    <w:nsid w:val="542289EC"/>
    <w:multiLevelType w:val="hybridMultilevel"/>
    <w:lvl w:ilvl="0">
      <w:lvlJc w:val="left"/>
      <w:lvlText w:val="%1"/>
      <w:numFmt w:val="lowerLetter"/>
      <w:start w:val="1"/>
    </w:lvl>
    <w:lvl w:ilvl="1">
      <w:lvlJc w:val="left"/>
      <w:lvlText w:val="(%2)"/>
      <w:numFmt w:val="lowerLetter"/>
      <w:start w:val="41"/>
    </w:lvl>
  </w:abstractNum>
  <w:abstractNum w:abstractNumId="28">
    <w:nsid w:val="6DE91B18"/>
    <w:multiLevelType w:val="hybridMultilevel"/>
    <w:lvl w:ilvl="0">
      <w:lvlJc w:val="left"/>
      <w:lvlText w:val="(%1)"/>
      <w:numFmt w:val="lowerLetter"/>
      <w:start w:val="9"/>
    </w:lvl>
    <w:lvl w:ilvl="1">
      <w:lvlJc w:val="left"/>
      <w:lvlText w:val="(%2)"/>
      <w:numFmt w:val="lowerLetter"/>
      <w:start w:val="42"/>
    </w:lvl>
  </w:abstractNum>
  <w:abstractNum w:abstractNumId="29">
    <w:nsid w:val="38437FDB"/>
    <w:multiLevelType w:val="hybridMultilevel"/>
    <w:lvl w:ilvl="0">
      <w:lvlJc w:val="left"/>
      <w:lvlText w:val="(%1)"/>
      <w:numFmt w:val="lowerLetter"/>
      <w:start w:val="48"/>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2"/>
    </w:lvl>
  </w:abstractNum>
  <w:abstractNum w:abstractNumId="32">
    <w:nsid w:val="684A481A"/>
    <w:multiLevelType w:val="hybridMultilevel"/>
    <w:lvl w:ilvl="0">
      <w:lvlJc w:val="left"/>
      <w:lvlText w:val="(%1)"/>
      <w:numFmt w:val="lowerLetter"/>
      <w:start w:val="4"/>
    </w:lvl>
  </w:abstractNum>
  <w:abstractNum w:abstractNumId="33">
    <w:nsid w:val="579478FE"/>
    <w:multiLevelType w:val="hybridMultilevel"/>
    <w:lvl w:ilvl="0">
      <w:lvlJc w:val="left"/>
      <w:lvlText w:val="(%1)"/>
      <w:numFmt w:val="upperLetter"/>
      <w:start w:val="2"/>
    </w:lvl>
    <w:lvl w:ilvl="1">
      <w:lvlJc w:val="left"/>
      <w:lvlText w:val="(%2)"/>
      <w:numFmt w:val="lowerLetter"/>
      <w:start w:val="8"/>
    </w:lvl>
  </w:abstractNum>
  <w:abstractNum w:abstractNumId="34">
    <w:nsid w:val="749ABB43"/>
    <w:multiLevelType w:val="hybridMultilevel"/>
    <w:lvl w:ilvl="0">
      <w:lvlJc w:val="left"/>
      <w:lvlText w:val="(%1)"/>
      <w:numFmt w:val="lowerLetter"/>
      <w:start w:val="12"/>
    </w:lvl>
    <w:lvl w:ilvl="1">
      <w:lvlJc w:val="left"/>
      <w:lvlText w:val="(%2)"/>
      <w:numFmt w:val="lowerRoman"/>
      <w:start w:val="1"/>
    </w:lvl>
  </w:abstractNum>
  <w:abstractNum w:abstractNumId="35">
    <w:nsid w:val="3DC240FB"/>
    <w:multiLevelType w:val="hybridMultilevel"/>
    <w:lvl w:ilvl="0">
      <w:lvlJc w:val="left"/>
      <w:lvlText w:val="(%1)"/>
      <w:numFmt w:val="lowerLetter"/>
      <w:start w:val="14"/>
    </w:lvl>
  </w:abstractNum>
  <w:abstractNum w:abstractNumId="36">
    <w:nsid w:val="1BA026FA"/>
    <w:multiLevelType w:val="hybridMultilevel"/>
    <w:lvl w:ilvl="0">
      <w:lvlJc w:val="left"/>
      <w:lvlText w:val="(%1)"/>
      <w:numFmt w:val="lowerLetter"/>
      <w:start w:val="17"/>
    </w:lvl>
  </w:abstractNum>
  <w:abstractNum w:abstractNumId="37">
    <w:nsid w:val="79A1DEAA"/>
    <w:multiLevelType w:val="hybridMultilevel"/>
    <w:lvl w:ilvl="0">
      <w:lvlJc w:val="left"/>
      <w:lvlText w:val="(%1)"/>
      <w:numFmt w:val="lowerLetter"/>
      <w:start w:val="24"/>
    </w:lvl>
  </w:abstractNum>
  <w:abstractNum w:abstractNumId="38">
    <w:nsid w:val="75C6C33A"/>
    <w:multiLevelType w:val="hybridMultilevel"/>
    <w:lvl w:ilvl="0">
      <w:lvlJc w:val="left"/>
      <w:lvlText w:val="(%1)"/>
      <w:numFmt w:val="lowerLetter"/>
      <w:start w:val="27"/>
    </w:lvl>
  </w:abstractNum>
  <w:abstractNum w:abstractNumId="39">
    <w:nsid w:val="12E685FB"/>
    <w:multiLevelType w:val="hybridMultilevel"/>
    <w:lvl w:ilvl="0">
      <w:lvlJc w:val="left"/>
      <w:lvlText w:val="(%1)"/>
      <w:numFmt w:val="lowerLetter"/>
      <w:start w:val="28"/>
    </w:lvl>
  </w:abstractNum>
  <w:abstractNum w:abstractNumId="40">
    <w:nsid w:val="70C6A529"/>
    <w:multiLevelType w:val="hybridMultilevel"/>
    <w:lvl w:ilvl="0">
      <w:lvlJc w:val="left"/>
      <w:lvlText w:val="%1."/>
      <w:numFmt w:val="decimal"/>
      <w:start w:val="8"/>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lowerLetter"/>
      <w:start w:val="5"/>
    </w:lvl>
  </w:abstractNum>
  <w:abstractNum w:abstractNumId="43">
    <w:nsid w:val="4F4EF005"/>
    <w:multiLevelType w:val="hybridMultilevel"/>
    <w:lvl w:ilvl="0">
      <w:lvlJc w:val="left"/>
      <w:lvlText w:val="%1"/>
      <w:numFmt w:val="lowerLetter"/>
      <w:start w:val="1"/>
    </w:lvl>
    <w:lvl w:ilvl="1">
      <w:lvlJc w:val="left"/>
      <w:lvlText w:val="(%2)"/>
      <w:numFmt w:val="lowerLetter"/>
      <w:start w:val="12"/>
    </w:lvl>
  </w:abstractNum>
  <w:abstractNum w:abstractNumId="44">
    <w:nsid w:val="23F9C13C"/>
    <w:multiLevelType w:val="hybridMultilevel"/>
    <w:lvl w:ilvl="0">
      <w:lvlJc w:val="left"/>
      <w:lvlText w:val="(%1)"/>
      <w:numFmt w:val="lowerLetter"/>
      <w:start w:val="35"/>
    </w:lvl>
    <w:lvl w:ilvl="1">
      <w:lvlJc w:val="left"/>
      <w:lvlText w:val="(%2)"/>
      <w:numFmt w:val="lowerLetter"/>
      <w:start w:val="15"/>
    </w:lvl>
  </w:abstractNum>
  <w:abstractNum w:abstractNumId="45">
    <w:nsid w:val="649BB77C"/>
    <w:multiLevelType w:val="hybridMultilevel"/>
    <w:lvl w:ilvl="0">
      <w:lvlJc w:val="left"/>
      <w:lvlText w:val="%1."/>
      <w:numFmt w:val="decimal"/>
      <w:start w:val="9"/>
    </w:lvl>
  </w:abstractNum>
  <w:abstractNum w:abstractNumId="46">
    <w:nsid w:val="275AC794"/>
    <w:multiLevelType w:val="hybridMultilevel"/>
    <w:lvl w:ilvl="0">
      <w:lvlJc w:val="left"/>
      <w:lvlText w:val="%1"/>
      <w:numFmt w:val="lowerLetter"/>
      <w:start w:val="1"/>
    </w:lvl>
    <w:lvl w:ilvl="1">
      <w:lvlJc w:val="left"/>
      <w:lvlText w:val="(%2)"/>
      <w:numFmt w:val="lowerLetter"/>
      <w:start w:val="1"/>
    </w:lvl>
  </w:abstractNum>
  <w:abstractNum w:abstractNumId="47">
    <w:nsid w:val="39386575"/>
    <w:multiLevelType w:val="hybridMultilevel"/>
    <w:lvl w:ilvl="0">
      <w:lvlJc w:val="left"/>
      <w:lvlText w:val="(%1)"/>
      <w:numFmt w:val="lowerLetter"/>
      <w:start w:val="26"/>
    </w:lvl>
    <w:lvl w:ilvl="1">
      <w:lvlJc w:val="left"/>
      <w:lvlText w:val="%2"/>
      <w:numFmt w:val="lowerLetter"/>
      <w:start w:val="1"/>
    </w:lvl>
  </w:abstractNum>
  <w:abstractNum w:abstractNumId="48">
    <w:nsid w:val="1CF10FD8"/>
    <w:multiLevelType w:val="hybridMultilevel"/>
    <w:lvl w:ilvl="0">
      <w:lvlJc w:val="left"/>
      <w:lvlText w:val="(%1)"/>
      <w:numFmt w:val="lowerLetter"/>
      <w:start w:val="2"/>
    </w:lvl>
  </w:abstractNum>
  <w:abstractNum w:abstractNumId="49">
    <w:nsid w:val="180115BE"/>
    <w:multiLevelType w:val="hybridMultilevel"/>
    <w:lvl w:ilvl="0">
      <w:lvlJc w:val="left"/>
      <w:lvlText w:val="(%1)"/>
      <w:numFmt w:val="lowerLetter"/>
      <w:start w:val="4"/>
    </w:lvl>
  </w:abstractNum>
  <w:abstractNum w:abstractNumId="50">
    <w:nsid w:val="235BA861"/>
    <w:multiLevelType w:val="hybridMultilevel"/>
    <w:lvl w:ilvl="0">
      <w:lvlJc w:val="left"/>
      <w:lvlText w:val="%1."/>
      <w:numFmt w:val="decimal"/>
      <w:start w:val="10"/>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3"/>
    </w:lvl>
  </w:abstractNum>
  <w:abstractNum w:abstractNumId="53">
    <w:nsid w:val="15B5AF5C"/>
    <w:multiLevelType w:val="hybridMultilevel"/>
    <w:lvl w:ilvl="0">
      <w:lvlJc w:val="left"/>
      <w:lvlText w:val="%1."/>
      <w:numFmt w:val="decimal"/>
      <w:start w:val="12"/>
    </w:lvl>
  </w:abstractNum>
  <w:abstractNum w:abstractNumId="54">
    <w:nsid w:val="741226BB"/>
    <w:multiLevelType w:val="hybridMultilevel"/>
    <w:lvl w:ilvl="0">
      <w:lvlJc w:val="left"/>
      <w:lvlText w:val="%1"/>
      <w:numFmt w:val="decimal"/>
      <w:start w:val="100"/>
    </w:lvl>
  </w:abstractNum>
  <w:abstractNum w:abstractNumId="55">
    <w:nsid w:val="D34B6A8"/>
    <w:multiLevelType w:val="hybridMultilevel"/>
    <w:lvl w:ilvl="0">
      <w:lvlJc w:val="left"/>
      <w:lvlText w:val="(%1)"/>
      <w:numFmt w:val="lowerRoman"/>
      <w:start w:val="3"/>
    </w:lvl>
  </w:abstractNum>
  <w:abstractNum w:abstractNumId="56">
    <w:nsid w:val="10233C99"/>
    <w:multiLevelType w:val="hybridMultilevel"/>
    <w:lvl w:ilvl="0">
      <w:lvlJc w:val="left"/>
      <w:lvlText w:val="%1."/>
      <w:numFmt w:val="decimal"/>
      <w:start w:val="13"/>
    </w:lvl>
  </w:abstractNum>
  <w:abstractNum w:abstractNumId="57">
    <w:nsid w:val="3F6AB60F"/>
    <w:multiLevelType w:val="hybridMultilevel"/>
    <w:lvl w:ilvl="0">
      <w:lvlJc w:val="left"/>
      <w:lvlText w:val="%1."/>
      <w:numFmt w:val="decimal"/>
      <w:start w:val="15"/>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3"/>
    </w:lvl>
  </w:abstractNum>
  <w:abstractNum w:abstractNumId="60">
    <w:nsid w:val="77AE35EB"/>
    <w:multiLevelType w:val="hybridMultilevel"/>
    <w:lvl w:ilvl="0">
      <w:lvlJc w:val="left"/>
      <w:lvlText w:val="%1."/>
      <w:numFmt w:val="decimal"/>
      <w:start w:val="19"/>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lowerLetter"/>
      <w:start w:val="5"/>
    </w:lvl>
  </w:abstractNum>
  <w:abstractNum w:abstractNumId="63">
    <w:nsid w:val="5FF87E05"/>
    <w:multiLevelType w:val="hybridMultilevel"/>
    <w:lvl w:ilvl="0">
      <w:lvlJc w:val="left"/>
      <w:lvlText w:val="%1."/>
      <w:numFmt w:val="decimal"/>
      <w:start w:val="21"/>
    </w:lvl>
  </w:abstractNum>
  <w:abstractNum w:abstractNumId="64">
    <w:nsid w:val="2F305DEF"/>
    <w:multiLevelType w:val="hybridMultilevel"/>
    <w:lvl w:ilvl="0">
      <w:lvlJc w:val="left"/>
      <w:lvlText w:val="(%1)"/>
      <w:numFmt w:val="lowerRoman"/>
      <w:start w:val="3"/>
    </w:lvl>
    <w:lvl w:ilvl="1">
      <w:lvlJc w:val="left"/>
      <w:lvlText w:val="%2."/>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2023-01-25T15:51:48Z</dcterms:created>
  <dcterms:modified xsi:type="dcterms:W3CDTF">2023-01-25T15:51:48Z</dcterms:modified>
</cp:coreProperties>
</file>