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15,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333-275652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333-275652</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Quisel, J.D.,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William D. Collins,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Rahul Khara</w:t>
            </w:r>
          </w:p>
        </w:tc>
      </w:tr>
      <w:tr>
        <w:trPr>
          <w:trHeight w:val="216"/>
        </w:trPr>
        <w:tc>
          <w:tcPr>
            <w:tcW w:w="26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Adam Johnson,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Alicia M. Tschirhart,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Watertown, MA 02472</w:t>
            </w:r>
          </w:p>
        </w:tc>
      </w:tr>
      <w:tr>
        <w:trPr>
          <w:trHeight w:val="216"/>
        </w:trPr>
        <w:tc>
          <w:tcPr>
            <w:tcW w:w="26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(617) 674-9274</w:t>
            </w:r>
          </w:p>
        </w:tc>
      </w:tr>
      <w:tr>
        <w:trPr>
          <w:trHeight w:val="238"/>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49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55" w:gutter="0" w:footer="0" w:header="0"/>
        </w:sectPr>
      </w:pPr>
    </w:p>
    <w:bookmarkStart w:id="1" w:name="page2"/>
    <w:bookmarkEnd w:id="1"/>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205740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DEREGISTRATION OF SECURITIES</w:t>
      </w:r>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t>
      </w:r>
      <w:hyperlink r:id="rId20">
        <w:r>
          <w:rPr>
            <w:rFonts w:ascii="Times New Roman" w:cs="Times New Roman" w:eastAsia="Times New Roman" w:hAnsi="Times New Roman"/>
            <w:sz w:val="18"/>
            <w:szCs w:val="18"/>
            <w:u w:val="single" w:color="auto"/>
            <w:color w:val="0000EE"/>
          </w:rPr>
          <w:t>November 20, 2023</w:t>
        </w:r>
      </w:hyperlink>
      <w:r>
        <w:rPr>
          <w:rFonts w:ascii="Times New Roman" w:cs="Times New Roman" w:eastAsia="Times New Roman" w:hAnsi="Times New Roman"/>
          <w:sz w:val="18"/>
          <w:szCs w:val="18"/>
          <w:color w:val="auto"/>
        </w:rPr>
        <w:t>, Disc Medicine,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filed a registration statement on Form S-3 (Registration</w:t>
      </w:r>
    </w:p>
    <w:p>
      <w:pPr>
        <w:spacing w:after="0" w:line="3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No. 333-275652)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or the SEC, to register for sale up to $400,000,000 in aggregate principal amount of an indeterminate of the Registrant’s common stock, preferred stock, debt securities, warrants and/or units. The Registration Statement was declared effective by the SEC on November 29, 2023.</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Registrant has terminated any and all offerings of its securities pursuant to the Registration Statement. In accordance with undertakings made by the Registrant in the Registration Statement to remove from registration, by means of a post-effective amendment, any of the securities registered under the Registration Statement that remain unsold at the termination of the offerings, the Registrant hereby removes from registration all securities of the Registrant registered but unsold under the Registration Statement, if any, as of the date hereof. The Registration Statement is hereby amended, as appropriate, to reflect the deregistration of such securities.</w:t>
      </w:r>
    </w:p>
    <w:p>
      <w:pPr>
        <w:sectPr>
          <w:pgSz w:w="11900" w:h="16838" w:orient="portrait"/>
          <w:cols w:equalWidth="0" w:num="1">
            <w:col w:w="10980"/>
          </w:cols>
          <w:pgMar w:left="440" w:top="266"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Watertown, State of Massachusetts, on November 15,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other person is required to sign this Post-Effective Amendment No. 1 in reliance upon Rule 478 under the Securities Act of 1933, as amended.</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0" Type="http://schemas.openxmlformats.org/officeDocument/2006/relationships/hyperlink" Target="http://www.sec.gov/Archives/edgar/data/1816736/000119312523279967/d57790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2024-11-15T15:56:27Z</dcterms:created>
  <dcterms:modified xsi:type="dcterms:W3CDTF">2024-11-15T15:56:27Z</dcterms:modified>
</cp:coreProperties>
</file>