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5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Ashiya Mona</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Disc Medicine,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IRON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140" w:type="dxa"/>
            <w:vAlign w:val="bottom"/>
          </w:tcPr>
          <w:p>
            <w:pPr>
              <w:spacing w:after="0"/>
              <w:rPr>
                <w:sz w:val="18"/>
                <w:szCs w:val="18"/>
                <w:color w:val="auto"/>
              </w:rPr>
            </w:pP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12/29/2022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12/29/2022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7,000</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12/28/2032</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7,000</w:t>
            </w:r>
          </w:p>
        </w:tc>
        <w:tc>
          <w:tcPr>
            <w:tcW w:w="280" w:type="dxa"/>
            <w:vAlign w:val="bottom"/>
          </w:tcPr>
          <w:p>
            <w:pPr>
              <w:spacing w:after="0"/>
              <w:rPr>
                <w:sz w:val="12"/>
                <w:szCs w:val="12"/>
                <w:color w:val="auto"/>
              </w:rPr>
            </w:pPr>
          </w:p>
        </w:tc>
        <w:tc>
          <w:tcPr>
            <w:tcW w:w="680" w:type="dxa"/>
            <w:vAlign w:val="bottom"/>
            <w:vMerge w:val="restart"/>
          </w:tcPr>
          <w:p>
            <w:pPr>
              <w:ind w:left="260"/>
              <w:spacing w:after="0" w:line="272"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6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upon the first to occur of (i) the date of the Company's 2023 annual meeting of its stockholders, or (ii) the one-year anniversary of the grant date, subject to the Reporting Person's continued service on such vesting date.</w:t>
      </w:r>
    </w:p>
    <w:p>
      <w:pPr>
        <w:spacing w:after="0" w:line="16"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OrbiMed Capital GP VI LLC, and OrbiMed Capital GP VIII LLC, the Reporting Person is obligated to transfer any securities issued under any such stock options or other awards, or the economic benefit thereof, to OrbiMed Advisors LLC, OrbiMed Capital GP VI LLC, and OrbiMed Capital GP VIII LLC, which will in turn ensure that such securities or economic benefits are provided to OrbiMed Private Investments VI, LP and OrbiMed Private Investments VIII, LP.</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2023-01-03T20:28:03Z</dcterms:created>
  <dcterms:modified xsi:type="dcterms:W3CDTF">2023-01-03T20:28:03Z</dcterms:modified>
</cp:coreProperties>
</file>