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DISC MEDICINE,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001-39438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85-1612845</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ind w:left="764"/>
        <w:spacing w:after="0"/>
        <w:rPr>
          <w:sz w:val="20"/>
          <w:szCs w:val="20"/>
          <w:color w:val="auto"/>
        </w:rPr>
      </w:pPr>
      <w:r>
        <w:rPr>
          <w:rFonts w:ascii="Times New Roman" w:cs="Times New Roman" w:eastAsia="Times New Roman" w:hAnsi="Times New Roman"/>
          <w:sz w:val="17"/>
          <w:szCs w:val="17"/>
          <w:b w:val="1"/>
          <w:bCs w:val="1"/>
          <w:color w:val="auto"/>
        </w:rPr>
        <w:t>321 Arsenal Street, Suite 101, Watertown, MA 02472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02472</w:t>
      </w:r>
    </w:p>
    <w:p>
      <w:pPr>
        <w:spacing w:after="0" w:line="43"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674-9274</w:t>
      </w:r>
    </w:p>
    <w:p>
      <w:pPr>
        <w:spacing w:after="0" w:line="1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IRON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02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700" w:space="500"/>
            <w:col w:w="9820"/>
          </w:cols>
          <w:pgMar w:left="440" w:top="293" w:right="4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Appointment of Chief Financial Officer, Treasurer, principal financial officer and principal accounting officer</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On February 7, 2024, the Company announced the appointment of Jean M. Franchi as Chief Financial Officer and Treasurer, effective February 7, 2024 (the “Effective Date”). Ms. Franchi succeeds Joanne Bryce, who, as previously announced by the Company, will depart from her role as Chief Financial Officer and Treasurer, effective as of the Effective Date. Effective as of the Effective Date, Ms. Franchi will serve as the Company’s principal financial officer and principal accounting officer.</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Ms. Franchi, aged 57, previously served as the Chief Financial Officer of Replimune Group, Inc., a biotechnology company, from December 2019 to June 2023. From August 2017 to May 2019, Ms. Franchi served as the Chief Financial Officer of Merrimack Pharmaceuticals, Inc., a biopharmaceutical company. From August 2015 to July 2017, she served as Chief Financial Officer, Treasurer and Secretary at Dimension Therapeutics, Inc., a biotechnology company. From February 2012 to July 2015, Ms. Franchi served as Chief Financial Officer at Good Start Genetics, Inc., a molecular genetics information company. From 1995 to 2011, Ms. Franchi held various positions at Sanofi S.A., including Senior Vice President of Corporate Finance, Senior Vice President of Business Unit Finance, and Vice President of Finance and Controller, Product Line and International Group. Ms. Franchi holds a B.B.A. from Hofstra University.</w:t>
      </w:r>
    </w:p>
    <w:p>
      <w:pPr>
        <w:spacing w:after="0" w:line="18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Ms. Franchi’s appointment as Chief Financial Officer, the Company and Ms. Franchi entered into an employment agreement (the “Employment Agreement”). Pursuant to the terms of the Employment Agreement, Ms. Franchi will receive an annual base salary of $515,000 and a one-time signing bonus of $75,000, and will be eligible for an annual bonus with a target amount of 40% of her base salary. Further, as a material inducement to Ms. Franchi’s acceptance of employment with the Company, the Company’s Board of Directors (the “Board”) will grant to Ms. Franchi an option to purchase 55,000 shares (the “Options”) of the Company’s common stock, with 25% of the Options vesting and becoming exercisable on the first anniversary of the Effective Date, and the balance of the Options vesting in equal monthly installments over 36 months thereafter, subject to</w:t>
      </w:r>
    </w:p>
    <w:p>
      <w:pPr>
        <w:spacing w:after="0" w:line="5"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Ms. Franchi’s continued employment with the Company. In addition, the Board will grant to Ms. Franchi a restricted stock unit award for 36,666 shares of the Company’s common stock (the “RSUs” and, together with the Options, the “Inducement Awards”), with such RSUs vesting 25% on each of the first, second, third and fourth anniversaries of the vesting date as set by the Company policy, subject to Ms. Franchi’s continued employment with the Company. The Inducement Awards are being made pursuant to a stand-alone Option inducement award agreement and a stand-alone RSU inducement award agreement, as applicable, in each case outside of the Company’s Amended and Restated 2021 Stock Option and Incentive Plan and in accordance with NASDAQ Listing Rule 5635(c)(4). Ms. Franchi is also eligible to participate in the Company’s employee benefit plans available to its employees, subject to the terms of those plans.</w:t>
      </w:r>
    </w:p>
    <w:p>
      <w:pPr>
        <w:spacing w:after="0" w:line="188"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There are no family relationships between Ms. Franchi and any other director, executive officer or nominees thereof of the Company. There are no related party transactions between the Company and Ms. Franchi that would require disclosure under Item 404(a) of Regulation S-K under the Securities Exchange Act of 1934, as amended (the “Exchange Act”).</w:t>
      </w:r>
    </w:p>
    <w:p>
      <w:pPr>
        <w:spacing w:after="0" w:line="176"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material terms of the Employment Agreement does not purpose to be complete and is qualified in its entirety by reference to Exhibit 10.1 to this Current Report on Form 8-K, which is incorporated by reference herein.</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Appointment of Chief Operating Officer</w:t>
      </w:r>
    </w:p>
    <w:p>
      <w:pPr>
        <w:spacing w:after="0" w:line="121" w:lineRule="exact"/>
        <w:rPr>
          <w:sz w:val="20"/>
          <w:szCs w:val="20"/>
          <w:color w:val="auto"/>
        </w:rPr>
      </w:pPr>
    </w:p>
    <w:p>
      <w:pPr>
        <w:jc w:val="both"/>
        <w:ind w:right="340" w:firstLine="440"/>
        <w:spacing w:after="0" w:line="266" w:lineRule="auto"/>
        <w:rPr>
          <w:sz w:val="20"/>
          <w:szCs w:val="20"/>
          <w:color w:val="auto"/>
        </w:rPr>
      </w:pPr>
      <w:r>
        <w:rPr>
          <w:rFonts w:ascii="Times New Roman" w:cs="Times New Roman" w:eastAsia="Times New Roman" w:hAnsi="Times New Roman"/>
          <w:sz w:val="18"/>
          <w:szCs w:val="18"/>
          <w:color w:val="auto"/>
        </w:rPr>
        <w:t>On February 7, 2024 (the “Promotion Date”), the Company announced that Jonathan Yu, the Company’s previous Chief Business Officer, was promoted to serve as the Company’s Chief Operating Officer. In connection with his promotion and effective as of the Promotion Date, Mr. Yu will serve as the Company’s principal operating officer.</w:t>
      </w:r>
    </w:p>
    <w:p>
      <w:pPr>
        <w:sectPr>
          <w:pgSz w:w="11900" w:h="16838" w:orient="portrait"/>
          <w:cols w:equalWidth="0" w:num="1">
            <w:col w:w="11020"/>
          </w:cols>
          <w:pgMar w:left="440" w:top="293" w:right="439" w:bottom="1440" w:gutter="0" w:footer="0" w:header="0"/>
          <w:type w:val="continuous"/>
        </w:sectPr>
      </w:pPr>
    </w:p>
    <w:bookmarkStart w:id="2" w:name="page3"/>
    <w:bookmarkEnd w:id="2"/>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Jonathan Yu has served as the Company’s Chief Business Officer since August 2021, and was previously Company’s Senior Vice President of Corporate Development from July 2020 to August 2021. Previously, he co-founded Qpex Biopharma, a biotechnology company, where he served as the Vice President of Corporate Strategy, Finance and Operations from October 2018 to July 2020. Prior to Qpex, Mr. Yu served in various leadership roles at The Medicines Company, a pharmaceutical company, from July 2013 to July 2018, most recently serving as Vice President of Strategic Planning and Corporate Development. Mr. Yu has also held a variety of roles at SR One, Acceleron Pharma and Johnson &amp; Johnson, spanning commercial planning and assessment, business development and finance. Mr. Yu holds an A.B. from Harvard College and an M.B.A. from the Wharton School of the University of Pennsylvania.</w:t>
      </w:r>
    </w:p>
    <w:p>
      <w:pPr>
        <w:spacing w:after="0" w:line="189"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There are no family relationships between Mr. Yu and any other director, executive officer or nominees thereof of the Company. There are no related party transactions between the Company and Mr. Yu that would require disclosure under Item 404(a) of Regulation S-K under the Exchange Act.</w:t>
      </w:r>
    </w:p>
    <w:p>
      <w:pPr>
        <w:spacing w:after="0" w:line="28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On February 7, 2024, the Company issued a press release announcing Ms. Franchi’s appointment and Mr. Yu’s promotion. A copy of the press release is furnished as Exhibit 99.1 to this Current Report on Form 8-K.</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of this Current Report on Form 8-K, including Exhibit 99.1, is intended to be furnished and shall not be deemed “filed” for purposes of Section 18 of the Exchange Act, or otherwise subject to the liabilities of that section, nor shall it be deemed incorporated by reference in any filing under the Securities Act of 1933, as amended, or the Exchange Act, except as expressly provided by specific reference in such filing. The Company undertakes no obligation to update, supplement or amend the material attached hereto as Exhibit 99.1.</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3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Employment Agreement, dated February 7, 2024, by and between Disc Medicine, Inc. and Jean M. Franchi.</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Disc Medicine, Inc. on February 7, 2024, furnished herewith.</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80"/>
          </w:cols>
          <w:pgMar w:left="440" w:top="297" w:right="4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4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DISC MEDICINE, INC.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7, 2024</w:t>
            </w: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Quisel</w:t>
            </w:r>
          </w:p>
        </w:tc>
      </w:tr>
      <w:tr>
        <w:trPr>
          <w:trHeight w:val="205"/>
        </w:trPr>
        <w:tc>
          <w:tcPr>
            <w:tcW w:w="3600" w:type="dxa"/>
            <w:vAlign w:val="bottom"/>
          </w:tcPr>
          <w:p>
            <w:pPr>
              <w:spacing w:after="0"/>
              <w:rPr>
                <w:sz w:val="17"/>
                <w:szCs w:val="17"/>
                <w:color w:val="auto"/>
              </w:rPr>
            </w:pPr>
          </w:p>
        </w:tc>
        <w:tc>
          <w:tcPr>
            <w:tcW w:w="2560" w:type="dxa"/>
            <w:vAlign w:val="bottom"/>
          </w:tcPr>
          <w:p>
            <w:pPr>
              <w:ind w:left="19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John Quisel, J.D. Ph.D.</w:t>
            </w:r>
          </w:p>
        </w:tc>
      </w:tr>
      <w:tr>
        <w:trPr>
          <w:trHeight w:val="234"/>
        </w:trPr>
        <w:tc>
          <w:tcPr>
            <w:tcW w:w="3600" w:type="dxa"/>
            <w:vAlign w:val="bottom"/>
          </w:tcPr>
          <w:p>
            <w:pPr>
              <w:spacing w:after="0"/>
              <w:rPr>
                <w:sz w:val="20"/>
                <w:szCs w:val="20"/>
                <w:color w:val="auto"/>
              </w:rPr>
            </w:pP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9"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This Employment Agreement (“Agreement”) is made between Disc Medicine, Inc., (the “Company”), and Jean Franchi (the “You”) and is effective as of the date this Agreement is fully executed by both parties (the “Effective Date”).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Company desires to employ you and you desire to be employed by the Company on the terms and conditions contained herein.</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62" w:lineRule="exact"/>
        <w:rPr>
          <w:sz w:val="20"/>
          <w:szCs w:val="20"/>
          <w:color w:val="auto"/>
        </w:rPr>
      </w:pPr>
    </w:p>
    <w:p>
      <w:pPr>
        <w:ind w:left="620" w:hanging="184"/>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180" w:firstLine="987"/>
        <w:spacing w:after="0" w:line="261" w:lineRule="auto"/>
        <w:tabs>
          <w:tab w:leader="none" w:pos="123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Company shall employ you and you shall be employed by the Company pursuant to this Agreement commencing as of the Effective Date and continuing until such employment is terminated in accordance with the provisions hereof (the “Term”). Your employment with the Company will be “at will,” meaning that your employment may be terminated by the Company or you at any time and for any reason subject to the terms of this Agreement.</w:t>
      </w:r>
    </w:p>
    <w:p>
      <w:pPr>
        <w:spacing w:after="0" w:line="179" w:lineRule="exact"/>
        <w:rPr>
          <w:rFonts w:ascii="Times New Roman" w:cs="Times New Roman" w:eastAsia="Times New Roman" w:hAnsi="Times New Roman"/>
          <w:sz w:val="18"/>
          <w:szCs w:val="18"/>
          <w:color w:val="auto"/>
        </w:rPr>
      </w:pPr>
    </w:p>
    <w:p>
      <w:pPr>
        <w:ind w:right="460" w:firstLine="987"/>
        <w:spacing w:after="0" w:line="261" w:lineRule="auto"/>
        <w:tabs>
          <w:tab w:leader="none" w:pos="124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 You shall serve as the Chief Financial Officer (“CFO”) of the Company and shall report directly to the Chief Executive Officer (“CEO”). You shall have such powers and duties as may from time to time be prescribed by the CEO or other duly authorized executive which are consistent with your position as CFO. You shall devote your full working time and efforts to the business and affairs of the Company. Notwithstanding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5" w:name="page6"/>
    <w:bookmarkEnd w:id="5"/>
    <w:p>
      <w:pPr>
        <w:ind w:right="1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foregoing, you may serve on other boards of directors, with the approval of the Board of Directors of the Company (including any committee thereof, the “Board”), which approval shall not unreasonably be withheld by the Board, or engage in religious, charitable or other community activities as long as such services and activities are disclosed to the Board and do not interfere with your performance of your duties to the Company. To the extent applicable, you shall be deemed to have resigned from all officer and, if applicable, board member positions that you hold with the Company or any of its respective subsidiaries and affiliates upon the termination of your employment for any reason. You shall execute any documents in reasonable form as may be requested to confirm or effectuate any such resignations.</w:t>
      </w:r>
    </w:p>
    <w:p>
      <w:pPr>
        <w:spacing w:after="0" w:line="187" w:lineRule="exact"/>
        <w:rPr>
          <w:sz w:val="20"/>
          <w:szCs w:val="20"/>
          <w:color w:val="auto"/>
        </w:rPr>
      </w:pPr>
    </w:p>
    <w:p>
      <w:pPr>
        <w:ind w:left="620" w:hanging="184"/>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Related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987"/>
        <w:spacing w:after="0" w:line="258" w:lineRule="auto"/>
        <w:tabs>
          <w:tab w:leader="none" w:pos="123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Your initial base salary shall be paid at the rate of $515,000 per year. Your base salary shall be subject to periodic review and increase (but not decrease, except for an across-the-board reduction of no greater than 10% based on the Company’s financial performance similarly affecting all or substantially all senior management employees of the Company) by the Board or the Compensation Committee of the Board (the “Compensation Committee”). The base salary in effect at any given time is referred to herein as “Base Salary.” The Base Salary shall be payable in a manner that is consistent with the Company’s usual payroll practices for executive officers.</w:t>
      </w:r>
    </w:p>
    <w:p>
      <w:pPr>
        <w:spacing w:after="0" w:line="183"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Compensation</w:t>
      </w:r>
      <w:r>
        <w:rPr>
          <w:rFonts w:ascii="Times New Roman" w:cs="Times New Roman" w:eastAsia="Times New Roman" w:hAnsi="Times New Roman"/>
          <w:sz w:val="18"/>
          <w:szCs w:val="18"/>
          <w:color w:val="auto"/>
        </w:rPr>
        <w:t>. You shall be eligible to receive cash incentive compensation as determined by the Board or the Compensation Committee from time to time. Your target annual incentive compensation shall be forty percent (40%) of your Base Salary. The target annual incentive compensation in effect at any given time is referred to herein as “Target Bonus.” The actual amount of your annual incentive compensation, if any, shall be determined in the sole discretion of the Board or the Compensation Committee, subject to the terms of any applicable incentive compensation plan that may be in effect from time to time (the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 w:name="page7"/>
    <w:bookmarkEnd w:id="6"/>
    <w:p>
      <w:pPr>
        <w:ind w:right="32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“Bonus”). Except as otherwise provided herein, to earn incentive compensation, you must be employed by the Company on the day such incentive compensation is paid. The incentive compensation for each fiscal year will be paid no later than two and a half months following such fiscal year.</w:t>
      </w:r>
    </w:p>
    <w:p>
      <w:pPr>
        <w:spacing w:after="0" w:line="140" w:lineRule="exact"/>
        <w:rPr>
          <w:sz w:val="20"/>
          <w:szCs w:val="20"/>
          <w:color w:val="auto"/>
        </w:rPr>
      </w:pPr>
    </w:p>
    <w:p>
      <w:pPr>
        <w:ind w:firstLine="987"/>
        <w:spacing w:after="0" w:line="312" w:lineRule="auto"/>
        <w:tabs>
          <w:tab w:leader="none" w:pos="12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You shall be entitled to receive prompt reimbursement for all reasonable expenses incurred by you during the Term in performing services hereunder, in accordance with the policies and procedures then in effect and established by the Company for its executive officers.</w:t>
      </w:r>
    </w:p>
    <w:p>
      <w:pPr>
        <w:spacing w:after="0" w:line="139" w:lineRule="exact"/>
        <w:rPr>
          <w:rFonts w:ascii="Times New Roman" w:cs="Times New Roman" w:eastAsia="Times New Roman" w:hAnsi="Times New Roman"/>
          <w:sz w:val="17"/>
          <w:szCs w:val="17"/>
          <w:color w:val="auto"/>
        </w:rPr>
      </w:pPr>
    </w:p>
    <w:p>
      <w:pPr>
        <w:ind w:right="120" w:firstLine="987"/>
        <w:spacing w:after="0" w:line="282" w:lineRule="auto"/>
        <w:tabs>
          <w:tab w:leader="none" w:pos="12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Benefits</w:t>
      </w:r>
      <w:r>
        <w:rPr>
          <w:rFonts w:ascii="Times New Roman" w:cs="Times New Roman" w:eastAsia="Times New Roman" w:hAnsi="Times New Roman"/>
          <w:sz w:val="18"/>
          <w:szCs w:val="18"/>
          <w:color w:val="auto"/>
        </w:rPr>
        <w:t>. You shall be eligible to participate in or receive benefits under the Company’s employee benefit plans in effect from time to time, subject to the terms of such plans.</w:t>
      </w:r>
    </w:p>
    <w:p>
      <w:pPr>
        <w:spacing w:after="0" w:line="161" w:lineRule="exact"/>
        <w:rPr>
          <w:rFonts w:ascii="Times New Roman" w:cs="Times New Roman" w:eastAsia="Times New Roman" w:hAnsi="Times New Roman"/>
          <w:sz w:val="18"/>
          <w:szCs w:val="18"/>
          <w:color w:val="auto"/>
        </w:rPr>
      </w:pPr>
    </w:p>
    <w:p>
      <w:pPr>
        <w:ind w:right="500" w:firstLine="987"/>
        <w:spacing w:after="0" w:line="282" w:lineRule="auto"/>
        <w:tabs>
          <w:tab w:leader="none" w:pos="12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Paid Time Off</w:t>
      </w:r>
      <w:r>
        <w:rPr>
          <w:rFonts w:ascii="Times New Roman" w:cs="Times New Roman" w:eastAsia="Times New Roman" w:hAnsi="Times New Roman"/>
          <w:sz w:val="18"/>
          <w:szCs w:val="18"/>
          <w:color w:val="auto"/>
        </w:rPr>
        <w:t>. You shall be entitled to take paid time off in accordance with the Company’s applicable paid time off policy for executives, as may be in effect from time to time. You shall also be entitled to all paid holidays given by the Company to its employees.</w:t>
      </w:r>
    </w:p>
    <w:p>
      <w:pPr>
        <w:spacing w:after="0" w:line="161" w:lineRule="exact"/>
        <w:rPr>
          <w:rFonts w:ascii="Times New Roman" w:cs="Times New Roman" w:eastAsia="Times New Roman" w:hAnsi="Times New Roman"/>
          <w:sz w:val="18"/>
          <w:szCs w:val="18"/>
          <w:color w:val="auto"/>
        </w:rPr>
      </w:pPr>
    </w:p>
    <w:p>
      <w:pPr>
        <w:ind w:right="520" w:firstLine="987"/>
        <w:spacing w:after="0" w:line="282" w:lineRule="auto"/>
        <w:tabs>
          <w:tab w:leader="none" w:pos="121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w:t>
      </w:r>
      <w:r>
        <w:rPr>
          <w:rFonts w:ascii="Times New Roman" w:cs="Times New Roman" w:eastAsia="Times New Roman" w:hAnsi="Times New Roman"/>
          <w:sz w:val="18"/>
          <w:szCs w:val="18"/>
          <w:color w:val="auto"/>
        </w:rPr>
        <w:t>. Subject to approval by the Board or the Compensation Committee, and as a material inducement of your acceptance of employment with the Company, you shall be granted the following:</w:t>
      </w:r>
    </w:p>
    <w:p>
      <w:pPr>
        <w:spacing w:after="0" w:line="161" w:lineRule="exact"/>
        <w:rPr>
          <w:rFonts w:ascii="Times New Roman" w:cs="Times New Roman" w:eastAsia="Times New Roman" w:hAnsi="Times New Roman"/>
          <w:sz w:val="18"/>
          <w:szCs w:val="18"/>
          <w:color w:val="auto"/>
        </w:rPr>
      </w:pPr>
    </w:p>
    <w:p>
      <w:pPr>
        <w:ind w:firstLine="1428"/>
        <w:spacing w:after="0" w:line="261" w:lineRule="auto"/>
        <w:tabs>
          <w:tab w:leader="none" w:pos="164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 to purchase 55,000 shares of common stock, par value $0.0001 per share (“Common Stock”), of the Company (the “Option”), which such Option shall have an exercise price equal to the closing price of the Common Stock on the date of grant, and 25% shall vest and become exercisable on the first anniversary of your start date, and the remaining 75% shall vest in equal monthly installments over the three years following such first anniversary, provided your employment with the Company continues through the applicable vesting date; and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60"/>
          </w:cols>
          <w:pgMar w:left="440" w:top="270" w:right="599" w:bottom="1440" w:gutter="0" w:footer="0" w:header="0"/>
        </w:sectPr>
      </w:pPr>
    </w:p>
    <w:bookmarkStart w:id="7" w:name="page8"/>
    <w:bookmarkEnd w:id="7"/>
    <w:p>
      <w:pPr>
        <w:ind w:right="320" w:firstLine="1428"/>
        <w:spacing w:after="0" w:line="266" w:lineRule="auto"/>
        <w:tabs>
          <w:tab w:leader="none" w:pos="169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Restricted Stock Unit award for 36,666 shares of Common Stock (the “RSU Grant” and collectively with the Option, the “Equity Awards”), which such RSU Grant shall vest 25% on each of the first, second, third, and fourth anniversaries of the vesting date as set by Company policy, provided your employment with the Company continues through the applicable vesting date.</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Company’s sole discretion, the Equity Awards may be granted pursuant to the inducement grant exception set forth in NASDAQ Listing Rule 5635(c)(4). The Equity Awards shall be governed by the terms and conditions of the Company’s applicable equity incentive plan(s) and the applicable award agreement(s) governing the terms of such equity awards (collectively, the “Equity Documents”); provided, however, and notwithstanding anything to the contrary in the Equity Documents, Section 6(a)(ii) of this Agreement shall apply in the event of a termination by the Company without Cause or by you for Good Reason in either event within the Change in Control Period (as such terms are defined below).</w:t>
      </w:r>
    </w:p>
    <w:p>
      <w:pPr>
        <w:spacing w:after="0" w:line="183" w:lineRule="exact"/>
        <w:rPr>
          <w:sz w:val="20"/>
          <w:szCs w:val="20"/>
          <w:color w:val="auto"/>
        </w:rPr>
      </w:pPr>
    </w:p>
    <w:p>
      <w:pPr>
        <w:ind w:firstLine="987"/>
        <w:spacing w:after="0" w:line="256" w:lineRule="auto"/>
        <w:tabs>
          <w:tab w:leader="none" w:pos="124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Bonus. You shall receive a one-time special signing bonus in an amount equal to $75,000, payable in cash, less all applicable withholdings (the “Signing Bonus”). The Signing Bonus payment shall be made no later than thirty (30) days after the Effective Date. If your employment with the Company terminates due to your resignation without Good Reason or by the Company for Cause, in either case, prior to the one-year anniversary of the Effective Date, you (i) will repay the Signing Bonus to the Company in full by no later than 10 days following the Separation Date; (ii) separately hereby authorize the Company to withhold or deduct the among of the Signing Bonus from any amounts the Company owes you, to the fullest extent permitted by applicable law.</w:t>
      </w:r>
    </w:p>
    <w:p>
      <w:pPr>
        <w:spacing w:after="0" w:line="18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Your employment hereunder may be terminated without any breach of this Agreement under the following circumstances: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Your employment hereunder shall terminate upon your death.</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40"/>
          </w:cols>
          <w:pgMar w:left="440" w:top="270" w:right="619" w:bottom="1440" w:gutter="0" w:footer="0" w:header="0"/>
        </w:sectPr>
      </w:pPr>
    </w:p>
    <w:bookmarkStart w:id="8" w:name="page9"/>
    <w:bookmarkEnd w:id="8"/>
    <w:p>
      <w:pPr>
        <w:ind w:right="40" w:firstLine="987"/>
        <w:spacing w:after="0" w:line="253" w:lineRule="auto"/>
        <w:tabs>
          <w:tab w:leader="none" w:pos="12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Disability</w:t>
      </w:r>
      <w:r>
        <w:rPr>
          <w:rFonts w:ascii="Times New Roman" w:cs="Times New Roman" w:eastAsia="Times New Roman" w:hAnsi="Times New Roman"/>
          <w:sz w:val="18"/>
          <w:szCs w:val="18"/>
          <w:color w:val="auto"/>
        </w:rPr>
        <w:t xml:space="preserve">. The Company may terminate your employment due to your “Disability” if you are unable to perform the essential functions of your then existing position or positions under this Agreement with or without reasonable accommodation for a period of 180 days (which need not be consecutive) in any 12-month period. If any question shall arise as to whether during any period you are disabled so as to be unable to perform the essential functions of your then existing position or positions with or without reasonable accommodation, you may, and at the request of the Company shall, submit to the Company a certification in reasonable detail by a physician selected by the Company who is board certified in the specialty relevant to your medical condition to whom you or your guardian has no reasonable objection as to whether you are disabled or how long such disability is expected to continue, and such certification shall for the purposes of this Agreement be conclusive of the issue. You shall cooperate with any reasonable request of the physician in connection with such certification. If such question shall arise and you shall fail to submit such certification, the Company’s reasonable determination of such issue shall be binding on you. Nothing in this Section 3(b) shall be construed to waive your rights, if any, under existing law including, without limitation, the Family and Medical Leave Act of 1993, 29 U.S.C. §2601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and the Americans with Disabilities Act, 42 U.S.C. §12101 </w:t>
      </w:r>
      <w:r>
        <w:rPr>
          <w:rFonts w:ascii="Times New Roman" w:cs="Times New Roman" w:eastAsia="Times New Roman" w:hAnsi="Times New Roman"/>
          <w:sz w:val="18"/>
          <w:szCs w:val="18"/>
          <w:i w:val="1"/>
          <w:iCs w:val="1"/>
          <w:color w:val="auto"/>
        </w:rPr>
        <w:t>et seq.</w:t>
      </w:r>
    </w:p>
    <w:p>
      <w:pPr>
        <w:spacing w:after="0" w:line="191" w:lineRule="exact"/>
        <w:rPr>
          <w:rFonts w:ascii="Times New Roman" w:cs="Times New Roman" w:eastAsia="Times New Roman" w:hAnsi="Times New Roman"/>
          <w:sz w:val="18"/>
          <w:szCs w:val="18"/>
          <w:color w:val="auto"/>
        </w:rPr>
      </w:pPr>
    </w:p>
    <w:p>
      <w:pPr>
        <w:ind w:right="640" w:firstLine="987"/>
        <w:spacing w:after="0" w:line="282" w:lineRule="auto"/>
        <w:tabs>
          <w:tab w:leader="none" w:pos="12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Company for Cause</w:t>
      </w:r>
      <w:r>
        <w:rPr>
          <w:rFonts w:ascii="Times New Roman" w:cs="Times New Roman" w:eastAsia="Times New Roman" w:hAnsi="Times New Roman"/>
          <w:sz w:val="18"/>
          <w:szCs w:val="18"/>
          <w:color w:val="auto"/>
        </w:rPr>
        <w:t>. The Company may terminate your employment hereunder for Cause. For purposes of this Agreement, “Cause” shall mean any of the following:</w:t>
      </w:r>
    </w:p>
    <w:p>
      <w:pPr>
        <w:spacing w:after="0" w:line="161" w:lineRule="exact"/>
        <w:rPr>
          <w:rFonts w:ascii="Times New Roman" w:cs="Times New Roman" w:eastAsia="Times New Roman" w:hAnsi="Times New Roman"/>
          <w:sz w:val="18"/>
          <w:szCs w:val="18"/>
          <w:color w:val="auto"/>
        </w:rPr>
      </w:pPr>
    </w:p>
    <w:p>
      <w:pPr>
        <w:jc w:val="both"/>
        <w:ind w:firstLine="1428"/>
        <w:spacing w:after="0" w:line="266" w:lineRule="auto"/>
        <w:tabs>
          <w:tab w:leader="none" w:pos="164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by you constituting a material act of intentional misconduct in connection with the performance of your duties, including, without limitation, (A) willful failure or willful refusal to perform material responsibilities that have been lawfully requested by the CEO; (B) intentional dishonesty to the CEO with respect to any material matter;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9" w:name="page10"/>
    <w:bookmarkEnd w:id="9"/>
    <w:p>
      <w:pPr>
        <w:ind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(C) intentional misappropriation of funds or property of the Company or any of its subsidiaries or affiliates other than the occasional, customary and </w:t>
      </w:r>
      <w:r>
        <w:rPr>
          <w:rFonts w:ascii="Times New Roman" w:cs="Times New Roman" w:eastAsia="Times New Roman" w:hAnsi="Times New Roman"/>
          <w:sz w:val="18"/>
          <w:szCs w:val="18"/>
          <w:i w:val="1"/>
          <w:iCs w:val="1"/>
          <w:color w:val="auto"/>
        </w:rPr>
        <w:t xml:space="preserve">de minimis </w:t>
      </w:r>
      <w:r>
        <w:rPr>
          <w:rFonts w:ascii="Times New Roman" w:cs="Times New Roman" w:eastAsia="Times New Roman" w:hAnsi="Times New Roman"/>
          <w:sz w:val="18"/>
          <w:szCs w:val="18"/>
          <w:color w:val="auto"/>
        </w:rPr>
        <w:t>use of Company property for personal purposes;</w:t>
      </w:r>
    </w:p>
    <w:p>
      <w:pPr>
        <w:spacing w:after="0" w:line="162" w:lineRule="exact"/>
        <w:rPr>
          <w:sz w:val="20"/>
          <w:szCs w:val="20"/>
          <w:color w:val="auto"/>
        </w:rPr>
      </w:pPr>
    </w:p>
    <w:p>
      <w:pPr>
        <w:ind w:left="1700" w:hanging="272"/>
        <w:spacing w:after="0"/>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 by you of (A) any felony or (B) a misdemeanor involving moral turpitude, deceit, dishonesty or fraud;</w:t>
      </w:r>
    </w:p>
    <w:p>
      <w:pPr>
        <w:spacing w:after="0" w:line="225" w:lineRule="exact"/>
        <w:rPr>
          <w:rFonts w:ascii="Times New Roman" w:cs="Times New Roman" w:eastAsia="Times New Roman" w:hAnsi="Times New Roman"/>
          <w:sz w:val="18"/>
          <w:szCs w:val="18"/>
          <w:color w:val="auto"/>
        </w:rPr>
      </w:pPr>
    </w:p>
    <w:p>
      <w:pPr>
        <w:ind w:firstLine="1428"/>
        <w:spacing w:after="0" w:line="282" w:lineRule="auto"/>
        <w:tabs>
          <w:tab w:leader="none" w:pos="174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intentional misconduct by you, regardless of whether or not in the course of your employment, that results in material injury or material reputational harm to the Company or any of its subsidiaries or affiliates if you were to continue to be employed in the same position;</w:t>
      </w:r>
    </w:p>
    <w:p>
      <w:pPr>
        <w:spacing w:after="0" w:line="161" w:lineRule="exact"/>
        <w:rPr>
          <w:rFonts w:ascii="Times New Roman" w:cs="Times New Roman" w:eastAsia="Times New Roman" w:hAnsi="Times New Roman"/>
          <w:sz w:val="18"/>
          <w:szCs w:val="18"/>
          <w:color w:val="auto"/>
        </w:rPr>
      </w:pPr>
    </w:p>
    <w:p>
      <w:pPr>
        <w:ind w:right="500" w:firstLine="1428"/>
        <w:spacing w:after="0" w:line="312" w:lineRule="auto"/>
        <w:tabs>
          <w:tab w:leader="none" w:pos="173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your continued willful non-performance by you of your duties hereunder (other than by reason of your physical or mental illness, incapacity or Disability) which has continued for more than 30 days following written notice of such non-performance from the CEO;</w:t>
      </w:r>
    </w:p>
    <w:p>
      <w:pPr>
        <w:spacing w:after="0" w:line="139" w:lineRule="exact"/>
        <w:rPr>
          <w:rFonts w:ascii="Times New Roman" w:cs="Times New Roman" w:eastAsia="Times New Roman" w:hAnsi="Times New Roman"/>
          <w:sz w:val="17"/>
          <w:szCs w:val="17"/>
          <w:color w:val="auto"/>
        </w:rPr>
      </w:pPr>
    </w:p>
    <w:p>
      <w:pPr>
        <w:ind w:right="200" w:firstLine="1428"/>
        <w:spacing w:after="0" w:line="312" w:lineRule="auto"/>
        <w:tabs>
          <w:tab w:leader="none" w:pos="168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breach by you of any of the provisions contained in Section 8 of this Agreement or the Restrictive Covenants Agreement and, if such breach is curable, has continued for more than 30 days following written notice of such material breach (as defined below); or</w:t>
      </w:r>
    </w:p>
    <w:p>
      <w:pPr>
        <w:spacing w:after="0" w:line="139" w:lineRule="exact"/>
        <w:rPr>
          <w:rFonts w:ascii="Times New Roman" w:cs="Times New Roman" w:eastAsia="Times New Roman" w:hAnsi="Times New Roman"/>
          <w:sz w:val="17"/>
          <w:szCs w:val="17"/>
          <w:color w:val="auto"/>
        </w:rPr>
      </w:pPr>
    </w:p>
    <w:p>
      <w:pPr>
        <w:ind w:right="240" w:firstLine="1428"/>
        <w:spacing w:after="0" w:line="261" w:lineRule="auto"/>
        <w:tabs>
          <w:tab w:leader="none" w:pos="173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willful failure to reasonably cooperate with a bona fide internal investigation or an investigation by regulatory or law enforcement authorities, after being reasonably instructed by the Company to cooperate, or the willful destruction or failure to preserve documents or other materials known to be relevant to such investigation or the willful inducement of others to fail to cooperate or to produce documents or other materials in connection with such investigation.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0" w:name="page11"/>
    <w:bookmarkEnd w:id="10"/>
    <w:p>
      <w:pPr>
        <w:ind w:right="120" w:firstLine="987"/>
        <w:spacing w:after="0" w:line="266" w:lineRule="auto"/>
        <w:tabs>
          <w:tab w:leader="none" w:pos="12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 by the Company without Cause</w:t>
      </w:r>
      <w:r>
        <w:rPr>
          <w:rFonts w:ascii="Times New Roman" w:cs="Times New Roman" w:eastAsia="Times New Roman" w:hAnsi="Times New Roman"/>
          <w:sz w:val="18"/>
          <w:szCs w:val="18"/>
          <w:color w:val="auto"/>
        </w:rPr>
        <w:t>. The Company may terminate your employment hereunder at any time without Cause. Any termination by the Company of your employment under this Agreement which does not constitute a termination for Cause under Section 3(c) and does not result from the death or Disability of you under Section 3(a) or (b) shall be deemed a termination without Cause.</w:t>
      </w:r>
    </w:p>
    <w:p>
      <w:pPr>
        <w:spacing w:after="0" w:line="175" w:lineRule="exact"/>
        <w:rPr>
          <w:rFonts w:ascii="Times New Roman" w:cs="Times New Roman" w:eastAsia="Times New Roman" w:hAnsi="Times New Roman"/>
          <w:sz w:val="18"/>
          <w:szCs w:val="18"/>
          <w:color w:val="auto"/>
        </w:rPr>
      </w:pPr>
    </w:p>
    <w:p>
      <w:pPr>
        <w:ind w:right="20" w:firstLine="987"/>
        <w:spacing w:after="0" w:line="266" w:lineRule="auto"/>
        <w:tabs>
          <w:tab w:leader="none" w:pos="12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You</w:t>
      </w:r>
      <w:r>
        <w:rPr>
          <w:rFonts w:ascii="Times New Roman" w:cs="Times New Roman" w:eastAsia="Times New Roman" w:hAnsi="Times New Roman"/>
          <w:sz w:val="18"/>
          <w:szCs w:val="18"/>
          <w:color w:val="auto"/>
        </w:rPr>
        <w:t>. You may terminate employment hereunder at any time for any reason, including but not limited to, Good Reason. For purposes of this Agreement, “Good Reason” shall mean that you have completed all steps of the Good Reason Process (hereinafter defined) following the occurrence of any of the following events without your written consent (each, a “Good Reason Condition”):</w:t>
      </w:r>
    </w:p>
    <w:p>
      <w:pPr>
        <w:spacing w:after="0" w:line="175" w:lineRule="exact"/>
        <w:rPr>
          <w:rFonts w:ascii="Times New Roman" w:cs="Times New Roman" w:eastAsia="Times New Roman" w:hAnsi="Times New Roman"/>
          <w:sz w:val="18"/>
          <w:szCs w:val="18"/>
          <w:color w:val="auto"/>
        </w:rPr>
      </w:pPr>
    </w:p>
    <w:p>
      <w:pPr>
        <w:ind w:left="2020" w:hanging="209"/>
        <w:spacing w:after="0"/>
        <w:tabs>
          <w:tab w:leader="none" w:pos="2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your responsibilities, authority or duties</w:t>
      </w:r>
    </w:p>
    <w:p>
      <w:pPr>
        <w:spacing w:after="0" w:line="225" w:lineRule="exact"/>
        <w:rPr>
          <w:rFonts w:ascii="Times New Roman" w:cs="Times New Roman" w:eastAsia="Times New Roman" w:hAnsi="Times New Roman"/>
          <w:sz w:val="18"/>
          <w:szCs w:val="18"/>
          <w:color w:val="auto"/>
        </w:rPr>
      </w:pPr>
    </w:p>
    <w:p>
      <w:pPr>
        <w:ind w:left="440" w:right="160" w:firstLine="1371"/>
        <w:spacing w:after="0" w:line="282" w:lineRule="auto"/>
        <w:tabs>
          <w:tab w:leader="none" w:pos="20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your Base Salary except for across-the- board salary reductions of no greater than 10% based on the Company’s financial performance similarly affecting all or substantially all senior management employees of the Company;</w:t>
      </w:r>
    </w:p>
    <w:p>
      <w:pPr>
        <w:spacing w:after="0" w:line="161" w:lineRule="exact"/>
        <w:rPr>
          <w:rFonts w:ascii="Times New Roman" w:cs="Times New Roman" w:eastAsia="Times New Roman" w:hAnsi="Times New Roman"/>
          <w:sz w:val="18"/>
          <w:szCs w:val="18"/>
          <w:color w:val="auto"/>
        </w:rPr>
      </w:pPr>
    </w:p>
    <w:p>
      <w:pPr>
        <w:ind w:left="440" w:firstLine="1371"/>
        <w:spacing w:after="0" w:line="282" w:lineRule="auto"/>
        <w:tabs>
          <w:tab w:leader="none" w:pos="213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change of at least thirty (30) miles of the location of the physical Company office to which you report (which to avoid doubt does not include any home office you may have); or</w:t>
      </w:r>
    </w:p>
    <w:p>
      <w:pPr>
        <w:spacing w:after="0" w:line="161" w:lineRule="exact"/>
        <w:rPr>
          <w:rFonts w:ascii="Times New Roman" w:cs="Times New Roman" w:eastAsia="Times New Roman" w:hAnsi="Times New Roman"/>
          <w:sz w:val="18"/>
          <w:szCs w:val="18"/>
          <w:color w:val="auto"/>
        </w:rPr>
      </w:pPr>
    </w:p>
    <w:p>
      <w:pPr>
        <w:ind w:left="2120" w:hanging="309"/>
        <w:spacing w:after="0"/>
        <w:tabs>
          <w:tab w:leader="none" w:pos="21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by the Company of the material terms of this Agreement or any other written agreement between the Company</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you.</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“Good Reason Process” consists of the following steps:</w:t>
      </w:r>
    </w:p>
    <w:p>
      <w:pPr>
        <w:spacing w:after="0" w:line="225" w:lineRule="exact"/>
        <w:rPr>
          <w:sz w:val="20"/>
          <w:szCs w:val="20"/>
          <w:color w:val="auto"/>
        </w:rPr>
      </w:pPr>
    </w:p>
    <w:p>
      <w:pPr>
        <w:ind w:left="2020" w:hanging="209"/>
        <w:spacing w:after="0"/>
        <w:tabs>
          <w:tab w:leader="none" w:pos="2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reasonably determine in good faith that a Good Reason Condition has occurred;</w:t>
      </w:r>
    </w:p>
    <w:p>
      <w:pPr>
        <w:spacing w:after="0" w:line="225" w:lineRule="exact"/>
        <w:rPr>
          <w:rFonts w:ascii="Times New Roman" w:cs="Times New Roman" w:eastAsia="Times New Roman" w:hAnsi="Times New Roman"/>
          <w:sz w:val="18"/>
          <w:szCs w:val="18"/>
          <w:color w:val="auto"/>
        </w:rPr>
      </w:pPr>
    </w:p>
    <w:p>
      <w:pPr>
        <w:ind w:left="440" w:right="580" w:firstLine="1371"/>
        <w:spacing w:after="0" w:line="282" w:lineRule="auto"/>
        <w:tabs>
          <w:tab w:leader="none" w:pos="2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notify the Company in writing of the first occurrence of the Good Reason Condition within 60 days of the first occurrence of such condition;</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440" w:top="270" w:right="519" w:bottom="1440" w:gutter="0" w:footer="0" w:header="0"/>
        </w:sectPr>
      </w:pPr>
    </w:p>
    <w:bookmarkStart w:id="11" w:name="page12"/>
    <w:bookmarkEnd w:id="11"/>
    <w:p>
      <w:pPr>
        <w:ind w:left="440" w:right="260" w:firstLine="1371"/>
        <w:spacing w:after="0" w:line="282" w:lineRule="auto"/>
        <w:tabs>
          <w:tab w:leader="none" w:pos="213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 cooperate in good faith with the Company’s efforts, for a period of not less than 30 days following such notice (the “Cure Period”), to remedy the Good Reason Condition;</w:t>
      </w:r>
    </w:p>
    <w:p>
      <w:pPr>
        <w:spacing w:after="0" w:line="161" w:lineRule="exact"/>
        <w:rPr>
          <w:rFonts w:ascii="Times New Roman" w:cs="Times New Roman" w:eastAsia="Times New Roman" w:hAnsi="Times New Roman"/>
          <w:sz w:val="18"/>
          <w:szCs w:val="18"/>
          <w:color w:val="auto"/>
        </w:rPr>
      </w:pPr>
    </w:p>
    <w:p>
      <w:pPr>
        <w:ind w:left="2120" w:hanging="309"/>
        <w:spacing w:after="0"/>
        <w:tabs>
          <w:tab w:leader="none" w:pos="2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such Cure Period, the Good Reason Condition continues to exist; and</w:t>
      </w:r>
    </w:p>
    <w:p>
      <w:pPr>
        <w:spacing w:after="0" w:line="225" w:lineRule="exact"/>
        <w:rPr>
          <w:rFonts w:ascii="Times New Roman" w:cs="Times New Roman" w:eastAsia="Times New Roman" w:hAnsi="Times New Roman"/>
          <w:sz w:val="18"/>
          <w:szCs w:val="18"/>
          <w:color w:val="auto"/>
        </w:rPr>
      </w:pPr>
    </w:p>
    <w:p>
      <w:pPr>
        <w:ind w:left="2060" w:hanging="249"/>
        <w:spacing w:after="0"/>
        <w:tabs>
          <w:tab w:leader="none" w:pos="2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terminate employment within 60 days after the end of the Cure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Company cures the Good Reason Condition during the Cure Period, Good Reason shall be deemed not to have occurred.</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your employment with the Company is terminated for any reason, the Company shall pay or provide to you (or your authorized representative or estate) (i) any Base Salary earned through the Date of Termination; (ii) unpaid expense reimbursements (subject to, and in accordance with, Section 2(c) of this Agreement); (iii) your accrued but unused vacation days or PTO; (iv) any vested benefits you may have under any employee benefit plan of the Company through the Date of Termination, which vested benefits shall be paid and/or provided in accordance with the terms of such employee benefit plans; and (v) if your employment is terminated by the Company because of your death or Disability, a lump sum payment of any earned, but unpaid Bonus for the fiscal year prior to the fiscal year your employment is terminated because of your death or Disability (collectively, the “Accrued Obligations”). The earned but unpaid Bonus in subsection will be paid at the same time as the Company pays bonuses to similarly situated executives, but in no event later than the end of the taxable year in which the Date of Termination occurs.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70" w:right="499" w:bottom="1440" w:gutter="0" w:footer="0" w:header="0"/>
        </w:sectPr>
      </w:pPr>
    </w:p>
    <w:bookmarkStart w:id="12" w:name="page13"/>
    <w:bookmarkEnd w:id="12"/>
    <w:p>
      <w:pPr>
        <w:ind w:left="624" w:hanging="184"/>
        <w:spacing w:after="0"/>
        <w:tabs>
          <w:tab w:leader="none" w:pos="62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and Date of 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280" w:firstLine="987"/>
        <w:spacing w:after="0" w:line="266" w:lineRule="auto"/>
        <w:tabs>
          <w:tab w:leader="none" w:pos="124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Except for termination as specified in Section 3(a), any termination of your employment by the Company or any such termination by you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175" w:lineRule="exact"/>
        <w:rPr>
          <w:rFonts w:ascii="Times New Roman" w:cs="Times New Roman" w:eastAsia="Times New Roman" w:hAnsi="Times New Roman"/>
          <w:sz w:val="18"/>
          <w:szCs w:val="18"/>
          <w:color w:val="auto"/>
        </w:rPr>
      </w:pPr>
    </w:p>
    <w:p>
      <w:pPr>
        <w:ind w:left="4" w:right="60" w:firstLine="987"/>
        <w:spacing w:after="0" w:line="254" w:lineRule="auto"/>
        <w:tabs>
          <w:tab w:leader="none" w:pos="125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“Date of Termination” shall mean: (i) if your employment is terminated by death, the date of death; (ii) if your employment is terminated on account of Disability under Section 3(b) or by the Company for Cause under Section 3(c), the date on which Notice of Termination is given; (iii) if your employment is terminated by the Company without Cause under Section 3(d), the date on which a Notice of Termination is given or the date otherwise specified by the Company in the Notice of Termination; (iv) if your employment is terminated by you under Section 3(e) other than for Good Reason, 14 days after the date on which a Notice of Termination is given, and (v) if your employment is terminated by you under Section 3(e) for Good Reason, the date on which a Notice of Termination is given after the end of the Cure Period. Notwithstanding the foregoing, in the event that you give a Notice of Termination to the Company, the Company may unilaterally accelerate the Date of Termination and such acceleration shall not result in a termination by the Company for purposes of this Agreement. However, the Company will continue paying you your Base Salary until the original Date of Termination .</w:t>
      </w:r>
    </w:p>
    <w:p>
      <w:pPr>
        <w:spacing w:after="0" w:line="188" w:lineRule="exact"/>
        <w:rPr>
          <w:rFonts w:ascii="Times New Roman" w:cs="Times New Roman" w:eastAsia="Times New Roman" w:hAnsi="Times New Roman"/>
          <w:sz w:val="18"/>
          <w:szCs w:val="18"/>
          <w:color w:val="auto"/>
        </w:rPr>
      </w:pPr>
    </w:p>
    <w:p>
      <w:pPr>
        <w:ind w:left="4" w:firstLine="436"/>
        <w:spacing w:after="0" w:line="272" w:lineRule="auto"/>
        <w:tabs>
          <w:tab w:leader="none" w:pos="624"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Severance Pay and Benefits Upon Termination by the Company without Cause or by You for Good Reason Outside the Change in Control Period</w:t>
      </w:r>
      <w:r>
        <w:rPr>
          <w:rFonts w:ascii="Times New Roman" w:cs="Times New Roman" w:eastAsia="Times New Roman" w:hAnsi="Times New Roman"/>
          <w:sz w:val="17"/>
          <w:szCs w:val="17"/>
          <w:color w:val="auto"/>
        </w:rPr>
        <w:t>. If your employment is terminated by the Company without Cause as provided in Section 3(d), or you terminate employment for Good Reason as provided in Section 3(e), each outside of the Change in Control Period (as defined below), then, in addition to the Accrued Obligations, and subject to</w:t>
      </w:r>
    </w:p>
    <w:p>
      <w:pPr>
        <w:spacing w:after="0" w:line="1" w:lineRule="exact"/>
        <w:rPr>
          <w:rFonts w:ascii="Times New Roman" w:cs="Times New Roman" w:eastAsia="Times New Roman" w:hAnsi="Times New Roman"/>
          <w:sz w:val="17"/>
          <w:szCs w:val="17"/>
          <w:color w:val="auto"/>
        </w:rPr>
      </w:pPr>
    </w:p>
    <w:p>
      <w:pPr>
        <w:ind w:left="224" w:hanging="224"/>
        <w:spacing w:after="0"/>
        <w:tabs>
          <w:tab w:leader="none" w:pos="2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signing a separation agreement and release in a form and manner reasonably satisfactory to the</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70" w:right="479" w:bottom="1440" w:gutter="0" w:footer="0" w:header="0"/>
        </w:sectPr>
      </w:pPr>
    </w:p>
    <w:bookmarkStart w:id="13" w:name="page14"/>
    <w:bookmarkEnd w:id="13"/>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which shall include, without limitation, a general release of claims against the Company and all related persons and entities, a reaffirmation of all of your Continuing Obligations (as defined below</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shall provide that if you materially breach any of the Continuing Obligations, and if such breach is curable, which has continued for more than 30 days following written notice of such breach, all payments of the Severance Amount shall immediately cease (the “Separation Agreement and Release”), and (ii) the Separation Agreement and Release becoming irrevocable, all within 60 days after the Date of Termination (or such shorter period as set forth in the Separation Agreement and Release), which shall include a seven (7) business day revocation period:</w:t>
      </w:r>
    </w:p>
    <w:p>
      <w:pPr>
        <w:spacing w:after="0" w:line="187" w:lineRule="exact"/>
        <w:rPr>
          <w:sz w:val="20"/>
          <w:szCs w:val="20"/>
          <w:color w:val="auto"/>
        </w:rPr>
      </w:pPr>
    </w:p>
    <w:p>
      <w:pPr>
        <w:ind w:right="140" w:firstLine="987"/>
        <w:spacing w:after="0" w:line="261" w:lineRule="auto"/>
        <w:tabs>
          <w:tab w:leader="none" w:pos="12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you an amount equal to nine (9) months of your Base Salary (the “Severance Amount”); provided in the event you are entitled to any payments pursuant to the Restrictive Covenants Agreement, as a condition of such receipt of the Severance Amount, you shall acknowledge and agree in the Separation Agreement and Release that such Severance Amount will be in lieu of any garden leave pay under the Restrictive Covenants Agreement;</w:t>
      </w:r>
    </w:p>
    <w:p>
      <w:pPr>
        <w:spacing w:after="0" w:line="179" w:lineRule="exact"/>
        <w:rPr>
          <w:rFonts w:ascii="Times New Roman" w:cs="Times New Roman" w:eastAsia="Times New Roman" w:hAnsi="Times New Roman"/>
          <w:sz w:val="18"/>
          <w:szCs w:val="18"/>
          <w:color w:val="auto"/>
        </w:rPr>
      </w:pPr>
    </w:p>
    <w:p>
      <w:pPr>
        <w:ind w:right="140" w:firstLine="987"/>
        <w:spacing w:after="0" w:line="266" w:lineRule="auto"/>
        <w:tabs>
          <w:tab w:leader="none" w:pos="12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you, if applicable, a lump sum payment of any earned, but unpaid Bonus (as determined by the Board in its discretion) for the fiscal year prior to the fiscal year of your Date of Termination, to be paid (if at all) at the same time as the Company pays bonuses to similarly situated executives, but in no event later than the end of the taxable year in which the Date of Termination occurs; and</w:t>
      </w:r>
    </w:p>
    <w:p>
      <w:pPr>
        <w:spacing w:after="0" w:line="175"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your copayment of premium amounts at the applicable active employees’ rate and your proper election to receive benefits under the Consolidated Omnibus Budget Reconciliation Act of 1985, as amended (“COBRA”), the Company shall pay to the group health plan provider, the COBRA provider or you a monthly payment equal to the monthly employer contribution that the Company would have made to provide health insurance to you if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4" w:name="page15"/>
    <w:bookmarkEnd w:id="14"/>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 had remained employed by the Company until the earliest of (A) the nine (9) month anniversary of the Date of Termination; (B) your eligibility for group medical plan benefits under any other employer’s group medical plan; or (C) the cessation of your continuation rights under COBRA; provided, however,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shall be subject to tax-related deductions and withholdings and paid on the Company’s regular payroll dates.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amounts payable under Sections 5(a) and (c), to the extent taxable, shall be paid out in substantially equal installments in accordance with the Company’s payroll practice over nine (9) months commencing within 60 days after the Date of Termination; provided, however, that if the 60-day period begins in one calendar year and ends in a second calendar year, the Severance Amount, to the extent it qualifies as “non-qualified deferred compensation” within the meaning of Section 409A of the Internal Revenue Code of 1986, as amended (the “Code”),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1.409A- 2(b)(2).</w:t>
      </w:r>
    </w:p>
    <w:p>
      <w:pPr>
        <w:spacing w:after="0" w:line="189" w:lineRule="exact"/>
        <w:rPr>
          <w:sz w:val="20"/>
          <w:szCs w:val="20"/>
          <w:color w:val="auto"/>
        </w:rPr>
      </w:pPr>
    </w:p>
    <w:p>
      <w:pPr>
        <w:ind w:right="100" w:firstLine="436"/>
        <w:spacing w:after="0" w:line="261" w:lineRule="auto"/>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 and Benefits Upon Termination by the Company without Cause or by You for Good Reason within the Change in Control Period</w:t>
      </w:r>
      <w:r>
        <w:rPr>
          <w:rFonts w:ascii="Times New Roman" w:cs="Times New Roman" w:eastAsia="Times New Roman" w:hAnsi="Times New Roman"/>
          <w:sz w:val="18"/>
          <w:szCs w:val="18"/>
          <w:color w:val="auto"/>
        </w:rPr>
        <w:t>. The provisions of this Section 6 shall apply in lieu of, and expressly supersede, the provisions of Section 5 if (i) your employment is terminated either (a) by the Company without Cause as provided in Section 3(d), or (b) by you for Good Reason as provided in Section 3(e), and (ii) the Date of Termination is within 3 months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15" w:name="page16"/>
    <w:bookmarkEnd w:id="15"/>
    <w:p>
      <w:pPr>
        <w:ind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prior to, or within 12 months after, the occurrence of the first event constituting a Change in Control (as defined below) (such period, the “Change in Control Period”). These provisions of Section 6 shall terminate and be of no further force or effect after a Change in Control Period.</w:t>
      </w:r>
    </w:p>
    <w:p>
      <w:pPr>
        <w:spacing w:after="0" w:line="162" w:lineRule="exact"/>
        <w:rPr>
          <w:sz w:val="20"/>
          <w:szCs w:val="20"/>
          <w:color w:val="auto"/>
        </w:rPr>
      </w:pPr>
    </w:p>
    <w:p>
      <w:pPr>
        <w:ind w:right="40" w:firstLine="987"/>
        <w:spacing w:after="0" w:line="258" w:lineRule="auto"/>
        <w:tabs>
          <w:tab w:leader="none" w:pos="12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employment is terminated by the Company without Cause as provided in Section 3(d) or you terminate employment for Good Reason as provided in Section 3(e) and in either case the Date of Termination occurs during the Change in Control Period, then, in addition to the Accrued Obligations, and subject to the signing of the Separation Agreement and Release by you and the Separation Agreement and Release becoming fully effective, all within the time frame set forth in the Separation Agreement and Release but in no event more than 60 days after the Date of Termination:</w:t>
      </w:r>
    </w:p>
    <w:p>
      <w:pPr>
        <w:spacing w:after="0" w:line="183" w:lineRule="exact"/>
        <w:rPr>
          <w:rFonts w:ascii="Times New Roman" w:cs="Times New Roman" w:eastAsia="Times New Roman" w:hAnsi="Times New Roman"/>
          <w:sz w:val="18"/>
          <w:szCs w:val="18"/>
          <w:color w:val="auto"/>
        </w:rPr>
      </w:pPr>
    </w:p>
    <w:p>
      <w:pPr>
        <w:ind w:left="440" w:firstLine="1371"/>
        <w:spacing w:after="0" w:line="256" w:lineRule="auto"/>
        <w:tabs>
          <w:tab w:leader="none" w:pos="203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you a lump sum in cash in an amount equal to the sum of (A) twelve (12) months of your then current Base Salary (or your Base Salary in effect immediately prior to the Change in Control, if higher), (B) your Target Bonus for the then-current fiscal year; and (C) any earned, but unpaid Bonus for the fiscal year prior to the fiscal year of your Date of Termination, (the “Change in Control Payment”) provided that, if applicable and as a condition of such receipt of the Change in Control Payment, you shall acknowledge and agree in the Separation Agreement and Release that such Change in Control Payment will be in lieu of any garden leave pay under the Restrictive Covenants Agreement; and</w:t>
      </w:r>
    </w:p>
    <w:p>
      <w:pPr>
        <w:spacing w:after="0" w:line="187" w:lineRule="exact"/>
        <w:rPr>
          <w:rFonts w:ascii="Times New Roman" w:cs="Times New Roman" w:eastAsia="Times New Roman" w:hAnsi="Times New Roman"/>
          <w:sz w:val="18"/>
          <w:szCs w:val="18"/>
          <w:color w:val="auto"/>
        </w:rPr>
      </w:pPr>
    </w:p>
    <w:p>
      <w:pPr>
        <w:ind w:left="440" w:right="20" w:firstLine="1371"/>
        <w:spacing w:after="0" w:line="261" w:lineRule="auto"/>
        <w:tabs>
          <w:tab w:leader="none" w:pos="20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any applicable option agreement or other stock-based award agreement, all time-based stock options and other stock-based awards subject to time-based vesting held by you (the “Time-Based Equity Awards”) shall immediately accelerate and become fully exercisable or nonforfeitable as of the later of (i) the Date of Termination or (ii) the effective date of the Separation Agreement and Release (the “Accelerated Vesting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termination</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20"/>
          </w:cols>
          <w:pgMar w:left="440" w:top="270" w:right="539" w:bottom="1440" w:gutter="0" w:footer="0" w:header="0"/>
        </w:sectPr>
      </w:pPr>
    </w:p>
    <w:bookmarkStart w:id="16" w:name="page17"/>
    <w:bookmarkEnd w:id="16"/>
    <w:p>
      <w:pPr>
        <w:ind w:left="440"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forfeiture of the unvested portion of such Time-Based Equity Awards that would otherwise occur on the Date of Termination in the absence of this Agreement will be delayed until the effective date of the Separation Agreement and Release and will only occur if the vesting pursuant to this subsection does not occur due to the absence of the Separation Agreement and Release becoming fully effective within the time period set forth therein. Notwithstanding the foregoing, no additional vesting of the Time-Based Equity Awards shall occur during the period between your Date of Termination and the Accelerated Vesting Date; and</w:t>
      </w:r>
    </w:p>
    <w:p>
      <w:pPr>
        <w:spacing w:after="0" w:line="183" w:lineRule="exact"/>
        <w:rPr>
          <w:sz w:val="20"/>
          <w:szCs w:val="20"/>
          <w:color w:val="auto"/>
        </w:rPr>
      </w:pPr>
    </w:p>
    <w:p>
      <w:pPr>
        <w:ind w:left="440" w:firstLine="1371"/>
        <w:spacing w:after="0" w:line="254" w:lineRule="auto"/>
        <w:tabs>
          <w:tab w:leader="none" w:pos="213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your copayment of premium amounts at the applicable active employees’ rate and your proper election to receive benefits under COBRA, the Company shall pay to the group health plan provider, the COBRA provider or you a monthly payment equal to the monthly employer contribution that the Company would have made to provide health insurance to you if you had remained employed by the Company until the earliest of (A) the 12-month anniversary of the Date of Termination; (B) your eligibility for group medical plan benefits under any other employer’s group medical plan; or (C) the cessation of your continuation rights under COBRA; provided, however,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shall be subject to tax-related deductions and withholdings and paid on the Company’s regular payroll dates.</w:t>
      </w:r>
    </w:p>
    <w:p>
      <w:pPr>
        <w:spacing w:after="0" w:line="18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amounts payable under this Section 6(a) (other than 6(a)(i)(C)), to the extent taxable, shall be paid or commence to be paid within 60 days after the Date of Termination; provided, however, that if the 60-day period begins in one calendar year and ends in a second calendar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year, such payments to the extent they qualify as “non-qualified deferred compensation” within the meaning of Section 409A of the Code, shall be paid or commence to be paid in the second calendar year by the last day of such 60-day period. The amount payable under Section 6(a)(i)(C) shall be paid at the same time as the Company pays bonuses to similarly situated executives, but in no event later than the end of the taxable year in which the Date of Termination occurs.</w:t>
      </w:r>
    </w:p>
    <w:p>
      <w:pPr>
        <w:spacing w:after="0" w:line="180" w:lineRule="exact"/>
        <w:rPr>
          <w:sz w:val="20"/>
          <w:szCs w:val="20"/>
          <w:color w:val="auto"/>
        </w:rPr>
      </w:pPr>
    </w:p>
    <w:p>
      <w:pPr>
        <w:ind w:left="1240" w:hanging="253"/>
        <w:spacing w:after="0"/>
        <w:tabs>
          <w:tab w:leader="none" w:pos="12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Limitation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40" w:firstLine="1371"/>
        <w:spacing w:after="0" w:line="267" w:lineRule="auto"/>
        <w:tabs>
          <w:tab w:leader="none" w:pos="2030" w:val="left"/>
        </w:tabs>
        <w:numPr>
          <w:ilvl w:val="2"/>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Anything in this Agreement to the contrary notwithstanding, in the event that the amount of any compensation, payment or distribution by the Company to or for the benefit of you, whether paid or payable or distributed or distributable pursuant to the terms of this Agreement or otherwise, calculated in a manner consistent with Section 280G of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you became the subject to the excise tax imposed by Section 4999 of the Code; provided that such reduction shall only occur if it would result in you receiving a higher After Tax Amount (as defined below) than you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w:t>
      </w:r>
    </w:p>
    <w:p>
      <w:pPr>
        <w:spacing w:after="0" w:line="3"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forms of benefits; provided that in the case of all the foregoing Aggregate Payments all amounts or payments that are not</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00"/>
          </w:cols>
          <w:pgMar w:left="440" w:top="270" w:right="559" w:bottom="1440" w:gutter="0" w:footer="0" w:header="0"/>
        </w:sectPr>
      </w:pPr>
    </w:p>
    <w:bookmarkStart w:id="18" w:name="page19"/>
    <w:bookmarkEnd w:id="18"/>
    <w:p>
      <w:pPr>
        <w:ind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calculation under Treas. Reg. §1.280G-1, Q&amp;A-24(b) or (c) shall be reduced before any amounts that are subject to calculation under Treas. Reg. §1.280G-1, Q&amp;A-24(b) or (c).</w:t>
      </w:r>
    </w:p>
    <w:p>
      <w:pPr>
        <w:spacing w:after="0" w:line="162" w:lineRule="exact"/>
        <w:rPr>
          <w:sz w:val="20"/>
          <w:szCs w:val="20"/>
          <w:color w:val="auto"/>
        </w:rPr>
      </w:pPr>
    </w:p>
    <w:p>
      <w:pPr>
        <w:ind w:right="60" w:firstLine="1371"/>
        <w:spacing w:after="0" w:line="256" w:lineRule="auto"/>
        <w:tabs>
          <w:tab w:leader="none" w:pos="1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6(b), the “After Tax Amount” means the amount of the Aggregate Payments less all federal, state, and local income, excise and employment taxes imposed on you as a result of your receipt of the Aggregate Payments. For purposes of determining the After Tax Amount, you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87" w:lineRule="exact"/>
        <w:rPr>
          <w:rFonts w:ascii="Times New Roman" w:cs="Times New Roman" w:eastAsia="Times New Roman" w:hAnsi="Times New Roman"/>
          <w:sz w:val="18"/>
          <w:szCs w:val="18"/>
          <w:color w:val="auto"/>
        </w:rPr>
      </w:pPr>
    </w:p>
    <w:p>
      <w:pPr>
        <w:ind w:firstLine="1371"/>
        <w:spacing w:after="0" w:line="261" w:lineRule="auto"/>
        <w:tabs>
          <w:tab w:leader="none" w:pos="169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as to whether a reduction in the Aggregate Payments shall be made pursuant to Section 6(b)(i) shall be made by a nationally recognized accounting firm selected by the Company (the “Accounting Firm”), which shall provide detailed supporting calculations both to the Company and you within 15 business days of the Date of Termination, if applicable, or at such earlier time as is reasonably requested by the Company or you. Any determination by the Accounting Firm shall be binding upon the Company and you.</w:t>
      </w:r>
    </w:p>
    <w:p>
      <w:pPr>
        <w:spacing w:after="0" w:line="179" w:lineRule="exact"/>
        <w:rPr>
          <w:rFonts w:ascii="Times New Roman" w:cs="Times New Roman" w:eastAsia="Times New Roman" w:hAnsi="Times New Roman"/>
          <w:sz w:val="18"/>
          <w:szCs w:val="18"/>
          <w:color w:val="auto"/>
        </w:rPr>
      </w:pPr>
    </w:p>
    <w:p>
      <w:pPr>
        <w:ind w:right="220" w:firstLine="1371"/>
        <w:spacing w:after="0" w:line="261" w:lineRule="auto"/>
        <w:tabs>
          <w:tab w:leader="none" w:pos="167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the purposes of this Section 6, a “Change in Control” shall be deemed to have occurred upon the occurrence of any one of the following events: (a) the sale or transfer of all or substantially all of the assets of the Company (i.e., &gt;50% of the value) on a consolidated basis to one or more unrelated persons or entities, (b) a merger, reorganization or consolidation pursuant to which the holders of the Company’s outstanding voting power and outstanding stock immediately</w:t>
      </w:r>
    </w:p>
    <w:p>
      <w:pPr>
        <w:spacing w:after="0" w:line="11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440"/>
          </w:cols>
          <w:pgMar w:left="880" w:top="270" w:right="579" w:bottom="1440" w:gutter="0" w:footer="0" w:header="0"/>
        </w:sectPr>
      </w:pPr>
    </w:p>
    <w:bookmarkStart w:id="19" w:name="page20"/>
    <w:bookmarkEnd w:id="19"/>
    <w:p>
      <w:pPr>
        <w:ind w:left="3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prior to such transaction do not own a majority of the outstanding voting power or fair market value of the stock or other equity interests of the resulting or successor entity (or its ultimate parent, if applicable) immediately upon completion of such transaction, (c) the sale of all or substantially all of the stock of the Company to an unrelated person, entity or group thereof acting in concert, (d)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or (e) the date a majority of the members of the Board is replaced during any 12-month period by directors whose appointment or election is not endorsed by a majority of the members of the Board before the date of the appointment or election provided that with respect to any of the clauses (a) through (e) any capital raising transaction of the Company (including the Company’s IPO) shall not be treated as a “Change in Control.” Notwithstanding any other provision of this Agreement (other than the foregoing proviso), “Change in Control” shall be interpreted, administered and applied in a manner consistent and in compliance with a “change in control event” as set forth in Treasury Regulation Section 1.409A-3(i)(5) (“Change in Control Event”).</w:t>
      </w:r>
    </w:p>
    <w:p>
      <w:pPr>
        <w:spacing w:after="0" w:line="192" w:lineRule="exact"/>
        <w:rPr>
          <w:sz w:val="20"/>
          <w:szCs w:val="20"/>
          <w:color w:val="auto"/>
        </w:rPr>
      </w:pPr>
    </w:p>
    <w:p>
      <w:pPr>
        <w:ind w:left="540" w:hanging="184"/>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0" w:right="140" w:firstLine="987"/>
        <w:spacing w:after="0" w:line="261" w:lineRule="auto"/>
        <w:tabs>
          <w:tab w:leader="none" w:pos="115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if at the time of your separation from service within the meaning of Section 409A of the Code, the Company determines that you are a “specified employee” within the meaning of Section 409A(a)(2)(B)(i) of the Code, then to the extent any payment or benefit that you become entitled to under this Agreement or otherwise on account of your separation from service would be considered deferred compensation otherwise subject to the 20 percent additional tax imposed pursuant to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840"/>
          </w:cols>
          <w:pgMar w:left="520" w:top="270" w:right="539" w:bottom="1440" w:gutter="0" w:footer="0" w:header="0"/>
        </w:sectPr>
      </w:pPr>
    </w:p>
    <w:bookmarkStart w:id="20" w:name="page21"/>
    <w:bookmarkEnd w:id="20"/>
    <w:p>
      <w:pPr>
        <w:ind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409A(a) of the Code as a result of the application of Section 409A(a)(2)(B)(i) of the Code, such payment shall not be payable and such benefit shall not be provided until the date that is the earlier of (A) six months and one day after your separation from service, or (B) your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83" w:lineRule="exact"/>
        <w:rPr>
          <w:sz w:val="20"/>
          <w:szCs w:val="20"/>
          <w:color w:val="auto"/>
        </w:rPr>
      </w:pPr>
    </w:p>
    <w:p>
      <w:pPr>
        <w:ind w:firstLine="987"/>
        <w:spacing w:after="0" w:line="256" w:lineRule="auto"/>
        <w:tabs>
          <w:tab w:leader="none" w:pos="12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in-kind benefits provided and expenses eligible for reimbursement under this Agreement shall be provided by the Company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87"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payment or benefit described in this Agreement constitutes “non-qualified deferred compensation” under Section 409A of the Code, and to the extent that such payment or benefit is payable upon your termination of employment, then such payments or benefits shall be payable only upon your “separation from service.” The determination of whether and when a separation from service has occurred shall be made in accordance with the presumptions set forth in Treasury Regulation Section 1.409A-1(h).</w:t>
      </w:r>
    </w:p>
    <w:p>
      <w:pPr>
        <w:spacing w:after="0" w:line="179" w:lineRule="exact"/>
        <w:rPr>
          <w:rFonts w:ascii="Times New Roman" w:cs="Times New Roman" w:eastAsia="Times New Roman" w:hAnsi="Times New Roman"/>
          <w:sz w:val="18"/>
          <w:szCs w:val="18"/>
          <w:color w:val="auto"/>
        </w:rPr>
      </w:pPr>
    </w:p>
    <w:p>
      <w:pPr>
        <w:ind w:right="520" w:firstLine="987"/>
        <w:spacing w:after="0" w:line="282" w:lineRule="auto"/>
        <w:tabs>
          <w:tab w:leader="none" w:pos="12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1" w:name="page22"/>
    <w:bookmarkEnd w:id="21"/>
    <w:p>
      <w:pPr>
        <w:ind w:right="2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 that all payments hereunder comply with Section 409A of the Code. Each payment pursuant to this Agreement or the Restrictive Covenants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80" w:lineRule="exact"/>
        <w:rPr>
          <w:sz w:val="20"/>
          <w:szCs w:val="20"/>
          <w:color w:val="auto"/>
        </w:rPr>
      </w:pPr>
    </w:p>
    <w:p>
      <w:pPr>
        <w:ind w:right="480" w:firstLine="987"/>
        <w:spacing w:after="0" w:line="266" w:lineRule="auto"/>
        <w:tabs>
          <w:tab w:leader="none" w:pos="123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makes no representation or warranty and shall have no liability to you or any other person if any provisions of this Agreement are determined to constitute deferred compensation subject to Section 409A of the Code but do not satisfy an exemption from, or the conditions of, such Section.</w:t>
      </w:r>
    </w:p>
    <w:p>
      <w:pPr>
        <w:spacing w:after="0" w:line="1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As a condition of the commencement of your employment, you are required to enter into the Employee Confidentiality, Assignment, Nonsolicitation and Noncompetition Agreement (the “</w:t>
      </w:r>
      <w:r>
        <w:rPr>
          <w:rFonts w:ascii="Times New Roman" w:cs="Times New Roman" w:eastAsia="Times New Roman" w:hAnsi="Times New Roman"/>
          <w:sz w:val="17"/>
          <w:szCs w:val="17"/>
          <w:u w:val="single" w:color="auto"/>
          <w:color w:val="auto"/>
        </w:rPr>
        <w:t>Restrictive Covenants Agreement</w:t>
      </w:r>
      <w:r>
        <w:rPr>
          <w:rFonts w:ascii="Times New Roman" w:cs="Times New Roman" w:eastAsia="Times New Roman" w:hAnsi="Times New Roman"/>
          <w:sz w:val="17"/>
          <w:szCs w:val="17"/>
          <w:color w:val="auto"/>
        </w:rPr>
        <w:t>”) attached hereto. You agree without reservation that these restraints are necessary for the reasonable and proper protection of the Company and its affiliates, and that each and every one of the restraints is reasonable in respect to subject matter, length of time and geographic area. You agree that the Company has advised you that you have the right to consult with counsel prior to signing the Restrictive Covenants Agreement and this Agreement; and that notice of this Agreement and the Restrictive Covenants Agreement was provided to you at least 10 business days before the first day of your employment with the Company. For purposes of this Agreement, the obligations in this Section 8 and those that arise in the Restrictive Covenants Agreement shall collectively be referred to as the “Continuing Obligations.”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2" w:name="page23"/>
    <w:bookmarkEnd w:id="22"/>
    <w:p>
      <w:pPr>
        <w:ind w:left="4" w:right="240" w:firstLine="987"/>
        <w:spacing w:after="0" w:line="255" w:lineRule="auto"/>
        <w:tabs>
          <w:tab w:leader="none" w:pos="125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Third-Party Agreements and Rights</w:t>
      </w:r>
      <w:r>
        <w:rPr>
          <w:rFonts w:ascii="Times New Roman" w:cs="Times New Roman" w:eastAsia="Times New Roman" w:hAnsi="Times New Roman"/>
          <w:sz w:val="18"/>
          <w:szCs w:val="18"/>
          <w:color w:val="auto"/>
        </w:rPr>
        <w:t>. You hereby confirm that you are not bound by the terms of any agreement with any previous employer or other party which restricts in any way your use or disclosure of information, other than confidentiality restrictions (if any), or your engagement in any business. You represent to the Company that your execution of this Agreement, your employment with the Company and the performance of your proposed duties for the Company will not violate any obligations you may have to any such previous employer or other party. In your work for the Company, you will not disclose or make use of any information in violation of any agreements with or rights of any such previous employer or other party, and you will not bring to the premises of the Company any copies or other tangible embodiments of non-public information belonging to or obtained from any such previous employment or other party.</w:t>
      </w:r>
    </w:p>
    <w:p>
      <w:pPr>
        <w:spacing w:after="0" w:line="188"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 and Regulatory Cooperation</w:t>
      </w:r>
      <w:r>
        <w:rPr>
          <w:rFonts w:ascii="Times New Roman" w:cs="Times New Roman" w:eastAsia="Times New Roman" w:hAnsi="Times New Roman"/>
          <w:sz w:val="18"/>
          <w:szCs w:val="18"/>
          <w:color w:val="auto"/>
        </w:rPr>
        <w:t>. During and after your employment, you shall reasonably cooperate fully with the Company in</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1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defense or prosecution of any claims or actions now in existence or which may be brought in the future against or on behalf of the Company which relate to events or occurrences that transpired while you were employed by the Company, and (ii) the investigation, whether internal or external, of any matters about which the Company believes you may have knowledge or information. Your full reasonable cooperation in connection with such claims, actions or investigations shall include, but not be limited to, being available to meet with counsel to answer questions or to prepare for discovery or trial and to act as a witness on behalf of the Company at mutually convenient times. During and after your employment, you also shall reasonably cooperate fully with the Company in connection with any investigation or review of any federal, state or local regulatory authority as any such investigation or review relates to events or occurrences that transpired while you were employed by the Company. The Company shall reimburse you for any reasonable out-of-pocket expenses incurred in connection with your performance of</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23" w:name="page24"/>
    <w:bookmarkEnd w:id="23"/>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obligations pursuant to this Section 8(c). The Company agrees that if you have provided fifteen (15) hours of cooperation to the Company after your Date of Termination, the Company shall pay you an hourly rate of $400 for any additional hours of cooperation, over the initial fifteen (15) hours, except for your testimony pursuant to a lawfully issued summons or subpoena. The Company further agrees that it will pay/reimburse your reasonable out-of-pocket expenses and fees within thirty (30) days of your submission of receipts and invoices to the Company.</w:t>
      </w:r>
    </w:p>
    <w:p>
      <w:pPr>
        <w:spacing w:after="0" w:line="180" w:lineRule="exact"/>
        <w:rPr>
          <w:sz w:val="20"/>
          <w:szCs w:val="20"/>
          <w:color w:val="auto"/>
        </w:rPr>
      </w:pPr>
    </w:p>
    <w:p>
      <w:pPr>
        <w:ind w:right="40" w:firstLine="987"/>
        <w:spacing w:after="0" w:line="258" w:lineRule="auto"/>
        <w:tabs>
          <w:tab w:leader="none" w:pos="124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Relief</w:t>
      </w:r>
      <w:r>
        <w:rPr>
          <w:rFonts w:ascii="Times New Roman" w:cs="Times New Roman" w:eastAsia="Times New Roman" w:hAnsi="Times New Roman"/>
          <w:sz w:val="18"/>
          <w:szCs w:val="18"/>
          <w:color w:val="auto"/>
        </w:rPr>
        <w:t>. You agree that it may be difficult to measure any damages caused to the Company which might result from any breach by you of the Continuing Obligations, and that in any event money damages may be an inadequate remedy for any such breach. Accordingly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you agree that if you breach, or propose to breach, any portion of the Continuing Obligations, the Company shall be entitled, in addition to all other remedies that it may have, to seek an injunction or other appropriate equitable relief to restrain any such breach without showing or proving any actual damage to the Company.</w:t>
      </w:r>
    </w:p>
    <w:p>
      <w:pPr>
        <w:spacing w:after="0" w:line="183"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Protected Activities</w:t>
      </w:r>
      <w:r>
        <w:rPr>
          <w:rFonts w:ascii="Times New Roman" w:cs="Times New Roman" w:eastAsia="Times New Roman" w:hAnsi="Times New Roman"/>
          <w:sz w:val="18"/>
          <w:szCs w:val="18"/>
          <w:color w:val="auto"/>
        </w:rPr>
        <w:t>. Nothing contained in this Agreement, any other agreement with the Company, or any Company policy limits your ability, with or without notice to the Company, to: (i) file a charge or complaint with any federal, state or local governmental agency or commission (a “Government Agency”), including without limitation, the Equal Employment Opportunity Commission, the National Labor Relations Board or the Securities and Exchange Commission; (ii) communicate with any Government Agency or otherwise participate in any investigation or proceeding that may be conducted by any Government Agency, including by providing non-privileged documents or information; (iii) exercise any rights under Section 7 of the National Labor Relations Act, which are available to non-supervisory employees, including assisting co-workers with or discussing any employment issue as part of engaging in concerted activities for the purpose of mutual aid or protection; (iv) discuss or disclose information about unlawful acts in the workplace, such as</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40"/>
          </w:cols>
          <w:pgMar w:left="440" w:top="270" w:right="519" w:bottom="1440" w:gutter="0" w:footer="0" w:header="0"/>
        </w:sectPr>
      </w:pPr>
    </w:p>
    <w:bookmarkStart w:id="24" w:name="page25"/>
    <w:bookmarkEnd w:id="24"/>
    <w:p>
      <w:pPr>
        <w:ind w:right="1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harassment or discrimination or any other conduct that you have reason to believe is unlawful; or (v) testify truthfully in a legal proceeding. Any such communications and disclosures must not violate applicable law and the information disclosed must not have been obtained through a communication that was subject to the attorney-client privilege (unless disclosure of that information would otherwise be permitted consistent with such privilege or applicable law). In addition, for the avoidance of doubt, pursuant to the federal Defend Trade Secrets Act of 2016, you shall not be held criminally or civilly liable under any federal or state trade secret law or under this Agreement or the Restrictive Covenants Agreement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192" w:lineRule="exact"/>
        <w:rPr>
          <w:sz w:val="20"/>
          <w:szCs w:val="20"/>
          <w:color w:val="auto"/>
        </w:rPr>
      </w:pPr>
    </w:p>
    <w:p>
      <w:pPr>
        <w:ind w:left="620" w:hanging="184"/>
        <w:spacing w:after="0"/>
        <w:tabs>
          <w:tab w:leader="none" w:pos="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of Disputes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Generally</w:t>
      </w:r>
      <w:r>
        <w:rPr>
          <w:rFonts w:ascii="Times New Roman" w:cs="Times New Roman" w:eastAsia="Times New Roman" w:hAnsi="Times New Roman"/>
          <w:sz w:val="18"/>
          <w:szCs w:val="18"/>
          <w:color w:val="auto"/>
        </w:rPr>
        <w:t>. Any controversy or claim arising out of or relating to this Agreement or the breach thereof or otherwise arising out of your employment or the termination of that employment (including, without limitation, any claims of unlawful employment discrimination or retaliation, whether based on race, religion, national origin, sex, gender, age, disability, sexual orientation, or any other protected class under applicable law, including without limitation Massachusetts General Laws Chapter 151B) shall, to the fullest extent permitted by law, be settled by arbitration in any forum and form agreed upon by the parties or, in the absence of such an agreement, under the auspices of JAMS in Boston, Massachusetts in accordance with the JAMS Employment Arbitration Rules, including, but not limited to, the rules and procedures applicable to the selection of arbitrators. You understand that you may only bring such claims in your individual capacity, and not as a plaintiff or class member in any purported class proceeding or any purported representative proceeding. You</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25" w:name="page26"/>
    <w:bookmarkEnd w:id="25"/>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further understand that, by signing this Agreement, the Company and you are giving up any right they may have to a jury trial on all claims they may have against each other. Judgment upon the award rendered by the arbitrator may be entered in any court having jurisdiction thereof. This Section 9 shall be specifically enforceable. Notwithstanding the foregoing, this Section 9 shall not preclude either party from pursuing a court action for the sole purpose of obtaining a temporary restraining order or a preliminary injunction in circumstances in which such relief is appropriate, including without limitation relief sought under the Restrictive Covenants Agreement; provided that any other relief shall be pursued through an arbitration proceeding pursuant to this Section 9.</w:t>
      </w:r>
    </w:p>
    <w:p>
      <w:pPr>
        <w:spacing w:after="0" w:line="187" w:lineRule="exact"/>
        <w:rPr>
          <w:sz w:val="20"/>
          <w:szCs w:val="20"/>
          <w:color w:val="auto"/>
        </w:rPr>
      </w:pPr>
    </w:p>
    <w:p>
      <w:pPr>
        <w:ind w:right="180" w:firstLine="987"/>
        <w:spacing w:after="0" w:line="261" w:lineRule="auto"/>
        <w:tabs>
          <w:tab w:leader="none" w:pos="124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Fees and Costs</w:t>
      </w:r>
      <w:r>
        <w:rPr>
          <w:rFonts w:ascii="Times New Roman" w:cs="Times New Roman" w:eastAsia="Times New Roman" w:hAnsi="Times New Roman"/>
          <w:sz w:val="18"/>
          <w:szCs w:val="18"/>
          <w:color w:val="auto"/>
        </w:rPr>
        <w:t>. You shall be required to pay an arbitration fee to initiate any arbitration equal to what you would be charged as a first appearance fee in court. The Company shall pay the remaining fees and costs of the arbitrator. Each party shall pay its own costs and attorneys’ fees, if any. If, however, any party prevails on a statutory or contractual claim that entitles the prevailing party to attorneys’ fees (including pursuant to this Agreement), the arbitrator will award attorneys’ fees to the prevailing party to the extent permitted by law.</w:t>
      </w:r>
    </w:p>
    <w:p>
      <w:pPr>
        <w:spacing w:after="0" w:line="179" w:lineRule="exact"/>
        <w:rPr>
          <w:rFonts w:ascii="Times New Roman" w:cs="Times New Roman" w:eastAsia="Times New Roman" w:hAnsi="Times New Roman"/>
          <w:sz w:val="18"/>
          <w:szCs w:val="18"/>
          <w:color w:val="auto"/>
        </w:rPr>
      </w:pPr>
    </w:p>
    <w:p>
      <w:pPr>
        <w:ind w:right="80" w:firstLine="436"/>
        <w:spacing w:after="0" w:line="258" w:lineRule="auto"/>
        <w:tabs>
          <w:tab w:leader="none" w:pos="71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To the extent that any court action is permitted consistent with or to enforce Section 9 of this Agreement, the parties hereby consent to the jurisdiction of the state and federal courts of the Commonwealth of Massachusetts. Accordingly, with respect to any such court action, you (a) submit to the exclusive personal jurisdiction of such courts; (b) consent to service of process; (c) waive any other requirement (whether imposed by statute, rule of court, or otherwise) with respect to personal jurisdiction or service of process; and (d) you and the Company waive any right to a jury in connection with any such court action.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26" w:name="page27"/>
    <w:bookmarkEnd w:id="26"/>
    <w:p>
      <w:pPr>
        <w:ind w:right="180" w:firstLine="436"/>
        <w:spacing w:after="0" w:line="266" w:lineRule="auto"/>
        <w:tabs>
          <w:tab w:leader="none" w:pos="70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Mitigation</w:t>
      </w:r>
      <w:r>
        <w:rPr>
          <w:rFonts w:ascii="Times New Roman" w:cs="Times New Roman" w:eastAsia="Times New Roman" w:hAnsi="Times New Roman"/>
          <w:sz w:val="18"/>
          <w:szCs w:val="18"/>
          <w:color w:val="auto"/>
        </w:rPr>
        <w:t>. The Company agrees that if your employment by the Company is terminated during the term of this Agreement, you are not required to seek other employment or to attempt in any way to reduce any amounts payable to you by the Company pursuant to Sections 5 or 6 hereof. Further, the amount of any payment provided for in this Agreement shall not be reduced by any compensation earned by you.</w:t>
      </w:r>
    </w:p>
    <w:p>
      <w:pPr>
        <w:spacing w:after="0" w:line="175" w:lineRule="exact"/>
        <w:rPr>
          <w:rFonts w:ascii="Times New Roman" w:cs="Times New Roman" w:eastAsia="Times New Roman" w:hAnsi="Times New Roman"/>
          <w:sz w:val="18"/>
          <w:szCs w:val="18"/>
          <w:color w:val="auto"/>
        </w:rPr>
      </w:pPr>
    </w:p>
    <w:p>
      <w:pPr>
        <w:ind w:right="200" w:firstLine="436"/>
        <w:spacing w:after="0" w:line="266" w:lineRule="auto"/>
        <w:tabs>
          <w:tab w:leader="none" w:pos="71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the subject matter hereof and supersedes all prior agreements between the parties concerning such subject matter, including the Prior Agreement, provided that the Restrictive Covenants Agreement, the Indemnification Agreement and the Equity Documents remain in full force and effect.</w:t>
      </w:r>
    </w:p>
    <w:p>
      <w:pPr>
        <w:spacing w:after="0" w:line="175" w:lineRule="exact"/>
        <w:rPr>
          <w:rFonts w:ascii="Times New Roman" w:cs="Times New Roman" w:eastAsia="Times New Roman" w:hAnsi="Times New Roman"/>
          <w:sz w:val="18"/>
          <w:szCs w:val="18"/>
          <w:color w:val="auto"/>
        </w:rPr>
      </w:pPr>
    </w:p>
    <w:p>
      <w:pPr>
        <w:ind w:firstLine="436"/>
        <w:spacing w:after="0" w:line="266" w:lineRule="auto"/>
        <w:tabs>
          <w:tab w:leader="none" w:pos="71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 Effect</w:t>
      </w:r>
      <w:r>
        <w:rPr>
          <w:rFonts w:ascii="Times New Roman" w:cs="Times New Roman" w:eastAsia="Times New Roman" w:hAnsi="Times New Roman"/>
          <w:sz w:val="18"/>
          <w:szCs w:val="18"/>
          <w:color w:val="auto"/>
        </w:rPr>
        <w:t>. All payments made by the Company to you under this Agreement shall be net of any tax or other amounts required to be withheld by the Company under applicable law. Nothing in this Agreement shall be construed to require the Company to make any payments to compensate you for any adverse tax effect associated with any payments or benefits or for any deduction or withholding from any payment or benefit.</w:t>
      </w:r>
    </w:p>
    <w:p>
      <w:pPr>
        <w:spacing w:after="0" w:line="175" w:lineRule="exact"/>
        <w:rPr>
          <w:rFonts w:ascii="Times New Roman" w:cs="Times New Roman" w:eastAsia="Times New Roman" w:hAnsi="Times New Roman"/>
          <w:sz w:val="18"/>
          <w:szCs w:val="18"/>
          <w:color w:val="auto"/>
        </w:rPr>
      </w:pPr>
    </w:p>
    <w:p>
      <w:pPr>
        <w:ind w:right="20" w:firstLine="436"/>
        <w:spacing w:after="0" w:line="255" w:lineRule="auto"/>
        <w:tabs>
          <w:tab w:leader="none" w:pos="71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you nor the Company may make any assignment of this Agreement or any interest in it, by operation of law or otherwise, without the prior written consent of the other; provided, however, that the Company may assign its rights and obligations under this Agreement (including the Restrictive Covenants Agreement) without your consent to any affiliate or to any person or entity with whom the Company shall hereafter effect a reorganization, consolidate with, or merge into or to whom it transfers all or substantially all of its properties or assets, but only on the condition that it assigns both its rights and obligations. This Agreement shall inure to the benefit of and be binding upon you and the Company, and each of yours and the Company’s respective successors, executors, administrators, heirs, personal representatives, and permitted assigns. In the event of your death prior to the completion by the Company of any payments due to you under Sections 5 or 6 of this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27" w:name="page28"/>
    <w:bookmarkEnd w:id="27"/>
    <w:p>
      <w:pPr>
        <w:ind w:right="3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the Company shall continue such payments to the beneficiary you designated in writing to the Company prior to your death, or to your estate, heirs, executors or personal representatives if you failed to make such designation.</w:t>
      </w:r>
    </w:p>
    <w:p>
      <w:pPr>
        <w:spacing w:after="0" w:line="162" w:lineRule="exact"/>
        <w:rPr>
          <w:sz w:val="20"/>
          <w:szCs w:val="20"/>
          <w:color w:val="auto"/>
        </w:rPr>
      </w:pPr>
    </w:p>
    <w:p>
      <w:pPr>
        <w:ind w:right="140" w:firstLine="436"/>
        <w:spacing w:after="0" w:line="261" w:lineRule="auto"/>
        <w:tabs>
          <w:tab w:leader="none" w:pos="71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9" w:lineRule="exact"/>
        <w:rPr>
          <w:rFonts w:ascii="Times New Roman" w:cs="Times New Roman" w:eastAsia="Times New Roman" w:hAnsi="Times New Roman"/>
          <w:sz w:val="18"/>
          <w:szCs w:val="18"/>
          <w:color w:val="auto"/>
        </w:rPr>
      </w:pPr>
    </w:p>
    <w:p>
      <w:pPr>
        <w:ind w:firstLine="436"/>
        <w:spacing w:after="0" w:line="282" w:lineRule="auto"/>
        <w:tabs>
          <w:tab w:leader="none" w:pos="71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provisions of this Agreement shall survive the termination of this Agreement and/or the termination of your employment to the extent necessary to effectuate the terms contained herein.</w:t>
      </w:r>
    </w:p>
    <w:p>
      <w:pPr>
        <w:spacing w:after="0" w:line="161" w:lineRule="exact"/>
        <w:rPr>
          <w:rFonts w:ascii="Times New Roman" w:cs="Times New Roman" w:eastAsia="Times New Roman" w:hAnsi="Times New Roman"/>
          <w:sz w:val="18"/>
          <w:szCs w:val="18"/>
          <w:color w:val="auto"/>
        </w:rPr>
      </w:pPr>
    </w:p>
    <w:p>
      <w:pPr>
        <w:ind w:firstLine="436"/>
        <w:spacing w:after="0" w:line="266" w:lineRule="auto"/>
        <w:tabs>
          <w:tab w:leader="none" w:pos="71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75" w:lineRule="exact"/>
        <w:rPr>
          <w:rFonts w:ascii="Times New Roman" w:cs="Times New Roman" w:eastAsia="Times New Roman" w:hAnsi="Times New Roman"/>
          <w:sz w:val="18"/>
          <w:szCs w:val="18"/>
          <w:color w:val="auto"/>
        </w:rPr>
      </w:pPr>
    </w:p>
    <w:p>
      <w:pPr>
        <w:ind w:right="220" w:firstLine="436"/>
        <w:spacing w:after="0" w:line="261" w:lineRule="auto"/>
        <w:tabs>
          <w:tab w:leader="none" w:pos="71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you at the last address you have on file in writing with the Company or, in the case of the Company, at its main offices, attention of the Board.</w:t>
      </w:r>
    </w:p>
    <w:p>
      <w:pPr>
        <w:spacing w:after="0" w:line="179" w:lineRule="exact"/>
        <w:rPr>
          <w:rFonts w:ascii="Times New Roman" w:cs="Times New Roman" w:eastAsia="Times New Roman" w:hAnsi="Times New Roman"/>
          <w:sz w:val="18"/>
          <w:szCs w:val="18"/>
          <w:color w:val="auto"/>
        </w:rPr>
      </w:pPr>
    </w:p>
    <w:p>
      <w:pPr>
        <w:ind w:right="920" w:firstLine="436"/>
        <w:spacing w:after="0" w:line="282" w:lineRule="auto"/>
        <w:tabs>
          <w:tab w:leader="none" w:pos="71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be amended or modified only by a written instrument signed by you and by a duly authorized representative of the Company.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880"/>
          </w:cols>
          <w:pgMar w:left="440" w:top="270" w:right="579" w:bottom="1440" w:gutter="0" w:footer="0" w:header="0"/>
        </w:sectPr>
      </w:pPr>
    </w:p>
    <w:bookmarkStart w:id="28" w:name="page29"/>
    <w:bookmarkEnd w:id="28"/>
    <w:p>
      <w:pPr>
        <w:ind w:firstLine="436"/>
        <w:spacing w:after="0" w:line="254" w:lineRule="auto"/>
        <w:tabs>
          <w:tab w:leader="none" w:pos="71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 on Other Plans and Agreements</w:t>
      </w:r>
      <w:r>
        <w:rPr>
          <w:rFonts w:ascii="Times New Roman" w:cs="Times New Roman" w:eastAsia="Times New Roman" w:hAnsi="Times New Roman"/>
          <w:sz w:val="18"/>
          <w:szCs w:val="18"/>
          <w:color w:val="auto"/>
        </w:rPr>
        <w:t>. An election by you to resign for Good Reason under the provisions of this Agreement shall not be deemed a voluntary termination of employment by you for the purpose of interpreting the provisions of any of the Company’s benefit plans, programs or policies. Nothing in this Agreement shall be construed to limit the rights of you under the Company’s benefit plans, programs or policies except as otherwise provided in Section 8 hereof, and except that you shall have no rights to any severance benefits under any Company severance pay plan, offer letter or otherwise. In the event that you are a party to an agreement with the Company providing for payments or benefits under such plan or agreement and under this Agreement, the terms of this Agreement shall govern and you may receive payment under this Agreement only and not both. Further, Section 5 and Section 6 of this Agreement are mutually exclusive and in no event shall you be entitled to payments or benefits pursuant to both Section 5 and Section 6 of this Agreement.</w:t>
      </w:r>
    </w:p>
    <w:p>
      <w:pPr>
        <w:spacing w:after="0" w:line="191" w:lineRule="exact"/>
        <w:rPr>
          <w:rFonts w:ascii="Times New Roman" w:cs="Times New Roman" w:eastAsia="Times New Roman" w:hAnsi="Times New Roman"/>
          <w:sz w:val="18"/>
          <w:szCs w:val="18"/>
          <w:color w:val="auto"/>
        </w:rPr>
      </w:pPr>
    </w:p>
    <w:p>
      <w:pPr>
        <w:ind w:right="180" w:firstLine="436"/>
        <w:spacing w:after="0" w:line="261" w:lineRule="auto"/>
        <w:tabs>
          <w:tab w:leader="none" w:pos="71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is a Massachusetts contract and shall be construed under and be governed in all respects by the laws of the Commonwealth of Massachusetts, without giving effect to the conflict of laws principles thereof. With respect to any disputes concerning federal law, such disputes shall be determined in accordance with the law as it would be interpreted and applied by the United States Court of Appeals for the First Circuit.</w:t>
      </w:r>
    </w:p>
    <w:p>
      <w:pPr>
        <w:spacing w:after="0" w:line="179" w:lineRule="exact"/>
        <w:rPr>
          <w:rFonts w:ascii="Times New Roman" w:cs="Times New Roman" w:eastAsia="Times New Roman" w:hAnsi="Times New Roman"/>
          <w:sz w:val="18"/>
          <w:szCs w:val="18"/>
          <w:color w:val="auto"/>
        </w:rPr>
      </w:pPr>
    </w:p>
    <w:p>
      <w:pPr>
        <w:ind w:right="160" w:firstLine="436"/>
        <w:spacing w:after="0" w:line="282" w:lineRule="auto"/>
        <w:tabs>
          <w:tab w:leader="none" w:pos="71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effective on the Effective Date.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Its:  President and Chief Executive Officer</w:t>
      </w:r>
    </w:p>
    <w:p>
      <w:pPr>
        <w:spacing w:after="0" w:line="2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Jean Franchi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Jean Franchi</w:t>
      </w:r>
    </w:p>
    <w:p>
      <w:pPr>
        <w:spacing w:after="0" w:line="15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9579"/>
          </w:cols>
          <w:pgMar w:left="880" w:top="270" w:right="1440"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Restrictive Covenants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9019"/>
          </w:cols>
          <w:pgMar w:left="1440" w:top="266" w:right="1440"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263140" cy="3771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6314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Disc Medicine Strengthens Leadership Team with Appointment of Seasoned Industry Executive Jean Franchi as Chief Financial Officer, and Promotion of Jonathan Yu to Chief Operating Officer</w:t>
      </w:r>
    </w:p>
    <w:p>
      <w:pPr>
        <w:spacing w:after="0" w:line="184" w:lineRule="exact"/>
        <w:rPr>
          <w:sz w:val="20"/>
          <w:szCs w:val="20"/>
          <w:color w:val="auto"/>
        </w:rPr>
      </w:pPr>
    </w:p>
    <w:p>
      <w:pPr>
        <w:ind w:left="420" w:right="540" w:hanging="316"/>
        <w:spacing w:after="0" w:line="284" w:lineRule="auto"/>
        <w:tabs>
          <w:tab w:leader="none" w:pos="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Jean Franchi is an industry veteran and brings over 30 years of leadership experience in finance, investor relations, capital formation, and operations at both development and commercial-stage companies</w:t>
      </w:r>
    </w:p>
    <w:p>
      <w:pPr>
        <w:spacing w:after="0" w:line="63"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Jonathan Yu, previously Chief Business Officer at Disc, has been promoted to Chief Operating Officer</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WATERTOWN, Mass. February 7, 2024 — Disc Medicine, Inc. (NASDAQ:IRON), a clinical-stage biopharmaceutical company focused on the discovery, development, and commercialization of novel treatments for patients suffering from serious hematologic diseases, today announced the appointment of Jean Franchi as the company’s Chief Financial Officer. Ms. Franchi will be responsible for finance, investor relations, and other functions and will lead the company’s capital formation and financial strategy. She succeeds Joanne Bryce, who will transition to a consulting role with the company.</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excited to welcome an executive of Jean’s caliber and depth of experience to the Disc team, and I’m delighted to announce the promotion of a key executive, Jonathan Yu, to Chief Operating Officer.” said John Quisel, J.D., Ph.D., President and Chief Executive Officer of Disc. “We have multiple, important data read-outs for all three programs in 2024, and as we enter late-stage development and begin planning for commercialization, Jean’s experience with successfully scaling organizations, including those focused on rare diseases, will be directly relevant. On behalf of myself and the entire Disc team, I would also like to express my gratitude to Joanne for her leadership and years of service and wish her all the best on her next endeavor.”</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 am thrilled to be joining Disc at such an exciting moment in its evolution. The team has built a unique company with a strong foundation and pipeline with enormous potential,” said Ms. Franchi. “I look forward to working together with the talented and passionate people at Disc to build a sustainable, leading hematology business.”</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Ms. Franchi is an experienced CFO with over 30 years of finance leadership expertise at both public and private biotechnology companies of varying sizes across all stages of development. Most recently, she was the Chief Financial Officer of Replimune where she helped raise over $750 million across multiple financings and non-dilutive debt, supporting significant expansion while providing optionality in future capital formation for Replimune’s portfolio. Prior to Replimune, Ms. Franchi served as Chief Financial Officer for Merrimack Pharmaceuticals, Dimension Therapeutics, which was acquired by Ultragenyx, and Good Start Genetics. Ms. Franchi spent 16 years at Genzyme advancing within the organization during its most rapid phase of growth. Ms. Franchi spent eight years at Genzyme as the Senior Vice President of Finance for all nine business units and then Senior Vice President of Corporate Finance working alongside the Chief Financial Officer and playing an important role in the approximately $20.1 billion sale to Sanofi. Ms. Franchi holds a Bachelor’s degree in Business Administration from Hofstra University.</w:t>
      </w:r>
    </w:p>
    <w:p>
      <w:pPr>
        <w:spacing w:after="0" w:line="19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connection with Ms. Franchi’s appointment, Disc granted to Ms. Franchi an inducement equity award outside of Disc’s Amended and Restated 2021 Stock Option and Incentive Plan in accordance with NASDAQ Listing Rule 5635(c)(4), comprised of (i) an option to purchase 55,000 shares (the “Option Award”) of Disc common stock (“Common Stock”), at an exercise price equal to the closing price of the Common Stock on the date of grant, and (ii) a restricted stock unit award for 36,666 shares of Common Stock (the “RSU Award” and, together with the Option Award, the “Inducement Award”). The Option Award shall vest 25% on the first anniversary of Ms. Franchi’s start date, with the remainder vesting in 36 equal monthly installments thereafter. The RSU award shall vest in equal installments on each of the first,</w:t>
      </w:r>
    </w:p>
    <w:p>
      <w:pPr>
        <w:sectPr>
          <w:pgSz w:w="11900" w:h="16838" w:orient="portrait"/>
          <w:cols w:equalWidth="0" w:num="1">
            <w:col w:w="11020"/>
          </w:cols>
          <w:pgMar w:left="440" w:top="117" w:right="439" w:bottom="1440" w:gutter="0" w:footer="0" w:header="0"/>
        </w:sectPr>
      </w:pPr>
    </w:p>
    <w:bookmarkStart w:id="32" w:name="page33"/>
    <w:bookmarkEnd w:id="32"/>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263140" cy="3771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2263140" cy="377190"/>
                    </a:xfrm>
                    <a:prstGeom prst="rect">
                      <a:avLst/>
                    </a:prstGeom>
                    <a:noFill/>
                  </pic:spPr>
                </pic:pic>
              </a:graphicData>
            </a:graphic>
          </wp:anchor>
        </w:drawing>
        <w:t>second, third, and fourth anniversaries of the vesting date set by Disc’s company vesting policy. The Inducement Award was approved by Disc’s Board of Directors (the “Board”), including a majority of the independent directors serving on the Board.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Disc Medicine</w:t>
      </w:r>
    </w:p>
    <w:p>
      <w:pPr>
        <w:spacing w:after="0" w:line="121"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Disc Medicine (NASDAQ:IRON)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 For more information, please visit www.discmedicine.com.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 Cautionary Statement Regarding Forward-Looking Statements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including, but not limited to, express or implied statements regarding Disc’s expectations with respect to the chief financial officer position, Disc’s data read-outs and Disc’s development and commercialization. The use of words such as, but not limited to, “believe,” “expect,” “estimate,” “project,” “intend,” “future,” “potential,” “continue,” “may,” “might,” “plan,” “will,” “should,” “seek,” “anticipate,” or “could” or the negative of these terms and other similar words or expressions that are intended to identify forward-looking statements. Forward-looking statements are neither historical facts nor assurances of future performance. Instead, they are based on Disc’s current beliefs, expectations and assumptions regarding the future of Disc’s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Disc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Disc’s expectations regarding the chief financial officer and chief operating officer positions; Disc’s expectations regarding leadership, future growth and innovation; Disc’s expectations regarding its data read-outs for its research and development programs in 2024; Disc’s expectations of entering late-stage development and planning for commercialization; and the other risks and uncertainties described in the “Risk Factors” section of our Annual Report on Form 10-K for the year ended December 31, 2022, Quarterly Reports on Form 10-Q for the quarters ended March 31, 2023, June 30, 2023, and September 30, 2023 and other documents filed by Disc from time to time with the Securities and Exchange Commission (SEC), as well as discussions of potential risks, uncertainties, and other important factors in Disc’s subsequent filings with the SEC. Any forward-looking statement speaks only as of the date on which it was made. None of Disc, nor its affiliates, advisors or representatives, undertake any obligation to publicly update or revise any forward-looking statement, whether as result of new information, future events or otherwise, except as required by law.</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Peg Rusconi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Verge Scientific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prusconi@vergescientific.com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Tartaglia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Stern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christina.tartaglia@sternir.com</w:t>
      </w:r>
    </w:p>
    <w:sectPr>
      <w:pgSz w:w="11900" w:h="16838" w:orient="portrait"/>
      <w:cols w:equalWidth="0" w:num="1">
        <w:col w:w="11000"/>
      </w:cols>
      <w:pgMar w:left="440" w:top="101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decimal"/>
      <w:start w:val="1"/>
    </w:lvl>
    <w:lvl w:ilvl="1">
      <w:lvlJc w:val="left"/>
      <w:lvlText w:val="(%2)"/>
      <w:numFmt w:val="lowerLetter"/>
      <w:start w:val="1"/>
    </w:lvl>
  </w:abstractNum>
  <w:abstractNum w:abstractNumId="2">
    <w:nsid w:val="7C83E458"/>
    <w:multiLevelType w:val="hybridMultilevel"/>
    <w:lvl w:ilvl="0">
      <w:lvlJc w:val="left"/>
      <w:lvlText w:val="%1."/>
      <w:numFmt w:val="decimal"/>
      <w:start w:val="2"/>
    </w:lvl>
    <w:lvl w:ilvl="1">
      <w:lvlJc w:val="left"/>
      <w:lvlText w:val="(%2)"/>
      <w:numFmt w:val="lowerLetter"/>
      <w:start w:val="1"/>
    </w:lvl>
  </w:abstractNum>
  <w:abstractNum w:abstractNumId="3">
    <w:nsid w:val="257130A3"/>
    <w:multiLevelType w:val="hybridMultilevel"/>
    <w:lvl w:ilvl="0">
      <w:lvlJc w:val="left"/>
      <w:lvlText w:val="(%1)"/>
      <w:numFmt w:val="lowerLetter"/>
      <w:start w:val="3"/>
    </w:lvl>
    <w:lvl w:ilvl="1">
      <w:lvlJc w:val="left"/>
      <w:lvlText w:val="(%2)"/>
      <w:numFmt w:val="lowerLetter"/>
      <w:start w:val="9"/>
    </w:lvl>
  </w:abstractNum>
  <w:abstractNum w:abstractNumId="4">
    <w:nsid w:val="62BBD95A"/>
    <w:multiLevelType w:val="hybridMultilevel"/>
    <w:lvl w:ilvl="0">
      <w:lvlJc w:val="left"/>
      <w:lvlText w:val="(%1)"/>
      <w:numFmt w:val="lowerRoman"/>
      <w:start w:val="2"/>
    </w:lvl>
  </w:abstractNum>
  <w:abstractNum w:abstractNumId="5">
    <w:nsid w:val="436C6125"/>
    <w:multiLevelType w:val="hybridMultilevel"/>
    <w:lvl w:ilvl="0">
      <w:lvlJc w:val="left"/>
      <w:lvlText w:val="%1"/>
      <w:numFmt w:val="decimal"/>
      <w:start w:val="1"/>
    </w:lvl>
    <w:lvl w:ilvl="1">
      <w:lvlJc w:val="left"/>
      <w:lvlText w:val="(%2)"/>
      <w:numFmt w:val="lowerLetter"/>
      <w:start w:val="7"/>
    </w:lvl>
  </w:abstractNum>
  <w:abstractNum w:abstractNumId="6">
    <w:nsid w:val="628C895D"/>
    <w:multiLevelType w:val="hybridMultilevel"/>
    <w:lvl w:ilvl="0">
      <w:lvlJc w:val="left"/>
      <w:lvlText w:val="%1."/>
      <w:numFmt w:val="decimal"/>
      <w:start w:val="3"/>
    </w:lvl>
    <w:lvl w:ilvl="1">
      <w:lvlJc w:val="left"/>
      <w:lvlText w:val="(%2)"/>
      <w:numFmt w:val="lowerLetter"/>
      <w:start w:val="1"/>
    </w:lvl>
  </w:abstractNum>
  <w:abstractNum w:abstractNumId="7">
    <w:nsid w:val="333AB105"/>
    <w:multiLevelType w:val="hybridMultilevel"/>
    <w:lvl w:ilvl="0">
      <w:lvlJc w:val="left"/>
      <w:lvlText w:val="(%1)"/>
      <w:numFmt w:val="lowerLetter"/>
      <w:start w:val="2"/>
    </w:lvl>
    <w:lvl w:ilvl="1">
      <w:lvlJc w:val="left"/>
      <w:lvlText w:val="(%2)"/>
      <w:numFmt w:val="lowerLetter"/>
      <w:start w:val="9"/>
    </w:lvl>
  </w:abstractNum>
  <w:abstractNum w:abstractNumId="8">
    <w:nsid w:val="721DA317"/>
    <w:multiLevelType w:val="hybridMultilevel"/>
    <w:lvl w:ilvl="0">
      <w:lvlJc w:val="left"/>
      <w:lvlText w:val="(%1)"/>
      <w:numFmt w:val="lowerRoman"/>
      <w:start w:val="2"/>
    </w:lvl>
  </w:abstractNum>
  <w:abstractNum w:abstractNumId="9">
    <w:nsid w:val="2443A858"/>
    <w:multiLevelType w:val="hybridMultilevel"/>
    <w:lvl w:ilvl="0">
      <w:lvlJc w:val="left"/>
      <w:lvlText w:val="(%1)"/>
      <w:numFmt w:val="lowerLetter"/>
      <w:start w:val="4"/>
    </w:lvl>
    <w:lvl w:ilvl="1">
      <w:lvlJc w:val="left"/>
      <w:lvlText w:val="(%2)"/>
      <w:numFmt w:val="lowerRoman"/>
      <w:start w:val="1"/>
    </w:lvl>
  </w:abstractNum>
  <w:abstractNum w:abstractNumId="10">
    <w:nsid w:val="2D1D5AE9"/>
    <w:multiLevelType w:val="hybridMultilevel"/>
    <w:lvl w:ilvl="0">
      <w:lvlJc w:val="left"/>
      <w:lvlText w:val="(%1)"/>
      <w:numFmt w:val="lowerRoman"/>
      <w:start w:val="1"/>
    </w:lvl>
  </w:abstractNum>
  <w:abstractNum w:abstractNumId="11">
    <w:nsid w:val="6763845E"/>
    <w:multiLevelType w:val="hybridMultilevel"/>
    <w:lvl w:ilvl="0">
      <w:lvlJc w:val="left"/>
      <w:lvlText w:val="(%1)"/>
      <w:numFmt w:val="lowerRoman"/>
      <w:start w:val="3"/>
    </w:lvl>
  </w:abstractNum>
  <w:abstractNum w:abstractNumId="12">
    <w:nsid w:val="75A2A8D4"/>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13">
    <w:nsid w:val="8EDBDAB"/>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4">
    <w:nsid w:val="79838CB2"/>
    <w:multiLevelType w:val="hybridMultilevel"/>
    <w:lvl w:ilvl="0">
      <w:lvlJc w:val="left"/>
      <w:lvlText w:val="(%1)"/>
      <w:numFmt w:val="lowerLetter"/>
      <w:start w:val="1"/>
    </w:lvl>
  </w:abstractNum>
  <w:abstractNum w:abstractNumId="15">
    <w:nsid w:val="4353D0CD"/>
    <w:multiLevelType w:val="hybridMultilevel"/>
    <w:lvl w:ilvl="0">
      <w:lvlJc w:val="left"/>
      <w:lvlText w:val="%1."/>
      <w:numFmt w:val="decimal"/>
      <w:start w:val="6"/>
    </w:lvl>
  </w:abstractNum>
  <w:abstractNum w:abstractNumId="16">
    <w:nsid w:val="B03E0C6"/>
    <w:multiLevelType w:val="hybridMultilevel"/>
    <w:lvl w:ilvl="0">
      <w:lvlJc w:val="left"/>
      <w:lvlText w:val="(%1)"/>
      <w:numFmt w:val="lowerLetter"/>
      <w:start w:val="1"/>
    </w:lvl>
    <w:lvl w:ilvl="1">
      <w:lvlJc w:val="left"/>
      <w:lvlText w:val="(%2)"/>
      <w:numFmt w:val="lowerRoman"/>
      <w:start w:val="1"/>
    </w:lvl>
  </w:abstractNum>
  <w:abstractNum w:abstractNumId="17">
    <w:nsid w:val="189A769B"/>
    <w:multiLevelType w:val="hybridMultilevel"/>
    <w:lvl w:ilvl="0">
      <w:lvlJc w:val="left"/>
      <w:lvlText w:val="(%1)"/>
      <w:numFmt w:val="lowerRoman"/>
      <w:start w:val="3"/>
    </w:lvl>
  </w:abstractNum>
  <w:abstractNum w:abstractNumId="18">
    <w:nsid w:val="54E49EB4"/>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19">
    <w:nsid w:val="71F32454"/>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20">
    <w:nsid w:val="2CA88611"/>
    <w:multiLevelType w:val="hybridMultilevel"/>
    <w:lvl w:ilvl="0">
      <w:lvlJc w:val="left"/>
      <w:lvlText w:val="(%1)"/>
      <w:numFmt w:val="lowerRoman"/>
      <w:start w:val="2"/>
    </w:lvl>
  </w:abstractNum>
  <w:abstractNum w:abstractNumId="21">
    <w:nsid w:val="836C40E"/>
    <w:multiLevelType w:val="hybridMultilevel"/>
    <w:lvl w:ilvl="0">
      <w:lvlJc w:val="left"/>
      <w:lvlText w:val="%1."/>
      <w:numFmt w:val="decimal"/>
      <w:start w:val="7"/>
    </w:lvl>
    <w:lvl w:ilvl="1">
      <w:lvlJc w:val="left"/>
      <w:lvlText w:val="(%2)"/>
      <w:numFmt w:val="lowerLetter"/>
      <w:start w:val="1"/>
    </w:lvl>
  </w:abstractNum>
  <w:abstractNum w:abstractNumId="22">
    <w:nsid w:val="2901D82"/>
    <w:multiLevelType w:val="hybridMultilevel"/>
    <w:lvl w:ilvl="0">
      <w:lvlJc w:val="left"/>
      <w:lvlText w:val="(%1)"/>
      <w:numFmt w:val="lowerLetter"/>
      <w:start w:val="2"/>
    </w:lvl>
  </w:abstractNum>
  <w:abstractNum w:abstractNumId="23">
    <w:nsid w:val="3A95F874"/>
    <w:multiLevelType w:val="hybridMultilevel"/>
    <w:lvl w:ilvl="0">
      <w:lvlJc w:val="left"/>
      <w:lvlText w:val="%1"/>
      <w:numFmt w:val="decimal"/>
      <w:start w:val="1"/>
    </w:lvl>
    <w:lvl w:ilvl="1">
      <w:lvlJc w:val="left"/>
      <w:lvlText w:val="(%2)"/>
      <w:numFmt w:val="lowerLetter"/>
      <w:start w:val="5"/>
    </w:lvl>
  </w:abstractNum>
  <w:abstractNum w:abstractNumId="24">
    <w:nsid w:val="8138641"/>
    <w:multiLevelType w:val="hybridMultilevel"/>
    <w:lvl w:ilvl="0">
      <w:lvlJc w:val="left"/>
      <w:lvlText w:val="%1."/>
      <w:numFmt w:val="decimal"/>
      <w:start w:val="8"/>
    </w:lvl>
    <w:lvl w:ilvl="1">
      <w:lvlJc w:val="left"/>
      <w:lvlText w:val="(%2)"/>
      <w:numFmt w:val="lowerLetter"/>
      <w:start w:val="1"/>
    </w:lvl>
  </w:abstractNum>
  <w:abstractNum w:abstractNumId="25">
    <w:nsid w:val="1E7FF521"/>
    <w:multiLevelType w:val="hybridMultilevel"/>
    <w:lvl w:ilvl="0">
      <w:lvlJc w:val="left"/>
      <w:lvlText w:val="%1"/>
      <w:numFmt w:val="lowerLetter"/>
      <w:start w:val="1"/>
    </w:lvl>
    <w:lvl w:ilvl="1">
      <w:lvlJc w:val="left"/>
      <w:lvlText w:val="(%2)"/>
      <w:numFmt w:val="lowerLetter"/>
      <w:start w:val="2"/>
    </w:lvl>
  </w:abstractNum>
  <w:abstractNum w:abstractNumId="26">
    <w:nsid w:val="7C3DBD3D"/>
    <w:multiLevelType w:val="hybridMultilevel"/>
    <w:lvl w:ilvl="0">
      <w:lvlJc w:val="left"/>
      <w:lvlText w:val="(%1)"/>
      <w:numFmt w:val="lowerLetter"/>
      <w:start w:val="9"/>
    </w:lvl>
    <w:lvl w:ilvl="1">
      <w:lvlJc w:val="left"/>
      <w:lvlText w:val="%2"/>
      <w:numFmt w:val="lowerLetter"/>
      <w:start w:val="1"/>
    </w:lvl>
  </w:abstractNum>
  <w:abstractNum w:abstractNumId="27">
    <w:nsid w:val="737B8DDC"/>
    <w:multiLevelType w:val="hybridMultilevel"/>
    <w:lvl w:ilvl="0">
      <w:lvlJc w:val="left"/>
      <w:lvlText w:val="(%1)"/>
      <w:numFmt w:val="lowerLetter"/>
      <w:start w:val="4"/>
    </w:lvl>
  </w:abstractNum>
  <w:abstractNum w:abstractNumId="28">
    <w:nsid w:val="6CEAF087"/>
    <w:multiLevelType w:val="hybridMultilevel"/>
    <w:lvl w:ilvl="0">
      <w:lvlJc w:val="left"/>
      <w:lvlText w:val="%1."/>
      <w:numFmt w:val="decimal"/>
      <w:start w:val="9"/>
    </w:lvl>
    <w:lvl w:ilvl="1">
      <w:lvlJc w:val="left"/>
      <w:lvlText w:val="(%2)"/>
      <w:numFmt w:val="lowerLetter"/>
      <w:start w:val="1"/>
    </w:lvl>
  </w:abstractNum>
  <w:abstractNum w:abstractNumId="29">
    <w:nsid w:val="22221A70"/>
    <w:multiLevelType w:val="hybridMultilevel"/>
    <w:lvl w:ilvl="0">
      <w:lvlJc w:val="left"/>
      <w:lvlText w:val="%1"/>
      <w:numFmt w:val="decimal"/>
      <w:start w:val="1"/>
    </w:lvl>
    <w:lvl w:ilvl="1">
      <w:lvlJc w:val="left"/>
      <w:lvlText w:val="(%2)"/>
      <w:numFmt w:val="lowerLetter"/>
      <w:start w:val="2"/>
    </w:lvl>
  </w:abstractNum>
  <w:abstractNum w:abstractNumId="30">
    <w:nsid w:val="4516DDE9"/>
    <w:multiLevelType w:val="hybridMultilevel"/>
    <w:lvl w:ilvl="0">
      <w:lvlJc w:val="left"/>
      <w:lvlText w:val="%1."/>
      <w:numFmt w:val="decimal"/>
      <w:start w:val="10"/>
    </w:lvl>
    <w:lvl w:ilvl="1">
      <w:lvlJc w:val="left"/>
      <w:lvlText w:val="%2"/>
      <w:numFmt w:val="lowerLetter"/>
      <w:start w:val="1"/>
    </w:lvl>
  </w:abstractNum>
  <w:abstractNum w:abstractNumId="31">
    <w:nsid w:val="3006C83E"/>
    <w:multiLevelType w:val="hybridMultilevel"/>
    <w:lvl w:ilvl="0">
      <w:lvlJc w:val="left"/>
      <w:lvlText w:val="%1."/>
      <w:numFmt w:val="decimal"/>
      <w:start w:val="11"/>
    </w:lvl>
  </w:abstractNum>
  <w:abstractNum w:abstractNumId="32">
    <w:nsid w:val="614FD4A1"/>
    <w:multiLevelType w:val="hybridMultilevel"/>
    <w:lvl w:ilvl="0">
      <w:lvlJc w:val="left"/>
      <w:lvlText w:val="%1."/>
      <w:numFmt w:val="decimal"/>
      <w:start w:val="15"/>
    </w:lvl>
  </w:abstractNum>
  <w:abstractNum w:abstractNumId="33">
    <w:nsid w:val="419AC241"/>
    <w:multiLevelType w:val="hybridMultilevel"/>
    <w:lvl w:ilvl="0">
      <w:lvlJc w:val="left"/>
      <w:lvlText w:val="%1."/>
      <w:numFmt w:val="decimal"/>
      <w:start w:val="20"/>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2024-02-07T07:12:26Z</dcterms:created>
  <dcterms:modified xsi:type="dcterms:W3CDTF">2024-02-07T07:12:26Z</dcterms:modified>
</cp:coreProperties>
</file>