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20" w:after="0"/>
        <w:jc w:val="center"/>
        <w:rPr/>
      </w:pPr>
      <w:bookmarkStart w:id="0" w:name="iron-20221231.htm"/>
      <w:bookmarkStart w:id="1" w:name="ksiron20221231"/>
      <w:bookmarkEnd w:id="0"/>
      <w:bookmarkEnd w:id="1"/>
      <w:r>
        <w:rPr/>
        <w:t> </w:t>
      </w:r>
    </w:p>
    <w:p>
      <w:pPr>
        <w:pStyle w:val="TextBody"/>
        <w:spacing w:before="0" w:after="0"/>
        <w:jc w:val="center"/>
        <w:rPr>
          <w:rFonts w:ascii="Times New Roman" w:hAnsi="Times New Roman"/>
          <w:sz w:val="20"/>
        </w:rPr>
      </w:pPr>
      <w:r>
        <w:rPr>
          <w:rFonts w:ascii="Times New Roman;serif" w:hAnsi="Times New Roman;serif"/>
          <w:b/>
          <w:sz w:val="24"/>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8"/>
        </w:rPr>
        <w:t>Washington, D.C. 20549</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40" w:after="0"/>
        <w:jc w:val="center"/>
        <w:rPr>
          <w:rFonts w:ascii="Times New Roman" w:hAnsi="Times New Roman"/>
          <w:sz w:val="20"/>
        </w:rPr>
      </w:pPr>
      <w:r>
        <w:rPr>
          <w:rFonts w:ascii="Times New Roman;serif" w:hAnsi="Times New Roman;serif"/>
          <w:b/>
          <w:sz w:val="24"/>
        </w:rPr>
        <w:t>FORM 10-K</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40" w:after="0"/>
        <w:jc w:val="left"/>
        <w:rPr>
          <w:rFonts w:ascii="Times New Roman" w:hAnsi="Times New Roman"/>
          <w:sz w:val="20"/>
        </w:rPr>
      </w:pPr>
      <w:r>
        <w:rPr>
          <w:rFonts w:ascii="Times New Roman;serif" w:hAnsi="Times New Roman;serif"/>
          <w:b/>
          <w:sz w:val="15"/>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18"/>
        </w:rPr>
        <w:t>ANNUAL REPORT PURSUANT TO SECTION 13 OR 15(d) OF THE SECURITIES EXCHANGE ACT OF 1934</w:t>
      </w:r>
      <w:r>
        <w:rPr>
          <w:rFonts w:ascii="Times New Roman" w:hAnsi="Times New Roman"/>
          <w:sz w:val="20"/>
        </w:rPr>
        <w:t xml:space="preserve"> </w:t>
      </w:r>
    </w:p>
    <w:p>
      <w:pPr>
        <w:pStyle w:val="TextBody"/>
        <w:spacing w:before="40" w:after="0"/>
        <w:jc w:val="center"/>
        <w:rPr>
          <w:rFonts w:ascii="Times New Roman;serif" w:hAnsi="Times New Roman;serif"/>
          <w:b/>
          <w:sz w:val="15"/>
        </w:rPr>
      </w:pPr>
      <w:r>
        <w:rPr>
          <w:rFonts w:ascii="Times New Roman;serif" w:hAnsi="Times New Roman;serif"/>
          <w:b/>
          <w:sz w:val="15"/>
        </w:rPr>
        <w:t xml:space="preserve">For the fiscal year ended December 31, 2022 </w:t>
      </w:r>
    </w:p>
    <w:p>
      <w:pPr>
        <w:pStyle w:val="TextBody"/>
        <w:spacing w:before="40" w:after="0"/>
        <w:jc w:val="center"/>
        <w:rPr>
          <w:rFonts w:ascii="Times New Roman" w:hAnsi="Times New Roman"/>
          <w:sz w:val="20"/>
        </w:rPr>
      </w:pPr>
      <w:r>
        <w:rPr>
          <w:rFonts w:ascii="Times New Roman;serif" w:hAnsi="Times New Roman;serif"/>
          <w:b/>
          <w:sz w:val="16"/>
        </w:rPr>
        <w:t>OR</w:t>
      </w:r>
      <w:r>
        <w:rPr>
          <w:rFonts w:ascii="Times New Roman" w:hAnsi="Times New Roman"/>
          <w:sz w:val="20"/>
        </w:rPr>
        <w:t xml:space="preserve"> </w:t>
      </w:r>
    </w:p>
    <w:p>
      <w:pPr>
        <w:pStyle w:val="TextBody"/>
        <w:spacing w:before="40" w:after="0"/>
        <w:jc w:val="left"/>
        <w:rPr/>
      </w:pPr>
      <w:r>
        <w:rPr/>
        <w:t xml:space="preserve">☐ </w:t>
      </w:r>
      <w:r>
        <w:rPr>
          <w:rFonts w:ascii="Times New Roman;serif" w:hAnsi="Times New Roman;serif"/>
          <w:b/>
          <w:sz w:val="18"/>
        </w:rPr>
        <w:t>TRANSITION REPORT PURSUANT TO SECTION 13 OR 15(d) OF THE SECURITIES EXCHANGE ACT OF 1934</w:t>
      </w:r>
    </w:p>
    <w:p>
      <w:pPr>
        <w:pStyle w:val="TextBody"/>
        <w:spacing w:before="0" w:after="0"/>
        <w:jc w:val="center"/>
        <w:rPr>
          <w:rFonts w:ascii="Times New Roman;serif" w:hAnsi="Times New Roman;serif"/>
          <w:b/>
          <w:sz w:val="15"/>
        </w:rPr>
      </w:pPr>
      <w:r>
        <w:rPr>
          <w:rFonts w:ascii="Times New Roman;serif" w:hAnsi="Times New Roman;serif"/>
          <w:b/>
          <w:sz w:val="15"/>
        </w:rPr>
        <w:t>For the transition period from ___________to___________</w:t>
      </w:r>
    </w:p>
    <w:p>
      <w:pPr>
        <w:pStyle w:val="TextBody"/>
        <w:spacing w:before="0" w:after="0"/>
        <w:jc w:val="center"/>
        <w:rPr/>
      </w:pPr>
      <w:r>
        <w:rPr/>
        <w:t> </w:t>
      </w:r>
    </w:p>
    <w:p>
      <w:pPr>
        <w:pStyle w:val="TextBody"/>
        <w:spacing w:before="40" w:after="0"/>
        <w:jc w:val="center"/>
        <w:rPr>
          <w:rFonts w:ascii="Times New Roman;serif" w:hAnsi="Times New Roman;serif"/>
          <w:b/>
          <w:sz w:val="15"/>
        </w:rPr>
      </w:pPr>
      <w:r>
        <w:rPr>
          <w:rFonts w:ascii="Times New Roman;serif" w:hAnsi="Times New Roman;serif"/>
          <w:b/>
          <w:sz w:val="15"/>
        </w:rPr>
        <w:t>Commission file number: 001-39438</w:t>
      </w:r>
    </w:p>
    <w:p>
      <w:pPr>
        <w:pStyle w:val="TextBody"/>
        <w:pBdr>
          <w:bottom w:val="single" w:sz="8" w:space="1" w:color="000000"/>
        </w:pBdr>
        <w:spacing w:before="0" w:after="0"/>
        <w:jc w:val="center"/>
        <w:rPr/>
      </w:pPr>
      <w:r>
        <w:rPr/>
        <w:t> </w:t>
      </w:r>
    </w:p>
    <w:p>
      <w:pPr>
        <w:pStyle w:val="TextBody"/>
        <w:spacing w:before="40" w:after="0"/>
        <w:jc w:val="center"/>
        <w:rPr>
          <w:rFonts w:ascii="Times New Roman" w:hAnsi="Times New Roman"/>
          <w:sz w:val="20"/>
        </w:rPr>
      </w:pPr>
      <w:r>
        <w:rPr>
          <w:rFonts w:ascii="Times New Roman;serif" w:hAnsi="Times New Roman;serif"/>
          <w:b/>
          <w:sz w:val="34"/>
        </w:rPr>
        <w:t>Disc Medicine, Inc.</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15"/>
        </w:rPr>
        <w:t>(Exact name of registrant as specified in its charter)</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3932" w:type="dxa"/>
        <w:jc w:val="left"/>
        <w:tblInd w:w="0" w:type="dxa"/>
        <w:tblCellMar>
          <w:top w:w="28" w:type="dxa"/>
          <w:left w:w="28" w:type="dxa"/>
          <w:bottom w:w="28" w:type="dxa"/>
          <w:right w:w="28" w:type="dxa"/>
        </w:tblCellMar>
      </w:tblPr>
      <w:tblGrid>
        <w:gridCol w:w="2596"/>
        <w:gridCol w:w="1336"/>
      </w:tblGrid>
      <w:tr>
        <w:trPr/>
        <w:tc>
          <w:tcPr>
            <w:tcW w:w="259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Delaware</w:t>
            </w:r>
          </w:p>
        </w:tc>
        <w:tc>
          <w:tcPr>
            <w:tcW w:w="133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82-3220679</w:t>
            </w:r>
          </w:p>
        </w:tc>
      </w:tr>
      <w:tr>
        <w:trPr/>
        <w:tc>
          <w:tcPr>
            <w:tcW w:w="259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 of</w:t>
            </w:r>
          </w:p>
          <w:p>
            <w:pPr>
              <w:pStyle w:val="TableContents"/>
              <w:spacing w:before="0" w:after="20"/>
              <w:ind w:left="0" w:right="0" w:hanging="0"/>
              <w:jc w:val="center"/>
              <w:rPr>
                <w:rFonts w:ascii="Times New Roman;serif" w:hAnsi="Times New Roman;serif"/>
                <w:b/>
                <w:sz w:val="15"/>
              </w:rPr>
            </w:pPr>
            <w:r>
              <w:rPr>
                <w:rFonts w:ascii="Times New Roman;serif" w:hAnsi="Times New Roman;serif"/>
                <w:b/>
                <w:sz w:val="15"/>
              </w:rPr>
              <w:t>incorporation or organization)</w:t>
            </w:r>
          </w:p>
        </w:tc>
        <w:tc>
          <w:tcPr>
            <w:tcW w:w="133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r>
          </w:p>
          <w:p>
            <w:pPr>
              <w:pStyle w:val="TableContents"/>
              <w:spacing w:before="0" w:after="20"/>
              <w:ind w:left="0" w:right="0" w:hanging="0"/>
              <w:jc w:val="center"/>
              <w:rPr>
                <w:rFonts w:ascii="Times New Roman;serif" w:hAnsi="Times New Roman;serif"/>
                <w:b/>
                <w:sz w:val="15"/>
              </w:rPr>
            </w:pPr>
            <w:r>
              <w:rPr>
                <w:rFonts w:ascii="Times New Roman;serif" w:hAnsi="Times New Roman;serif"/>
                <w:b/>
                <w:sz w:val="15"/>
              </w:rPr>
              <w:t>Identification No.)</w:t>
            </w:r>
          </w:p>
        </w:tc>
      </w:tr>
      <w:tr>
        <w:trPr/>
        <w:tc>
          <w:tcPr>
            <w:tcW w:w="2596" w:type="dxa"/>
            <w:tcBorders/>
            <w:shd w:fill="auto" w:val="clear"/>
            <w:vAlign w:val="center"/>
          </w:tcPr>
          <w:p>
            <w:pPr>
              <w:pStyle w:val="TableContents"/>
              <w:spacing w:before="0" w:after="0"/>
              <w:ind w:left="0" w:right="0" w:hanging="0"/>
              <w:jc w:val="center"/>
              <w:rPr/>
            </w:pPr>
            <w:r>
              <w:rPr/>
              <w:t> </w:t>
            </w:r>
          </w:p>
        </w:tc>
        <w:tc>
          <w:tcPr>
            <w:tcW w:w="1336"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321 Arsenal Street, Suite 101</w:t>
            </w:r>
          </w:p>
          <w:p>
            <w:pPr>
              <w:pStyle w:val="TableContents"/>
              <w:spacing w:before="0" w:after="20"/>
              <w:ind w:left="0" w:right="0" w:hanging="0"/>
              <w:jc w:val="center"/>
              <w:rPr>
                <w:rFonts w:ascii="Times New Roman;serif" w:hAnsi="Times New Roman;serif"/>
                <w:b/>
                <w:sz w:val="15"/>
              </w:rPr>
            </w:pPr>
            <w:r>
              <w:rPr>
                <w:rFonts w:ascii="Times New Roman;serif" w:hAnsi="Times New Roman;serif"/>
                <w:b/>
                <w:sz w:val="15"/>
              </w:rPr>
              <w:t>Watertown, Massachusetts</w:t>
            </w:r>
          </w:p>
        </w:tc>
        <w:tc>
          <w:tcPr>
            <w:tcW w:w="133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02472</w:t>
            </w:r>
          </w:p>
        </w:tc>
      </w:tr>
      <w:tr>
        <w:trPr/>
        <w:tc>
          <w:tcPr>
            <w:tcW w:w="259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33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center"/>
        <w:rPr>
          <w:rFonts w:ascii="Times New Roman;serif" w:hAnsi="Times New Roman;serif"/>
          <w:b/>
          <w:sz w:val="15"/>
        </w:rPr>
      </w:pPr>
      <w:r>
        <w:rPr>
          <w:rFonts w:ascii="Times New Roman;serif" w:hAnsi="Times New Roman;serif"/>
          <w:b/>
          <w:sz w:val="15"/>
        </w:rPr>
        <w:t xml:space="preserve">(617) 674-9274 </w:t>
      </w:r>
    </w:p>
    <w:p>
      <w:pPr>
        <w:pStyle w:val="TextBody"/>
        <w:spacing w:before="20" w:after="0"/>
        <w:jc w:val="center"/>
        <w:rPr>
          <w:rFonts w:ascii="Times New Roman" w:hAnsi="Times New Roman"/>
          <w:sz w:val="20"/>
        </w:rPr>
      </w:pPr>
      <w:r>
        <w:rPr>
          <w:rFonts w:ascii="Times New Roman;serif" w:hAnsi="Times New Roman;serif"/>
          <w:b/>
          <w:sz w:val="15"/>
        </w:rPr>
        <w:t>(Registrant’s telephone number, including area code)</w:t>
      </w:r>
      <w:r>
        <w:rPr>
          <w:rFonts w:ascii="Times New Roman" w:hAnsi="Times New Roman"/>
          <w:sz w:val="20"/>
        </w:rPr>
        <w:t xml:space="preserve"> </w:t>
      </w:r>
    </w:p>
    <w:p>
      <w:pPr>
        <w:pStyle w:val="TextBody"/>
        <w:spacing w:before="20" w:after="0"/>
        <w:jc w:val="center"/>
        <w:rPr>
          <w:rFonts w:ascii="Times New Roman" w:hAnsi="Times New Roman"/>
          <w:sz w:val="20"/>
        </w:rPr>
      </w:pPr>
      <w:r>
        <w:rPr>
          <w:rFonts w:ascii="Times New Roman;serif" w:hAnsi="Times New Roman;serif"/>
          <w:b/>
          <w:sz w:val="15"/>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5133" w:type="dxa"/>
        <w:jc w:val="left"/>
        <w:tblInd w:w="0" w:type="dxa"/>
        <w:tblCellMar>
          <w:top w:w="28" w:type="dxa"/>
          <w:left w:w="28" w:type="dxa"/>
          <w:bottom w:w="28" w:type="dxa"/>
          <w:right w:w="28" w:type="dxa"/>
        </w:tblCellMar>
      </w:tblPr>
      <w:tblGrid>
        <w:gridCol w:w="2386"/>
        <w:gridCol w:w="796"/>
        <w:gridCol w:w="1951"/>
      </w:tblGrid>
      <w:tr>
        <w:trPr/>
        <w:tc>
          <w:tcPr>
            <w:tcW w:w="2386"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951" w:type="dxa"/>
            <w:tcBorders/>
            <w:shd w:fill="FFFFFF" w:val="clear"/>
            <w:vAlign w:val="center"/>
          </w:tcPr>
          <w:p>
            <w:pPr>
              <w:pStyle w:val="TableContents"/>
              <w:spacing w:before="0" w:after="283"/>
              <w:rPr>
                <w:sz w:val="4"/>
                <w:szCs w:val="4"/>
              </w:rPr>
            </w:pPr>
            <w:r>
              <w:rPr>
                <w:sz w:val="4"/>
                <w:szCs w:val="4"/>
              </w:rPr>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Title of each class</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Trading</w:t>
            </w:r>
          </w:p>
          <w:p>
            <w:pPr>
              <w:pStyle w:val="TableContents"/>
              <w:spacing w:before="0" w:after="0"/>
              <w:ind w:left="0" w:right="0" w:hanging="0"/>
              <w:jc w:val="center"/>
              <w:rPr>
                <w:rFonts w:ascii="Times New Roman" w:hAnsi="Times New Roman"/>
                <w:sz w:val="15"/>
              </w:rPr>
            </w:pPr>
            <w:r>
              <w:rPr>
                <w:rFonts w:ascii="Times New Roman;serif" w:hAnsi="Times New Roman;serif"/>
                <w:b/>
                <w:sz w:val="15"/>
              </w:rPr>
              <w:t>Symbol(s)</w:t>
            </w:r>
            <w:r>
              <w:rPr>
                <w:rFonts w:ascii="Times New Roman" w:hAnsi="Times New Roman"/>
                <w:sz w:val="15"/>
              </w:rPr>
              <w:t xml:space="preserve"> </w:t>
            </w:r>
          </w:p>
        </w:tc>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Name of each exchange</w:t>
            </w:r>
          </w:p>
          <w:p>
            <w:pPr>
              <w:pStyle w:val="TableContents"/>
              <w:spacing w:before="0" w:after="0"/>
              <w:ind w:left="0" w:right="0" w:hanging="0"/>
              <w:jc w:val="center"/>
              <w:rPr>
                <w:rFonts w:ascii="Times New Roman" w:hAnsi="Times New Roman"/>
                <w:sz w:val="15"/>
              </w:rPr>
            </w:pPr>
            <w:r>
              <w:rPr>
                <w:rFonts w:ascii="Times New Roman;serif" w:hAnsi="Times New Roman;serif"/>
                <w:b/>
                <w:sz w:val="15"/>
              </w:rPr>
              <w:t>on which registered</w:t>
            </w:r>
            <w:r>
              <w:rPr>
                <w:rFonts w:ascii="Times New Roman" w:hAnsi="Times New Roman"/>
                <w:sz w:val="15"/>
              </w:rPr>
              <w:t xml:space="preserve"> </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 Stock, $0.0001 Par Value</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IRON</w:t>
            </w:r>
          </w:p>
        </w:tc>
        <w:tc>
          <w:tcPr>
            <w:tcW w:w="1951" w:type="dxa"/>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The Nasdaq Global Market</w:t>
            </w:r>
          </w:p>
        </w:tc>
      </w:tr>
    </w:tbl>
    <w:p>
      <w:pPr>
        <w:pStyle w:val="TextBody"/>
        <w:spacing w:before="40" w:after="0"/>
        <w:jc w:val="center"/>
        <w:rPr>
          <w:rFonts w:ascii="Times New Roman" w:hAnsi="Times New Roman"/>
          <w:sz w:val="20"/>
        </w:rPr>
      </w:pPr>
      <w:r>
        <w:rPr>
          <w:rFonts w:ascii="Times New Roman;serif" w:hAnsi="Times New Roman;serif"/>
          <w:b/>
          <w:sz w:val="15"/>
        </w:rPr>
        <w:t>Securities registered pursuant to Section 12(g) of the Act:</w:t>
      </w:r>
      <w:r>
        <w:rPr>
          <w:rFonts w:ascii="Times New Roman" w:hAnsi="Times New Roman"/>
          <w:sz w:val="20"/>
        </w:rPr>
        <w:t xml:space="preserve"> </w:t>
      </w:r>
    </w:p>
    <w:p>
      <w:pPr>
        <w:pStyle w:val="TextBody"/>
        <w:spacing w:before="20" w:after="0"/>
        <w:jc w:val="center"/>
        <w:rPr>
          <w:rFonts w:ascii="Times New Roman" w:hAnsi="Times New Roman"/>
          <w:sz w:val="20"/>
        </w:rPr>
      </w:pPr>
      <w:r>
        <w:rPr>
          <w:rFonts w:ascii="Times New Roman;serif" w:hAnsi="Times New Roman;serif"/>
          <w:b/>
          <w:sz w:val="15"/>
        </w:rPr>
        <w:t>None</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 </w:t>
      </w:r>
    </w:p>
    <w:p>
      <w:pPr>
        <w:pStyle w:val="TextBody"/>
        <w:spacing w:before="2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Section 15(d) of the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 </w:t>
      </w:r>
    </w:p>
    <w:p>
      <w:pPr>
        <w:pStyle w:val="TextBody"/>
        <w:spacing w:before="2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 xml:space="preserve">☐ </w:t>
      </w:r>
    </w:p>
    <w:p>
      <w:pPr>
        <w:pStyle w:val="TextBody"/>
        <w:spacing w:before="2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 xml:space="preserve">☐ </w:t>
      </w:r>
    </w:p>
    <w:p>
      <w:pPr>
        <w:pStyle w:val="TextBody"/>
        <w:spacing w:before="2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369" w:type="dxa"/>
        <w:jc w:val="left"/>
        <w:tblInd w:w="0" w:type="dxa"/>
        <w:tblCellMar>
          <w:top w:w="28" w:type="dxa"/>
          <w:left w:w="28" w:type="dxa"/>
          <w:bottom w:w="28" w:type="dxa"/>
          <w:right w:w="28" w:type="dxa"/>
        </w:tblCellMar>
      </w:tblPr>
      <w:tblGrid>
        <w:gridCol w:w="1666"/>
        <w:gridCol w:w="316"/>
        <w:gridCol w:w="202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2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2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 xml:space="preserve">☐ </w:t>
      </w:r>
    </w:p>
    <w:p>
      <w:pPr>
        <w:pStyle w:val="TextBody"/>
        <w:spacing w:before="2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spacing w:before="2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20"/>
        </w:rPr>
        <w:t>☐</w:t>
      </w:r>
    </w:p>
    <w:p>
      <w:pPr>
        <w:pStyle w:val="TextBody"/>
        <w:spacing w:before="2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 xml:space="preserve">☒ </w:t>
      </w:r>
    </w:p>
    <w:p>
      <w:pPr>
        <w:pStyle w:val="TextBody"/>
        <w:spacing w:before="20" w:after="0"/>
        <w:jc w:val="left"/>
        <w:rPr>
          <w:rFonts w:ascii="Times New Roman" w:hAnsi="Times New Roman"/>
          <w:sz w:val="20"/>
        </w:rPr>
      </w:pPr>
      <w:r>
        <w:rPr>
          <w:rFonts w:ascii="Times New Roman;serif" w:hAnsi="Times New Roman;serif"/>
          <w:b w:val="false"/>
          <w:sz w:val="16"/>
        </w:rPr>
        <w:t>The aggregate market value of Common Stock held by non-affiliates of the registrant computed by reference to the price of the registrant’s Common Stock as of June 30, 2022, the last business day of the registrant’s most recently completed second fiscal quarter, was approximately $29.0</w:t>
      </w:r>
      <w:r>
        <w:rPr>
          <w:rFonts w:ascii="Times New Roman" w:hAnsi="Times New Roman"/>
          <w:sz w:val="20"/>
        </w:rPr>
        <w:t xml:space="preserve"> </w:t>
      </w:r>
      <w:r>
        <w:rPr>
          <w:rFonts w:ascii="Times New Roman;serif" w:hAnsi="Times New Roman;serif"/>
          <w:b w:val="false"/>
          <w:sz w:val="16"/>
        </w:rPr>
        <w:t>million (based on the last reported sale price on the Nasdaq Global Market as of such date). For this computation, the registrant has excluded the market value of all shares of Common Stock reported as beneficially owned by its executive officer and directors; such exclusion shall not be deemed to constitute an admission that any such person is an affiliate of the registrant.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6"/>
        </w:rPr>
        <w:t>As of February 28, 2023, there were 18,998,025</w:t>
      </w:r>
      <w:r>
        <w:rPr>
          <w:rFonts w:ascii="Times New Roman" w:hAnsi="Times New Roman"/>
          <w:sz w:val="20"/>
        </w:rPr>
        <w:t xml:space="preserve"> </w:t>
      </w:r>
      <w:r>
        <w:rPr>
          <w:rFonts w:ascii="Times New Roman;serif" w:hAnsi="Times New Roman;serif"/>
          <w:b w:val="false"/>
          <w:sz w:val="16"/>
        </w:rPr>
        <w:t>shares of the registrant’s Common Stock, $0.0001 par value per share, outstanding.</w:t>
      </w:r>
    </w:p>
    <w:p>
      <w:pPr>
        <w:pStyle w:val="TextBody"/>
        <w:spacing w:before="0" w:after="0"/>
        <w:jc w:val="left"/>
        <w:rPr/>
      </w:pPr>
      <w:r>
        <w:rPr/>
        <w:t> </w:t>
      </w:r>
    </w:p>
    <w:tbl>
      <w:tblPr>
        <w:tblW w:w="7356" w:type="dxa"/>
        <w:jc w:val="left"/>
        <w:tblInd w:w="0" w:type="dxa"/>
        <w:tblCellMar>
          <w:top w:w="28" w:type="dxa"/>
          <w:left w:w="28" w:type="dxa"/>
          <w:bottom w:w="28" w:type="dxa"/>
          <w:right w:w="28" w:type="dxa"/>
        </w:tblCellMar>
      </w:tblPr>
      <w:tblGrid>
        <w:gridCol w:w="1321"/>
        <w:gridCol w:w="286"/>
        <w:gridCol w:w="1141"/>
        <w:gridCol w:w="1516"/>
        <w:gridCol w:w="1411"/>
        <w:gridCol w:w="1681"/>
      </w:tblGrid>
      <w:tr>
        <w:trPr/>
        <w:tc>
          <w:tcPr>
            <w:tcW w:w="13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Auditor Firm Id:</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42</w:t>
            </w:r>
          </w:p>
        </w:tc>
        <w:tc>
          <w:tcPr>
            <w:tcW w:w="11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Name:</w:t>
            </w:r>
          </w:p>
        </w:tc>
        <w:tc>
          <w:tcPr>
            <w:tcW w:w="1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Ernst &amp; Young LLP</w:t>
            </w:r>
          </w:p>
        </w:tc>
        <w:tc>
          <w:tcPr>
            <w:tcW w:w="14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16"/>
              </w:rPr>
              <w:t>Auditor Location:</w:t>
            </w:r>
          </w:p>
        </w:tc>
        <w:tc>
          <w:tcPr>
            <w:tcW w:w="1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Boston, Massachusetts</w:t>
            </w:r>
          </w:p>
        </w:tc>
      </w:tr>
    </w:tbl>
    <w:p>
      <w:pPr>
        <w:pStyle w:val="TextBody"/>
        <w:spacing w:before="0" w:after="0"/>
        <w:jc w:val="left"/>
        <w:rPr/>
      </w:pPr>
      <w:r>
        <w:rPr/>
        <w:t> </w:t>
      </w:r>
    </w:p>
    <w:p>
      <w:pPr>
        <w:pStyle w:val="TextBody"/>
        <w:pBdr>
          <w:bottom w:val="double" w:sz="6" w:space="1" w:color="000000"/>
        </w:pBdr>
        <w:spacing w:before="0" w:after="0"/>
        <w:jc w:val="left"/>
        <w:rPr/>
      </w:pPr>
      <w:r>
        <w:rPr/>
        <w:t> </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2" w:name="toc"/>
      <w:bookmarkEnd w:id="2"/>
      <w:r>
        <w:rPr>
          <w:rFonts w:ascii="Times New Roman;serif" w:hAnsi="Times New Roman;serif"/>
          <w:b/>
          <w:sz w:val="20"/>
        </w:rPr>
        <w:t>Index</w:t>
      </w:r>
      <w:r>
        <w:rPr>
          <w:rFonts w:ascii="Times New Roman" w:hAnsi="Times New Roman"/>
          <w:sz w:val="20"/>
        </w:rPr>
        <w:t xml:space="preserve"> </w:t>
      </w:r>
    </w:p>
    <w:p>
      <w:pPr>
        <w:pStyle w:val="TextBody"/>
        <w:spacing w:before="0" w:after="0"/>
        <w:jc w:val="left"/>
        <w:rPr/>
      </w:pPr>
      <w:r>
        <w:rPr/>
        <w:t> </w:t>
      </w:r>
    </w:p>
    <w:tbl>
      <w:tblPr>
        <w:tblW w:w="9768" w:type="dxa"/>
        <w:jc w:val="left"/>
        <w:tblInd w:w="0" w:type="dxa"/>
        <w:tblCellMar>
          <w:top w:w="28" w:type="dxa"/>
          <w:left w:w="28" w:type="dxa"/>
          <w:bottom w:w="28" w:type="dxa"/>
          <w:right w:w="28" w:type="dxa"/>
        </w:tblCellMar>
      </w:tblPr>
      <w:tblGrid>
        <w:gridCol w:w="811"/>
        <w:gridCol w:w="8341"/>
        <w:gridCol w:w="616"/>
      </w:tblGrid>
      <w:tr>
        <w:trPr/>
        <w:tc>
          <w:tcPr>
            <w:tcW w:w="811" w:type="dxa"/>
            <w:tcBorders/>
            <w:shd w:fill="FFFFFF" w:val="clear"/>
            <w:vAlign w:val="center"/>
          </w:tcPr>
          <w:p>
            <w:pPr>
              <w:pStyle w:val="TableContents"/>
              <w:spacing w:before="0" w:after="283"/>
              <w:rPr>
                <w:sz w:val="4"/>
                <w:szCs w:val="4"/>
              </w:rPr>
            </w:pPr>
            <w:r>
              <w:rPr>
                <w:sz w:val="4"/>
                <w:szCs w:val="4"/>
              </w:rPr>
            </w:r>
          </w:p>
        </w:tc>
        <w:tc>
          <w:tcPr>
            <w:tcW w:w="8341" w:type="dxa"/>
            <w:tcBorders/>
            <w:shd w:fill="FFFFFF" w:val="clear"/>
            <w:vAlign w:val="center"/>
          </w:tcPr>
          <w:p>
            <w:pPr>
              <w:pStyle w:val="TableContents"/>
              <w:spacing w:before="0" w:after="283"/>
              <w:rPr>
                <w:sz w:val="4"/>
                <w:szCs w:val="4"/>
              </w:rPr>
            </w:pPr>
            <w:r>
              <w:rPr>
                <w:sz w:val="4"/>
                <w:szCs w:val="4"/>
              </w:rPr>
            </w:r>
          </w:p>
        </w:tc>
        <w:tc>
          <w:tcPr>
            <w:tcW w:w="616" w:type="dxa"/>
            <w:tcBorders/>
            <w:shd w:fill="FFFFFF"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pPr>
            <w:r>
              <w:rPr/>
              <w:t> </w:t>
            </w:r>
          </w:p>
        </w:tc>
        <w:tc>
          <w:tcPr>
            <w:tcW w:w="834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pBdr>
                <w:bottom w:val="single" w:sz="6" w:space="1" w:color="000000"/>
              </w:pBdr>
              <w:spacing w:before="0" w:after="0"/>
              <w:ind w:left="0" w:right="0" w:hanging="0"/>
              <w:jc w:val="center"/>
              <w:rPr>
                <w:rFonts w:ascii="Times New Roman" w:hAnsi="Times New Roman"/>
                <w:sz w:val="20"/>
              </w:rPr>
            </w:pPr>
            <w:r>
              <w:rPr>
                <w:rFonts w:ascii="Times New Roman;serif" w:hAnsi="Times New Roman;serif"/>
                <w:b/>
                <w:sz w:val="20"/>
              </w:rPr>
              <w:t>Page</w:t>
            </w:r>
            <w:r>
              <w:rPr>
                <w:rFonts w:ascii="Times New Roman" w:hAnsi="Times New Roman"/>
                <w:sz w:val="20"/>
              </w:rPr>
              <w:t xml:space="preserve"> </w:t>
            </w:r>
          </w:p>
        </w:tc>
      </w:tr>
      <w:tr>
        <w:trPr/>
        <w:tc>
          <w:tcPr>
            <w:tcW w:w="9152" w:type="dxa"/>
            <w:gridSpan w:val="2"/>
            <w:tcBorders/>
            <w:shd w:fill="auto" w:val="clear"/>
            <w:vAlign w:val="center"/>
          </w:tcPr>
          <w:p>
            <w:pPr>
              <w:pStyle w:val="TableContents"/>
              <w:spacing w:before="0" w:after="0"/>
              <w:ind w:left="0" w:right="0" w:hanging="0"/>
              <w:jc w:val="center"/>
              <w:rPr/>
            </w:pPr>
            <w:hyperlink w:anchor="part_i">
              <w:r>
                <w:rPr>
                  <w:rStyle w:val="InternetLink"/>
                  <w:rFonts w:ascii="Times New Roman;serif" w:hAnsi="Times New Roman;serif"/>
                  <w:b/>
                  <w:sz w:val="20"/>
                  <w:u w:val="single"/>
                </w:rPr>
                <w:t>PART I</w:t>
              </w:r>
            </w:hyperlink>
          </w:p>
        </w:tc>
        <w:tc>
          <w:tcPr>
            <w:tcW w:w="616" w:type="dxa"/>
            <w:tcBorders/>
            <w:shd w:fill="auto" w:val="clear"/>
            <w:vAlign w:val="center"/>
          </w:tcPr>
          <w:p>
            <w:pPr>
              <w:pStyle w:val="TableContents"/>
              <w:spacing w:before="0" w:after="0"/>
              <w:ind w:left="0" w:right="0" w:hanging="0"/>
              <w:jc w:val="right"/>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834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341" w:type="dxa"/>
            <w:tcBorders/>
            <w:shd w:fill="auto" w:val="clear"/>
            <w:vAlign w:val="center"/>
          </w:tcPr>
          <w:p>
            <w:pPr>
              <w:pStyle w:val="TableContents"/>
              <w:spacing w:before="0" w:after="0"/>
              <w:ind w:left="0" w:right="0" w:hanging="0"/>
              <w:jc w:val="left"/>
              <w:rPr/>
            </w:pPr>
            <w:hyperlink w:anchor="item_1_business">
              <w:r>
                <w:rPr>
                  <w:rStyle w:val="InternetLink"/>
                  <w:rFonts w:ascii="Times New Roman;serif" w:hAnsi="Times New Roman;serif"/>
                  <w:b w:val="false"/>
                  <w:sz w:val="20"/>
                  <w:u w:val="single"/>
                </w:rPr>
                <w:t>Business</w:t>
              </w:r>
            </w:hyperlink>
            <w:hyperlink w:anchor="item_1_busines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341"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hyperlink w:anchor="item_1a_risk_factor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1B.</w:t>
            </w:r>
          </w:p>
        </w:tc>
        <w:tc>
          <w:tcPr>
            <w:tcW w:w="8341" w:type="dxa"/>
            <w:tcBorders/>
            <w:shd w:fill="auto" w:val="clear"/>
            <w:vAlign w:val="center"/>
          </w:tcPr>
          <w:p>
            <w:pPr>
              <w:pStyle w:val="TableContents"/>
              <w:spacing w:before="0" w:after="0"/>
              <w:ind w:left="0" w:right="0" w:hanging="0"/>
              <w:jc w:val="left"/>
              <w:rPr/>
            </w:pPr>
            <w:hyperlink w:anchor="item_1b_unresolved_staff_comments">
              <w:r>
                <w:rPr>
                  <w:rStyle w:val="InternetLink"/>
                  <w:rFonts w:ascii="Times New Roman;serif" w:hAnsi="Times New Roman;serif"/>
                  <w:b w:val="false"/>
                  <w:sz w:val="20"/>
                  <w:u w:val="single"/>
                </w:rPr>
                <w:t>Unresolved Staff Comments</w:t>
              </w:r>
            </w:hyperlink>
            <w:hyperlink w:anchor="item_1b_unresolved_staff_comment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95</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341" w:type="dxa"/>
            <w:tcBorders/>
            <w:shd w:fill="auto" w:val="clear"/>
            <w:vAlign w:val="center"/>
          </w:tcPr>
          <w:p>
            <w:pPr>
              <w:pStyle w:val="TableContents"/>
              <w:spacing w:before="0" w:after="0"/>
              <w:ind w:left="0" w:right="0" w:hanging="0"/>
              <w:jc w:val="left"/>
              <w:rPr/>
            </w:pPr>
            <w:hyperlink w:anchor="item_2_properties">
              <w:r>
                <w:rPr>
                  <w:rStyle w:val="InternetLink"/>
                  <w:rFonts w:ascii="Times New Roman;serif" w:hAnsi="Times New Roman;serif"/>
                  <w:b w:val="false"/>
                  <w:sz w:val="20"/>
                  <w:u w:val="single"/>
                </w:rPr>
                <w:t>Properties</w:t>
              </w:r>
            </w:hyperlink>
            <w:hyperlink w:anchor="item_2_propertie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95</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341" w:type="dxa"/>
            <w:tcBorders/>
            <w:shd w:fill="auto" w:val="clear"/>
            <w:vAlign w:val="center"/>
          </w:tcPr>
          <w:p>
            <w:pPr>
              <w:pStyle w:val="TableContents"/>
              <w:spacing w:before="0" w:after="0"/>
              <w:ind w:left="0" w:right="0" w:hanging="0"/>
              <w:jc w:val="left"/>
              <w:rPr/>
            </w:pPr>
            <w:hyperlink w:anchor="item_3_legal_proceedings">
              <w:r>
                <w:rPr>
                  <w:rStyle w:val="InternetLink"/>
                  <w:rFonts w:ascii="Times New Roman;serif" w:hAnsi="Times New Roman;serif"/>
                  <w:b w:val="false"/>
                  <w:sz w:val="20"/>
                  <w:u w:val="single"/>
                </w:rPr>
                <w:t>Legal Proceedings</w:t>
              </w:r>
            </w:hyperlink>
            <w:hyperlink w:anchor="item_3_legal_proceeding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95</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341"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hyperlink w:anchor="item_4_mine_safety_disclosure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95</w:t>
            </w:r>
          </w:p>
        </w:tc>
      </w:tr>
      <w:tr>
        <w:trPr/>
        <w:tc>
          <w:tcPr>
            <w:tcW w:w="9152"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9152" w:type="dxa"/>
            <w:gridSpan w:val="2"/>
            <w:tcBorders/>
            <w:shd w:fill="auto" w:val="clear"/>
            <w:vAlign w:val="center"/>
          </w:tcPr>
          <w:p>
            <w:pPr>
              <w:pStyle w:val="TableContents"/>
              <w:spacing w:before="0" w:after="0"/>
              <w:ind w:left="0" w:right="0" w:hanging="0"/>
              <w:jc w:val="center"/>
              <w:rPr/>
            </w:pPr>
            <w:hyperlink w:anchor="part_ii">
              <w:r>
                <w:rPr>
                  <w:rStyle w:val="InternetLink"/>
                  <w:rFonts w:ascii="Times New Roman;serif" w:hAnsi="Times New Roman;serif"/>
                  <w:b/>
                  <w:sz w:val="20"/>
                  <w:u w:val="single"/>
                </w:rPr>
                <w:t>PART II</w:t>
              </w:r>
            </w:hyperlink>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834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341" w:type="dxa"/>
            <w:tcBorders/>
            <w:shd w:fill="auto" w:val="clear"/>
            <w:vAlign w:val="center"/>
          </w:tcPr>
          <w:p>
            <w:pPr>
              <w:pStyle w:val="TableContents"/>
              <w:spacing w:before="0" w:after="0"/>
              <w:ind w:left="0" w:right="0" w:hanging="0"/>
              <w:jc w:val="left"/>
              <w:rPr/>
            </w:pPr>
            <w:hyperlink w:anchor="item_5_market_for_registrants_common">
              <w:r>
                <w:rPr>
                  <w:rStyle w:val="InternetLink"/>
                  <w:rFonts w:ascii="Times New Roman;serif" w:hAnsi="Times New Roman;serif"/>
                  <w:b w:val="false"/>
                  <w:sz w:val="20"/>
                  <w:u w:val="single"/>
                </w:rPr>
                <w:t xml:space="preserve">Market for Registrant’s Common Equity, Related Stockholder Matters and Issuer Purchases of Equity </w:t>
                <w:br/>
                <w:t>Securities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96</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341" w:type="dxa"/>
            <w:tcBorders/>
            <w:shd w:fill="auto" w:val="clear"/>
            <w:vAlign w:val="center"/>
          </w:tcPr>
          <w:p>
            <w:pPr>
              <w:pStyle w:val="TableContents"/>
              <w:spacing w:before="0" w:after="0"/>
              <w:ind w:left="0" w:right="0" w:hanging="0"/>
              <w:jc w:val="left"/>
              <w:rPr/>
            </w:pPr>
            <w:hyperlink w:anchor="item_6_reserved">
              <w:r>
                <w:rPr>
                  <w:rStyle w:val="InternetLink"/>
                  <w:rFonts w:ascii="Times New Roman;serif" w:hAnsi="Times New Roman;serif"/>
                  <w:b w:val="false"/>
                  <w:sz w:val="20"/>
                  <w:u w:val="single"/>
                </w:rPr>
                <w:t>Reserved</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96</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w:t>
            </w:r>
          </w:p>
        </w:tc>
        <w:tc>
          <w:tcPr>
            <w:tcW w:w="8341" w:type="dxa"/>
            <w:tcBorders/>
            <w:shd w:fill="auto" w:val="clear"/>
            <w:vAlign w:val="center"/>
          </w:tcPr>
          <w:p>
            <w:pPr>
              <w:pStyle w:val="TableContents"/>
              <w:spacing w:before="0" w:after="0"/>
              <w:ind w:left="0" w:right="0" w:hanging="0"/>
              <w:jc w:val="left"/>
              <w:rPr/>
            </w:pPr>
            <w:hyperlink w:anchor="item_7_managements_discussion_and_anal">
              <w:r>
                <w:rPr>
                  <w:rStyle w:val="InternetLink"/>
                  <w:rFonts w:ascii="Times New Roman;serif" w:hAnsi="Times New Roman;serif"/>
                  <w:b w:val="false"/>
                  <w:sz w:val="20"/>
                  <w:u w:val="single"/>
                </w:rPr>
                <w:t>Management’s Discussion and Analysis of Financial Condition and Results of Operations</w:t>
              </w:r>
            </w:hyperlink>
            <w:hyperlink w:anchor="item_7_managements_discussion_and_anal">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97</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7A.</w:t>
            </w:r>
          </w:p>
        </w:tc>
        <w:tc>
          <w:tcPr>
            <w:tcW w:w="8341" w:type="dxa"/>
            <w:tcBorders/>
            <w:shd w:fill="auto" w:val="clear"/>
            <w:vAlign w:val="center"/>
          </w:tcPr>
          <w:p>
            <w:pPr>
              <w:pStyle w:val="TableContents"/>
              <w:spacing w:before="0" w:after="0"/>
              <w:ind w:left="0" w:right="0" w:hanging="0"/>
              <w:jc w:val="left"/>
              <w:rPr/>
            </w:pPr>
            <w:hyperlink w:anchor="item_7a_quantitative_and_qualitative_dis">
              <w:r>
                <w:rPr>
                  <w:rStyle w:val="InternetLink"/>
                  <w:rFonts w:ascii="Times New Roman;serif" w:hAnsi="Times New Roman;serif"/>
                  <w:b w:val="false"/>
                  <w:sz w:val="20"/>
                  <w:u w:val="single"/>
                </w:rPr>
                <w:t>Quantitative and Qualitative Disclosures About Market Risk</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105</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8.</w:t>
            </w:r>
          </w:p>
        </w:tc>
        <w:tc>
          <w:tcPr>
            <w:tcW w:w="8341" w:type="dxa"/>
            <w:tcBorders/>
            <w:shd w:fill="auto" w:val="clear"/>
            <w:vAlign w:val="center"/>
          </w:tcPr>
          <w:p>
            <w:pPr>
              <w:pStyle w:val="TableContents"/>
              <w:spacing w:before="0" w:after="0"/>
              <w:ind w:left="0" w:right="0" w:hanging="0"/>
              <w:jc w:val="left"/>
              <w:rPr/>
            </w:pPr>
            <w:hyperlink w:anchor="item_8_consolidated_financial_statements">
              <w:r>
                <w:rPr>
                  <w:rStyle w:val="InternetLink"/>
                  <w:rFonts w:ascii="Times New Roman;serif" w:hAnsi="Times New Roman;serif"/>
                  <w:b w:val="false"/>
                  <w:sz w:val="20"/>
                  <w:u w:val="single"/>
                </w:rPr>
                <w:t>Financial Statements and Supplementary Data</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106</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w:t>
            </w:r>
          </w:p>
        </w:tc>
        <w:tc>
          <w:tcPr>
            <w:tcW w:w="8341" w:type="dxa"/>
            <w:tcBorders/>
            <w:shd w:fill="auto" w:val="clear"/>
            <w:vAlign w:val="center"/>
          </w:tcPr>
          <w:p>
            <w:pPr>
              <w:pStyle w:val="TableContents"/>
              <w:spacing w:before="0" w:after="0"/>
              <w:ind w:left="0" w:right="0" w:hanging="0"/>
              <w:jc w:val="left"/>
              <w:rPr/>
            </w:pPr>
            <w:hyperlink w:anchor="item_9_changes_in_and_disagreements_with">
              <w:r>
                <w:rPr>
                  <w:rStyle w:val="InternetLink"/>
                  <w:rFonts w:ascii="Times New Roman;serif" w:hAnsi="Times New Roman;serif"/>
                  <w:b w:val="false"/>
                  <w:sz w:val="20"/>
                  <w:u w:val="single"/>
                </w:rPr>
                <w:t>Changes in and Disagreements With Accountants on Accounting and Financial Disclosure</w:t>
              </w:r>
            </w:hyperlink>
            <w:hyperlink w:anchor="item_9_changes_in_and_disagreements_with">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132</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9A.</w:t>
            </w:r>
          </w:p>
        </w:tc>
        <w:tc>
          <w:tcPr>
            <w:tcW w:w="8341" w:type="dxa"/>
            <w:tcBorders/>
            <w:shd w:fill="auto" w:val="clear"/>
            <w:vAlign w:val="center"/>
          </w:tcPr>
          <w:p>
            <w:pPr>
              <w:pStyle w:val="TableContents"/>
              <w:spacing w:before="0" w:after="0"/>
              <w:ind w:left="0" w:right="0" w:hanging="0"/>
              <w:jc w:val="left"/>
              <w:rPr/>
            </w:pPr>
            <w:hyperlink w:anchor="item_9a_controls_and_procedures">
              <w:r>
                <w:rPr>
                  <w:rStyle w:val="InternetLink"/>
                  <w:rFonts w:ascii="Times New Roman;serif" w:hAnsi="Times New Roman;serif"/>
                  <w:b w:val="false"/>
                  <w:sz w:val="20"/>
                  <w:u w:val="single"/>
                </w:rPr>
                <w:t>Controls and Procedures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132</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9B.</w:t>
            </w:r>
          </w:p>
        </w:tc>
        <w:tc>
          <w:tcPr>
            <w:tcW w:w="8341" w:type="dxa"/>
            <w:tcBorders/>
            <w:shd w:fill="auto" w:val="clear"/>
            <w:vAlign w:val="center"/>
          </w:tcPr>
          <w:p>
            <w:pPr>
              <w:pStyle w:val="TableContents"/>
              <w:spacing w:before="0" w:after="0"/>
              <w:ind w:left="0" w:right="0" w:hanging="0"/>
              <w:jc w:val="left"/>
              <w:rPr/>
            </w:pPr>
            <w:hyperlink w:anchor="item_9b_other_information">
              <w:r>
                <w:rPr>
                  <w:rStyle w:val="InternetLink"/>
                  <w:rFonts w:ascii="Times New Roman;serif" w:hAnsi="Times New Roman;serif"/>
                  <w:b w:val="false"/>
                  <w:sz w:val="20"/>
                  <w:u w:val="single"/>
                </w:rPr>
                <w:t>Other Information</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132</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9C.</w:t>
            </w:r>
          </w:p>
        </w:tc>
        <w:tc>
          <w:tcPr>
            <w:tcW w:w="8341" w:type="dxa"/>
            <w:tcBorders/>
            <w:shd w:fill="auto" w:val="clear"/>
            <w:vAlign w:val="center"/>
          </w:tcPr>
          <w:p>
            <w:pPr>
              <w:pStyle w:val="TableContents"/>
              <w:spacing w:before="0" w:after="0"/>
              <w:ind w:left="0" w:right="0" w:hanging="0"/>
              <w:jc w:val="left"/>
              <w:rPr/>
            </w:pPr>
            <w:hyperlink w:anchor="item_9c_disclosure_regarding_foreign">
              <w:r>
                <w:rPr>
                  <w:rStyle w:val="InternetLink"/>
                  <w:rFonts w:ascii="Times New Roman;serif" w:hAnsi="Times New Roman;serif"/>
                  <w:b w:val="false"/>
                  <w:sz w:val="20"/>
                  <w:u w:val="single"/>
                </w:rPr>
                <w:t>Disclosures Regarding Foreign Jurisdictions That Prevent Inspections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132</w:t>
            </w:r>
          </w:p>
        </w:tc>
      </w:tr>
      <w:tr>
        <w:trPr/>
        <w:tc>
          <w:tcPr>
            <w:tcW w:w="9152"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9152" w:type="dxa"/>
            <w:gridSpan w:val="2"/>
            <w:tcBorders/>
            <w:shd w:fill="auto" w:val="clear"/>
            <w:vAlign w:val="center"/>
          </w:tcPr>
          <w:p>
            <w:pPr>
              <w:pStyle w:val="TableContents"/>
              <w:spacing w:before="0" w:after="0"/>
              <w:ind w:left="0" w:right="0" w:hanging="0"/>
              <w:jc w:val="center"/>
              <w:rPr/>
            </w:pPr>
            <w:hyperlink w:anchor="part_iii">
              <w:r>
                <w:rPr>
                  <w:rStyle w:val="InternetLink"/>
                  <w:rFonts w:ascii="Times New Roman;serif" w:hAnsi="Times New Roman;serif"/>
                  <w:b/>
                  <w:sz w:val="20"/>
                  <w:u w:val="single"/>
                </w:rPr>
                <w:t>PART III</w:t>
              </w:r>
            </w:hyperlink>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834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10.</w:t>
            </w:r>
          </w:p>
        </w:tc>
        <w:tc>
          <w:tcPr>
            <w:tcW w:w="8341" w:type="dxa"/>
            <w:tcBorders/>
            <w:shd w:fill="auto" w:val="clear"/>
            <w:vAlign w:val="center"/>
          </w:tcPr>
          <w:p>
            <w:pPr>
              <w:pStyle w:val="TableContents"/>
              <w:spacing w:before="0" w:after="0"/>
              <w:ind w:left="0" w:right="0" w:hanging="0"/>
              <w:jc w:val="left"/>
              <w:rPr/>
            </w:pPr>
            <w:hyperlink w:anchor="item_10_directors_executive_officers">
              <w:r>
                <w:rPr>
                  <w:rStyle w:val="InternetLink"/>
                  <w:rFonts w:ascii="Times New Roman;serif" w:hAnsi="Times New Roman;serif"/>
                  <w:b w:val="false"/>
                  <w:sz w:val="20"/>
                  <w:u w:val="single"/>
                </w:rPr>
                <w:t>Directors, Executive Officers and Corporate Governance</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133</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11.</w:t>
            </w:r>
          </w:p>
        </w:tc>
        <w:tc>
          <w:tcPr>
            <w:tcW w:w="8341" w:type="dxa"/>
            <w:tcBorders/>
            <w:shd w:fill="auto" w:val="clear"/>
            <w:vAlign w:val="center"/>
          </w:tcPr>
          <w:p>
            <w:pPr>
              <w:pStyle w:val="TableContents"/>
              <w:spacing w:before="0" w:after="0"/>
              <w:ind w:left="0" w:right="0" w:hanging="0"/>
              <w:jc w:val="left"/>
              <w:rPr/>
            </w:pPr>
            <w:hyperlink w:anchor="item_11_executive_compensation">
              <w:r>
                <w:rPr>
                  <w:rStyle w:val="InternetLink"/>
                  <w:rFonts w:ascii="Times New Roman;serif" w:hAnsi="Times New Roman;serif"/>
                  <w:b w:val="false"/>
                  <w:sz w:val="20"/>
                  <w:u w:val="single"/>
                </w:rPr>
                <w:t>Executive Compensation</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142</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12.</w:t>
            </w:r>
          </w:p>
        </w:tc>
        <w:tc>
          <w:tcPr>
            <w:tcW w:w="8341" w:type="dxa"/>
            <w:tcBorders/>
            <w:shd w:fill="auto" w:val="clear"/>
            <w:vAlign w:val="center"/>
          </w:tcPr>
          <w:p>
            <w:pPr>
              <w:pStyle w:val="TableContents"/>
              <w:spacing w:before="0" w:after="0"/>
              <w:ind w:left="0" w:right="0" w:hanging="0"/>
              <w:jc w:val="left"/>
              <w:rPr/>
            </w:pPr>
            <w:hyperlink w:anchor="item_12_security_ownership_of_certain_be">
              <w:r>
                <w:rPr>
                  <w:rStyle w:val="InternetLink"/>
                  <w:rFonts w:ascii="Times New Roman;serif" w:hAnsi="Times New Roman;serif"/>
                  <w:b w:val="false"/>
                  <w:sz w:val="20"/>
                  <w:u w:val="single"/>
                </w:rPr>
                <w:t>Security Ownership of Certain Beneficial Owners and Management and Related Stockholder Matters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147</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13.</w:t>
            </w:r>
          </w:p>
        </w:tc>
        <w:tc>
          <w:tcPr>
            <w:tcW w:w="8341" w:type="dxa"/>
            <w:tcBorders/>
            <w:shd w:fill="auto" w:val="clear"/>
            <w:vAlign w:val="center"/>
          </w:tcPr>
          <w:p>
            <w:pPr>
              <w:pStyle w:val="TableContents"/>
              <w:spacing w:before="0" w:after="0"/>
              <w:ind w:left="0" w:right="0" w:hanging="0"/>
              <w:jc w:val="left"/>
              <w:rPr/>
            </w:pPr>
            <w:hyperlink w:anchor="item_13_certain_relationships_and">
              <w:r>
                <w:rPr>
                  <w:rStyle w:val="InternetLink"/>
                  <w:rFonts w:ascii="Times New Roman;serif" w:hAnsi="Times New Roman;serif"/>
                  <w:b w:val="false"/>
                  <w:sz w:val="20"/>
                  <w:u w:val="single"/>
                </w:rPr>
                <w:t>Certain Relationships and Related Transactions, and Director Independence</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150</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14.</w:t>
            </w:r>
          </w:p>
        </w:tc>
        <w:tc>
          <w:tcPr>
            <w:tcW w:w="8341" w:type="dxa"/>
            <w:tcBorders/>
            <w:shd w:fill="auto" w:val="clear"/>
            <w:vAlign w:val="center"/>
          </w:tcPr>
          <w:p>
            <w:pPr>
              <w:pStyle w:val="TableContents"/>
              <w:spacing w:before="0" w:after="0"/>
              <w:ind w:left="0" w:right="0" w:hanging="0"/>
              <w:jc w:val="left"/>
              <w:rPr/>
            </w:pPr>
            <w:hyperlink w:anchor="item_14_principal_accounting_fees">
              <w:r>
                <w:rPr>
                  <w:rStyle w:val="InternetLink"/>
                  <w:rFonts w:ascii="Times New Roman;serif" w:hAnsi="Times New Roman;serif"/>
                  <w:b w:val="false"/>
                  <w:sz w:val="20"/>
                  <w:u w:val="single"/>
                </w:rPr>
                <w:t>Principal Accounting Fees and Services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151</w:t>
            </w:r>
          </w:p>
        </w:tc>
      </w:tr>
      <w:tr>
        <w:trPr/>
        <w:tc>
          <w:tcPr>
            <w:tcW w:w="9152"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9152" w:type="dxa"/>
            <w:gridSpan w:val="2"/>
            <w:tcBorders/>
            <w:shd w:fill="auto" w:val="clear"/>
            <w:vAlign w:val="center"/>
          </w:tcPr>
          <w:p>
            <w:pPr>
              <w:pStyle w:val="TableContents"/>
              <w:spacing w:before="0" w:after="0"/>
              <w:ind w:left="0" w:right="0" w:hanging="0"/>
              <w:jc w:val="center"/>
              <w:rPr/>
            </w:pPr>
            <w:hyperlink w:anchor="part_iv">
              <w:r>
                <w:rPr>
                  <w:rStyle w:val="InternetLink"/>
                  <w:rFonts w:ascii="Times New Roman;serif" w:hAnsi="Times New Roman;serif"/>
                  <w:b/>
                  <w:sz w:val="20"/>
                  <w:u w:val="single"/>
                </w:rPr>
                <w:t>PART IV</w:t>
              </w:r>
            </w:hyperlink>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pPr>
            <w:r>
              <w:rPr/>
              <w:t> </w:t>
            </w:r>
          </w:p>
        </w:tc>
        <w:tc>
          <w:tcPr>
            <w:tcW w:w="834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15.</w:t>
            </w:r>
          </w:p>
        </w:tc>
        <w:tc>
          <w:tcPr>
            <w:tcW w:w="8341" w:type="dxa"/>
            <w:tcBorders/>
            <w:shd w:fill="auto" w:val="clear"/>
            <w:vAlign w:val="center"/>
          </w:tcPr>
          <w:p>
            <w:pPr>
              <w:pStyle w:val="TableContents"/>
              <w:spacing w:before="0" w:after="0"/>
              <w:ind w:left="0" w:right="0" w:hanging="0"/>
              <w:jc w:val="left"/>
              <w:rPr/>
            </w:pPr>
            <w:hyperlink w:anchor="item_15_exhibits_financial_statement">
              <w:r>
                <w:rPr>
                  <w:rStyle w:val="InternetLink"/>
                  <w:rFonts w:ascii="Times New Roman;serif" w:hAnsi="Times New Roman;serif"/>
                  <w:b w:val="false"/>
                  <w:sz w:val="20"/>
                  <w:u w:val="single"/>
                </w:rPr>
                <w:t>Exhibits, Financial Statement Schedules</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153</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16.</w:t>
            </w:r>
          </w:p>
        </w:tc>
        <w:tc>
          <w:tcPr>
            <w:tcW w:w="8341" w:type="dxa"/>
            <w:tcBorders/>
            <w:shd w:fill="auto" w:val="clear"/>
            <w:vAlign w:val="center"/>
          </w:tcPr>
          <w:p>
            <w:pPr>
              <w:pStyle w:val="TableContents"/>
              <w:spacing w:before="0" w:after="0"/>
              <w:ind w:left="0" w:right="0" w:hanging="0"/>
              <w:jc w:val="left"/>
              <w:rPr/>
            </w:pPr>
            <w:hyperlink w:anchor="item_16_10k_summary">
              <w:r>
                <w:rPr>
                  <w:rStyle w:val="InternetLink"/>
                  <w:rFonts w:ascii="Times New Roman;serif" w:hAnsi="Times New Roman;serif"/>
                  <w:b w:val="false"/>
                  <w:sz w:val="20"/>
                  <w:u w:val="single"/>
                </w:rPr>
                <w:t>Form 10-K Summary</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156</w:t>
            </w:r>
          </w:p>
        </w:tc>
      </w:tr>
      <w:tr>
        <w:trPr/>
        <w:tc>
          <w:tcPr>
            <w:tcW w:w="9152" w:type="dxa"/>
            <w:gridSpan w:val="2"/>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hyperlink w:anchor="signatures">
              <w:r>
                <w:rPr>
                  <w:rStyle w:val="InternetLink"/>
                  <w:rFonts w:ascii="Times New Roman" w:hAnsi="Times New Roman"/>
                  <w:sz w:val="20"/>
                </w:rPr>
                <w:t xml:space="preserve"> </w:t>
              </w:r>
            </w:hyperlink>
          </w:p>
        </w:tc>
        <w:tc>
          <w:tcPr>
            <w:tcW w:w="6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157</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efficiently discover and develop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and the potential to successfully manufacture our drug substances and product candidates for preclinical use, for clinical trials and on a larger scale for commercial use,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funding for our operations necessary to complete further development and commercialization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maintain regulatory approval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commercialize our products,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pricing and reimbursement of our product candidates,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and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estimates of our future expenses, revenues, capital requirements, and our needs for additional financing;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agreements with third parties in connection with the commercialization of product candidates and any other approved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size and growth potential of the markets for our product candidates, and our ability to serve those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developments in the United States and foreign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contract with third-party suppliers and manufacturers and their ability to perform adequately;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produce our products or product candidates with advantages in turnaround times or manufacturing cost;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 of competing therapies that are or may become available;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attract and retain key scientific or management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laws and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relating to our competitors and our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risks and uncertainties, including those listed under the caption “Risk Factors.”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maintain the listing of our common stock on Nasdaq;</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 of downturns in the economy and the possibility of rapid change in the highly competitive industry in which we operate;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 that we will need to raise additional capital to execute our business plan, which may not be available on acceptable terms or at all;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risk that we experience difficulties in managing our growth and expanding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rPr/>
      </w:pPr>
      <w:r>
        <w:rPr/>
      </w:r>
    </w:p>
    <w:p>
      <w:pPr>
        <w:pStyle w:val="TextBody"/>
        <w:spacing w:before="240" w:after="0"/>
        <w:jc w:val="center"/>
        <w:rPr>
          <w:rFonts w:ascii="Times New Roman" w:hAnsi="Times New Roman"/>
          <w:sz w:val="20"/>
        </w:rPr>
      </w:pPr>
      <w:r>
        <w:rPr>
          <w:rFonts w:ascii="Times New Roman;serif" w:hAnsi="Times New Roman;serif"/>
          <w:b/>
          <w:sz w:val="20"/>
        </w:rPr>
        <w:t>RISK FACTOR SUMMARY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limited operating history may make it difficult for you to evaluate the success of our business to date and to assess our future viability.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incurred significant net losses since our inception and anticipate that we will continue to incur losses for the foreseeable future.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no products approved for commercial sale and have not generated any revenue from product sales.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will need to raise substantial additional funding. If we are unable to raise capital when needed or on terms acceptable to us, we would be forced to delay, reduce, or eliminate some of our product development programs or commercialization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programs are focused on the development of therapeutics for patients with hematologic diseases, which is a rapidly evolving area of science, and the approach we are taking to discover and develop product candidates is novel and may never lead to approved or marketable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Interim, top-line, and preliminary data from our clinical trials that we announce or publish from time to time may change as more patient data become available and are subject to confirmation, audit, and verification procedures that could result in material changes in the final data.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experience delays or difficulties in the enrollment of patients in clinical trials, our receipt of necessary regulatory approvals could be delayed or prevented.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clinical trials or those of our future collaborators may reveal significant adverse events not seen in prior preclinical studies or clinical trials and may result in a safety profile that could inhibit regulatory approval or market acceptance of any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substantial competition, which may result in others discovering, developing, or commercializing products before or more successfully than we do.</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If our current product candidates or any future product candidates do not achieve broad market acceptance, the revenue that we generate from our sales may be limited, and we may never become profitable.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might not realize the anticipated benefits of our current collaborations with Mabwell or NIH, or any other collaborations we enter into in the future.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obtain or grant licenses or sublicenses to intellectual property rights in all markets on equally or sufficiently favorable terms with third parties.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Intellectual property rights do not guarantee commercial success of current or future product candidates or other business activities. Numerous factors may limit any potential competitive advantage provided by our intellectual property rights.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future success depends on our ability to retain key executives and experienced scientists and to attract, retain, and motivate qualified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Unfavorable global economic conditions could adversely affect our business, financial condition or results of operations.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market price of our common stock is expected to be volatile.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will incur additional costs and increased demands upon management as a result of complying with the laws and regulations affecting public companies.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Provisions in our charter documents and under Delaware law could make an acquisition of us more difficult and may discourage any takeover attempts our stockholders may consider favorable, and may lead to entrenchment of management.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section contains forward-looking statements. You should refer to the explanation of the qualifications and limitations on forward-looking statements beginning on page ii.</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rPr/>
      </w:pPr>
      <w:r>
        <w:rPr/>
      </w:r>
    </w:p>
    <w:p>
      <w:pPr>
        <w:pStyle w:val="TextBody"/>
        <w:spacing w:before="240" w:after="0"/>
        <w:jc w:val="center"/>
        <w:rPr>
          <w:rFonts w:ascii="Times New Roman" w:hAnsi="Times New Roman"/>
          <w:sz w:val="20"/>
        </w:rPr>
      </w:pPr>
      <w:bookmarkStart w:id="3" w:name="part_i"/>
      <w:bookmarkEnd w:id="3"/>
      <w:r>
        <w:rPr>
          <w:rFonts w:ascii="Times New Roman;serif" w:hAnsi="Times New Roman;serif"/>
          <w:b/>
          <w:sz w:val="20"/>
        </w:rPr>
        <w:t>PART I</w:t>
      </w:r>
      <w:r>
        <w:rPr>
          <w:rFonts w:ascii="Times New Roman" w:hAnsi="Times New Roman"/>
          <w:sz w:val="20"/>
        </w:rPr>
        <w:t xml:space="preserve"> </w:t>
      </w:r>
    </w:p>
    <w:p>
      <w:pPr>
        <w:pStyle w:val="TextBody"/>
        <w:spacing w:before="240" w:after="0"/>
        <w:jc w:val="left"/>
        <w:rPr>
          <w:rFonts w:ascii="Times New Roman" w:hAnsi="Times New Roman"/>
          <w:sz w:val="20"/>
        </w:rPr>
      </w:pPr>
      <w:bookmarkStart w:id="4" w:name="tx237577_1"/>
      <w:bookmarkEnd w:id="4"/>
      <w:r>
        <w:rPr>
          <w:rFonts w:ascii="Times New Roman;serif" w:hAnsi="Times New Roman;serif"/>
          <w:b w:val="false"/>
          <w:i/>
          <w:sz w:val="20"/>
        </w:rPr>
        <w:t>Except where the context otherwise requires or where otherwise indicated, the terms “Disc,” “we,” “us,” “our,” “our company,” “the company,” and “our business” refer to Disc Medicine, Inc. and its consolidated subsidiaries.</w:t>
      </w:r>
      <w:r>
        <w:rPr>
          <w:rFonts w:ascii="Times New Roman" w:hAnsi="Times New Roman"/>
          <w:sz w:val="20"/>
        </w:rPr>
        <w:t xml:space="preserve"> </w:t>
      </w:r>
    </w:p>
    <w:p>
      <w:pPr>
        <w:pStyle w:val="TextBody"/>
        <w:spacing w:before="135" w:after="0"/>
        <w:jc w:val="left"/>
        <w:rPr>
          <w:rFonts w:ascii="Times New Roman" w:hAnsi="Times New Roman"/>
          <w:sz w:val="20"/>
        </w:rPr>
      </w:pPr>
      <w:bookmarkStart w:id="5" w:name="item_1_business"/>
      <w:bookmarkEnd w:id="5"/>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BUSINESS</w:t>
      </w:r>
    </w:p>
    <w:p>
      <w:pPr>
        <w:pStyle w:val="TextBody"/>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expect interim data from BEACON in the first half of 2023 and topline data from AURORA by year-end 2023.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interim data from both of these trials in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pStyle w:val="TextBody"/>
        <w:spacing w:before="120" w:after="0"/>
        <w:jc w:val="left"/>
        <w:rPr>
          <w:rFonts w:ascii="Times New Roman" w:hAnsi="Times New Roman"/>
          <w:sz w:val="20"/>
        </w:rPr>
      </w:pPr>
      <w:r>
        <w:rPr>
          <w:rFonts w:ascii="Times New Roman;serif" w:hAnsi="Times New Roman;serif"/>
          <w:b w:val="false"/>
          <w:sz w:val="20"/>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Heme Biosynthesis Modulation: Bitopertin</w:t>
      </w:r>
    </w:p>
    <w:p>
      <w:pPr>
        <w:pStyle w:val="TextBody"/>
        <w:spacing w:before="120" w:after="0"/>
        <w:jc w:val="left"/>
        <w:rPr>
          <w:rFonts w:ascii="Times New Roman" w:hAnsi="Times New Roman"/>
          <w:sz w:val="20"/>
        </w:rPr>
      </w:pPr>
      <w:r>
        <w:rPr>
          <w:rFonts w:ascii="Times New Roman;serif" w:hAnsi="Times New Roman;serif"/>
          <w:b w:val="false"/>
          <w:sz w:val="20"/>
        </w:rPr>
        <w:t>Our first therapeutic approach is focused on the modulation of heme biosynthesis, a multistep enzymatic process that is highly active in the formation of new red blood cells. We believe this approach has the potential to address a wide range of hematologic diseases where red blood cell formation becomes dysregulated. This includes a family of rare diseases called porphyrias, which are caused by genetic or acquired defects in the enzymes that mediate heme biosynthesis and result in the accumulation of toxic metabolites called porphyrins. Bitopertin is the most advanced product candidate in our heme biosynthesis portfolio. It is designed to be an oral, selective inhibitor of GlyT1, a key membrane transporter required to supply developing red blood cells with sufficient amounts of the amino acid glycine to support erythropoiesis. Glycine is necessary for the first step of heme biosynthesis, and by limiting glycine uptake in newly forming red blood cells, bitopertin has the potential to reduce the activity of the heme biosynthesis pathway, thereby reducing the pathological accumulation of toxic metabolites.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2021, we licensed the worldwide rights to develop and commercialize bitopertin from Roche, a pharmaceutical company that had previously evaluated bitopertin in a comprehensive clinical program in over 4,000 individuals, originally with a focus on treating certain neurologic disorders. The data generated in these clinical trials failed to establish the efficacy of bitopertin in neurologic disorders. However, the data did demonstrate that, by limiting glycine uptake in newly forming red blood cells, bitopertin reduced the activity of the heme biosynthesis pathway, and we believe that this effect has the potential to treat many hematologic disorders. In addition, bitopertin was observed to be well tolerated in humans, with adverse events reported to be generally mild and infrequent across all trials conducted by Roche including at daily oral doses well above those that we plan to use in our clinical trials. We are initially focused on developing bitopertin for the treatment of EPP and XLP which are both diseases marked by severe photosensitivity and damage to the hepatobiliary system caused by the accumulation of protoporphyrin IX, or PPIX, a toxic metabolite of the heme biosynthesis pathway. Based on the demonstrated activity of bitopertin as a GlyT1 inhibitor and suppressor of heme biosynthesis in the clinical trials conducted by Roche, as well as the preclinical data we have generated in disease-relevant animal models and human cellular models, we have initiated a clinical program of bitopertin for EPP and XLP. In July 2022, we initiated BEACON, a Phase 2 open-label, parallel-dose clinical trial of bitopertin in EPP and XLP patients that is being conducted at sites in Australia. Interim data is expected in the first half of 2023. Separately, in October 2022, we initiated AURORA, a Phase 2, randomized, double-blind, placebo-controlled clinical trial of bitopertin in EPP patients that is being conducted at sites in the United States. In July 2022, we received IND clearance from the FDA. Topline data from AURORA is expected by year-end 2023. We also plan to explore the potential of bitopertin to treat other hematologic diseases, and entered into a collaborative research and development agreement with the NIH to conduct an NIH-sponsored clinical trial of bitopertin in DBA. The FDA authorized the clinical trial to proceed and we expect the trial to begin by mid-year 2023.</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Targeting the Hepcidin Pathway to Modulate Iron Homeostasis: Anti-Hemojuvelin mAbs and TMPRSS6 inhibitor Programs</w:t>
      </w:r>
    </w:p>
    <w:p>
      <w:pPr>
        <w:pStyle w:val="TextBody"/>
        <w:spacing w:before="120" w:after="0"/>
        <w:jc w:val="left"/>
        <w:rPr>
          <w:rFonts w:ascii="Times New Roman" w:hAnsi="Times New Roman"/>
          <w:sz w:val="20"/>
        </w:rPr>
      </w:pPr>
      <w:r>
        <w:rPr>
          <w:rFonts w:ascii="Times New Roman;serif" w:hAnsi="Times New Roman;serif"/>
          <w:b w:val="false"/>
          <w:sz w:val="20"/>
        </w:rPr>
        <w:t>We are also developing a portfolio of product candidates focused on modulating iron homeostasis. Our initial product candidates aim to control the production of hepcidin, which is the master regulator of iron homeostasis. Iron is an essential element that is required for erythropoiesis as well as other important biological functions, and when iron homeostasis becomes dysregulated, it can cause a wide range of diseases. We believe that modulating the production of hepcidin to correct pathologic alterations in iron homeostasis has the potential to be a powerful therapeutic strategy. We are leveraging two approaches that are designed to either suppress or induce hepcidin production in order to increase or decrease serum iron levels, respectively.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lead product candidate in our iron homeostasis portfolio, DISC-0974, is designed to suppress hepcidin production and is in development for the treatment of anemia associated with inflammatory diseases. DISC-0974, an antibody that we in-licensed from AbbVie, is designed to inhibit HJV, a critical regulator of hepcidin production. We selected this target because the effects of inhibiting HJV, namely decreased hepcidin and increased serum iron levels, have been genetically demonstrated in both animal knockout studies and in patients with juvenile hemochromatosis who lack fully functional genes encoding HJV. We have completed our Phase 1, placebo-controlled, single-ascending dose clinical trial of DISC-0974 in healthy volunteers. Data from the Phase 1 clinical trial showed an acceptable tolerability profile and evidence of target engagement and iron mobilization and augmented erythropoiesis. At the highest dose, a single 56 mg dose delivered by subcutaneous administration, DISC-0974 increased hemoglobin levels by greater than 1 g/dL relative to the placebo group. Data from the Phase 1 trial were presented at the 2022 European Hematology Association meeting and the 2022 American Society of Hematology annual meeting. We initiated a Phase 1b/2 open-label clinical trial in patients with anemia of MF in July 2022 and initiated a separate Phase 1b/2 placebo controlled, single- and multiple-ascending dose clinical trial in patients with non-dialysis dependent CKD and anemia in February 2023. We expect interim data from both of these trials in 2023. DISC-0974 has undergone testing in healthy volunteers and has just begun clinical testing for anemia of MF and CKD, and therefore there can be no assurance that DISC-0974 will achieve the desired effects in these indications. In addition, we are developing a preclinical anti-HJV monoclonal antibody, DISC-0998, which also is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our portfolio to modulate iron homeostasis, we are also advancing MWTX-003, a monoclonal antibody against TMPRSS6 that we in-licensed from Mabwell. MWTX-003 is part of our iron homeostasis portfolio and is designed to induce hepcidin production and reduce serum iron levels. An IND for MWTX-003 has been cleared by the FDA, and we plan to initiate a Phase 1 clinical trial in healthy volunteers in the second half of 2023. We plan to develop MWTX-003 for the treatment of disease where iron restriction may be beneficial, initially for patients with PV as well as diseases of iron overload. We selected this target based on the genetic confirmation of the effects of decreased TMPRSS6 activity in both animal knockout studies and in patients with iron-refractory iron deficiency anemia who lack fully functional genes encoding TMPRSS6.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Our Pipeline</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are building an innovative pipeline of product candidates that aim to modify fundamental biological pathways associated with the formation and function of red blood cells. We own worldwide rights to each of our current product candidates.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Clinical-Stage Product Candidates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diagram below reflects the status of the clinical-stage product candidates, bitopertin, DISC-0974 and MWTX-003, and clinical trials that have been completed, are ongoing or are expected to initiate by the end of 2023. The timelines described reflect our current expectations and beliefs based on our internal plans and certain limited regulatory interactions to date.</w:t>
      </w:r>
    </w:p>
    <w:p>
      <w:pPr>
        <w:pStyle w:val="TextBody"/>
        <w:spacing w:before="295" w:after="0"/>
        <w:jc w:val="center"/>
        <w:rPr/>
      </w:pPr>
      <w:r>
        <w:rPr/>
        <w:drawing>
          <wp:inline distT="0" distB="0" distL="0" distR="0">
            <wp:extent cx="6638925" cy="2695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38925" cy="26955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also plan to develop bitopertin, DISC-0974 and MWTX-003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FDA authorized the clinical trial to proceed and we expect the trial to begin by mid-year 2023.</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Preclinical Product Candidates</w:t>
      </w:r>
    </w:p>
    <w:p>
      <w:pPr>
        <w:pStyle w:val="TextBody"/>
        <w:spacing w:before="120" w:after="0"/>
        <w:jc w:val="left"/>
        <w:rPr>
          <w:rFonts w:ascii="Times New Roman" w:hAnsi="Times New Roman"/>
          <w:sz w:val="20"/>
        </w:rPr>
      </w:pPr>
      <w:r>
        <w:rPr>
          <w:rFonts w:ascii="Times New Roman;serif" w:hAnsi="Times New Roman;serif"/>
          <w:b w:val="false"/>
          <w:sz w:val="20"/>
        </w:rPr>
        <w:t>We also have preclinical-stage programs in development. This includes DISC-0998: a separate, preclinical anti-HJV monoclonal antibody, which is also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Our Corporate History and Team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and establishing and maintaining our intellectual property portfolio.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and Tibsovo, as well as numerous late-stage clinical and approved therapies for other therapeutic areas. Our team has significant previous experience at leading biotechnology and pharmaceutical companies, including Acceleron Pharma, Inc., Agios Pharmaceuticals, Inc., Astellas Pharma, Inc., Bristol-Myers Squibb Company, GlaxoSmithKline, Johnson &amp; Johnson, Merck &amp; Co., Inc., Takeda Pharmaceutical Co.,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Our Strategy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Advance the clinical development of bitopertin for the treatment of patients with EPP and XLP and expand into other diseases characterized by dysregulation of the heme biosynthesis pathway. </w:t>
      </w:r>
      <w:r>
        <w:rPr>
          <w:rFonts w:ascii="Times New Roman;serif" w:hAnsi="Times New Roman;serif"/>
          <w:b w:val="false"/>
          <w:sz w:val="20"/>
        </w:rPr>
        <w:t xml:space="preserve">In multiple clinical trials conducted by Roche in other indications, 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and the compelling preclinical data we have generated, we believe bitopertin has the potential to be a disease-modifying treatment for these patients. In July 2022, we initiated BEACON, a Phase 2 open-label, parallel-dose clinical trial of bitopertin in EPP and XLP patients that is being conducted at sites in Australia. Interim data is expected in the first half of 2023. Separately, in July 2022, we received IND clearance from the FDA and in October 2022 initiated AURORA. AURORA is a Phase 2, randomized, double-blind, placebo-controlled clinical trial of bitopertin in EPP patients that is being conducted at sites in the United States. Topline data from AURORA is expected by year-end 2023. We also plan to explore the potential of bitopertin to treat other hematologic diseases, including DBA. </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Advance the clinical development of DISC-0974 for the treatment of anemia associated with MF, CKD and other inflammatory diseases. </w:t>
      </w:r>
      <w:r>
        <w:rPr>
          <w:rFonts w:ascii="Times New Roman;serif" w:hAnsi="Times New Roman;serif"/>
          <w:b w:val="false"/>
          <w:sz w:val="20"/>
        </w:rPr>
        <w:t>We are initially developing our lead hepcidin-suppressing program, DISC-0974, for the treatment of anemia associated with MF and CKD. We have completed a Phase 1, placebo-controlled, single-ascending dose clinical trial of DISC-0974 in healthy volunteers. Data from the Phase 1 clinical trial showed an acceptable tolerability profile and evidence of target engagement and iron mobilization and augmented erythropoiesis. We initiated a Phase 1b/2 open-label clinical trial in patients with anemia of MF in June 2022 and initiated a separate Phase 1b/2 placebo controlled, single/multiple ascending dose clinical trial in patients with non-dialysis dependent CKD and anemia in February 2023. We expect interim data from these two trials in 2023. We also plan to further expand the development of DISC-0974 into anemias associated with other inflammatory diseases, such as inflammatory bowel disease.</w:t>
      </w:r>
    </w:p>
    <w:p>
      <w:pPr>
        <w:pStyle w:val="TextBody"/>
        <w:spacing w:before="120" w:after="0"/>
        <w:jc w:val="left"/>
        <w:rPr/>
      </w:pPr>
      <w:r>
        <w:rPr/>
        <w:t>•</w:t>
      </w:r>
    </w:p>
    <w:p>
      <w:pPr>
        <w:pStyle w:val="TextBody"/>
        <w:spacing w:before="120" w:after="0"/>
        <w:jc w:val="left"/>
        <w:rPr/>
      </w:pPr>
      <w:r>
        <w:rPr>
          <w:rFonts w:ascii="Times New Roman;serif" w:hAnsi="Times New Roman;serif"/>
          <w:b/>
          <w:sz w:val="20"/>
        </w:rPr>
        <w:t xml:space="preserve">Advance the clinical development of MWTX-003 for the treatment of PV and expand into other diseases associated with excess iron availability. </w:t>
      </w:r>
      <w:r>
        <w:rPr>
          <w:rFonts w:ascii="Times New Roman;serif" w:hAnsi="Times New Roman;serif"/>
          <w:b w:val="false"/>
          <w:sz w:val="20"/>
        </w:rPr>
        <w:t>The second program in our iron homeostasis portfolio is MWTX-003, which is designed to induce hepcidin production. We plan to initiate a Phase 1 clinical trial in healthy volunteers in the second half of 2023, followed by a study in patients with PV. The inhibition of TMPRSS6 has been shown in non-clinical studies to increase hepcidin levels and restrict iron availability, and MWTX-003 demonstrated activity in disease models of PV, and beta-thalassemia. In clinical trials conducted by third parties, iron restriction through a hepcidin mechanism resulted in disease control in patients with PV, which is our initial indication of focus for this program.</w:t>
      </w:r>
    </w:p>
    <w:p>
      <w:pPr>
        <w:pStyle w:val="TextBody"/>
        <w:spacing w:before="120" w:after="0"/>
        <w:jc w:val="left"/>
        <w:rPr/>
      </w:pPr>
      <w:r>
        <w:rPr/>
        <w:t>•</w:t>
      </w:r>
    </w:p>
    <w:p>
      <w:pPr>
        <w:pStyle w:val="TextBody"/>
        <w:spacing w:before="120" w:after="0"/>
        <w:jc w:val="left"/>
        <w:rPr/>
      </w:pPr>
      <w:r>
        <w:rPr>
          <w:rFonts w:ascii="Times New Roman;serif" w:hAnsi="Times New Roman;serif"/>
          <w:b/>
          <w:sz w:val="20"/>
        </w:rPr>
        <w:t>Continue to build our pipeline through internal research or business development.</w:t>
      </w:r>
      <w:r>
        <w:rPr/>
        <w:t xml:space="preserve"> </w:t>
      </w:r>
      <w:r>
        <w:rPr>
          <w:rFonts w:ascii="Times New Roman;serif" w:hAnsi="Times New Roman;serif"/>
          <w:b w:val="false"/>
          <w:sz w:val="20"/>
        </w:rPr>
        <w:t>Though we have yet to generate clinical data for our product candidates, other than Phase 1 data for DISC-0974,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 xml:space="preserve">Opportunistically evaluate strategic collaborations to maximize the value of our product candidates and preclinical programs. </w:t>
      </w:r>
      <w:r>
        <w:rPr>
          <w:rFonts w:ascii="Times New Roman;serif" w:hAnsi="Times New Roman;serif"/>
          <w:b w:val="false"/>
          <w:sz w:val="20"/>
        </w:rPr>
        <w:t xml:space="preserve">We have obtained exclusive, worldwide licenses for the development and commercialization of bitopertin, DISC-0974, and DISC-0998, and exclusive, worldwide rights for MWTX-003 and related antibodies in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 and preclinical programs in order to treat patients in need of new therapies, while also maximizing value for our stockholders.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Our Approach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data, we believe our product candidate portfolio, by targeting fundamental pathways in red blood cell biology, has the potential to address a range of hematologic diseases in which modification of iron and heme plays a critical function.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focused on therapeutic approaches that modulate heme and iron to address diseases of heme biosynthesis and red blood cell production. Our current pipeline is focused on the following three approaches: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Modulating the heme biosynthesis pathway, which is anticipated to be useful in diseases caused by excesses in toxic heme pathway metabolites, e.g. EPs;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Increasing iron availability to red blood cell precursors, which is anticipated to have direct effects on increasing red blood cell production to correct anemia in diseases of iron restriction, e.g. anemia associated with inflammatory diseases;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Decreasing iron availability, which is anticipated to lower red blood cell production in diseases of excessive red cell production, e.g. PV. </w:t>
      </w:r>
    </w:p>
    <w:p>
      <w:pPr>
        <w:pStyle w:val="TextBody"/>
        <w:spacing w:before="200" w:after="0"/>
        <w:jc w:val="left"/>
        <w:rPr>
          <w:rFonts w:ascii="Times New Roman" w:hAnsi="Times New Roman"/>
          <w:sz w:val="20"/>
        </w:rPr>
      </w:pPr>
      <w:r>
        <w:rPr>
          <w:rFonts w:ascii="Times New Roman;serif" w:hAnsi="Times New Roman;serif"/>
          <w:b w:val="false"/>
          <w:sz w:val="20"/>
        </w:rPr>
        <w:t>Additionally, we focus on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Our Heme Biosynthesis Modulation Portfolio</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Heme Biosynthesis: Fundamental to Erythropoiesis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 is regulated by the availability of heme. As a result, agents that affect heme biosynthesis have broad potential to treat diseases of the heme and hemoglobin biosynthesis pathways and other hematologic diseases resulting from dysregulated erythropoiesis.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Overview of the Heme Biosynthesis Process - Eight Enzymatic Steps from Glycine to Heme</w:t>
      </w:r>
    </w:p>
    <w:p>
      <w:pPr>
        <w:pStyle w:val="TextBody"/>
        <w:spacing w:before="275" w:after="0"/>
        <w:jc w:val="center"/>
        <w:rPr/>
      </w:pPr>
      <w:r>
        <w:rPr/>
        <w:drawing>
          <wp:inline distT="0" distB="0" distL="0" distR="0">
            <wp:extent cx="5105400" cy="1924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05400" cy="1924050"/>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120" w:after="0"/>
        <w:jc w:val="left"/>
        <w:rPr>
          <w:rFonts w:ascii="Times New Roman" w:hAnsi="Times New Roman"/>
          <w:sz w:val="20"/>
        </w:rPr>
      </w:pPr>
      <w:r>
        <w:rPr>
          <w:rFonts w:ascii="Times New Roman;serif" w:hAnsi="Times New Roman;serif"/>
          <w:b/>
          <w:i/>
          <w:sz w:val="20"/>
        </w:rPr>
        <w:t>Heme Biosynthesis as a Therapeutic Target for Diseases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r>
        <w:rPr>
          <w:rFonts w:ascii="Times New Roman" w:hAnsi="Times New Roman"/>
          <w:sz w:val="20"/>
        </w:rPr>
        <w:t xml:space="preserve"> </w:t>
      </w:r>
    </w:p>
    <w:p>
      <w:pPr>
        <w:pStyle w:val="TextBody"/>
        <w:spacing w:before="0" w:after="0"/>
        <w:jc w:val="left"/>
        <w:rPr/>
      </w:pPr>
      <w:r>
        <w:rPr/>
        <w:t xml:space="preserve">  </w:t>
      </w:r>
    </w:p>
    <w:p>
      <w:pPr>
        <w:pStyle w:val="TextBody"/>
        <w:spacing w:before="0" w:after="0"/>
        <w:jc w:val="left"/>
        <w:rPr>
          <w:rFonts w:ascii="Times New Roman" w:hAnsi="Times New Roman"/>
          <w:sz w:val="20"/>
        </w:rPr>
      </w:pPr>
      <w:r>
        <w:rPr>
          <w:rFonts w:ascii="Times New Roman;serif" w:hAnsi="Times New Roman;serif"/>
          <w:b w:val="false"/>
          <w:i/>
          <w:sz w:val="20"/>
        </w:rPr>
        <w:t>Erythropoietic Porphyrias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240" w:after="0"/>
        <w:jc w:val="center"/>
        <w:rPr>
          <w:rFonts w:ascii="Times New Roman" w:hAnsi="Times New Roman"/>
          <w:sz w:val="20"/>
        </w:rPr>
      </w:pPr>
      <w:r>
        <w:rPr>
          <w:rFonts w:ascii="Times New Roman;serif" w:hAnsi="Times New Roman;serif"/>
          <w:b/>
          <w:sz w:val="20"/>
        </w:rPr>
        <w:t>Genetic and Biochemical Basis for EPP and XLP: FECH and ALAS2 Mutations Increase PPIX Levels</w:t>
      </w:r>
      <w:r>
        <w:rPr>
          <w:rFonts w:ascii="Times New Roman" w:hAnsi="Times New Roman"/>
          <w:sz w:val="20"/>
        </w:rPr>
        <w:t xml:space="preserve"> </w:t>
      </w:r>
    </w:p>
    <w:p>
      <w:pPr>
        <w:pStyle w:val="TextBody"/>
        <w:spacing w:before="285" w:after="0"/>
        <w:jc w:val="center"/>
        <w:rPr/>
      </w:pPr>
      <w:r>
        <w:rPr/>
        <w:drawing>
          <wp:inline distT="0" distB="0" distL="0" distR="0">
            <wp:extent cx="3200400" cy="2809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200400" cy="28098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w:t>
      </w:r>
    </w:p>
    <w:p>
      <w:pPr>
        <w:pStyle w:val="TextBody"/>
        <w:spacing w:before="120" w:after="0"/>
        <w:jc w:val="left"/>
        <w:rPr>
          <w:rFonts w:ascii="Times New Roman" w:hAnsi="Times New Roman"/>
          <w:sz w:val="20"/>
        </w:rPr>
      </w:pPr>
      <w:r>
        <w:rPr>
          <w:rFonts w:ascii="Times New Roman;serif" w:hAnsi="Times New Roman;serif"/>
          <w:b w:val="false"/>
          <w:sz w:val="20"/>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Current Treatment Options for Erythropoietic Porphyrias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 are designed to promote melanin production, or tanning, and thereby increase patient tolerance to sunlight. Afamelanotide, an a-melanocyte-stimulating hormone analog delivered by a surgically-administered subcutaneous implant, was approved by the FDA in 2019 for the treatment of EPP. Afamelanotide provides reduction in photosensitivity, but is not designed to reduce PPIX</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Solution: Bitopertin, an Oral, Selective GlyT1 Inhibitor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Bitopertin May Treat a Range of Hematologic Disorders</w:t>
      </w:r>
    </w:p>
    <w:p>
      <w:pPr>
        <w:pStyle w:val="TextBody"/>
        <w:spacing w:before="275" w:after="0"/>
        <w:jc w:val="center"/>
        <w:rPr/>
      </w:pPr>
      <w:r>
        <w:rPr/>
        <w:drawing>
          <wp:inline distT="0" distB="0" distL="0" distR="0">
            <wp:extent cx="5362575" cy="1295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62575" cy="1295400"/>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We are initially focused on the ability of bitopertin to suppress the accumulation of PPIX, as shown below, based on preclinical data from cellular and mouse models of disease. Based on its mechanism of action, we believe bitopertin has the potential to be a disease-modifying treatment for EPP and XLP.</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Mechanism of Action for Bitopertin</w:t>
      </w:r>
      <w:r>
        <w:rPr>
          <w:rFonts w:ascii="Times New Roman" w:hAnsi="Times New Roman"/>
          <w:sz w:val="20"/>
        </w:rPr>
        <w:t xml:space="preserve"> </w:t>
      </w:r>
    </w:p>
    <w:p>
      <w:pPr>
        <w:pStyle w:val="TextBody"/>
        <w:spacing w:before="275" w:after="0"/>
        <w:jc w:val="center"/>
        <w:rPr/>
      </w:pPr>
      <w:r>
        <w:rPr/>
        <w:drawing>
          <wp:inline distT="0" distB="0" distL="0" distR="0">
            <wp:extent cx="3267075" cy="1409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67075" cy="140970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 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0"/>
        </w:rPr>
        <w:t>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Bitopertin has been evaluated in an extensive clinical program focused on neurological disease conducted by Roche in over 4,000 individuals, which demonstrated the activity of bitopertin as a GlyT1 inhibitor and suppressor of heme biosynthesis. We have also conducted preclinical studies in cellular models of EPP and animal models of EPP and XLP, which showed that bitopertin significantly decreased PPIX by 45 and 73%, respectively, which is more than the threshold 30% reduction that has been associated with marked symptom improvement in the studies described above. In a separate study, we also demonstrated that bitopertin reduced liver fibrosis in an animal model of EPP. Based on the aggregate of these results, we have initiated a clinical program to study bitopertin in EPP and XLP. In July 2022, we initiated BEACON, a Phase 2 open-label, parallel-dose clinical trial of bitopertin in EPP and XLP patients that is being conducted at sites in Australia. Interim data is expected in the first half of 2023. Separately, in July 2022, we received IND clearance from the FDA and initiated AURORA in October 2022. AURORA is a Phase 2, randomized, double-blind, placebo-controlled clinical trial of bitopertin in EPP patients that is being conducted at sites in the United States. Topline data from AURORA is expected by year-end 2023.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we expect the trial to begin by mid-year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Clinical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those indications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This was observed in multiple clinical trials by a mild, dose-dependent decrease in heme biosynthesis, which manifested as a decrease in hemoglobin of approximately 0.5 to 2 g/dL that stabilized after approximately 16 weeks, the approximate lifespan of a red blood cell.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example, a single dose clinical trial in healthy volunteers evaluating bitopertin at doses ranging from 3 mg to 80 mg administered once-daily in 24 individuals demonstrated dose-dependent inhibition of erythrocyte glycine uptake levels, as shown below.</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Bitopertin Inhibits Erythrocyte Glycine Uptake in Humans in a Dose-Dependent Manner</w:t>
      </w:r>
    </w:p>
    <w:p>
      <w:pPr>
        <w:pStyle w:val="TextBody"/>
        <w:spacing w:before="285" w:after="0"/>
        <w:jc w:val="center"/>
        <w:rPr/>
      </w:pPr>
      <w:r>
        <w:rPr/>
        <w:drawing>
          <wp:inline distT="0" distB="0" distL="0" distR="0">
            <wp:extent cx="5562600" cy="2095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62600" cy="2095500"/>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g/dL and approximately 1.0 g/dL, respectively. The effect of bitopertin on hemoglobin reached a plateau at approximately week 26 and effects were generally stable for the remainder of the 52-week trial.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Preclinical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PPIX is well-established as the pathologic driver in EPP and XLP, and we believe that the suppression of heme biosynthesis in patients with EPP and XLP will result in reduced levels of PPIX. As described above, there is clinical evidence suggesting that reduction of PPIX by greater than 30% has the potential to significantly reduce photosensitivity in EPP and potentially XLP patients. Based on this clinical evidence, we conducted preclinical research to validate the effects of bitopertin on PPIX levels in disease relevant cell and animal models. In our studies bitopertin reduced PPIX levels in a dose-responsive manner in human cell lines that were genetically modified to recapitulate the EPP disease state and in mice that were genetically modified to recapitulate the EPP and XLP disease states.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create a cellular model of EPP, we genetically modified a human erythroleukemia cell line, K562, to introduce the mutations that cause EPP in human patients. Similar to the human disease state, the genetically modified cells exhibited a greater than 50-fold increase in PPIX levels. In the K562 model, bitopertin decreased the formation of 5-aminolevulinic acid, or 5-ALA, which is the first metabolite of the heme biosynthesis pathway, and prevented PPIX accumulation, as demonstrated by an EC50 of 3 nM to 10 nM, without significantly affecting heme levels, as shown below. EC50, or half maximal effective concentration, refers to the concentration of drug that induces a response halfway between baseline and the maximum potential response after a specified exposure time and nM refers to nanomolar, a measure of concentration.</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Effects of Bitopertin on PPIX and Heme Levels in a Human Erythroid Cell Line Carrying EPP Mutations</w:t>
      </w:r>
    </w:p>
    <w:p>
      <w:pPr>
        <w:pStyle w:val="TextBody"/>
        <w:spacing w:before="275" w:after="0"/>
        <w:jc w:val="center"/>
        <w:rPr/>
      </w:pPr>
      <w:r>
        <w:rPr/>
        <w:drawing>
          <wp:inline distT="0" distB="0" distL="0" distR="0">
            <wp:extent cx="4953000" cy="2295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953000" cy="229552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 xml:space="preserve">To further assess the potential of bitopertin to reduce PPIX levels </w:t>
      </w:r>
      <w:r>
        <w:rPr>
          <w:rFonts w:ascii="Times New Roman;serif" w:hAnsi="Times New Roman;serif"/>
          <w:b w:val="false"/>
          <w:i/>
          <w:sz w:val="20"/>
        </w:rPr>
        <w:t>in vivo</w:t>
      </w:r>
      <w:r>
        <w:rPr>
          <w:rFonts w:ascii="Times New Roman;serif" w:hAnsi="Times New Roman;serif"/>
          <w:b w:val="false"/>
          <w:sz w:val="20"/>
        </w:rPr>
        <w:t>, we conducted studies in mice that were genetically modified with mutations similar to those that cause EPP and XLP in humans. Bitopertin was evaluated in female Fechm1Pas EPP and male Alas2Q548X/Y XLP mouse models. In both models, mice developed protoporphyria characterized by elevated red blood cell and liver PPIX levels. Fechm1Pas and Alas2Q548X mice were fed a diet containing 0 or 100 ppm of bitopertin for 8 weeks starting at 6 weeks of age, which is a dose level that is similar to a once-daily 30 mg dose of bitopertin in humans. As shown in the figures below, after 8 weeks of treatment, PPIX levels decreased in Fechm1Pas and Alas2Q548X animals receiving bitopertin with a mean reduction of 45% and 73%, respectively, compared to the control group. Changes in hemoglobin levels were limited, indicating bitopertin can potentially reduce PPIX accumulation without impacting erythropoiesis to a degree that is clinically relevant. In a separate study designed to evaluate liver pathology in a mouse model of EPP, bitopertin treatment was shown to significantly reduce liver fibrosis, demonstrating the potential for bitopertin to be disease modifying.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Effects of Bitopertin on PPIX and Hemoglobin Levels in Mouse Models of EPP and XLP</w:t>
      </w:r>
    </w:p>
    <w:p>
      <w:pPr>
        <w:pStyle w:val="TextBody"/>
        <w:spacing w:before="275" w:after="0"/>
        <w:jc w:val="center"/>
        <w:rPr/>
      </w:pPr>
      <w:r>
        <w:rPr/>
        <w:drawing>
          <wp:inline distT="0" distB="0" distL="0" distR="0">
            <wp:extent cx="5505450" cy="2200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05450" cy="220027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40" w:after="0"/>
        <w:jc w:val="left"/>
        <w:rPr>
          <w:rFonts w:ascii="Times New Roman" w:hAnsi="Times New Roman"/>
          <w:sz w:val="20"/>
        </w:rPr>
      </w:pPr>
      <w:r>
        <w:rPr>
          <w:rFonts w:ascii="Times New Roman;serif" w:hAnsi="Times New Roman;serif"/>
          <w:b w:val="false"/>
          <w:i/>
          <w:sz w:val="20"/>
        </w:rPr>
        <w:t>Clinical Development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 Accordingly, we have initiated a clinical program to study bitopertin in EPP and XLP. In July 2022, we initiated BEACON, a Phase 2 open-label, parallel-dose clinical trial of bitopertin in EPP and XLP patients that is being conducted at sites in Australia. Interim data is expected in the first half of 2023. Separately, in October 2022 we initiated AURORA, a Phase 2, randomized, double-blind, placebo-controlled clinical trial of bitopertin in EPP patients being conducted at sites in the United States. We filed an IND for this study with the FDA in April 2022 and were on clinical hold until the study design was finalized with the FDA. In July 2022, we received IND clearance from the FDA to initiate the study. Topline data from AURORA is expected by year-end 2023.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we expect the trial to begin by mid-year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Phase 2 Clinical Development Program in Patients with EPP and XLP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our clinical development program, we have initiated a clinical development program that consists of two separate Phase 2 clinical trials of bitopertin in patients with EPP and XLP.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2022, we initiated BEACON, a Phase 2 clinical trial of bitopertin in EPP and XLP patients that is being conducted at sites in Australia. The study is a randomized, open-label, parallel-dose clinical trial designed to evaluate the safety, tolerability, and efficacy of bitopertin. It is designed to enroll approximately 20 adult patients with EPP or XLP at sites in Australia. The study will primarily assess changes in levels of PPIX as well as the PK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Upon completion of the 24-week treatment period, patients may continue on bitopertin for an additional 24 weeks. We expect to report interim data in the first half of 2023. The trial design is summarized in the figure below.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240" w:after="0"/>
        <w:jc w:val="center"/>
        <w:rPr>
          <w:rFonts w:ascii="Times New Roman" w:hAnsi="Times New Roman"/>
          <w:sz w:val="20"/>
        </w:rPr>
      </w:pPr>
      <w:r>
        <w:rPr>
          <w:rFonts w:ascii="Times New Roman;serif" w:hAnsi="Times New Roman;serif"/>
          <w:b/>
          <w:sz w:val="20"/>
        </w:rPr>
        <w:t>BEACON Trial Design: Open-Label, Phase 2 Clinical Trial of Bitopertin in Patients with EPP</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or XLP (N ~ 20)</w:t>
      </w:r>
    </w:p>
    <w:p>
      <w:pPr>
        <w:pStyle w:val="TextBody"/>
        <w:spacing w:before="285" w:after="0"/>
        <w:jc w:val="center"/>
        <w:rPr/>
      </w:pPr>
      <w:r>
        <w:rPr/>
        <w:drawing>
          <wp:inline distT="0" distB="0" distL="0" distR="0">
            <wp:extent cx="5353050" cy="1466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53050" cy="1466850"/>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Separately, in October 2022 we initiated AURORA, a Phase 2, randomized, double-blind, placebo-controlled, parallel dosing trial in approximately 75 adult patients with EPP. We expect to enroll patients into a placebo group, a 20 mg/day dose group and a 60 mg/day dose group,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will include assessments of blood PPIX levels and patient photosensitivity. Additional study measures will include time to prodromal symptom, hepatobiliary markers, quality of life, safety and tolerability, among others. The FDA has previously approved afamelanotide for the treatment of photosensitivity in EPP patients on the basis of a clinical endpoint measuring a change in pain-free time spent in sunlight in treated patients, relative to patients treated with placebo. In July 2022, we received IND clearance from the FDA for the AURORA clinical trial. Topline data is expected by year-end 2023. The trial design is summarized in the figure below.</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AURORA Trial Design: Randomized, Double-Blind, Placebo-Controlled Phase 2 Clinical Trial of Bitopertin in Patients with EPP (N ~ 75)</w:t>
      </w:r>
      <w:r>
        <w:rPr>
          <w:rFonts w:ascii="Times New Roman" w:hAnsi="Times New Roman"/>
          <w:sz w:val="20"/>
        </w:rPr>
        <w:t xml:space="preserve"> </w:t>
      </w:r>
    </w:p>
    <w:p>
      <w:pPr>
        <w:pStyle w:val="TextBody"/>
        <w:spacing w:before="275" w:after="0"/>
        <w:jc w:val="center"/>
        <w:rPr/>
      </w:pPr>
      <w:r>
        <w:rPr/>
        <w:drawing>
          <wp:inline distT="0" distB="0" distL="0" distR="0">
            <wp:extent cx="5676900" cy="1562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76900" cy="1562100"/>
                    </a:xfrm>
                    <a:prstGeom prst="rect">
                      <a:avLst/>
                    </a:prstGeom>
                  </pic:spPr>
                </pic:pic>
              </a:graphicData>
            </a:graphic>
          </wp:inline>
        </w:drawing>
      </w: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Additional Safety Data from Selected Clinical Trials Conducted by Roche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Based on the comprehensive data package from Roche’s healthy volunteer trials, we anticipate that bitopertin will have an acceptable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Additional Preclinical Safety Data from Studies Conducted by Roche</w:t>
      </w:r>
    </w:p>
    <w:p>
      <w:pPr>
        <w:pStyle w:val="TextBody"/>
        <w:spacing w:before="120" w:after="0"/>
        <w:jc w:val="left"/>
        <w:rPr>
          <w:rFonts w:ascii="Times New Roman" w:hAnsi="Times New Roman"/>
          <w:sz w:val="20"/>
        </w:rPr>
      </w:pPr>
      <w:r>
        <w:rPr>
          <w:rFonts w:ascii="Times New Roman;serif" w:hAnsi="Times New Roman;serif"/>
          <w:b w:val="false"/>
          <w:sz w:val="20"/>
        </w:rPr>
        <w:t>There is also comprehensive nonclinical safety data for bitopertin supporting further development in the EPP and other hematologic diseases. The main targets for bitopertin toxicity in repeat-dose toxicity studies were identified as the CNS and the intended PD effect of altered erythropoiesis. No primary histopathological findings attributable to bitopertin were noted in any organ. The CNS-related effects following repeated treatment with bitopertin were generally mild and reversible upon cessation of treatment. The incidence, severity, and onset of the CNS-related effects were dose-dependent, and histopathology evaluation did not show any morphological lesions. The repeat-dose toxicity studies were performed in rats for up to 26 weeks and in non-human primates, or NHPs, for up to 52 weeks. Two-year carcinogenicity studies showed that bitopertin was not carcinogenic in mice or rats. In juvenile toxicity studies conducted in rats, treatment was generally well-tolerated and no effects specific to the juvenile rat were identified on development or behavior at any dose level tested.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Bitopertin in Additional Indications: Diamond-Blackfan Anemia and Macrocytic Anemias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is planned to begin by mid-year 2023.</w:t>
      </w:r>
    </w:p>
    <w:p>
      <w:pPr>
        <w:pStyle w:val="TextBody"/>
        <w:spacing w:before="240" w:after="0"/>
        <w:jc w:val="left"/>
        <w:rPr>
          <w:rFonts w:ascii="Times New Roman" w:hAnsi="Times New Roman"/>
          <w:sz w:val="20"/>
        </w:rPr>
      </w:pPr>
      <w:r>
        <w:rPr>
          <w:rFonts w:ascii="Times New Roman;serif" w:hAnsi="Times New Roman;serif"/>
          <w:b/>
          <w:sz w:val="20"/>
        </w:rPr>
        <w:t>Our Iron Homeostasis Portfolio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Hepcidin: The Master Regulator of Iron Homeostasis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250" w:after="0"/>
        <w:jc w:val="center"/>
        <w:rPr>
          <w:rFonts w:ascii="Times New Roman" w:hAnsi="Times New Roman"/>
          <w:sz w:val="20"/>
        </w:rPr>
      </w:pPr>
      <w:r>
        <w:rPr>
          <w:rFonts w:ascii="Times New Roman;serif" w:hAnsi="Times New Roman;serif"/>
          <w:b/>
          <w:sz w:val="20"/>
        </w:rPr>
        <w:t>Hepcidin Plays a Central Role in Iron Metabolism and Homeostasis</w:t>
      </w:r>
      <w:r>
        <w:rPr>
          <w:rFonts w:ascii="Times New Roman" w:hAnsi="Times New Roman"/>
          <w:sz w:val="20"/>
        </w:rPr>
        <w:t xml:space="preserve"> </w:t>
      </w:r>
    </w:p>
    <w:p>
      <w:pPr>
        <w:pStyle w:val="TextBody"/>
        <w:spacing w:before="275" w:after="0"/>
        <w:jc w:val="center"/>
        <w:rPr/>
      </w:pPr>
      <w:r>
        <w:rPr/>
        <w:drawing>
          <wp:inline distT="0" distB="0" distL="0" distR="0">
            <wp:extent cx="5648325" cy="2171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48325" cy="2171700"/>
                    </a:xfrm>
                    <a:prstGeom prst="rect">
                      <a:avLst/>
                    </a:prstGeom>
                  </pic:spPr>
                </pic:pic>
              </a:graphicData>
            </a:graphic>
          </wp:inline>
        </w:drawing>
      </w:r>
      <w:r>
        <w:rPr/>
        <w:t> </w:t>
      </w:r>
    </w:p>
    <w:p>
      <w:pPr>
        <w:pStyle w:val="TextBody"/>
        <w:spacing w:before="0" w:after="0"/>
        <w:jc w:val="left"/>
        <w:rPr/>
      </w:pPr>
      <w:r>
        <w:rPr/>
        <w:t> </w:t>
      </w:r>
    </w:p>
    <w:p>
      <w:pPr>
        <w:pStyle w:val="TextBody"/>
        <w:spacing w:before="250" w:after="0"/>
        <w:jc w:val="left"/>
        <w:rPr>
          <w:rFonts w:ascii="Times New Roman" w:hAnsi="Times New Roman"/>
          <w:sz w:val="20"/>
        </w:rPr>
      </w:pPr>
      <w:r>
        <w:rPr>
          <w:rFonts w:ascii="Times New Roman;serif" w:hAnsi="Times New Roman;serif"/>
          <w:b/>
          <w:i/>
          <w:sz w:val="20"/>
        </w:rPr>
        <w:t>Hepcidin is a Therapeutic Target for Diseases of Iron Metabolism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Dysregulated Hepcidin Drives a Wide Range of Hematologic Diseases</w:t>
      </w:r>
      <w:r>
        <w:rPr>
          <w:rFonts w:ascii="Times New Roman" w:hAnsi="Times New Roman"/>
          <w:sz w:val="20"/>
        </w:rPr>
        <w:t xml:space="preserve"> </w:t>
      </w:r>
    </w:p>
    <w:p>
      <w:pPr>
        <w:pStyle w:val="TextBody"/>
        <w:spacing w:before="275" w:after="0"/>
        <w:jc w:val="center"/>
        <w:rPr/>
      </w:pPr>
      <w:r>
        <w:rPr/>
        <w:drawing>
          <wp:inline distT="0" distB="0" distL="0" distR="0">
            <wp:extent cx="5648325" cy="1752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48325" cy="1752600"/>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Hepcidin Suppression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 We have observed the effects of DISC-0974 on hepcidin and serum iron levels in preclinical studies, and have completed a single ascending dose Phase 1 clinical trial to evaluate these effects in healthy volunteers.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i/>
          <w:sz w:val="20"/>
        </w:rPr>
        <w:t>Hepcidin Induction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MWTX-003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 We in-licensed MWTX-003 from Mabwell and an IND for MWTX-003 has been accepted by the FDA. We plan to initiate a Phase 1 clinical trial of MWTX-003 in healthy volunteers in the second half of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Our Lead Hepcidin Suppression Program: DISC-0974 For the Treatment of Anemia of Inflammatory Diseases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 In July 2021, we initiated a single ascending dose Phase 1 clinical trial of DISC-0974 in healthy volunteers. We have completed our Phase 1 clinical trial. Data from the Phase 1 clinical trial showed an acceptable tolerability profile and evidence of target engagement and iron mobilization and augmented erythropoiesis. We initiated a Phase 1b/2 clinical trial in patients with anemia of MF in June 2022 and initiated a separate Phase 1b/2 placebo controlled, single/multiple ascending dose clinical trial in patients with non-dialysis dependent CKD and anemia in February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Overview of Anemia Associated with Inflammatory Diseases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Anemia of Myelofibrosis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MF is a rare, chronic blood cancer that currently affects an estimated 16,000 to 18,500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Elevated Hepcidin Levels in Patients with MF</w:t>
      </w:r>
    </w:p>
    <w:p>
      <w:pPr>
        <w:pStyle w:val="TextBody"/>
        <w:spacing w:before="275" w:after="0"/>
        <w:jc w:val="center"/>
        <w:rPr/>
      </w:pPr>
      <w:r>
        <w:rPr/>
        <w:drawing>
          <wp:inline distT="0" distB="0" distL="0" distR="0">
            <wp:extent cx="3886200" cy="2619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86200" cy="261937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40" w:after="0"/>
        <w:jc w:val="center"/>
        <w:rPr>
          <w:rFonts w:ascii="Times New Roman;serif" w:hAnsi="Times New Roman;serif"/>
          <w:b/>
          <w:sz w:val="20"/>
        </w:rPr>
      </w:pPr>
      <w:r>
        <w:rPr>
          <w:rFonts w:ascii="Times New Roman;serif" w:hAnsi="Times New Roman;serif"/>
          <w:b/>
          <w:sz w:val="20"/>
        </w:rPr>
        <w:t>Anemia of MF is Progressive and Severe</w:t>
      </w:r>
    </w:p>
    <w:p>
      <w:pPr>
        <w:pStyle w:val="TextBody"/>
        <w:spacing w:before="285" w:after="0"/>
        <w:jc w:val="center"/>
        <w:rPr/>
      </w:pPr>
      <w:r>
        <w:rPr/>
        <w:drawing>
          <wp:inline distT="0" distB="0" distL="0" distR="0">
            <wp:extent cx="2819400" cy="2105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819400" cy="210502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Anemia of Chronic Kidney Disease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 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Hepcidin Levels Are Elevated in Patients with CKD</w:t>
      </w:r>
    </w:p>
    <w:p>
      <w:pPr>
        <w:pStyle w:val="TextBody"/>
        <w:spacing w:before="285" w:after="0"/>
        <w:jc w:val="center"/>
        <w:rPr/>
      </w:pPr>
      <w:r>
        <w:rPr/>
        <w:drawing>
          <wp:inline distT="0" distB="0" distL="0" distR="0">
            <wp:extent cx="3590925" cy="2562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590925" cy="256222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Solution: DISC-0974, an Anti-HJV Monoclonal Antibody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DISC-0974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Hemojuvelin Has a Critical and Specific Role for Hepcidin Regulation and Homeostasis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Hemojuvelin is a Critical and Specific Target for Hepcidin Expression</w:t>
      </w:r>
    </w:p>
    <w:p>
      <w:pPr>
        <w:pStyle w:val="TextBody"/>
        <w:spacing w:before="285" w:after="0"/>
        <w:jc w:val="center"/>
        <w:rPr/>
      </w:pPr>
      <w:r>
        <w:rPr/>
        <w:drawing>
          <wp:inline distT="0" distB="0" distL="0" distR="0">
            <wp:extent cx="2333625" cy="2371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3625" cy="237172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HJV Gene Knockout in Mice Resulted in Significantly Reduced Hepcidin Levels</w:t>
      </w:r>
    </w:p>
    <w:p>
      <w:pPr>
        <w:pStyle w:val="TextBody"/>
        <w:spacing w:before="285" w:after="0"/>
        <w:jc w:val="center"/>
        <w:rPr/>
      </w:pPr>
      <w:r>
        <w:rPr/>
        <w:drawing>
          <wp:inline distT="0" distB="0" distL="0" distR="0">
            <wp:extent cx="3343275" cy="25431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343275" cy="2543175"/>
                    </a:xfrm>
                    <a:prstGeom prst="rect">
                      <a:avLst/>
                    </a:prstGeom>
                  </pic:spPr>
                </pic:pic>
              </a:graphicData>
            </a:graphic>
          </wp:inline>
        </w:drawing>
      </w:r>
      <w:r>
        <w:rPr/>
        <w:t> </w:t>
      </w:r>
    </w:p>
    <w:p>
      <w:pPr>
        <w:pStyle w:val="TextBody"/>
        <w:spacing w:before="0" w:after="0"/>
        <w:jc w:val="left"/>
        <w:rPr/>
      </w:pPr>
      <w:r>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Preclinical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multiple preclinical studies conducted by us and AbbVie, DISC-0974 was observed to be a selective inhibitor of HJV and administration of DISC-0974 resulted in significantly decreased hepcidin production and increased serum iron levels, providing preclinical proof-of-mechanism.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DISC-0974 Decreased Hepcidin Expression and Increased Iron in Preclinical Studies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multiple preclinical studies, we have established the pharmacology of DISC-0974. These studies demonstrated that inhibition of HJV resulted in suppression of hepcidin and increased serum iron levels and other measures of iron. The figure below is representative of the PK / PD effects of DISC-0974. In this experiment, a single, 5 mg/kg dose of DISC-0974 (serum concentration represented in blue) resulted in a rapid decrease of hepcidin levels (in gray) and an increase in serum iron levels (in red). As serum levels of DISC-0974 decreased over time, these effects were reversed and hepcidin levels increased and serum levels decreased.</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A Single Dose of DISC-0974 in an NHP Reduced Hepcidin Levels and Increased Serum Iron Levels</w:t>
      </w:r>
      <w:r>
        <w:rPr>
          <w:rFonts w:ascii="Times New Roman" w:hAnsi="Times New Roman"/>
          <w:sz w:val="20"/>
        </w:rPr>
        <w:t xml:space="preserve"> </w:t>
      </w:r>
    </w:p>
    <w:p>
      <w:pPr>
        <w:pStyle w:val="TextBody"/>
        <w:spacing w:before="275" w:after="0"/>
        <w:jc w:val="center"/>
        <w:rPr/>
      </w:pPr>
      <w:r>
        <w:rPr/>
        <w:drawing>
          <wp:inline distT="0" distB="0" distL="0" distR="0">
            <wp:extent cx="3314700" cy="2085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314700" cy="2085975"/>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These effects were observed to be robust, dose-dependent, and consistent across several studies in both normal animals and models of inflammation. The three panels below show data from a multiple dose study conducted in NHPs. Animals were given vehicle (0 mg/kg; purple dashes) or 0.6 mg/kg (blue lines), 3 mg/kg (red lines) or 60 mg/kg (black lines) of DISC-0974 in three subcutaneous injections, administered once every 14 days. DISC-0974 treatment resulted in dose-dependent decreases in hepcidin (middle panel) and dose-dependent increases in transferrin saturation (TSAT percentage) (right panel). Notably, transferrin saturation levels reached a maximum theoretical level (100%) at dose levels of 3 mg/kg and greater, demonstrating that DISC-0974 is an agent for controlling iron homeostasis.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Repeat Doses of DISC-0974 in NHPs Reduced Hepcidin Levels and Increased Serum Iron Levels</w:t>
      </w:r>
      <w:r>
        <w:rPr>
          <w:rFonts w:ascii="Times New Roman" w:hAnsi="Times New Roman"/>
          <w:sz w:val="20"/>
        </w:rPr>
        <w:t xml:space="preserve"> </w:t>
      </w:r>
    </w:p>
    <w:p>
      <w:pPr>
        <w:pStyle w:val="TextBody"/>
        <w:spacing w:before="275" w:after="0"/>
        <w:jc w:val="center"/>
        <w:rPr/>
      </w:pPr>
      <w:r>
        <w:rPr/>
        <w:drawing>
          <wp:inline distT="0" distB="0" distL="0" distR="0">
            <wp:extent cx="5562600" cy="20288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562600" cy="2028825"/>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have also evaluated the pharmacology of DISC-0974 in various animal models of anemia and inflammation, where hepcidin levels are significantly elevated. These studies included models utilizing different stimuli of inflammation, such as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cytokines, peptidoglycan-polysaccharides, or heat-killed bacteria, as well as a genetic model of hepcidin elevation. Across these different settings, we observed that inhibition of HJV with DISC-0974 provided suppression of hepcidin and normalization of iron levels.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a mouse model of inflammation, animals were injected with either saline (S) or the heat-killed bacteria </w:t>
      </w:r>
      <w:r>
        <w:rPr>
          <w:rFonts w:ascii="Times New Roman;serif" w:hAnsi="Times New Roman;serif"/>
          <w:b w:val="false"/>
          <w:i/>
          <w:sz w:val="20"/>
        </w:rPr>
        <w:t xml:space="preserve">Brucella abortus </w:t>
      </w:r>
      <w:r>
        <w:rPr>
          <w:rFonts w:ascii="Times New Roman;serif" w:hAnsi="Times New Roman;serif"/>
          <w:b w:val="false"/>
          <w:sz w:val="20"/>
        </w:rPr>
        <w:t>(HKBA) to provoke an inflammatory response and induce hepcidin expression. Animals were treated with either an active control antibody (hIgG) or an anti-HJV antibody (an earlier version of DISC-0974 called 5F9-AM8). As shown below, a rapid induction of hepcidin expression was observed in response to the inflammatory stimulus in animals receiving HKBA, as measured by liver Hamp mRNA levels. Administration of 5F9-AM8 inhibited the inflammatory induction of hepcidin, and these animals expressed hepcidin at near normal levels.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Anti-HJV Antibody Suppressed Hepcidin in a Mouse Model of Inflammation</w:t>
      </w:r>
      <w:r>
        <w:rPr>
          <w:rFonts w:ascii="Times New Roman" w:hAnsi="Times New Roman"/>
          <w:sz w:val="20"/>
        </w:rPr>
        <w:t xml:space="preserve"> </w:t>
      </w:r>
    </w:p>
    <w:p>
      <w:pPr>
        <w:pStyle w:val="TextBody"/>
        <w:spacing w:before="275" w:after="0"/>
        <w:jc w:val="center"/>
        <w:rPr/>
      </w:pPr>
      <w:r>
        <w:rPr/>
        <w:drawing>
          <wp:inline distT="0" distB="0" distL="0" distR="0">
            <wp:extent cx="3181350" cy="31051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181350" cy="3105150"/>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To assess the effect of HJV inhibition in a primate setting, we established a model of inflammation-induced iron restriction by administering interleukin-6, or IL-6, to NHPs. IL-6 is a key driver of anemia across multiple inflammatory diseases, including CKD, MF, inflammatory bowed disease, and rheumatoid arthritis, among others. We observed that administration of IL-6 on day 1 and day 10 resulted in rapid induction of hepcidin and a corresponding suppression of iron, as shown below in gray. However, when the animals were treated with a single dose of DISC-0974 on day 4 in between the IL-6 administrations, this effect was reversed, as shown in blue and red below. We studied both low (0.6 mg/kg) and high (6 mg/kg) doses of DISC-0974 and observed that the effects on hepcidin suppression and increasing serum iron levels were dose-dependent.</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DISC-0974 Reduced Hepcidin and Increased Serum Iron Levels in NHPs</w:t>
      </w:r>
      <w:r>
        <w:rPr>
          <w:rFonts w:ascii="Times New Roman" w:hAnsi="Times New Roman"/>
          <w:sz w:val="20"/>
        </w:rPr>
        <w:t xml:space="preserve"> </w:t>
      </w:r>
    </w:p>
    <w:p>
      <w:pPr>
        <w:pStyle w:val="TextBody"/>
        <w:spacing w:before="275" w:after="0"/>
        <w:jc w:val="center"/>
        <w:rPr/>
      </w:pPr>
      <w:r>
        <w:rPr/>
        <w:drawing>
          <wp:inline distT="0" distB="0" distL="0" distR="0">
            <wp:extent cx="5638800" cy="2019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638800" cy="2019300"/>
                    </a:xfrm>
                    <a:prstGeom prst="rect">
                      <a:avLst/>
                    </a:prstGeom>
                  </pic:spPr>
                </pic:pic>
              </a:graphicData>
            </a:graphic>
          </wp:inline>
        </w:drawing>
      </w: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also assessed the potential for DISC-0974 to treat anemia in an established rodent model of CKD. In this study, rats were fed either a 0.75% adenine diet, which induced kidney damage and mimicked human CKD or a control diet, and received treatment with either DISC-0974 or vehicle. We observed that treatment with DISC-0974 significantly suppressed hepcidin, increased serum iron, and increased hemoglobin levels by +1.7 g/dL compared to vehicle.</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DISC-0974 Reduced Hepcidin, Increased Serum Iron and Increased Hemoglobin Levels in a Rodent Model of CKD Anemia</w:t>
      </w:r>
    </w:p>
    <w:p>
      <w:pPr>
        <w:pStyle w:val="TextBody"/>
        <w:spacing w:before="275" w:after="0"/>
        <w:jc w:val="center"/>
        <w:rPr/>
      </w:pPr>
      <w:r>
        <w:rPr/>
        <w:drawing>
          <wp:inline distT="0" distB="0" distL="0" distR="0">
            <wp:extent cx="5600700" cy="2000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600700" cy="2000250"/>
                    </a:xfrm>
                    <a:prstGeom prst="rect">
                      <a:avLst/>
                    </a:prstGeom>
                  </pic:spPr>
                </pic:pic>
              </a:graphicData>
            </a:graphic>
          </wp:inline>
        </w:drawing>
      </w:r>
      <w:r>
        <w:rPr/>
        <w:t> </w:t>
      </w:r>
    </w:p>
    <w:p>
      <w:pPr>
        <w:pStyle w:val="TextBody"/>
        <w:spacing w:before="0" w:after="0"/>
        <w:jc w:val="left"/>
        <w:rPr/>
      </w:pPr>
      <w:r>
        <w:rPr/>
        <w:t> </w:t>
      </w:r>
    </w:p>
    <w:p>
      <w:pPr>
        <w:pStyle w:val="TextBody"/>
        <w:spacing w:before="250" w:after="0"/>
        <w:jc w:val="left"/>
        <w:rPr>
          <w:rFonts w:ascii="Times New Roman" w:hAnsi="Times New Roman"/>
          <w:sz w:val="20"/>
        </w:rPr>
      </w:pPr>
      <w:r>
        <w:rPr>
          <w:rFonts w:ascii="Times New Roman;serif" w:hAnsi="Times New Roman;serif"/>
          <w:b/>
          <w:i/>
          <w:sz w:val="20"/>
        </w:rPr>
        <w:t>Phase 1 Clinical Trial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r>
        <w:rPr>
          <w:rFonts w:ascii="Times New Roman" w:hAnsi="Times New Roman"/>
          <w:sz w:val="20"/>
        </w:rPr>
        <w:t xml:space="preserve"> </w:t>
      </w:r>
    </w:p>
    <w:p>
      <w:pPr>
        <w:pStyle w:val="TextBody"/>
        <w:spacing w:before="250" w:after="0"/>
        <w:jc w:val="center"/>
        <w:rPr>
          <w:rFonts w:ascii="Times New Roman" w:hAnsi="Times New Roman"/>
          <w:sz w:val="20"/>
        </w:rPr>
      </w:pPr>
      <w:r>
        <w:rPr>
          <w:rFonts w:ascii="Times New Roman;serif" w:hAnsi="Times New Roman;serif"/>
          <w:b/>
          <w:sz w:val="20"/>
        </w:rPr>
        <w:t>DISC-0974 Phase 1 Clinical Trial Design</w:t>
      </w:r>
      <w:r>
        <w:rPr>
          <w:rFonts w:ascii="Times New Roman" w:hAnsi="Times New Roman"/>
          <w:sz w:val="20"/>
        </w:rPr>
        <w:t xml:space="preserve"> </w:t>
      </w:r>
    </w:p>
    <w:p>
      <w:pPr>
        <w:pStyle w:val="TextBody"/>
        <w:spacing w:before="275" w:after="0"/>
        <w:jc w:val="center"/>
        <w:rPr/>
      </w:pPr>
      <w:r>
        <w:rPr/>
        <w:drawing>
          <wp:inline distT="0" distB="0" distL="0" distR="0">
            <wp:extent cx="5648325" cy="2143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648325" cy="2143125"/>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have completed this Phase 1 clinical trial. Data from the Phase 1 clinical trial showed an acceptable tolerability profile and evidence of target engagement and iron mobilization and augmented erythropoiesis. Additional data are discussed below.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DISC-0974 Phase 1 SAD Study in Healthy Volunteers: Effects on Hepcidin and Transferrin Saturation</w:t>
      </w:r>
    </w:p>
    <w:p>
      <w:pPr>
        <w:pStyle w:val="TextBody"/>
        <w:spacing w:before="285" w:after="0"/>
        <w:jc w:val="center"/>
        <w:rPr/>
      </w:pPr>
      <w:r>
        <w:rPr/>
        <w:drawing>
          <wp:inline distT="0" distB="0" distL="0" distR="0">
            <wp:extent cx="5562600" cy="2095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562600" cy="2095500"/>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Notably, at the 56 mg SC dose level, a single administration of DISC-0974 resulted in a statistically significant improvement in hemoglobin compared to placebo (+1.1 g/dL, p=0.009) at Day 42 and a marked increase in red blood cell count.</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DISC-0974 Phase 1 SAD Study in Healthy Volunteers: Single 56 mg SC Dose Increases Hemoglobin</w:t>
      </w:r>
    </w:p>
    <w:p>
      <w:pPr>
        <w:pStyle w:val="TextBody"/>
        <w:spacing w:before="285" w:after="0"/>
        <w:jc w:val="center"/>
        <w:rPr/>
      </w:pPr>
      <w:r>
        <w:rPr/>
        <w:drawing>
          <wp:inline distT="0" distB="0" distL="0" distR="0">
            <wp:extent cx="5257800" cy="1962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257800" cy="1962150"/>
                    </a:xfrm>
                    <a:prstGeom prst="rect">
                      <a:avLst/>
                    </a:prstGeom>
                  </pic:spPr>
                </pic:pic>
              </a:graphicData>
            </a:graphic>
          </wp:inline>
        </w:drawing>
      </w:r>
      <w:r>
        <w:rPr/>
        <w:t> </w:t>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European Hematology Association meeting in June 2022 and the 2022 American Society of Hematology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Planned Phase 1b / 2 Clinical Development Program in Anemia of Inflammation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Based on these findings, we plan to initiate multiple Phase 1b/2 clinical trials of DISC-0974 in patients with anemia of different inflammatory diseases. This includes a Phase 1b/2 clinical trial of DISC-0974 in patients with anemia of MF, which was initiated in June 2022, and a separate Phase 1b/2 clinical trial of DISC-0974 in patients with non-dialysis dependent CKD, and anemia which was initiated in February 2023. We expect to report interim data from both of these studies in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Phase 1b/2 Clinical Trial in Myelofibrosis Patients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Janus Kinase (JAK) inhibitors. The study will be conducted in two parts: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Phase 1b (Dose-Escalation): Ascending, monthly doses of DISC-0974 administered for six months to patients with anemia of MF, (Hb levels &lt; 10 g/dL,), where a dose level will be selected based on optimal increases in hemoglobin and serum iron;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Phase 2 (Expansion Stage): Multiple, doses of DISC-0974 administered once-a-month at the dose level selected from the Phase 1b portion of the study to patients with anemia of MF who are transfusion dependent (TD) according to International Working Group-Myeloproliferative Neoplasms Research and Treatment, or IWG-MRT, criteria, defined as receiving &gt;6 units of RBC in a 12-week period.</w:t>
      </w:r>
    </w:p>
    <w:p>
      <w:pPr>
        <w:pStyle w:val="TextBody"/>
        <w:spacing w:before="240" w:after="0"/>
        <w:jc w:val="center"/>
        <w:rPr>
          <w:rFonts w:ascii="Times New Roman;serif" w:hAnsi="Times New Roman;serif"/>
          <w:b/>
          <w:sz w:val="20"/>
        </w:rPr>
      </w:pPr>
      <w:r>
        <w:rPr>
          <w:rFonts w:ascii="Times New Roman;serif" w:hAnsi="Times New Roman;serif"/>
          <w:b/>
          <w:sz w:val="20"/>
        </w:rPr>
        <w:t>Phase 1b/2 Open-Label, Clinical Trial of DISC-0974 in Myelofibrosis Patients with Anemia</w:t>
      </w:r>
    </w:p>
    <w:p>
      <w:pPr>
        <w:pStyle w:val="TextBody"/>
        <w:spacing w:before="275" w:after="0"/>
        <w:jc w:val="center"/>
        <w:rPr/>
      </w:pPr>
      <w:r>
        <w:rPr/>
        <w:drawing>
          <wp:inline distT="0" distB="0" distL="0" distR="0">
            <wp:extent cx="5334000" cy="2124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334000" cy="2124075"/>
                    </a:xfrm>
                    <a:prstGeom prst="rect">
                      <a:avLst/>
                    </a:prstGeom>
                  </pic:spPr>
                </pic:pic>
              </a:graphicData>
            </a:graphic>
          </wp:inline>
        </w:drawing>
      </w:r>
      <w:r>
        <w:rPr/>
        <w:t> </w:t>
      </w:r>
    </w:p>
    <w:p>
      <w:pPr>
        <w:pStyle w:val="TextBody"/>
        <w:spacing w:before="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Phase 1b/2 Clinical Trial in Patients with Non-Dialysis Dependent Chronic Kidney Disease (NDD-CKD)</w:t>
      </w:r>
    </w:p>
    <w:p>
      <w:pPr>
        <w:pStyle w:val="TextBody"/>
        <w:spacing w:before="120" w:after="0"/>
        <w:jc w:val="left"/>
        <w:rPr>
          <w:rFonts w:ascii="Times New Roman" w:hAnsi="Times New Roman"/>
          <w:sz w:val="20"/>
        </w:rPr>
      </w:pPr>
      <w:r>
        <w:rPr>
          <w:rFonts w:ascii="Times New Roman;serif" w:hAnsi="Times New Roman;serif"/>
          <w:b w:val="false"/>
          <w:sz w:val="20"/>
        </w:rPr>
        <w:t>In February 2023, we initiated a Phase 1b/2 clinical trial to evaluate the safety, tolerability and efficacy of DISC-0974 in patients with CKD who are not receiving dialysis and are anemic. The study consists of two parts, including: a Phase 1b, randomized, placebo-controlled, single-ascending dose stage, where a dose level will be selected based on optimal increases in serum iron; followed by a Phase 2, open-label, expansion stage where patients will receive multiple doses of DISC-0974 at the selected dose level. The study endpoints include hepcidin levels, serum iron and markers of iron mobilization and measures of anemia benefit such as hemoglobin.</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Phase 1b/2 Clinical Trial of DISC-0974 in NDD-CKD Patients with Anemia</w:t>
      </w:r>
    </w:p>
    <w:p>
      <w:pPr>
        <w:pStyle w:val="TextBody"/>
        <w:spacing w:before="275" w:after="0"/>
        <w:jc w:val="center"/>
        <w:rPr/>
      </w:pPr>
      <w:r>
        <w:rPr/>
        <w:drawing>
          <wp:inline distT="0" distB="0" distL="0" distR="0">
            <wp:extent cx="6638925" cy="20288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638925" cy="2028825"/>
                    </a:xfrm>
                    <a:prstGeom prst="rect">
                      <a:avLst/>
                    </a:prstGeom>
                  </pic:spPr>
                </pic:pic>
              </a:graphicData>
            </a:graphic>
          </wp:inline>
        </w:drawing>
      </w: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Our Second Hepcidin Suppression Program: DISC-0998</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 confirmed in humans, it would suggest the potential for an infrequent dosing regimen (such as potentially once every 2 or 3 months). We expect that such a dosing regimen would be perceived as convenient by patients and promote compliance.</w:t>
      </w:r>
      <w:r>
        <w:rPr>
          <w:rFonts w:ascii="Times New Roman" w:hAnsi="Times New Roman"/>
          <w:sz w:val="20"/>
        </w:rPr>
        <w:t xml:space="preserve"> </w:t>
      </w:r>
    </w:p>
    <w:p>
      <w:pPr>
        <w:pStyle w:val="TextBody"/>
        <w:spacing w:before="120" w:after="0"/>
        <w:jc w:val="center"/>
        <w:rPr>
          <w:rFonts w:ascii="Times New Roman;serif" w:hAnsi="Times New Roman;serif"/>
          <w:b/>
          <w:sz w:val="20"/>
        </w:rPr>
      </w:pPr>
      <w:r>
        <w:rPr>
          <w:rFonts w:ascii="Times New Roman;serif" w:hAnsi="Times New Roman;serif"/>
          <w:b/>
          <w:sz w:val="20"/>
        </w:rPr>
        <w:t>DISC-0998 Dose Response PK / PD Study (NHP)</w:t>
      </w:r>
    </w:p>
    <w:p>
      <w:pPr>
        <w:pStyle w:val="TextBody"/>
        <w:spacing w:before="285" w:after="0"/>
        <w:jc w:val="center"/>
        <w:rPr/>
      </w:pPr>
      <w:r>
        <w:rPr/>
        <w:drawing>
          <wp:inline distT="0" distB="0" distL="0" distR="0">
            <wp:extent cx="5476875" cy="3000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476875" cy="3000375"/>
                    </a:xfrm>
                    <a:prstGeom prst="rect">
                      <a:avLst/>
                    </a:prstGeom>
                  </pic:spPr>
                </pic:pic>
              </a:graphicData>
            </a:graphic>
          </wp:inline>
        </w:drawing>
      </w: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Our Hepcidin Induction Program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MWTX-003, is a Phase 1 ready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 An IND for MWTX-003 has been accepted by the FDA, and we plan to initiate a Phase 1 clinical trial in healthy volunteers in the second half of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120" w:after="0"/>
        <w:jc w:val="center"/>
        <w:rPr>
          <w:rFonts w:ascii="Times New Roman;serif" w:hAnsi="Times New Roman;serif"/>
          <w:b/>
          <w:sz w:val="20"/>
        </w:rPr>
      </w:pPr>
      <w:r>
        <w:rPr>
          <w:rFonts w:ascii="Times New Roman;serif" w:hAnsi="Times New Roman;serif"/>
          <w:b/>
          <w:sz w:val="20"/>
        </w:rPr>
        <w:t>TMPRSS6 Suppresses Hepcidin by Degrading HJV</w:t>
      </w:r>
    </w:p>
    <w:p>
      <w:pPr>
        <w:pStyle w:val="TextBody"/>
        <w:spacing w:before="275" w:after="0"/>
        <w:jc w:val="center"/>
        <w:rPr/>
      </w:pPr>
      <w:r>
        <w:rPr/>
        <w:drawing>
          <wp:inline distT="0" distB="0" distL="0" distR="0">
            <wp:extent cx="2695575" cy="2752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695575" cy="275272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pPr>
      <w:r>
        <w:rPr/>
        <w:t> </w:t>
      </w:r>
      <w:r>
        <w:rPr>
          <w:rFonts w:ascii="Times New Roman;serif" w:hAnsi="Times New Roman;serif"/>
          <w:b/>
          <w:i/>
          <w:sz w:val="20"/>
        </w:rPr>
        <w:t>Polycythemia Vera</w:t>
      </w:r>
    </w:p>
    <w:p>
      <w:pPr>
        <w:pStyle w:val="TextBody"/>
        <w:spacing w:before="120" w:after="0"/>
        <w:jc w:val="left"/>
        <w:rPr>
          <w:rFonts w:ascii="Times New Roman" w:hAnsi="Times New Roman"/>
          <w:sz w:val="20"/>
        </w:rPr>
      </w:pPr>
      <w:r>
        <w:rPr>
          <w:rFonts w:ascii="Times New Roman;serif" w:hAnsi="Times New Roman;serif"/>
          <w:b w:val="false"/>
          <w:sz w:val="20"/>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Hereditary Hemochromatosis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HH 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Other Iron Overload Disorders: Beta-Thalassemia and Myelodysplastic Syndromes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increases in iron and, ultimately, accumulation of toxic iron levels in organs such as the heart, liver, and kidneys, as well as in the bone marrow, which exacerbates anemia.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Based on these response rates, many patients do not respond and would benefit from an alternative treatment. Lentiglobin, marketed as Zynteglo, is a gene therapy that was approved by the FDA and EMA for the treatment of a subset of patients with beta-thalassemia requiring RBC transfusions, but uptake has been limited. Patients with more advanced forms of MDS may receive additional therapies such as lenalidomide, demethylating agents such as 5-azacitidine and decitabine, and chemotherapy.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Solution: MWTX-003, an anti-TMPRSS6 monoclonal antibody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January 2023, we in-licensed MWTX-003 and other related molecules from Mabwell. MWTX-003 is a monoclonal antibody designed to inhibit TMPRSS6, a serine protease that degrades HJV, a receptor required for hepcidin expression. TMPRSS6 plays a critical and specific function in iron metabolism by limiting the production of hepcidin. By inhibiting TMPRSS6, MWTX-003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Preclinical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Preclinical studies of MWTX-003 have demonstrated that TMPRSS6 inhibition with a monoclonal antibody can induce hepcidin expression and consequently restrict iron availability. Specifically, preclinical studies have demonstrated:</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Dose-dependent induction of endogenous hepcidin production in rodent and NHP studies;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Increases in hepcidin, reductions in serum and liver iron, and increases in red blood cells in a murine model of beta-thalassemia;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Reductions in iron and hematocrit in a murine model of PV.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Treatment with MWTX-003 resulted in deep and sustained suppression of serum iron levels in normal non-human primates</w:t>
      </w:r>
    </w:p>
    <w:p>
      <w:pPr>
        <w:pStyle w:val="TextBody"/>
        <w:spacing w:before="120" w:after="0"/>
        <w:jc w:val="center"/>
        <w:rPr/>
      </w:pPr>
      <w:r>
        <w:rPr/>
        <w:drawing>
          <wp:inline distT="0" distB="0" distL="0" distR="0">
            <wp:extent cx="3810000" cy="2352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810000" cy="2352675"/>
                    </a:xfrm>
                    <a:prstGeom prst="rect">
                      <a:avLst/>
                    </a:prstGeom>
                  </pic:spPr>
                </pic:pic>
              </a:graphicData>
            </a:graphic>
          </wp:inline>
        </w:drawing>
      </w:r>
      <w:r>
        <w:rPr/>
        <w:t> </w:t>
      </w:r>
    </w:p>
    <w:p>
      <w:pPr>
        <w:pStyle w:val="TextBody"/>
        <w:spacing w:before="120" w:after="0"/>
        <w:jc w:val="both"/>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w:t>
      </w:r>
    </w:p>
    <w:p>
      <w:pPr>
        <w:pStyle w:val="TextBody"/>
        <w:spacing w:before="240" w:after="0"/>
        <w:jc w:val="center"/>
        <w:rPr>
          <w:rFonts w:ascii="Times New Roman" w:hAnsi="Times New Roman"/>
          <w:sz w:val="20"/>
        </w:rPr>
      </w:pPr>
      <w:r>
        <w:rPr>
          <w:rFonts w:ascii="Times New Roman;serif" w:hAnsi="Times New Roman;serif"/>
          <w:b/>
          <w:sz w:val="20"/>
        </w:rPr>
        <w:t>Treatment with MWTX-003 Induced Hepcidin and Decreased Serum Iron Levels in a Mouse Model of Beta Thalassemia</w:t>
      </w:r>
      <w:r>
        <w:rPr>
          <w:rFonts w:ascii="Times New Roman" w:hAnsi="Times New Roman"/>
          <w:sz w:val="20"/>
        </w:rPr>
        <w:t xml:space="preserve"> </w:t>
      </w:r>
    </w:p>
    <w:p>
      <w:pPr>
        <w:pStyle w:val="TextBody"/>
        <w:spacing w:before="0" w:after="0"/>
        <w:jc w:val="left"/>
        <w:rPr/>
      </w:pPr>
      <w:r>
        <w:rPr/>
        <w:t xml:space="preserve">  </w:t>
      </w:r>
    </w:p>
    <w:p>
      <w:pPr>
        <w:pStyle w:val="TextBody"/>
        <w:spacing w:before="135" w:after="0"/>
        <w:jc w:val="center"/>
        <w:rPr/>
      </w:pPr>
      <w:r>
        <w:rPr/>
        <w:drawing>
          <wp:inline distT="0" distB="0" distL="0" distR="0">
            <wp:extent cx="6105525" cy="17430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105525" cy="17430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Next Steps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our preclinical studies have demonstrated that MWTX-003 has the potential to increase hepcidin levels sufficiently to reduce iron availability in a variety of animal models. MWTX-003 is Phase 1-ready and received clearance of an IND from the FDA in November 2022. We plan to initiate a Phase 1 clinical trial of MWTX-003 in healthy volunteers in the second half of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Manufacturing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MWTX-003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Manufacturing biologics is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planned Phase 2 trials for bitopertin and DISC-0974.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commercial-scale production process has been designed for bitopertin, including a four-step chemical synthesis and an optimized oral formulation. The API has been shown to be highly stable for at least 5 years, and we have access to substantial drug substance supplies of bitopertin manufactured and stored by Roche under cGMP conditions. To support our Phase 2 clinical trials, we have requalified, including establishing a shelf-life that would enable its use in clinical trials, Roche-manufactured drug substance and formulating it as film-coated tablets. To support pivotal clinical trials and commercial launch, if approved, we are establishing the manufacturing process at a CDMO.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Competition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face competition more specifically from companies that discover, develop, and market therapies for the treatment of hematologic diseases, including a group of diseases called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Akebia Therapeutics, Inc., Amgen, Inc., Astellas Pharma, Inc., Bristol-Myers Squibb Company, FibroGen, Inc., GlaxoSmithKline, plc, Incyte Corporation, Ionis Pharmaceuticals, Inc., Keros Therapeutics, Inc., Merck &amp; Co., Inc., Otsuka Pharmaceutical Co., Ltd. and Vifor Pharma AG, among others.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and dersimelagon, an oral therapy in Phase 3 development by Mitsubishi Tanabe Pharma Corporation.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Bitopertin is a selective inhibitor of GlyT1 that we are developing to treat porphyrias and hematologic diseases. GlyT1 inhibition has been pursued in the past as an approach to treat schizophrenia. We are aware that Boehringer Ingelheim is conducting a Phase 3 clinical study of BI 425809, a GlyT1 inhibitor, for the improvement of cognition in patients with schizophrenia.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Phase 3 trial by Bristol-Myers Squibb, and KER-050, which is in a Phase 2 trial by Keros, Inc. In addition, multiple ALK2 inhibitors, which work by a hepcidin-lowering mechanism similar to, but less specific than that of DISC-0974, are in Phase 1/2 development, including KER-047 by Keros, Inc. and INCB00928 by Incyte Corporation. Sierra Oncology, Inc. (recently acquired by GlaxoSmithKline) is developing a JAK2 kinase inhibitor, momelotinib, which has completed a Phase 3 trial and has a New Drug Application, or NDA, under review by the FDA.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treatment of non-dialysis dependent CKD and anemia, there are several therapies approved or in clinical development, including, but not limited to, ESAs, oral hypoxia inducible factor-prolyl hydroxylase inhibitors, or HIF-PHIs,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developing MWTX-003,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 Therapeutics,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Collaborations and License Agreement</w:t>
      </w:r>
      <w:r>
        <w:rPr>
          <w:rFonts w:ascii="Times New Roman" w:hAnsi="Times New Roman"/>
          <w:sz w:val="20"/>
        </w:rPr>
        <w:t xml:space="preserve"> </w:t>
      </w:r>
    </w:p>
    <w:p>
      <w:pPr>
        <w:pStyle w:val="TextBody"/>
        <w:spacing w:before="140" w:after="0"/>
        <w:jc w:val="left"/>
        <w:rPr>
          <w:rFonts w:ascii="Times New Roman" w:hAnsi="Times New Roman"/>
          <w:sz w:val="20"/>
        </w:rPr>
      </w:pPr>
      <w:r>
        <w:rPr>
          <w:rFonts w:ascii="Times New Roman;serif" w:hAnsi="Times New Roman;serif"/>
          <w:b/>
          <w:i/>
          <w:sz w:val="20"/>
        </w:rPr>
        <w:t>2019 Exclusive License Agreement with AbbVie Deutschland GmbH &amp; Co. KG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 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$87.5 million in aggregate. The first potential milestone is a $3.0 million payment payable upon the initiation of the first Phase 2 clinical trial with a licensed product.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pStyle w:val="TextBody"/>
        <w:spacing w:before="240" w:after="0"/>
        <w:jc w:val="left"/>
        <w:rPr>
          <w:rFonts w:ascii="Times New Roman" w:hAnsi="Times New Roman"/>
          <w:sz w:val="20"/>
        </w:rPr>
      </w:pPr>
      <w:r>
        <w:rPr>
          <w:rFonts w:ascii="Times New Roman;serif" w:hAnsi="Times New Roman;serif"/>
          <w:b/>
          <w:i/>
          <w:sz w:val="20"/>
        </w:rPr>
        <w:t>2021 Exclusive License Agreement with F. Hoffmann-La Roche Ltd and Hoffmann-La Roche Inc.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required to use commercially reasonable efforts to develop, seek regulatory approval and, on a country-by-country basis where such regulatory approval has been obtained, commercialize at least one licensed product in each such country.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 is a $10.0 million payment upon the initiation of the first Phase 3 clinical trial with a licensed product in a first indication. We will also pay Roche up to an aggregate of $120.0 million based on achievement of certain thresholds for annual net sales of licensed products. We are also obligated to pay a royalty on net sales of licensed 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2023 Exclusive License Agreement with Mabwell Therapeutics, Inc.</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pStyle w:val="TextBody"/>
        <w:spacing w:before="120" w:after="0"/>
        <w:jc w:val="left"/>
        <w:rPr>
          <w:rFonts w:ascii="Times New Roman" w:hAnsi="Times New Roman"/>
          <w:sz w:val="20"/>
        </w:rPr>
      </w:pPr>
      <w:r>
        <w:rPr>
          <w:rFonts w:ascii="Times New Roman;serif" w:hAnsi="Times New Roman;serif"/>
          <w:b w:val="false"/>
          <w:sz w:val="20"/>
        </w:rPr>
        <w:t>The Mabwell Agreement requires us to pay Mabwell an upfront payment of $10.0 million dollars, and certain development and regulatory milestone payments for the licensed antibody products, for up to three indications, up to a maximum aggregate amount of $127.5 million dollars, as well as certain commercial milestone payments for certain licensed antibody product net sales achievements, up to a maximum aggregate amount of $275 million dollars.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 containing the licensed antibodies. In such circumstances, we and Mabwell will negotiate a royalty to be paid by Mabwell on the net sales of such products in the licensed territory.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pStyle w:val="TextBody"/>
        <w:spacing w:before="240" w:after="0"/>
        <w:jc w:val="left"/>
        <w:rPr>
          <w:rFonts w:ascii="Times New Roman" w:hAnsi="Times New Roman"/>
          <w:sz w:val="20"/>
        </w:rPr>
      </w:pPr>
      <w:r>
        <w:rPr>
          <w:rFonts w:ascii="Times New Roman;serif" w:hAnsi="Times New Roman;serif"/>
          <w:b/>
          <w:i/>
          <w:sz w:val="20"/>
        </w:rPr>
        <w:t>Patent Portfolio</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patent portfolio includes patents and patent applications in the United States and selected jurisdictions outside of the United States. As of March 14, 2023, our patent portfolio in total consisted of 11 issued U.S. patents and 200 issued patents in foreign jurisdictions (e.g., Australia, China, United Kingdom, Germany, Mexico, Japan, and others), six PCT applications, 57 pending non-provisional applications (U.S., EP and other jurisdictions), and five pending U.S. provisional applications, which include claims directed to compositions and methods of use.</w:t>
      </w:r>
    </w:p>
    <w:p>
      <w:pPr>
        <w:pStyle w:val="TextBody"/>
        <w:spacing w:before="240" w:after="0"/>
        <w:jc w:val="left"/>
        <w:rPr>
          <w:rFonts w:ascii="Times New Roman" w:hAnsi="Times New Roman"/>
          <w:sz w:val="20"/>
        </w:rPr>
      </w:pPr>
      <w:r>
        <w:rPr>
          <w:rFonts w:ascii="Times New Roman;serif" w:hAnsi="Times New Roman;serif"/>
          <w:b w:val="false"/>
          <w:sz w:val="20"/>
        </w:rPr>
        <w:t>The patent portfolio includes patents and applications with claims related to the following programs: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Heme Biosynthesis Modulation Portfolio - Bitopertin</w:t>
      </w:r>
    </w:p>
    <w:p>
      <w:pPr>
        <w:pStyle w:val="TextBody"/>
        <w:spacing w:before="120" w:after="0"/>
        <w:jc w:val="both"/>
        <w:rPr>
          <w:rFonts w:ascii="Times New Roman" w:hAnsi="Times New Roman"/>
          <w:sz w:val="20"/>
        </w:rPr>
      </w:pPr>
      <w:r>
        <w:rPr>
          <w:rFonts w:ascii="Times New Roman;serif" w:hAnsi="Times New Roman;serif"/>
          <w:b w:val="false"/>
          <w:sz w:val="20"/>
        </w:rPr>
        <w:t>With regard to our bitopertin program, we own five pending PCT applications directed to various methods of treatment and use claims related to EPP, XLP, CEP, DBA, and PV. In addition, we own one pending U.S. provisional application directed to various methods of treatment and use claims related to hepatic porphyrias. Patents and pending applications directed to bitopertin and methods of making and using are expected to expire between 2041 and 2043,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Our third family is directed to methods of treating polycythemias, including PV with bitopertin and related compounds, and this family, upon grant, will have a twenty-year statutory expiration date of 2042. Our fourth family is directed to methods of treating anemia associated with a ribosomal disorder (e.g., DBA) with bitopertin and related compounds, and this family, upon grant, will have a twenty-year statutory expiration date of 2042. Our fifth family is directed to methods of treating hepatic porphyria with bitopertin and related compounds, and this family, upon grant, will have a twenty-year statutory expiration date of 2043. Our sixth family is directed to methods of treating EPP, XLP, and CEP with additional GlyT1 inhibitors, and this family, upon grant, will have a twenty-year statutory expiration date of 2042. We have also in-licensed multiple patent families from F. Hoffmann-La Roche Ltd and Hoffmann-La Roche Inc. comprising eight issued U.S. patents and additional granted patents in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Malta, Mexico, Monaco, Montenegro, Morocco, Netherlands, New Zealand, Norway, Philippines, Poland, Portugal, Republic of Korea, Republic of Serbia, Romania, Russian Federation, Singapore, Slovak Republic, Slovenia, South Africa, Spain, Sweden, Switzerland, Taiwan,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2024 and 2035, without accounting for any potential terminal disclaimers, available patent term adjustments or extensions. In particular, the first family is directed to composition of matter of bitopertin and processes of preparation, and this family has a twenty-year statutory expiration date of 2024. This family has issued patents in the U.S. and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Mexico, Monaco, Montenegro, Morocco, Netherlands, New Zealand, Norway, Philippines, Poland, Portugal, Republic of Korea, Republic of Serbia, Romania, Russian Federation, Singapore, Slovak Republic, Slovenia, South Africa, Spain, Sweden, Switzerland, Taiwan, Turkey, Ukraine, and Vietnam.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120" w:after="0"/>
        <w:jc w:val="both"/>
        <w:rPr>
          <w:rFonts w:ascii="Times New Roman" w:hAnsi="Times New Roman"/>
          <w:sz w:val="20"/>
        </w:rPr>
      </w:pPr>
      <w:r>
        <w:rPr>
          <w:rFonts w:ascii="Times New Roman;serif" w:hAnsi="Times New Roman;serif"/>
          <w:b w:val="false"/>
          <w:sz w:val="20"/>
        </w:rPr>
        <w:t>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Several of the indications that we expect to pursue with bitopertin, including EPP, XLP and DBA, are rare diseases. We have received orphan drug designation from the FDA for bitopertin for the treatment of EPP and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Iron Homeostasis Portfolio – Hepcidin Suppression – DISC-0974 and DISC-0998</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With regard to our iron homeostasis portfolio, including our DISC-0974 and DISC-0998 programs, we own five patent families, including one PCT patent application that has entered the national phase in Australia, Canada, China, Europe, Israel, Japan, Korea, and United States, one PCT patent application that has entered the national phase in Europe, and United States, two pending PCT patent applications, and two pending U.S. provisional applications containing composition of matter, method of treatment and use claims related to our initial indication, anemia of myelofibrosis, and our expansion indications, e.g., chronic kidney disease anemia, anemia of inflammatory bowel disease and other anemias of chronic disease involving iron restriction from elevated hepcidin. Patents issuing from these PCT applications are expected to expire in 2040 and 2041, not including any patent term adjustments and any patent term extensions. Further,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also in-licenses a patent family from AbbVie comprised of two issued U.S. patents that are expected to expire in 2032 and 2035, and issued patents in Australia,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eight pending non-provisional applications in the United States, Australia, Brazil, Canada, China, Europe, Japan and Mexico. Any patents that issue on these pending non-provisional applications are likewise expected to expire in 2032, not including any patent term adjustments and any patent term extensions.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Iron Homeostasis Portfolio – Hepcidin Induction – MWTX-001, MWTX-002, and MWTX-003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 regard to our TMPRSS6 inhibitor program, we in-license a patent family from Mabwell comprised of ten pending applications in Australia, Canada, China, Europe, India, Japan, Korea, Taiwan, and United States. These in-licensed patent applications include composition of matter claims to antibodies designed to inhibit TMPRSS6, including MWTX-001, MWTX-002, and MWTX-003, as well as method of treatment and use claims related to diseases of iron metabolism. Any patents that issue on these pending non-provisional applications are expected to expire in 2041, not including any patent term adjustments and any patent term extensions.</w:t>
      </w:r>
    </w:p>
    <w:p>
      <w:pPr>
        <w:pStyle w:val="TextBody"/>
        <w:spacing w:before="120" w:after="0"/>
        <w:jc w:val="left"/>
        <w:rPr>
          <w:rFonts w:ascii="Times New Roman" w:hAnsi="Times New Roman"/>
          <w:sz w:val="20"/>
        </w:rPr>
      </w:pPr>
      <w:r>
        <w:rPr>
          <w:rFonts w:ascii="Times New Roman;serif" w:hAnsi="Times New Roman;serif"/>
          <w:b w:val="false"/>
          <w:sz w:val="20"/>
        </w:rPr>
        <w:t>We also own seven pending non-provisional applications in U.S., Europe, Japan, Australia, Canada, China and India and one pending PCT international application directed to compounds that inhibit TMPRSS6 and methods of using the same. Any patents that issue in the non-provisional applications are expected to expire in 2039, not including any patent term adjustments and any patent term extensions. Any applications claiming priority to the PCT application that issue as a patent are expected to expire in 2041, not including any patent term adjustments and any patent term extensions.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Patent Term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Trade Secrets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Governmental Regulation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MWTX-003,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product candidates must be approved for therapeutic indications by the FDA before they may be marketed in the United States. For drug product candidates regulated under the FD&amp;C Act, FDA must approve an NDA. For biologic product candidates regulated under the FD&amp;C Act and PHSA, FDA must approve a Biologics License Application, or BLA. The process is similar for both drugs and biologics and generally involves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completion of extensive preclinical studies in accordance with applicable regulations, including studies conducted in accordance with good laboratory practice, or GLP,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completion of the manufacture, under current Good Manufacturing Practices, or cGMP, conditions, of the drug substance and drug product that the sponsor intends to use in human clinical trials along with required analytical and stability testing;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submission to the FDA of an IND which must become effective before clinical trials may begin and must be updated annually and when certain changes are made;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approval by an institutional review board, or IRB, or independent ethics committee at each clinical trial site before each trial may be initiated;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preparation and submission to the FDA of an NDA or BLA;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determination by the FDA within 60 days of its receipt of an NDA or BLA to file the application for review;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satisfactory completion of FDA audit of the clinical trial sites that generated the data in support of the NDA or BLA;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payment of user fees for FDA review of the NDA or BLA, unless a waiver is applicable;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FDA review and approval of the NDA or BLA, including, where applicable, consideration of the views of any FDA advisory committee, prior to any commercial marketing or sale of the drug in the United States. </w:t>
      </w:r>
    </w:p>
    <w:p>
      <w:pPr>
        <w:pStyle w:val="TextBody"/>
        <w:spacing w:before="240" w:after="0"/>
        <w:jc w:val="left"/>
        <w:rPr>
          <w:rFonts w:ascii="Times New Roman" w:hAnsi="Times New Roman"/>
          <w:sz w:val="20"/>
        </w:rPr>
      </w:pPr>
      <w:r>
        <w:rPr>
          <w:rFonts w:ascii="Times New Roman;serif" w:hAnsi="Times New Roman;serif"/>
          <w:b/>
          <w:i/>
          <w:sz w:val="20"/>
        </w:rPr>
        <w:t>Preclinical Studies and Clinical Trials for Drugs and Biologics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Before testing any drug or biologic in humans, the product candidate must undergo rigorous preclinical testing. Preclinical studies include laboratory evaluations of product chemistry, formulation and stability, as well as</w:t>
      </w:r>
      <w:r>
        <w:rPr>
          <w:rFonts w:ascii="Times New Roman" w:hAnsi="Times New Roman"/>
          <w:sz w:val="20"/>
        </w:rPr>
        <w:t xml:space="preserve">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Clinical trials to evaluate therapeutic indications to support NDAs and BLAs for marketing approval are typically conducted in three sequential phases, which may overlap.</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Phase 1</w:t>
      </w:r>
      <w:r>
        <w:rPr/>
        <w:t xml:space="preserve"> </w:t>
      </w:r>
      <w:r>
        <w:rPr>
          <w:rFonts w:ascii="Times New Roman;serif" w:hAnsi="Times New Roman;serif"/>
          <w:b w:val="false"/>
          <w:sz w:val="20"/>
        </w:rPr>
        <w:t xml:space="preserve">- 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Phase 2</w:t>
      </w:r>
      <w:r>
        <w:rPr/>
        <w:t xml:space="preserve"> </w:t>
      </w:r>
      <w:r>
        <w:rPr>
          <w:rFonts w:ascii="Times New Roman;serif" w:hAnsi="Times New Roman;serif"/>
          <w:b w:val="false"/>
          <w:sz w:val="20"/>
        </w:rPr>
        <w:t xml:space="preserve">- 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 </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Phase 3</w:t>
      </w:r>
      <w:r>
        <w:rPr/>
        <w:t xml:space="preserve"> </w:t>
      </w:r>
      <w:r>
        <w:rPr>
          <w:rFonts w:ascii="Times New Roman;serif" w:hAnsi="Times New Roman;serif"/>
          <w:b w:val="false"/>
          <w:sz w:val="20"/>
        </w:rPr>
        <w:t>- 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pStyle w:val="TextBody"/>
        <w:spacing w:before="120" w:after="0"/>
        <w:jc w:val="left"/>
        <w:rPr>
          <w:rFonts w:ascii="Times New Roman" w:hAnsi="Times New Roman"/>
          <w:sz w:val="20"/>
        </w:rPr>
      </w:pPr>
      <w:r>
        <w:rPr>
          <w:rFonts w:ascii="Times New Roman;serif" w:hAnsi="Times New Roman;serif"/>
          <w:b w:val="false"/>
          <w:sz w:val="20"/>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w:t>
      </w:r>
      <w:r>
        <w:rPr>
          <w:rFonts w:ascii="Times New Roman" w:hAnsi="Times New Roman"/>
          <w:sz w:val="20"/>
        </w:rPr>
        <w:t xml:space="preserve"> </w:t>
      </w:r>
      <w:r>
        <w:rPr>
          <w:rFonts w:ascii="Times New Roman;serif" w:hAnsi="Times New Roman;serif"/>
          <w:b w:val="false"/>
          <w:i/>
          <w:sz w:val="20"/>
        </w:rPr>
        <w:t xml:space="preserve">in vitro </w:t>
      </w:r>
      <w:r>
        <w:rPr>
          <w:rFonts w:ascii="Times New Roman;serif" w:hAnsi="Times New Roman;serif"/>
          <w:b w:val="false"/>
          <w:sz w:val="20"/>
        </w:rPr>
        <w:t>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U.S. Marketing Approval for Drugs and Biologics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approval letter. An approval letter authorizes commercial marketing of the product with specific prescribing information for specific indications.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pStyle w:val="TextBody"/>
        <w:spacing w:before="240" w:after="0"/>
        <w:jc w:val="left"/>
        <w:rPr>
          <w:rFonts w:ascii="Times New Roman" w:hAnsi="Times New Roman"/>
          <w:sz w:val="20"/>
        </w:rPr>
      </w:pPr>
      <w:r>
        <w:rPr>
          <w:rFonts w:ascii="Times New Roman;serif" w:hAnsi="Times New Roman;serif"/>
          <w:b/>
          <w:i/>
          <w:sz w:val="20"/>
        </w:rPr>
        <w:t>Orphan Drug Designation and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may further reevaluate its regulations and policies under the Orphan Drug Act. It is unclear as to how, if at all, the FDA may change the orphan drug regulations and policies in the future.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Rare Pediatric Disease Designation and Priority Review Vouchers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Expedited Development and Review Programs for Drugs and Biologics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these programs is to either expedite the development or review of important new drugs and biologics to get them to patients more quickly than standard FDA review timelines typically permit.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pStyle w:val="TextBody"/>
        <w:spacing w:before="120" w:after="0"/>
        <w:jc w:val="left"/>
        <w:rPr>
          <w:rFonts w:ascii="Times New Roman" w:hAnsi="Times New Roman"/>
          <w:sz w:val="20"/>
        </w:rPr>
      </w:pPr>
      <w:r>
        <w:rPr>
          <w:rFonts w:ascii="Times New Roman;serif" w:hAnsi="Times New Roman;serif"/>
          <w:b w:val="false"/>
          <w:sz w:val="20"/>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as appropriate,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Pediatric Information and Pediatric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clinical development programs. Unless otherwise required by regulation, PREA does not apply to a drug or biologic for an indication for which orphan designation has been granted.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U.S. Post-Approval Requirements for Drugs and Biologics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on the marketing or manufacturing of the product, complete withdrawal of the product from the market or product recalls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issuance of safety alerts, Dear Healthcare Provider letters, press releases or other communications containing warnings or other safety information about the product;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fines, warning letters or holds on post-approval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refusal of the FDA to approve applications or supplements to approved applications, or suspension or revocation of product approvals;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product seizure or detention, or refusal to permit the import or export of products;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injunctions or the imposition of civil or criminal penalties;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consent decrees, corporate integrity agreements, debarment or exclusion from federal healthcare programs;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mandated modification of promotional materials and labeling and issuance of corrective information</w:t>
      </w:r>
    </w:p>
    <w:p>
      <w:pPr>
        <w:pStyle w:val="TextBody"/>
        <w:spacing w:before="240" w:after="0"/>
        <w:jc w:val="left"/>
        <w:rPr>
          <w:rFonts w:ascii="Times New Roman" w:hAnsi="Times New Roman"/>
          <w:sz w:val="20"/>
        </w:rPr>
      </w:pPr>
      <w:r>
        <w:rPr>
          <w:rFonts w:ascii="Times New Roman;serif" w:hAnsi="Times New Roman;serif"/>
          <w:b/>
          <w:i/>
          <w:sz w:val="20"/>
        </w:rPr>
        <w:t>U.S. Patent Term Restoration and Marketing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U.S. Biosimilars and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Other Regulatory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distribution of pharmaceutical products is subject to additional requirements and regulations, including extensive recordkeeping, licensing, storage and security requirements intended to prevent the unauthorized sale of pharmaceutical products.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pStyle w:val="TextBody"/>
        <w:spacing w:before="120" w:after="0"/>
        <w:jc w:val="left"/>
        <w:rPr>
          <w:rFonts w:ascii="Times New Roman" w:hAnsi="Times New Roman"/>
          <w:sz w:val="20"/>
        </w:rPr>
      </w:pPr>
      <w:r>
        <w:rPr>
          <w:rFonts w:ascii="Times New Roman;serif" w:hAnsi="Times New Roman;serif"/>
          <w:b w:val="false"/>
          <w:sz w:val="20"/>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Other Healthcare Laws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Affordable Care Act and Legislative Reform Measures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legislative changes have been proposed and adopted in the United States since the Affordable Care Act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and subsequence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August 2022, the Inflation Reduction Act of 2022, or the IRA, was signed into law. The IRA includes several provisions that will impact our business to varying degrees, including provisions that create a $2,000 out-of-pocket cap for Medicare Part D beneficiaries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 of IRA on our business and the healthcare industry in general is not yet known.</w:t>
      </w:r>
    </w:p>
    <w:p>
      <w:pPr>
        <w:pStyle w:val="TextBody"/>
        <w:spacing w:before="240" w:after="0"/>
        <w:jc w:val="left"/>
        <w:rPr>
          <w:rFonts w:ascii="Times New Roman" w:hAnsi="Times New Roman"/>
          <w:sz w:val="20"/>
        </w:rPr>
      </w:pPr>
      <w:r>
        <w:rPr>
          <w:rFonts w:ascii="Times New Roman;serif" w:hAnsi="Times New Roman;serif"/>
          <w:b/>
          <w:i/>
          <w:sz w:val="20"/>
        </w:rPr>
        <w:t>Other U.S. Environmental, Health and Safety Laws and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Employees and Human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February 28, 2023, we had 46 full-time employees, including 19 who hold Ph.D. or M.D. degrees, and no part-time employees. Of the full-time employees, 33 employees are engaged in research and development and 13 employees are engaged in management or general and administrative activities. None of our employees are subject to a collective bargaining agreement or represented by a trade or labor union. We consider our relationship with our employees to be good.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Facilities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principal office is located at 321 Arsenal Street, Suite 101, Watertown, MA 02472, where we lease approximately 7,566 square feet of office space. The lease term began in November 2021 and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Legal 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be involved in various other claims and legal proceedings relating to claims arising out of our operations. We are not currently a party to any material legal proceedings.</w:t>
      </w:r>
    </w:p>
    <w:p>
      <w:pPr>
        <w:pStyle w:val="TextBody"/>
        <w:spacing w:before="240" w:after="0"/>
        <w:jc w:val="left"/>
        <w:rPr>
          <w:rFonts w:ascii="Times New Roman;serif" w:hAnsi="Times New Roman;serif"/>
          <w:b/>
          <w:sz w:val="20"/>
        </w:rPr>
      </w:pPr>
      <w:r>
        <w:rPr>
          <w:rFonts w:ascii="Times New Roman;serif" w:hAnsi="Times New Roman;serif"/>
          <w:b/>
          <w:sz w:val="20"/>
        </w:rPr>
        <w:t>Available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rFonts w:ascii="Times New Roman" w:hAnsi="Times New Roman"/>
          <w:sz w:val="20"/>
        </w:rPr>
      </w:pPr>
      <w:bookmarkStart w:id="6" w:name="item_1a_risk_factors"/>
      <w:bookmarkEnd w:id="6"/>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sz w:val="20"/>
        </w:rPr>
        <w:t>RISK FACTORS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pStyle w:val="TextBody"/>
        <w:spacing w:before="120" w:after="0"/>
        <w:jc w:val="left"/>
        <w:rPr>
          <w:rFonts w:ascii="Times New Roman" w:hAnsi="Times New Roman"/>
          <w:sz w:val="20"/>
        </w:rPr>
      </w:pPr>
      <w:r>
        <w:rPr>
          <w:rFonts w:ascii="Times New Roman;serif" w:hAnsi="Times New Roman;serif"/>
          <w:b/>
          <w:sz w:val="20"/>
        </w:rPr>
        <w:t>Risks Related to Our Limited Operating History, Financial Position, and Capital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Our limited operating history may make it difficult for you to evaluate the success of our business to date and to assess our future viability.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have incurred significant net losses since our inception and anticipate that we will continue to incur losses for the foreseeable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net losses were $36.0 million and $46.8 million for the years ended December 31, 2021 and 2022, respectively. We had an accumulated deficit of $112.2 million as of December 31, 2022.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amount of our future losses is uncertain and our quarterly and annual operating results may fluctuate significantly in the future due to a variety of factors, many of which are outside of our control and may be difficult to predict, including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successfully open clinical trial sites and recruit and retain subjects for clinical trials, and any delays caused by difficulties in such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regulatory approval for our product candidates, and the timing and scope of any such approvals we may receive;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and level of investment in, research and development activities relating to our product candidates, which may change from time to time;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product candidates and products, should they receive regulatory approval, which may vary depending on the quantity of production and the terms of our agreements with manufacturers;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attract, hire and retain qualified personnel;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expenditures that we will or may incur to develop additional product candidates;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level of demand for our products should they receive regulatory approval, which may vary significantly;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risk/benefit profile, cost and reimbursement policies with respect to our product candidates, if approved, and existing and potential future therapeutics that compete with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changing and volatile U.S. and global economic environments, including as a result of the ongoing COVID-19 pandemic;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future accounting pronouncements or changes in our accounting policies. </w:t>
      </w:r>
    </w:p>
    <w:p>
      <w:pPr>
        <w:pStyle w:val="TextBody"/>
        <w:spacing w:before="120" w:after="0"/>
        <w:jc w:val="left"/>
        <w:rPr>
          <w:rFonts w:ascii="Times New Roman" w:hAnsi="Times New Roman"/>
          <w:sz w:val="20"/>
        </w:rPr>
      </w:pPr>
      <w:r>
        <w:rPr>
          <w:rFonts w:ascii="Times New Roman;serif" w:hAnsi="Times New Roman;serif"/>
          <w:b w:val="false"/>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have no products approved for commercial sale and have not generated any revenue from product 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begins to sell, one or more of our product candidates. Our ability to generate revenue depends on a number of factors, including, but not limited to, our ability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successfully complete our ongoing and planned preclinical studies for our current and future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timely file and receive acceptance of our INDs in order to commence our planned clinical trials or future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successfully enroll subjects in, and complete, our ongoing and planned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initiate and successfully complete all safety and efficacy studies necessary to obtain U.S. and foreign regulatory approval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successfully address the prevalence, duration and severity of potential side effects or other safety issues experienced with our product candidates,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timely file New Drug Applications, or NDAs, and Biologic License Applications, or BLAs, and receive regulatory approvals for our product candidates from the U.S. Food and Drug Administration, or the FDA, and comparable foreign regulatory authorities;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and maintain clinical and commercial manufacturing capabilities or make arrangements with third-party manufacturers for clinical supply and commercial manufacturing;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and maintain patent and trade secret protection or regulatory exclusivity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launch commercial sales of our products, if and when approved, whether alone or in collaboration with others;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and maintain acceptance of our products, if and when approved, by patients, the medical community and third-party payors;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position our product candidates to effectively compete with other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and maintain healthcare coverage and adequate reimbursement;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enforce and defend intellectual property rights and claims;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implement measures to help minimize the risk of COVID-19 to our employees as well as patients and subjects enrolled in our clinical trials;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maintain a continued acceptable safety profile of our products following approval. </w:t>
      </w:r>
    </w:p>
    <w:p>
      <w:pPr>
        <w:pStyle w:val="TextBody"/>
        <w:spacing w:before="120" w:after="0"/>
        <w:jc w:val="left"/>
        <w:rPr>
          <w:rFonts w:ascii="Times New Roman" w:hAnsi="Times New Roman"/>
          <w:sz w:val="20"/>
        </w:rPr>
      </w:pPr>
      <w:r>
        <w:rPr>
          <w:rFonts w:ascii="Times New Roman;serif" w:hAnsi="Times New Roman;serif"/>
          <w:b w:val="false"/>
          <w:sz w:val="20"/>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We will need to raise substantial additional funding. If we are unable to raise capital when needed or on terms acceptable to us, we would be forced to delay, reduce, or eliminate some of our product development programs or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we have cash and cash equivalents that will enable us to fund operating expenses and capital expenditure requirements into 2025. However, we have based this estimate on assumptions that may prove to be wrong, and we could exhaust our available capital resources sooner than expected. Our future capital requirements will depend on and could increase significantly as a result of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progress of preclinical and clinical development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preclinical and clinical programs we decide to pursue;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raise additional funds necessary to complete clinical development of and commercialize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new and maintain existing licensing or collaboration arrangements and the progress of the development efforts of third parties with whom we may enter into such arrangements;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our current research and development programs and to establish new programs;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successful initiation, enrollment and completion of clinical trials with safety, tolerability and efficacy profiles that are satisfactory to the FDA or any comparable foreign regulatory authority;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receipt and related terms of regulatory approvals from applicable regulatory authorities for any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availability of raw materials for use in production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establishing agreements with third-party manufacturers for supply of product candidate components for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patents, trade secret protection and regulatory exclusivity, both in the United States and internationally;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protect our other rights in our intellectual property portfolio;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commercializing product candidates, if and when approved, whether alone or in collaboration with others;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third-party insurance coverage and adequate reimbursement for any approved products;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potential additional expenses attributable to adjusting our development plans (including any supply related matters) to the ongoing COVID-19 pandemic. </w:t>
      </w:r>
    </w:p>
    <w:p>
      <w:pPr>
        <w:pStyle w:val="TextBody"/>
        <w:spacing w:before="120" w:after="0"/>
        <w:jc w:val="left"/>
        <w:rPr>
          <w:rFonts w:ascii="Times New Roman" w:hAnsi="Times New Roman"/>
          <w:sz w:val="20"/>
        </w:rPr>
      </w:pPr>
      <w:r>
        <w:rPr>
          <w:rFonts w:ascii="Times New Roman;serif" w:hAnsi="Times New Roman;serif"/>
          <w:b w:val="false"/>
          <w:sz w:val="20"/>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additional fundraising efforts may divert our management from their day-to-day activities, which may adversely affect our ability to develop and commercialize our product candidates. Disruptions in the financial markets in general and more recently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technologies or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Stockholders who hold contingent value rights, or CVRs, potentially may not receive any payment on the CVRs and the CVRs may otherwise expire valueless.</w:t>
      </w:r>
    </w:p>
    <w:p>
      <w:pPr>
        <w:pStyle w:val="TextBody"/>
        <w:spacing w:before="120" w:after="0"/>
        <w:jc w:val="left"/>
        <w:rPr>
          <w:rFonts w:ascii="Times New Roman" w:hAnsi="Times New Roman"/>
          <w:sz w:val="20"/>
        </w:rPr>
      </w:pPr>
      <w:r>
        <w:rPr>
          <w:rFonts w:ascii="Times New Roman;serif" w:hAnsi="Times New Roman;serif"/>
          <w:b w:val="false"/>
          <w:sz w:val="20"/>
        </w:rPr>
        <w:t>On December 29, 2022, prior to the effective time of our merger with Gemini, we entered into a Contingent Value Rights Agreement, or the CVR Agreement, with a rights agent pursuant to which Gemini’s pre-merger common stockholders received one CVR for each outstanding share of Gemini common stock held by such stockholders on December 29, 2022. Each CVR represents the contractual right to receive payments, in the form of shares of our stock, upon the actual receipt by us or our affiliates of certain proceeds derived from consideration paid to us as a result of the disposition of Gemini’s pre-merger legacy assets, net of certain expenses and other deductions. Any payments under the CVR Agreement will be in the form of shares of our stock, determined on the basis of a volume weighted average for the five (5) trading days prior to the date of issuance.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 There can be no assurance that any payment of any of our shares will be made or that any holders of CVRs will receive any amounts with respect thereto.</w:t>
      </w:r>
    </w:p>
    <w:p>
      <w:pPr>
        <w:pStyle w:val="TextBody"/>
        <w:spacing w:before="240" w:after="0"/>
        <w:jc w:val="left"/>
        <w:rPr>
          <w:rFonts w:ascii="Times New Roman" w:hAnsi="Times New Roman"/>
          <w:sz w:val="20"/>
        </w:rPr>
      </w:pPr>
      <w:r>
        <w:rPr>
          <w:rFonts w:ascii="Times New Roman;serif" w:hAnsi="Times New Roman;serif"/>
          <w:b/>
          <w:sz w:val="20"/>
        </w:rPr>
        <w:t>Risks Related to the Discovery and Development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The ongoing COVID-19 pandemic, or a similar pandemic, epidemic, or outbreak of an infectious or highly contagious disease, may materially and adversely affect our business and financial results and could cause a disruption to the development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Public health crises such as pandemics, including the ongoing COVID-19 pandemic, or similar outbreaks could adversely impact our business. The extent to which COVID-19, or the future outbreak of other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the patient populations that our product candidates target may be particularly susceptible to COVID-19 or other highly infectious or contagious diseases, which may make it more difficult for us to identify patients able to enroll in our current and future clinical trials and may impact the ability of enrolled patients to complete any such trials.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two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plan to initiate a Phase 1 clinical trial of MWTX-003 in healthy volunteers in the first half of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be delayed in obtaining regulatory approval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not obtain regulatory approval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regulatory approval for indications or patient populations that are not as broad as intended or desired;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continue to be subject to post-marketing testing requirements;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experience having the product removed from the market after obtaining regulatory approval. </w:t>
      </w:r>
    </w:p>
    <w:p>
      <w:pPr>
        <w:pStyle w:val="TextBody"/>
        <w:spacing w:before="240" w:after="0"/>
        <w:jc w:val="left"/>
        <w:rPr>
          <w:rFonts w:ascii="Times New Roman" w:hAnsi="Times New Roman"/>
          <w:sz w:val="20"/>
        </w:rPr>
      </w:pPr>
      <w:r>
        <w:rPr>
          <w:rFonts w:ascii="Times New Roman;serif" w:hAnsi="Times New Roman;serif"/>
          <w:b/>
          <w:i/>
          <w:sz w:val="20"/>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Clinical product development involves a lengthy and expensive process, with an uncertain outcome.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2021, we entered into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MWTX-003, for which pre-clinical results may not be indicative or predictive of future clinical trial results.</w:t>
      </w:r>
    </w:p>
    <w:p>
      <w:pPr>
        <w:pStyle w:val="TextBody"/>
        <w:spacing w:before="240" w:after="0"/>
        <w:jc w:val="left"/>
        <w:rPr>
          <w:rFonts w:ascii="Times New Roman" w:hAnsi="Times New Roman"/>
          <w:sz w:val="20"/>
        </w:rPr>
      </w:pPr>
      <w:r>
        <w:rPr>
          <w:rFonts w:ascii="Times New Roman;serif" w:hAnsi="Times New Roman;serif"/>
          <w:b/>
          <w:i/>
          <w:sz w:val="20"/>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Interim, top-line, and preliminary data from our clinical trials that we announce or publish from time to time may change as more patient data become available and are subject to confirmation, audit, and verification procedures that could result in material changes in the final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We also may make assumptions, estimations, calculations and conclusions as part of our analyses of data, and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interim, top-line or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price of our common stock to fluctuate or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the interim, top-line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incur additional costs or experience delays in initiating or completing, or ultimately be unable to complete, the development and commercialization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receive feedback from regulatory authorities that requires us to modify the design or implementation of our preclinical studies or clinical trials or to delay or terminate a clinical trial;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regulators or IRBs or ethics committees may delay or may not authorize us or our investigators to commence a clinical trial or conduct a clinical trial at a prospective trial site;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preclinical studies or clinical trials of our product candidates may not produce differentiated or clinically significant results across indications;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clinical trials of our product candidates may be greater than anticipated;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clinical trials of our product candidates may be delayed due to complications associated with the ongoing COVID-19 pandemic;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supply or quality of our product candidates or other materials necessary to conduct clinical trials of our product candidates may be insufficient or inadequate, and any transfer of manufacturing activities may require unforeseen manufacturing or formulation changes;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any future collaborators may conduct clinical trials in ways they view as advantageous to them but that are suboptimal for us;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regulators may revise the requirements for approving our product candidates, or such requirements may not be as anticipated. </w:t>
      </w:r>
    </w:p>
    <w:p>
      <w:pPr>
        <w:pStyle w:val="TextBody"/>
        <w:spacing w:before="120" w:after="0"/>
        <w:jc w:val="left"/>
        <w:rPr>
          <w:rFonts w:ascii="Times New Roman" w:hAnsi="Times New Roman"/>
          <w:sz w:val="20"/>
        </w:rPr>
      </w:pPr>
      <w:r>
        <w:rPr>
          <w:rFonts w:ascii="Times New Roman;serif" w:hAnsi="Times New Roman;serif"/>
          <w:b w:val="false"/>
          <w:sz w:val="20"/>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If we experience delays or difficulties in the enrollment of patients in clinical trials, our receipt of necessary regulatory approvals could be delayed or prevented.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 Furthermore, our ability to enroll patients may be significantly delayed by the ongoing COVID-19 pandemic, and we cannot accurately predict the extent and scope of such delays at this point.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Patient enrollment may be affected by other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severity of the disease under investigation;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efforts to obtain and maintain patient consents and facilitate timely enrollment in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monitor patients adequately during and after treatment;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risk that patients enrolled in clinical trials will drop out of the clinical trials before clinical trial completion;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recruit clinical trial investigators with the appropriate competencies and experience;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reporting of the preliminary results of any of our clinical trials;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factors we may not be able to control, including the impacts of the COVID-19 pandemic, that may limit patients, principal investigators or staff or clinical site availability. </w:t>
      </w:r>
    </w:p>
    <w:p>
      <w:pPr>
        <w:pStyle w:val="TextBody"/>
        <w:spacing w:before="240" w:after="0"/>
        <w:jc w:val="left"/>
        <w:rPr>
          <w:rFonts w:ascii="Times New Roman" w:hAnsi="Times New Roman"/>
          <w:sz w:val="20"/>
        </w:rPr>
      </w:pPr>
      <w:r>
        <w:rPr>
          <w:rFonts w:ascii="Times New Roman;serif" w:hAnsi="Times New Roman;serif"/>
          <w:b/>
          <w:i/>
          <w:sz w:val="20"/>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results from early preclinical studies and clinical trials of bitopertin, DISC-0974, DISC-0998, MWTX-003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MWTX-003 has only been evaluated in pre-clinical models,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research methodology used may not be successful in identifying potential indications and/or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potential product candidates may, after further study, be shown to have harmful adverse effects or other characteristics that indicate they are unlikely to be effective products;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spacing w:before="120" w:after="0"/>
        <w:jc w:val="left"/>
        <w:rPr>
          <w:rFonts w:ascii="Times New Roman" w:hAnsi="Times New Roman"/>
          <w:sz w:val="20"/>
        </w:rPr>
      </w:pPr>
      <w:r>
        <w:rPr>
          <w:rFonts w:ascii="Times New Roman;serif" w:hAnsi="Times New Roman;serif"/>
          <w:b w:val="false"/>
          <w:sz w:val="20"/>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relies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the design or implementation of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be able to enroll a sufficient number of patients in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satisfaction of the FDA or comparable foreign regulatory authorities that a product candidate is safe and effective for its proposed indication;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results of clinical trials may not meet the level of statistical significance required by the FDA or comparable foreign regulatory authorities for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that a product candidate’s clinical and other benefits outweigh its safety risks;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our interpretation of data from preclinical studies or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product candidates may not be sufficient to support the submission of an NDA, BLA or other submission or to obtain regulatory approval in the United States or elsewhere;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or comparable foreign regulatory authorities may significantly change such that our clinical data are insufficient for approval. </w:t>
      </w:r>
    </w:p>
    <w:p>
      <w:pPr>
        <w:pStyle w:val="TextBody"/>
        <w:spacing w:before="120" w:after="0"/>
        <w:jc w:val="left"/>
        <w:rPr>
          <w:rFonts w:ascii="Times New Roman" w:hAnsi="Times New Roman"/>
          <w:sz w:val="20"/>
        </w:rPr>
      </w:pPr>
      <w:r>
        <w:rPr>
          <w:rFonts w:ascii="Times New Roman;serif" w:hAnsi="Times New Roman;serif"/>
          <w:b w:val="false"/>
          <w:sz w:val="20"/>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experience delays in obtaining, or if we fail to obtain, approval of our product candidates, the commercial prospects for our product candidates may be harmed and our ability to generate revenue will be materially impaired.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Risks Related to Commercialization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face substantial competition, which may result in others discovering, developing, or commercializing products before or more successfully than we do.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and initiated a separate Phase 1b/2 clinical trial in the February 2023 in patients with non-dialysis dependent CKD and anemia. We are initially focused on developing MWTX-003 for the treatment of PV. Our projections of both the number of people who have these diseases, as well as the subset of people with these diseases who have the potential to benefit from treatment with our programs and product candidates, are based on our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If our current product candidates or any future product candidates do not achieve broad market acceptance, the revenue that we generate from our sales may be limited, and we may never become profitable.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efficacy of our current product candidates and any future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prevalence and severity of adverse events associated with our current product candidates and any future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our product candidates are approved and the approved claims that we may make for the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relative convenience and ease of administration of our current product candidates and any future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treatment compared with the economic and clinical benefit of alternative treatments or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availability of adequate coverage or reimbursement by third-party payors, including government healthcare programs such as Medicare and Medicaid and other healthcare payors;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price concessions required by third-party payors to obtain coverage;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patients to pay out-of-pocket in the absence of adequate coverage and reimbursement;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and strength of our marketing and distribution of our current product candidates and any future product candidates;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safety, efficacy, and other potential advantages over, and availability of, alternative treatments already used or that may later be approved;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our current product candidates and any future product candidates, as well as competitive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offer our current product candidates and any future product candidates for sale at competitive prices;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and of physicians to prescribe these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extent and strength of our third-party manufacturer and supplier support;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approval of other new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adverse publicity about our current product candidates and any future product candidates, or favorable publicity about competitive products;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potential product liability claims. </w:t>
      </w:r>
    </w:p>
    <w:p>
      <w:pPr>
        <w:pStyle w:val="TextBody"/>
        <w:spacing w:before="120" w:after="0"/>
        <w:jc w:val="left"/>
        <w:rPr>
          <w:rFonts w:ascii="Times New Roman" w:hAnsi="Times New Roman"/>
          <w:sz w:val="20"/>
        </w:rPr>
      </w:pPr>
      <w:r>
        <w:rPr>
          <w:rFonts w:ascii="Times New Roman;serif" w:hAnsi="Times New Roman;serif"/>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our ability to commercialize our products. It is unclear what effect, if any, the American Rescue Plan will have on the number of covered individuals.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sz w:val="20"/>
        </w:rPr>
        <w:t xml:space="preserve"> </w:t>
      </w:r>
    </w:p>
    <w:p>
      <w:pPr>
        <w:pStyle w:val="TextBody"/>
        <w:spacing w:before="120" w:after="0"/>
        <w:jc w:val="left"/>
        <w:rPr>
          <w:rFonts w:ascii="Times New Roman" w:hAnsi="Times New Roman"/>
          <w:sz w:val="20"/>
        </w:rPr>
      </w:pPr>
      <w:bookmarkStart w:id="7" w:name="ny20005172x8_s4a_108_risk_pg72"/>
      <w:bookmarkEnd w:id="7"/>
      <w:r>
        <w:rPr>
          <w:rFonts w:ascii="Times New Roman;serif" w:hAnsi="Times New Roman;serif"/>
          <w:b w:val="false"/>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or manufacturing of the product, withdrawal of the product from the market, or voluntary or mandatory product recalls;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manufacturing delays and supply disruptions where regulatory inspections identify observations of noncompliance requiring remediation;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revisions to the labeling, including limitation on approved uses or the addition of additional warnings, contraindications or other safety information, including boxed warnings;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imposition of a REMS which may include distribution or use restrictions;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requirements to conduct additional post-market clinical trials to assess the safety of the product;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clinical trial holds;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fines, warning letters or other regulatory enforcement action;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refusal by the FDA to approve pending applications or supplements to approved applications filed by us or suspension or revocation of approvals;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product seizure or detention, or refusal to permit the import or export of products;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spacing w:before="120" w:after="0"/>
        <w:jc w:val="left"/>
        <w:rPr>
          <w:rFonts w:ascii="Times New Roman" w:hAnsi="Times New Roman"/>
          <w:sz w:val="20"/>
        </w:rPr>
      </w:pPr>
      <w:r>
        <w:rPr>
          <w:rFonts w:ascii="Times New Roman;serif" w:hAnsi="Times New Roman;serif"/>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Risks Related to Our Reliance on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planned Phase 1 trial of MWTX-003, as well as any other product candidates that we develop. We may also rely on academic and private non-academic institutions to conduct and sponsor clinical trials relating to our product candidates, such as the planned clinical trial of bitopertin in DBA, which will be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we designed our Phase 1b/2 clinical trials of DISC-0974 and ongoing Phase 2 clinical trials of bitopertin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have staffing difficulties;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 to comply with contractual obligations;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experience regulatory compliance issues;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undergo changes in priorities or become financially distressed;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form relationships with other entities, some of which may be our competitors. </w:t>
      </w:r>
    </w:p>
    <w:p>
      <w:pPr>
        <w:pStyle w:val="TextBody"/>
        <w:spacing w:before="120" w:after="0"/>
        <w:jc w:val="left"/>
        <w:rPr>
          <w:rFonts w:ascii="Times New Roman" w:hAnsi="Times New Roman"/>
          <w:sz w:val="20"/>
        </w:rPr>
      </w:pPr>
      <w:r>
        <w:rPr>
          <w:rFonts w:ascii="Times New Roman;serif" w:hAnsi="Times New Roman;serif"/>
          <w:b w:val="false"/>
          <w:sz w:val="20"/>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might not realize the anticipated benefits of our current collaborations with Mabwell or NIH, or any other collaborations we enter into in the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development, commercialization and/or strategic collaborations, including those that we have with Mabwell and NIH, are subject to numerous risks, which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may have significant control or discretion in determining the efforts and resources that they will apply to a collaboration, and might not commit sufficient efforts and resources or might misapply those efforts and resources;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have limited influence or control over the approaches to research, development and/or commercialization of product candidates in the territories in which our collaboration partners lead research, development and/or commercialization;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might delay, provide insufficient resources to, or modify or stop research or clinical development for collaboration product candidates or require a new formulation of a product candidate for clinical testing;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with sales, marketing and distribution rights to one or more product candidates might not commit sufficient resources to sales, marketing and distribution or might otherwise fail to successfully commercialize those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might not properly maintain or defend our intellectual property rights or might use our intellectual property improperly or in a way that jeopardizes our intellectual property or exposes us to potential liability;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collaboration activities might result in the collaborator having intellectual property covering our activities or product candidates, which could limit our rights or ability to research, develop and/or commercialize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might not be in compliance with laws applicable to their activities under the collaboration, which could impact the collaboration and us;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disputes might arise between a collaborator and us that could cause a delay or termination of the collaboration or result in costly litigation that diverts management attention and resources;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collaborations might be terminated, which could result in a need for additional capital to pursue further research, development and/or commercialization of our product candidates. </w:t>
      </w:r>
    </w:p>
    <w:p>
      <w:pPr>
        <w:pStyle w:val="TextBody"/>
        <w:spacing w:before="120" w:after="0"/>
        <w:jc w:val="left"/>
        <w:rPr>
          <w:rFonts w:ascii="Times New Roman" w:hAnsi="Times New Roman"/>
          <w:sz w:val="20"/>
        </w:rPr>
      </w:pPr>
      <w:r>
        <w:rPr>
          <w:rFonts w:ascii="Times New Roman;serif" w:hAnsi="Times New Roman;serif"/>
          <w:b w:val="false"/>
          <w:sz w:val="20"/>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one or more of these risks, if realized, could reduce or eliminate future revenue from product candidates under our collaborations, and could have a material adverse effect on our business, financial condition, results of operations and/or growth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have established collaborations with Mabwell and NIH and may seek to establish additional collaborations, and, if we are not able to establish them on commercially reasonable terms, or at all, we may have to alter our development and commercialization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planned Phase 1 trial of MWTX-003,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planned Phase 1 trial of MWTX-003.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may be unable to establish any additional agreements with CDMOs or do so on acceptable terms. Reliance on CDMOs entails additional risks,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reliance on the third party for regulatory compliance and quality assurance;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of the manufacturing agreement by the third party;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possible termination or nonrenewal of the agreement by the third party at a time that is costly or inconvenient for us. </w:t>
      </w:r>
    </w:p>
    <w:p>
      <w:pPr>
        <w:pStyle w:val="TextBody"/>
        <w:spacing w:before="120" w:after="0"/>
        <w:jc w:val="left"/>
        <w:rPr>
          <w:rFonts w:ascii="Times New Roman" w:hAnsi="Times New Roman"/>
          <w:sz w:val="20"/>
        </w:rPr>
      </w:pPr>
      <w:r>
        <w:rPr>
          <w:rFonts w:ascii="Times New Roman;serif" w:hAnsi="Times New Roman;serif"/>
          <w:b w:val="false"/>
          <w:sz w:val="20"/>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performance failure on the part of our existing or future manufacturers could delay clinical development or regulatory approval. If our current CDMOs cannot perform as agreed, we may be required to replace such CDMOs. We may incur added costs and delays in identifying and qualifying any such replacement.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The third parties upon whom we rely for the supply of the active pharmaceutical ingredients used in our product candidates are our sole sources of supply, and the loss of any of these suppliers could significantly harm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DISC-0974, DISC-0998, and MWTX-003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commercial success depends in part on our ability to obtain and maintain proprietary or intellectual property protection in the U.S. and other countries for our current or future product candidates, including our current lead product candidates, bitopertin, DISC-0974 and MWTX-003,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Therapeutics, Inc., or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pStyle w:val="TextBody"/>
        <w:spacing w:before="120" w:after="0"/>
        <w:jc w:val="left"/>
        <w:rPr>
          <w:rFonts w:ascii="Times New Roman" w:hAnsi="Times New Roman"/>
          <w:sz w:val="20"/>
        </w:rPr>
      </w:pPr>
      <w:r>
        <w:rPr>
          <w:rFonts w:ascii="Times New Roman;serif" w:hAnsi="Times New Roman;serif"/>
          <w:b w:val="false"/>
          <w:sz w:val="20"/>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MWTX-003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r>
        <w:rPr>
          <w:rFonts w:ascii="Times New Roman" w:hAnsi="Times New Roman"/>
          <w:sz w:val="20"/>
        </w:rPr>
        <w:t xml:space="preserve"> </w:t>
      </w:r>
    </w:p>
    <w:p>
      <w:pPr>
        <w:pStyle w:val="TextBody"/>
        <w:spacing w:before="135" w:after="0"/>
        <w:jc w:val="left"/>
        <w:rPr>
          <w:rFonts w:ascii="Times New Roman" w:hAnsi="Times New Roman"/>
          <w:sz w:val="20"/>
        </w:rPr>
      </w:pPr>
      <w:r>
        <w:rPr>
          <w:rFonts w:ascii="Times New Roman;serif" w:hAnsi="Times New Roman;serif"/>
          <w:b w:val="false"/>
          <w:sz w:val="20"/>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we are unable to adequately protect and enforce our trade secrets, our business and competitive position would be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initiate, become a defendant in, or otherwise become party to lawsuits to protect or enforce our intellectual property rights, which could be expensive, time-consuming, and unsuccessful.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distract our management and other employees. We may not be able to prevent, misappropriation of our trade secrets or confidential information, particularly in countries where the laws may not protect those rights as fully as in the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Intellectual property litigation and administrative patent office patent validity challenges in one or more countries could cause us to spend substantial resources and distract our personnel from their normal responsibilities.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 third party claims that we infringe, misappropriate or otherwise violate its intellectual property rights, we may face a number of issues, including, but not limited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infringement, misappropriation and other intellectual property claims which, regardless of merit, may be expensive and time-consuming to litigate and may divert our management’s attention from our core business and may impact our reputation;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court prohibiting us from developing, manufacturing, marketing or selling our current product candidates, including bitopertin, DISC-0974 and MWTX-003, or future product candidates, or from using our proprietary technologies, unless the third-party licenses its product rights to us, which we are not required to do, on commercially reasonable terms or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redesigning our current or future product candidates or processes so they do not infringe, misappropriate or violate third-party intellectual property rights, which may not be possible or may require substantial monetary expenditures and time;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spacing w:before="120" w:after="0"/>
        <w:jc w:val="left"/>
        <w:rPr>
          <w:rFonts w:ascii="Times New Roman" w:hAnsi="Times New Roman"/>
          <w:sz w:val="20"/>
        </w:rPr>
      </w:pPr>
      <w:r>
        <w:rPr>
          <w:rFonts w:ascii="Times New Roman;serif" w:hAnsi="Times New Roman;serif"/>
          <w:b w:val="false"/>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We may choose to challenge the patentability of claims in a third party’s U.S. patent by requesting that the USPTO review the patent claims in an ex-parte re-exam,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 world may be inadequate to obtain a significant commercial advantage from the intellectual property that we develop or license.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not obtain or grant licenses or sublicenses to intellectual property rights in all markets on equally or sufficiently favorable terms with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r>
        <w:rPr>
          <w:rFonts w:ascii="Times New Roman" w:hAnsi="Times New Roman"/>
          <w:sz w:val="20"/>
        </w:rPr>
        <w:t xml:space="preserve"> </w:t>
      </w:r>
    </w:p>
    <w:p>
      <w:pPr>
        <w:pStyle w:val="TextBody"/>
        <w:spacing w:before="135" w:after="0"/>
        <w:jc w:val="left"/>
        <w:rPr>
          <w:rFonts w:ascii="Times New Roman" w:hAnsi="Times New Roman"/>
          <w:sz w:val="20"/>
        </w:rPr>
      </w:pPr>
      <w:r>
        <w:rPr>
          <w:rFonts w:ascii="Times New Roman;serif" w:hAnsi="Times New Roman;serif"/>
          <w:b w:val="false"/>
          <w:sz w:val="20"/>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Disputes may also arise between us and our licensors regarding intellectual property subject to a license agreement,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whether and the extent to which our technology and processes infringe, misappropriate or otherwise violate intellectual property rights of the licensor that is not subject to the licensing agreement;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right to sublicense patent and other rights to third parties under collaborative development relationships;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diligence obligations with respect to the use of the licensed technology in relation to our development and commercialization of our current or future product candidates, and what activities satisfy those diligence obligations;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priority of invention of any patented technology; and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ownership of inventions and know-how resulting from the joint creation or use of intellectual property by our current or future licensors and us and our partners. </w:t>
      </w:r>
    </w:p>
    <w:p>
      <w:pPr>
        <w:pStyle w:val="TextBody"/>
        <w:spacing w:before="120" w:after="0"/>
        <w:jc w:val="left"/>
        <w:rPr>
          <w:rFonts w:ascii="Times New Roman" w:hAnsi="Times New Roman"/>
          <w:sz w:val="20"/>
        </w:rPr>
      </w:pPr>
      <w:r>
        <w:rPr>
          <w:rFonts w:ascii="Times New Roman;serif" w:hAnsi="Times New Roman;serif"/>
          <w:b w:val="false"/>
          <w:sz w:val="20"/>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Intellectual property rights do not guarantee commercial success of current or future product candidates or other business activities. Numerous factors may limit any potential competitive advantage provided by our intellectual property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patent applications that we own or may in-license may not lead to issued patents;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patents, should they issue, that we may own or in-license, may not provide us with any competitive advantages, may be narrowed in scope, or may be challenged and held invalid or unenforceable;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third parties may compete with us in jurisdictions where we do not pursue and obtain patent protection;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make the inventions covered by a patent application that we own or may in-license;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file patent applications covering a particular invention;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without infringing, misappropriating or otherwise violating our intellectual property rights;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be able to obtain and/or maintain necessary licenses on reasonable terms or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trade secrets or know-how, and a third-party may subsequently file a patent covering such trade secrets or know-how;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be able to maintain the confidentiality of our trade secrets or other proprietary information;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or in-license additional proprietary technologies that are patentable;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patents of others may have an adverse effect on our business. </w:t>
      </w:r>
    </w:p>
    <w:p>
      <w:pPr>
        <w:pStyle w:val="TextBody"/>
        <w:spacing w:before="120" w:after="0"/>
        <w:jc w:val="left"/>
        <w:rPr>
          <w:rFonts w:ascii="Times New Roman" w:hAnsi="Times New Roman"/>
          <w:sz w:val="20"/>
        </w:rPr>
      </w:pPr>
      <w:r>
        <w:rPr>
          <w:rFonts w:ascii="Times New Roman;serif" w:hAnsi="Times New Roman;serif"/>
          <w:b w:val="false"/>
          <w:sz w:val="20"/>
        </w:rPr>
        <w:t>Should any of these events occur, they could significantly harm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Risks Related to Government Regulation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r>
        <w:rPr>
          <w:rFonts w:ascii="Times New Roman" w:hAnsi="Times New Roman"/>
          <w:sz w:val="20"/>
        </w:rPr>
        <w:t xml:space="preserve"> </w:t>
      </w:r>
    </w:p>
    <w:p>
      <w:pPr>
        <w:pStyle w:val="TextBody"/>
        <w:spacing w:before="240" w:after="0"/>
        <w:jc w:val="left"/>
        <w:rPr>
          <w:rFonts w:ascii="Times New Roman" w:hAnsi="Times New Roman"/>
          <w:sz w:val="20"/>
        </w:rPr>
      </w:pPr>
      <w:bookmarkStart w:id="8" w:name="ny20005172x8_s4a_108_risk_pg91"/>
      <w:bookmarkEnd w:id="8"/>
      <w:r>
        <w:rPr>
          <w:rFonts w:ascii="Times New Roman;serif" w:hAnsi="Times New Roman;serif"/>
          <w:b/>
          <w:i/>
          <w:sz w:val="20"/>
        </w:rPr>
        <w:t>We may seek orphan drug designation for certain of our product candidates,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received orphan drug designation from the FDA for bitopertin for the treatment of EPP.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seek rare pediatric disease designation for bitopertin. However, a marketing application for bitopertin, if approved, may not meet the eligibility criteria for a rare pediatric disease priority review voucher.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r>
        <w:rPr>
          <w:rFonts w:ascii="Times New Roman" w:hAnsi="Times New Roman"/>
          <w:sz w:val="20"/>
        </w:rPr>
        <w:t xml:space="preserve"> </w:t>
      </w:r>
    </w:p>
    <w:p>
      <w:pPr>
        <w:pStyle w:val="TextBody"/>
        <w:spacing w:before="135" w:after="0"/>
        <w:jc w:val="left"/>
        <w:rPr>
          <w:rFonts w:ascii="Times New Roman" w:hAnsi="Times New Roman"/>
          <w:sz w:val="20"/>
        </w:rPr>
      </w:pPr>
      <w:r>
        <w:rPr>
          <w:rFonts w:ascii="Times New Roman;serif" w:hAnsi="Times New Roman;serif"/>
          <w:b w:val="false"/>
          <w:sz w:val="20"/>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our drug product candidates or any of our future drug product candidates obtain regulatory approval, additional competitors could enter the market with generic versions of such products, which may result in a material decline in sales of our competing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If approved, our investigational products regulated as biologics may face competition from biosimilars or interchangeable products approved through an abbreviated regulatory pathway.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r>
        <w:rPr>
          <w:rFonts w:ascii="Times New Roman" w:hAnsi="Times New Roman"/>
          <w:sz w:val="20"/>
        </w:rPr>
        <w:t xml:space="preserve"> </w:t>
      </w:r>
    </w:p>
    <w:p>
      <w:pPr>
        <w:pStyle w:val="TextBody"/>
        <w:spacing w:before="135" w:after="0"/>
        <w:jc w:val="left"/>
        <w:rPr>
          <w:rFonts w:ascii="Times New Roman" w:hAnsi="Times New Roman"/>
          <w:sz w:val="20"/>
        </w:rPr>
      </w:pPr>
      <w:r>
        <w:rPr>
          <w:rFonts w:ascii="Times New Roman;serif" w:hAnsi="Times New Roman;serif"/>
          <w:b w:val="false"/>
          <w:sz w:val="20"/>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The FDA and other regulatory agencies actively enforce the laws and regulations prohibiting the promotion of off-label uses.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Separately, in response to the COVID-19 pandemic, since March 2020 when foreign and domestic inspections of facilities were largely placed on hold, the FDA has been working to resume pre-pandemic levels of inspection activities, including routine surveillance, bioresearch monitoring and pre-approval inspections. Should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Healthcare legislative reform measures may have a material adverse effect on our business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other legislative and regulatory changes have been proposed and adopted in the United States since the ACA was enacted: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August 2, 2011, the U.S. Budget Control Act of 2011, among other things, included aggregate reductions of Medicare payments to providers of 2% per fiscal year, which will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January 2, 2013, the U.S.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May 23, 2019, CMS published a final rule to allow Medicare Advantage Plans the option of using step therapy for Part B drugs beginning January 1, 2020.</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pStyle w:val="TextBody"/>
        <w:spacing w:before="120" w:after="0"/>
        <w:jc w:val="both"/>
        <w:rPr>
          <w:rFonts w:ascii="Times New Roman" w:hAnsi="Times New Roman"/>
          <w:sz w:val="20"/>
        </w:rPr>
      </w:pPr>
      <w:r>
        <w:rPr>
          <w:rFonts w:ascii="Times New Roman;serif" w:hAnsi="Times New Roman;serif"/>
          <w:b w:val="false"/>
          <w:sz w:val="20"/>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as well as to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120" w:after="0"/>
        <w:jc w:val="both"/>
        <w:rPr>
          <w:rFonts w:ascii="Times New Roman;serif" w:hAnsi="Times New Roman;serif"/>
          <w:b w:val="false"/>
          <w:sz w:val="20"/>
        </w:rPr>
      </w:pPr>
      <w:r>
        <w:rPr>
          <w:rFonts w:ascii="Times New Roman;serif" w:hAnsi="Times New Roman;serif"/>
          <w:b w:val="false"/>
          <w:sz w:val="20"/>
        </w:rPr>
        <w:t>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further to January 1, 2027 by the Bipartisan Safer Communities Act and could potentially be pushed back to January 1, 2032 by the Inflation Reduction Act.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or the Accumulator Rule. On May 17, 2022, the U.S. District Court for the District of Columbia granted the Pharmaceutical Research and Manufacturers of America's (PhRMA) motion for summary judgement invalidating the Accumulator Rule.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spacing w:before="120" w:after="0"/>
        <w:jc w:val="both"/>
        <w:rPr>
          <w:rFonts w:ascii="Times New Roman" w:hAnsi="Times New Roman"/>
          <w:sz w:val="20"/>
        </w:rPr>
      </w:pPr>
      <w:r>
        <w:rPr>
          <w:rFonts w:ascii="Times New Roman;serif" w:hAnsi="Times New Roman;serif"/>
          <w:b w:val="false"/>
          <w:sz w:val="20"/>
        </w:rPr>
        <w:t>On August 7, 2022 the U.S. Senate passed the Inflation Reduction Act of 2022, which, among other things, includes provisions that reduce the out-of-pocket spending cap for Medicare Part D beneficiaries from $7,050 to $2,000 starting in 2025, thereby effectively eliminating the coverage gap; imposes new manufacturer financial liability on certain drugs under Medicare Part D, allows the U.S. government to negotiate Medicare Part B and Part D price caps for certain high-cost drugs and biologics without generic or biosimilar competition; requires companies to pay rebates to Medicare for certain drug prices that increase faster than inflation; and delays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sz w:val="20"/>
        </w:rPr>
        <w:t xml:space="preserve"> </w:t>
      </w:r>
    </w:p>
    <w:p>
      <w:pPr>
        <w:pStyle w:val="TextBody"/>
        <w:spacing w:before="135" w:after="0"/>
        <w:jc w:val="left"/>
        <w:rPr>
          <w:rFonts w:ascii="Times New Roman" w:hAnsi="Times New Roman"/>
          <w:sz w:val="20"/>
        </w:rPr>
      </w:pPr>
      <w:r>
        <w:rPr>
          <w:rFonts w:ascii="Times New Roman;serif" w:hAnsi="Times New Roman;serif"/>
          <w:b w:val="false"/>
          <w:sz w:val="20"/>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demand for our current or future product candidates, if we obtain regulatory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set a price that we believe is fair for our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coverage and reimbursement approval for a product;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availability of capital.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Any reduction in reimbursement from Medicare or other government programs may result in a similar reduction in payments from private payors, which may adversely affect our future profitability.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federal consumer protection and unfair competition laws, which broadly regulate marketplace activities and activities that potentially harm consumers;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federal price reporting laws, which require manufacturers to calculate and report complex pricing metrics to government programs, where such reported prices may be used in the calculation of reimbursement and/or discounts on approved products. </w:t>
      </w:r>
    </w:p>
    <w:p>
      <w:pPr>
        <w:pStyle w:val="TextBody"/>
        <w:spacing w:before="120" w:after="0"/>
        <w:jc w:val="left"/>
        <w:rPr>
          <w:rFonts w:ascii="Times New Roman" w:hAnsi="Times New Roman"/>
          <w:sz w:val="20"/>
        </w:rPr>
      </w:pPr>
      <w:r>
        <w:rPr>
          <w:rFonts w:ascii="Times New Roman;serif" w:hAnsi="Times New Roman;serif"/>
          <w:b w:val="false"/>
          <w:sz w:val="20"/>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pStyle w:val="TextBody"/>
        <w:spacing w:before="120" w:after="0"/>
        <w:jc w:val="left"/>
        <w:rPr>
          <w:rFonts w:ascii="Times New Roman" w:hAnsi="Times New Roman"/>
          <w:sz w:val="20"/>
        </w:rPr>
      </w:pPr>
      <w:r>
        <w:rPr>
          <w:rFonts w:ascii="Times New Roman;serif" w:hAnsi="Times New Roman;serif"/>
          <w:b w:val="false"/>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r>
        <w:rPr>
          <w:rFonts w:ascii="Times New Roman" w:hAnsi="Times New Roman"/>
          <w:sz w:val="20"/>
        </w:rPr>
        <w:t xml:space="preserve"> </w:t>
      </w:r>
    </w:p>
    <w:p>
      <w:pPr>
        <w:pStyle w:val="TextBody"/>
        <w:spacing w:before="240" w:after="0"/>
        <w:jc w:val="both"/>
        <w:rPr>
          <w:rFonts w:ascii="Times New Roman;serif" w:hAnsi="Times New Roman;serif"/>
          <w:b/>
          <w:i/>
          <w:sz w:val="20"/>
        </w:rPr>
      </w:pPr>
      <w:r>
        <w:rPr>
          <w:rFonts w:ascii="Times New Roman;serif" w:hAnsi="Times New Roman;serif"/>
          <w:b/>
          <w:i/>
          <w:sz w:val="20"/>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pStyle w:val="TextBody"/>
        <w:spacing w:before="120" w:after="0"/>
        <w:jc w:val="both"/>
        <w:rPr>
          <w:rFonts w:ascii="Times New Roman" w:hAnsi="Times New Roman"/>
          <w:sz w:val="20"/>
        </w:rPr>
      </w:pPr>
      <w:r>
        <w:rPr>
          <w:rFonts w:ascii="Times New Roman;serif" w:hAnsi="Times New Roman;serif"/>
          <w:b w:val="false"/>
          <w:sz w:val="20"/>
        </w:rPr>
        <w:t>The regulatory framework for the collection, use, safeguarding, sharing, transfer and other processing of information worldwide is rapidly evolving and is likely to remain uncertain for the foreseeable future. We possess and process sensitive customer information. Other federal and state laws that restrict the use and protect the privacy and security of personally identifiable information,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such as the California Consumer Privacy Act, or CCPA, as amended by the California Privacy Rights Act, or CPRA, which amendments went into effect on January 1, 2023, The CCPA creates specific obligations with respect to processing and storing personal information, and the CPRA amendments created a new state agency that is vested with authority to implement and enforce the CCPA. Additionally, a similar law went into effect in Virginia on January 1, 2023, and further U.S.-state comprehensive privacy laws are set to go into effect throughout 2023, including laws in Colorado, Connecticut, and Utah.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p>
      <w:pPr>
        <w:pStyle w:val="TextBody"/>
        <w:spacing w:before="120" w:after="0"/>
        <w:jc w:val="both"/>
        <w:rPr>
          <w:rFonts w:ascii="Times New Roman" w:hAnsi="Times New Roman"/>
          <w:sz w:val="20"/>
        </w:rPr>
      </w:pPr>
      <w:r>
        <w:rPr>
          <w:rFonts w:ascii="Times New Roman;serif" w:hAnsi="Times New Roman;serif"/>
          <w:b w:val="false"/>
          <w:sz w:val="20"/>
        </w:rPr>
        <w:t>privacy laws in different states in the country would make our compliance obligations more complex and costly and may increase the likelihood that we may be subject to enforcement actions or otherwise incur liability for noncompliance. The collection, use, storage, disclosure, transfer, or other processing of personal data regarding individuals in the EEA, including personal health data, is subject to the EU General Data Protection Regulation 2016/679,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GDPR also imposes strict rules on the transfer of personal data to countries outside the EEA, including the United States. We are subject to evolving and strict rules on the transfer of personal data out of the EEA to third countries such as the United States. Unless the destination country is an adequate country (as recognized by the European Commission), we will be required to incorporate a GDPR transfer mechanism (such as the European Commission approved standard contractual clauses, or SCCs) into our agreements with third parties to govern transfers of personal data outside the EEA. The new SCCs may also impact our business as companies based in the EEA may be reluctant to utilize the new clauses to legitimize transfers of personal data to third countries given the burdensome requirements of transfer impact assessments and the substantial obligations that the new SCCs impose upon exporters.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addition, further to the UK’s exit from the European Union, or EU, on January 31, 2020 the UK’s European Union (Withdrawal) Act 2018 incorporated the GDPR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It is not subject to the new forms of SCCs but has issued its own transfer mechanism – the UK international data transfer agreement – which, like the SCCs, requires exporters to carry out a transfer impact assessment.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pStyle w:val="TextBody"/>
        <w:spacing w:before="120" w:after="0"/>
        <w:jc w:val="both"/>
        <w:rPr>
          <w:rFonts w:ascii="Times New Roman" w:hAnsi="Times New Roman"/>
          <w:sz w:val="20"/>
        </w:rPr>
      </w:pPr>
      <w:r>
        <w:rPr>
          <w:rFonts w:ascii="Times New Roman;serif" w:hAnsi="Times New Roman;serif"/>
          <w:b w:val="false"/>
          <w:sz w:val="20"/>
        </w:rPr>
        <w:t>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Risks Relating to Employee Matters and Managing Growth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Our future success depends on our ability to retain key executives and experienced scientists and to attract, retain, and motivate qualified personnel.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it,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is expected to increase data breach litigation. The CCPA may increase our compliance costs and potential liability, and many similar laws have been proposed at the federal level and in other states.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expect to expand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of February 28, 2023, we had 46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General Risks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For example, we had significant amounts of cash and cash equivalents held in operating accounts at SVB which were largely uninsured. If we were unable to recover our cash on deposit it could have resulted in material losses to the Company and may have had a material adverse impact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spacing w:before="120" w:after="0"/>
        <w:jc w:val="left"/>
        <w:rPr>
          <w:rFonts w:ascii="Times New Roman" w:hAnsi="Times New Roman"/>
          <w:sz w:val="20"/>
        </w:rPr>
      </w:pPr>
      <w:r>
        <w:rPr>
          <w:rFonts w:ascii="Times New Roman;serif" w:hAnsi="Times New Roman;serif"/>
          <w:b w:val="false"/>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or actual breach of contractual obligations that require the Company to maintain letters of credit or other credit support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or actual breach of financial covenants in our credit agreements or credit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or actual cross-defaults in other credit agreements, credit arrangements or operating or financing agreements;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Termination of cash management arrangements and/or delays in accessing or actual loss of funds subject to cash management arrangements.</w:t>
      </w:r>
    </w:p>
    <w:p>
      <w:pPr>
        <w:pStyle w:val="TextBody"/>
        <w:spacing w:before="120" w:after="0"/>
        <w:jc w:val="left"/>
        <w:rPr>
          <w:rFonts w:ascii="Times New Roman" w:hAnsi="Times New Roman"/>
          <w:sz w:val="20"/>
        </w:rPr>
      </w:pPr>
      <w:r>
        <w:rPr>
          <w:rFonts w:ascii="Times New Roman;serif" w:hAnsi="Times New Roman;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have a material adverse impact on our business.</w:t>
      </w:r>
    </w:p>
    <w:p>
      <w:pPr>
        <w:pStyle w:val="TextBody"/>
        <w:spacing w:before="140" w:after="0"/>
        <w:jc w:val="left"/>
        <w:rPr>
          <w:rFonts w:ascii="Times New Roman" w:hAnsi="Times New Roman"/>
          <w:sz w:val="20"/>
        </w:rPr>
      </w:pPr>
      <w:r>
        <w:rPr>
          <w:rFonts w:ascii="Times New Roman;serif" w:hAnsi="Times New Roman;serif"/>
          <w:b/>
          <w:i/>
          <w:sz w:val="20"/>
        </w:rPr>
        <w:t>Changes in tax law may adversely affect us or our investors.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future taxable income may be subject to certain limitations.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we had federal and state net operating loss carryforwards of $69.3 million and $67.7 million, respectively, which begin to expire in various amounts in 2037. As of December 31, 2022, we also had federal and state research and development tax credit carryforwards of $2.7 million and $1.1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Unfavorable global economic conditions could adversely affect our business, financial condition or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See “Risks Related to the Discovery and Development of Our Product Candidates</w:t>
      </w:r>
      <w:r>
        <w:rPr>
          <w:rFonts w:ascii="Times New Roman;serif" w:hAnsi="Times New Roman;serif"/>
          <w:b w:val="false"/>
          <w:i/>
          <w:sz w:val="20"/>
        </w:rPr>
        <w:t>-</w:t>
      </w:r>
      <w:r>
        <w:rPr>
          <w:rFonts w:ascii="Times New Roman;serif" w:hAnsi="Times New Roman;serif"/>
          <w:b w:val="false"/>
          <w:sz w:val="20"/>
        </w:rPr>
        <w:t>The ongoing COVID-19 pandemic, or a similar pandemic, epidemic, or outbreak of an infectious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employees, principal investigators, CROs and consultants may engage in misconduct or other improper activities, including non-compliance with regulatory standards and requirements or insider trading.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The market price of our common stock is expected to be volatile.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market price of our common stock following the merger could be subject to significant fluctuations. Some of the factors that may cause the market price of our common stock to fluctuate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and preclinical studies of our product candidates, or those of our competitors or our existing or future collaborators;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failure to meet or exceed financial and development projections we may provide to the public;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failure to meet or exceed the financial and development projections of the investment community;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do not achieve the perceived benefits of the merger as rapidly or to the extent anticipated by financial or industry analysts;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announcements of significant acquisitions, strategic collaborations, joint ventures or capital commitments by us or our competitors;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actions taken by regulatory agencies with respect to our product candidates, clinical studies, manufacturing process or sales and marketing terms;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disputes or other developments relating to proprietary rights, including patents, litigation matters, and our ability to obtain patent protection for our technologies;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significant lawsuits, including patent or stockholder litigation;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securities or industry analysts do not publish research or reports about our business, or if they issue adverse or misleading opinions regarding our business and stock;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changes in the market valuations of similar companies;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general market or macroeconomic conditions or market conditions in the pharmaceutical and biotechnology sectors;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sales of securities by us or our securityholders in the future;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fail to raise an adequate amount of capital to fund our operations and continued development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trading volume of our common stock;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announcements by competitors of new commercial products, clinical progress or lack thereof, significant contracts, commercial relationships or capital commitments;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adverse publicity relating to precision medicine product candidates, including with respect to other products in such markets;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introduction of technological innovations or new therapies that compete with our products and services;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period-to-period fluctuations in our financial results.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spacing w:before="240" w:after="0"/>
        <w:jc w:val="left"/>
        <w:rPr>
          <w:rFonts w:ascii="Times New Roman" w:hAnsi="Times New Roman"/>
          <w:sz w:val="20"/>
        </w:rPr>
      </w:pPr>
      <w:r>
        <w:rPr>
          <w:rFonts w:ascii="Times New Roman;serif" w:hAnsi="Times New Roman;serif"/>
          <w:b/>
          <w:i/>
          <w:sz w:val="20"/>
        </w:rPr>
        <w:t>We will incur additional costs and increased demands upon management as a result of complying with the laws and regulations affecting public companies.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on Form 10-K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Provisions in our charter documents and under Delaware law could make an acquisition of us more difficult and may discourage any takeover attempts our stockholders may consider favorable, and may lead to entrenchment of management.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Provisions of our amended and restated certificate of incorporation and amended and restated bylaws could delay or prevent changes in control or changes in management without the consent of the board of directors. These provisions will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board of directors divided into three classes serving staggered three-year terms, such that not all members of the board will be elected at one time;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no cumulative voting in the election of directors, which limits the ability of minority stockholders to elect director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prohibition on stockholder action by written consent, which means that all stockholder action must be taken at an annual or special meeting of the stockholders;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requirement that special meetings of stockholders be called only by the chairman of the board of directors, the Chief Executive Officer or by a majority of the total number of authorized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advance notice requirements for stockholder proposals and nominations for election to the board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requirement of approval of not less than two-thirds of all outstanding shares of voting stock to amend any bylaws by stockholder action or to amend specific provisions of the certificate of incorporation;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spacing w:before="120" w:after="0"/>
        <w:jc w:val="left"/>
        <w:rPr>
          <w:rFonts w:ascii="Times New Roman" w:hAnsi="Times New Roman"/>
          <w:sz w:val="20"/>
        </w:rPr>
      </w:pPr>
      <w:r>
        <w:rPr>
          <w:rFonts w:ascii="Times New Roman;serif" w:hAnsi="Times New Roman;serif"/>
          <w:b w:val="false"/>
          <w:sz w:val="20"/>
        </w:rPr>
        <w:t>In addition, these provisions would apply even if we were to receive an offer that some stockholders may consider beneficial.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We do not anticipate that we will pay any cash dividends in the foreseeable future.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pStyle w:val="TextBody"/>
        <w:spacing w:before="240" w:after="0"/>
        <w:jc w:val="left"/>
        <w:rPr>
          <w:rFonts w:ascii="Times New Roman" w:hAnsi="Times New Roman"/>
          <w:sz w:val="20"/>
        </w:rPr>
      </w:pPr>
      <w:r>
        <w:rPr>
          <w:rFonts w:ascii="Times New Roman;serif" w:hAnsi="Times New Roman;serif"/>
          <w:b/>
          <w:i/>
          <w:sz w:val="20"/>
        </w:rPr>
        <w:t>An active trading market for our common stock may not develop and our stockholders may not be able to resell their shares of common stock for a profit, if at all.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Future sales of shares by existing stockholders could cause our stock price to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our existing securityholders sell, or indicate an intention to sell, substantial amounts of our common stock in the public market after legal restrictions on resale discussed in this Annual Report on Form 10-K lapse, the trading price of our common stock could decline. As of December 31, 2022, we have 17,403,315 shares of common stock outstanding. Of the shares of common stock, approximately 11,132,590 shares will be available for sale in the public market beginning 180 days after the closing of the merger as a result of the expiration of lock-up agreements between us on the one hand and certain of our securityholders on the other hand. All other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Our executive officers, directors and principal stockholders have the ability to control or significantly influence all matters submitted to our stockholders for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executive officers, directors and principal stockholders, in the aggregate, beneficially own approximately 70%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If equity research analysts do not publish research or reports, or publish unfavorable research or reports, about us, our business or our market, our stock price and trading volume could decline.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spacing w:before="240" w:after="0"/>
        <w:jc w:val="left"/>
        <w:rPr>
          <w:rFonts w:ascii="Times New Roman" w:hAnsi="Times New Roman"/>
          <w:sz w:val="20"/>
        </w:rPr>
      </w:pPr>
      <w:r>
        <w:rPr>
          <w:rFonts w:ascii="Times New Roman;serif" w:hAnsi="Times New Roman;serif"/>
          <w:b/>
          <w:i/>
          <w:sz w:val="20"/>
        </w:rPr>
        <w:t>We will have broad discretion in the use of our cash and cash equivalents and may invest or spend our cash and cash equivalents in ways with which you do not agree and in ways that may not increase the value of your investment.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have broad discretion over the use of our cash and cash equivalents .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94</w:t>
      </w:r>
    </w:p>
    <w:p>
      <w:pPr>
        <w:pStyle w:val="HorizontalLine"/>
        <w:rPr/>
      </w:pPr>
      <w:r>
        <w:rPr/>
      </w:r>
    </w:p>
    <w:p>
      <w:pPr>
        <w:pStyle w:val="TextBody"/>
        <w:spacing w:before="0" w:after="0"/>
        <w:jc w:val="left"/>
        <w:rPr>
          <w:rFonts w:ascii="Times New Roman" w:hAnsi="Times New Roman"/>
          <w:sz w:val="20"/>
        </w:rPr>
      </w:pPr>
      <w:bookmarkStart w:id="9" w:name="tx237577_3"/>
      <w:bookmarkEnd w:id="9"/>
      <w:r>
        <w:rPr>
          <w:rFonts w:ascii="Times New Roman;serif" w:hAnsi="Times New Roman;serif"/>
          <w:b/>
          <w:sz w:val="20"/>
        </w:rPr>
        <w:t>ITEM 1B.</w:t>
      </w:r>
      <w:r>
        <w:rPr>
          <w:rFonts w:ascii="Times New Roman" w:hAnsi="Times New Roman"/>
          <w:sz w:val="20"/>
        </w:rPr>
        <w:t xml:space="preserve"> </w:t>
      </w:r>
      <w:r>
        <w:rPr>
          <w:rFonts w:ascii="Times New Roman;serif" w:hAnsi="Times New Roman;serif"/>
          <w:b/>
          <w:sz w:val="20"/>
        </w:rPr>
        <w:t>UNRESOLVED S</w:t>
      </w:r>
      <w:bookmarkStart w:id="10" w:name="item_1b_unresolved_staff_comments"/>
      <w:bookmarkEnd w:id="10"/>
      <w:r>
        <w:rPr>
          <w:rFonts w:ascii="Times New Roman;serif" w:hAnsi="Times New Roman;serif"/>
          <w:b/>
          <w:sz w:val="20"/>
        </w:rPr>
        <w:t>TAFF COMMENTS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 w:hAnsi="Times New Roman"/>
          <w:sz w:val="20"/>
        </w:rPr>
      </w:pPr>
      <w:bookmarkStart w:id="11" w:name="item_2_properties"/>
      <w:bookmarkEnd w:id="11"/>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PROPERTIES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principal office is located at 321 Arsenal Street, Suite 101, Watertown, MA 02472, where we lease approximately 7,566 square feet of office space. The lease term began in November 2021 and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r>
        <w:rPr>
          <w:rFonts w:ascii="Times New Roman" w:hAnsi="Times New Roman"/>
          <w:sz w:val="20"/>
        </w:rPr>
        <w:t xml:space="preserve"> </w:t>
      </w:r>
    </w:p>
    <w:p>
      <w:pPr>
        <w:pStyle w:val="TextBody"/>
        <w:spacing w:before="240" w:after="0"/>
        <w:jc w:val="left"/>
        <w:rPr>
          <w:rFonts w:ascii="Times New Roman" w:hAnsi="Times New Roman"/>
          <w:sz w:val="20"/>
        </w:rPr>
      </w:pPr>
      <w:bookmarkStart w:id="12" w:name="item_3_legal_proceedings"/>
      <w:bookmarkEnd w:id="12"/>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sz w:val="20"/>
        </w:rPr>
        <w:t>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bookmarkStart w:id="13" w:name="item_4_mine_safety_disclosures"/>
      <w:bookmarkEnd w:id="13"/>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95</w:t>
      </w:r>
    </w:p>
    <w:p>
      <w:pPr>
        <w:pStyle w:val="HorizontalLine"/>
        <w:rPr/>
      </w:pPr>
      <w:r>
        <w:rPr/>
      </w:r>
    </w:p>
    <w:p>
      <w:pPr>
        <w:pStyle w:val="TextBody"/>
        <w:spacing w:before="0" w:after="0"/>
        <w:jc w:val="center"/>
        <w:rPr>
          <w:rFonts w:ascii="Times New Roman" w:hAnsi="Times New Roman"/>
          <w:sz w:val="20"/>
        </w:rPr>
      </w:pPr>
      <w:bookmarkStart w:id="14" w:name="part_ii"/>
      <w:bookmarkEnd w:id="14"/>
      <w:r>
        <w:rPr>
          <w:rFonts w:ascii="Times New Roman;serif" w:hAnsi="Times New Roman;serif"/>
          <w:b/>
          <w:sz w:val="20"/>
        </w:rPr>
        <w:t>PART II</w:t>
      </w:r>
      <w:r>
        <w:rPr>
          <w:rFonts w:ascii="Times New Roman" w:hAnsi="Times New Roman"/>
          <w:sz w:val="20"/>
        </w:rPr>
        <w:t xml:space="preserve"> </w:t>
      </w:r>
    </w:p>
    <w:p>
      <w:pPr>
        <w:pStyle w:val="TextBody"/>
        <w:spacing w:before="240" w:after="0"/>
        <w:jc w:val="left"/>
        <w:rPr>
          <w:rFonts w:ascii="Times New Roman" w:hAnsi="Times New Roman"/>
          <w:sz w:val="20"/>
        </w:rPr>
      </w:pPr>
      <w:bookmarkStart w:id="15" w:name="item_5_market_for_registrants_common"/>
      <w:bookmarkEnd w:id="15"/>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sz w:val="20"/>
        </w:rPr>
        <w:t>MARKET FOR REGISTRANT’S COMMON EQUITY, RELATED STOCKHOLDER MATTERS AND ISSUER PURCHASES OF EQUITY SECURITIES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Certain Information Regarding the Trading of Our Common Stock</w:t>
      </w:r>
    </w:p>
    <w:p>
      <w:pPr>
        <w:pStyle w:val="TextBody"/>
        <w:spacing w:before="120" w:after="0"/>
        <w:jc w:val="left"/>
        <w:rPr>
          <w:rFonts w:ascii="Times New Roman" w:hAnsi="Times New Roman"/>
          <w:sz w:val="20"/>
        </w:rPr>
      </w:pPr>
      <w:r>
        <w:rPr>
          <w:rFonts w:ascii="Times New Roman;serif" w:hAnsi="Times New Roman;serif"/>
          <w:b w:val="false"/>
          <w:sz w:val="20"/>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w:t>
      </w:r>
      <w:r>
        <w:rPr>
          <w:rFonts w:ascii="Times New Roman" w:hAnsi="Times New Roman"/>
          <w:sz w:val="20"/>
        </w:rPr>
        <w:t xml:space="preserve"> </w:t>
      </w:r>
      <w:r>
        <w:rPr>
          <w:rFonts w:ascii="Times New Roman;serif" w:hAnsi="Times New Roman;serif"/>
          <w:b w:val="false"/>
          <w:sz w:val="20"/>
        </w:rPr>
        <w:t>Merger Agreement, dated August 9, 2022, pursuant to which Gemstone</w:t>
      </w:r>
      <w:r>
        <w:rPr>
          <w:rFonts w:ascii="Times New Roman" w:hAnsi="Times New Roman"/>
          <w:sz w:val="20"/>
        </w:rPr>
        <w:t xml:space="preserve"> </w:t>
      </w:r>
      <w:r>
        <w:rPr>
          <w:rFonts w:ascii="Times New Roman;serif" w:hAnsi="Times New Roman;serif"/>
          <w:b w:val="false"/>
          <w:sz w:val="20"/>
        </w:rPr>
        <w:t>Merger Sub, Inc., or Merger Sub,</w:t>
      </w:r>
      <w:r>
        <w:rPr>
          <w:rFonts w:ascii="Times New Roman" w:hAnsi="Times New Roman"/>
          <w:sz w:val="20"/>
        </w:rPr>
        <w:t xml:space="preserve"> </w:t>
      </w:r>
      <w:r>
        <w:rPr>
          <w:rFonts w:ascii="Times New Roman;serif" w:hAnsi="Times New Roman;serif"/>
          <w:b w:val="false"/>
          <w:sz w:val="20"/>
        </w:rPr>
        <w:t>merged with and into Disc Medicine Opco, Inc. (f/k/a Disc Medicine, Inc.), or Disc</w:t>
      </w:r>
      <w:r>
        <w:rPr>
          <w:rFonts w:ascii="Times New Roman" w:hAnsi="Times New Roman"/>
          <w:sz w:val="20"/>
        </w:rPr>
        <w:t xml:space="preserve"> </w:t>
      </w:r>
      <w:r>
        <w:rPr>
          <w:rFonts w:ascii="Times New Roman;serif" w:hAnsi="Times New Roman;serif"/>
          <w:b w:val="false"/>
          <w:sz w:val="20"/>
        </w:rPr>
        <w:t>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pStyle w:val="TextBody"/>
        <w:spacing w:before="240" w:after="0"/>
        <w:jc w:val="left"/>
        <w:rPr>
          <w:rFonts w:ascii="Times New Roman;serif" w:hAnsi="Times New Roman;serif"/>
          <w:b/>
          <w:sz w:val="20"/>
        </w:rPr>
      </w:pPr>
      <w:r>
        <w:rPr>
          <w:rFonts w:ascii="Times New Roman;serif" w:hAnsi="Times New Roman;serif"/>
          <w:b/>
          <w:sz w:val="20"/>
        </w:rPr>
        <w:t>Holders of Record</w:t>
      </w:r>
    </w:p>
    <w:p>
      <w:pPr>
        <w:pStyle w:val="TextBody"/>
        <w:spacing w:before="120" w:after="0"/>
        <w:jc w:val="left"/>
        <w:rPr>
          <w:rFonts w:ascii="Times New Roman" w:hAnsi="Times New Roman"/>
          <w:sz w:val="20"/>
        </w:rPr>
      </w:pPr>
      <w:r>
        <w:rPr>
          <w:rFonts w:ascii="Times New Roman;serif" w:hAnsi="Times New Roman;serif"/>
          <w:b w:val="false"/>
          <w:sz w:val="20"/>
        </w:rPr>
        <w:t>As of February 28, 2023, there were 66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Dividends</w:t>
      </w:r>
    </w:p>
    <w:p>
      <w:pPr>
        <w:pStyle w:val="TextBody"/>
        <w:spacing w:before="120" w:after="0"/>
        <w:jc w:val="left"/>
        <w:rPr>
          <w:rFonts w:ascii="Times New Roman" w:hAnsi="Times New Roman"/>
          <w:sz w:val="20"/>
        </w:rPr>
      </w:pPr>
      <w:r>
        <w:rPr>
          <w:rFonts w:ascii="Times New Roman;serif" w:hAnsi="Times New Roman;serif"/>
          <w:b w:val="false"/>
          <w:sz w:val="20"/>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Securities Authorized for Issuance Under Equity Compensation Plans</w:t>
      </w:r>
    </w:p>
    <w:p>
      <w:pPr>
        <w:pStyle w:val="TextBody"/>
        <w:spacing w:before="120" w:after="0"/>
        <w:jc w:val="left"/>
        <w:rPr>
          <w:rFonts w:ascii="Times New Roman" w:hAnsi="Times New Roman"/>
          <w:sz w:val="20"/>
        </w:rPr>
      </w:pPr>
      <w:r>
        <w:rPr>
          <w:rFonts w:ascii="Times New Roman;serif" w:hAnsi="Times New Roman;serif"/>
          <w:b w:val="false"/>
          <w:sz w:val="20"/>
        </w:rPr>
        <w:t>The information required by Item 5 of Form 10-K regarding equity compensation plans is incorporated herein by reference to Item 12 of Part III of this Annual Report.</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Except as previously disclosed in our Form 8-K filed with the SEC on December 29, 2022, we did not sell any securities that have not been registered under the Securities Act during the period covered by this Annual Report on Form 10-K.</w:t>
      </w:r>
    </w:p>
    <w:p>
      <w:pPr>
        <w:pStyle w:val="TextBody"/>
        <w:spacing w:before="240" w:after="0"/>
        <w:jc w:val="left"/>
        <w:rPr>
          <w:rFonts w:ascii="Times New Roman;serif" w:hAnsi="Times New Roman;serif"/>
          <w:b/>
          <w:sz w:val="20"/>
        </w:rPr>
      </w:pPr>
      <w:r>
        <w:rPr>
          <w:rFonts w:ascii="Times New Roman;serif" w:hAnsi="Times New Roman;serif"/>
          <w:b/>
          <w:sz w:val="20"/>
        </w:rPr>
        <w:t>Use of Proceeds from Initial Public Offering</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Issuer Purchases of Equity Securities by the Issuer and Affiliated Purchasers</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240" w:after="0"/>
        <w:jc w:val="left"/>
        <w:rPr>
          <w:rFonts w:ascii="Times New Roman" w:hAnsi="Times New Roman"/>
          <w:sz w:val="20"/>
        </w:rPr>
      </w:pPr>
      <w:bookmarkStart w:id="16" w:name="item_6_reserved"/>
      <w:bookmarkEnd w:id="16"/>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RESERVED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96</w:t>
      </w:r>
    </w:p>
    <w:p>
      <w:pPr>
        <w:pStyle w:val="HorizontalLine"/>
        <w:rPr/>
      </w:pPr>
      <w:r>
        <w:rPr/>
      </w:r>
    </w:p>
    <w:p>
      <w:pPr>
        <w:pStyle w:val="TextBody"/>
        <w:spacing w:before="0" w:after="0"/>
        <w:jc w:val="left"/>
        <w:rPr>
          <w:rFonts w:ascii="Times New Roman" w:hAnsi="Times New Roman"/>
          <w:sz w:val="20"/>
        </w:rPr>
      </w:pPr>
      <w:bookmarkStart w:id="17" w:name="item_7_managements_discussion_and_anal"/>
      <w:bookmarkEnd w:id="17"/>
      <w:r>
        <w:rPr>
          <w:rFonts w:ascii="Times New Roman;serif" w:hAnsi="Times New Roman;serif"/>
          <w:b/>
          <w:sz w:val="20"/>
        </w:rPr>
        <w:t>ITEM 7.</w:t>
      </w:r>
      <w:r>
        <w:rPr>
          <w:rFonts w:ascii="Times New Roman" w:hAnsi="Times New Roman"/>
          <w:sz w:val="20"/>
        </w:rPr>
        <w:t xml:space="preserve"> </w:t>
      </w:r>
      <w:r>
        <w:rPr>
          <w:rFonts w:ascii="Times New Roman;serif" w:hAnsi="Times New Roman;serif"/>
          <w:b/>
          <w:sz w:val="20"/>
        </w:rPr>
        <w:t>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pStyle w:val="TextBody"/>
        <w:spacing w:before="240" w:after="0"/>
        <w:jc w:val="left"/>
        <w:rPr>
          <w:rFonts w:ascii="Times New Roman;serif" w:hAnsi="Times New Roman;serif"/>
          <w:b/>
          <w:sz w:val="20"/>
        </w:rPr>
      </w:pPr>
      <w:r>
        <w:rPr>
          <w:rFonts w:ascii="Times New Roman;serif" w:hAnsi="Times New Roman;serif"/>
          <w:b/>
          <w:sz w:val="20"/>
        </w:rPr>
        <w:t>Overview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expect interim data from BEACON in the first half of 2023 and topline data from AURORA by year-end 2023. We entered into a collaborative research and development agreement with the National Institutes of Health, or NIH, to conduct an NIH-sponsored clinical trial of bitopertin in DBA. The FDA authorized the clinical trial to proceed and we expect the trial to begin by mid-year 2023. We are planning additional trials of bitopertin in other indications.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interim data from both of these trials in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p>
    <w:p>
      <w:pPr>
        <w:pStyle w:val="TextBody"/>
        <w:spacing w:before="360" w:after="120"/>
        <w:jc w:val="left"/>
        <w:rPr>
          <w:rFonts w:ascii="Times New Roman;serif" w:hAnsi="Times New Roman;serif"/>
          <w:b/>
          <w:i/>
          <w:sz w:val="20"/>
        </w:rPr>
      </w:pPr>
      <w:r>
        <w:rPr>
          <w:rFonts w:ascii="Times New Roman;serif" w:hAnsi="Times New Roman;serif"/>
          <w:b/>
          <w:i/>
          <w:sz w:val="20"/>
        </w:rPr>
        <w:t>Reverse Merger with Gemini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97</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pStyle w:val="TextBody"/>
        <w:spacing w:before="240" w:after="0"/>
        <w:jc w:val="left"/>
        <w:rPr>
          <w:rFonts w:ascii="Times New Roman" w:hAnsi="Times New Roman"/>
          <w:sz w:val="20"/>
        </w:rPr>
      </w:pPr>
      <w:r>
        <w:rPr>
          <w:rFonts w:ascii="Times New Roman;serif" w:hAnsi="Times New Roman;serif"/>
          <w:b/>
          <w:sz w:val="20"/>
        </w:rPr>
        <w:t>Financial Operations Overview</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pStyle w:val="TextBody"/>
        <w:spacing w:before="240" w:after="0"/>
        <w:jc w:val="left"/>
        <w:rPr>
          <w:rFonts w:ascii="Times New Roman;serif" w:hAnsi="Times New Roman;serif"/>
          <w:b/>
          <w:i/>
          <w:sz w:val="20"/>
        </w:rPr>
      </w:pPr>
      <w:r>
        <w:rPr>
          <w:rFonts w:ascii="Times New Roman;serif" w:hAnsi="Times New Roman;serif"/>
          <w:b/>
          <w:i/>
          <w:sz w:val="20"/>
        </w:rPr>
        <w:t>Operating Expenses</w:t>
      </w:r>
    </w:p>
    <w:p>
      <w:pPr>
        <w:pStyle w:val="TextBody"/>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in connection with the research and development of our product candidates. These expenses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employee-related expenses, including salaries, benefits, and stock-based compensation expense, for personnel engaged in research and development functions;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expenses incurred in connection with our research and development activities, including under agreements with third parties such as consultants, contractors and CROs;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acquiring and manufacturing preclinical study and clinical trial materials, including manufacturing registration and validation batches;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related to compliance with quality and regulatory requirements;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payments made under third-party licensing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typically use our employee and infrastructure resources across product candidates and development programs. We track outsourced development costs by product candidate or development program, but we do not allocate personnel costs or other internal costs to specific product candidates or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progress of preclinical and clinical development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preclinical and clinical programs we decide to pursue;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to raise additional funds necessary to complete clinical development of and commercialize our product candidates;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establish new licensing or collaboration arrangements and the progress of the development efforts of third parties with whom we may enter into such arrangements;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research and development programs and to establish new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initiation, enrollment and completion of clinical trials with safety, tolerability and efficacy profiles that are satisfactory to the FDA or any comparable foreign regulatory authority;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receipt and related terms of regulatory approvals from applicable regulatory authorities for any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raw materials for use in production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agreements with third-party manufacturers for supply of product candidate components for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maintain patents, trade secret protection and regulatory exclusivity, both in the United States and internationally;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protect our other rights in our intellectual property portfolio;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commercializing product candidates, if and when approved, whether alone or in collaboration with others;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obtaining and maintaining third-party insurance coverage and adequate reimbursement for any approved products.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anticipate that our general and administrative expenses will increase substantially in the future as we increase our headcount to support our continued research and development and potential commercialization of our product candidates. We also expect that we will incur increased expenses associated with being a public company, including costs of accounting, audit, legal, regulatory and tax compliance services, director and officer insurance costs and investor and public relations expenses.</w:t>
      </w:r>
    </w:p>
    <w:p>
      <w:pPr>
        <w:pStyle w:val="TextBody"/>
        <w:spacing w:before="240" w:after="0"/>
        <w:jc w:val="left"/>
        <w:rPr>
          <w:rFonts w:ascii="Times New Roman;serif" w:hAnsi="Times New Roman;serif"/>
          <w:b/>
          <w:i/>
          <w:sz w:val="20"/>
        </w:rPr>
      </w:pPr>
      <w:r>
        <w:rPr>
          <w:rFonts w:ascii="Times New Roman;serif" w:hAnsi="Times New Roman;serif"/>
          <w:b/>
          <w:i/>
          <w:sz w:val="20"/>
        </w:rPr>
        <w:t>Other Income</w:t>
      </w:r>
    </w:p>
    <w:p>
      <w:pPr>
        <w:pStyle w:val="TextBody"/>
        <w:spacing w:before="12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primarily consists of interest earned on money market fund accounts.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Change in Fair Value of Derivative Liability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2021, we entered into the Roche Agreement, described in more detail in Notes 4 and 8 to our consolidated financial statements, which included an obligation to issue a variable number of shares of our common stock to Roche for no additional consideration upon the completion of a Roche Qualified Transaction as defined by the Roche Agreement. The liability is measured at fair value as of each reporting date and the change in the fair value for the period is recorded in the consolidated statements of operations and comprehensive loss in the change in fair value of derivative liability. The liability was settled upon the completion of the merger on December 29,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Comparison of the Years Ended December 31, 2022 and 2021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years ended December 31, 2022 and 2021 (in thousands):</w:t>
      </w:r>
    </w:p>
    <w:p>
      <w:pPr>
        <w:pStyle w:val="TextBody"/>
        <w:spacing w:before="0" w:after="0"/>
        <w:jc w:val="both"/>
        <w:rPr/>
      </w:pPr>
      <w:r>
        <w:rPr/>
        <w:t> </w:t>
      </w:r>
    </w:p>
    <w:tbl>
      <w:tblPr>
        <w:tblW w:w="7647" w:type="dxa"/>
        <w:jc w:val="left"/>
        <w:tblInd w:w="0" w:type="dxa"/>
        <w:tblCellMar>
          <w:top w:w="28" w:type="dxa"/>
          <w:left w:w="28" w:type="dxa"/>
          <w:bottom w:w="28" w:type="dxa"/>
          <w:right w:w="28" w:type="dxa"/>
        </w:tblCellMar>
      </w:tblPr>
      <w:tblGrid>
        <w:gridCol w:w="3556"/>
        <w:gridCol w:w="109"/>
        <w:gridCol w:w="211"/>
        <w:gridCol w:w="736"/>
        <w:gridCol w:w="166"/>
        <w:gridCol w:w="109"/>
        <w:gridCol w:w="211"/>
        <w:gridCol w:w="736"/>
        <w:gridCol w:w="166"/>
        <w:gridCol w:w="109"/>
        <w:gridCol w:w="211"/>
        <w:gridCol w:w="736"/>
        <w:gridCol w:w="591"/>
      </w:tblGrid>
      <w:tr>
        <w:trPr/>
        <w:tc>
          <w:tcPr>
            <w:tcW w:w="3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339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33,437</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25,170</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8,267</w:t>
            </w:r>
          </w:p>
        </w:tc>
        <w:tc>
          <w:tcPr>
            <w:tcW w:w="591" w:type="dxa"/>
            <w:tcBorders/>
            <w:shd w:fill="auto" w:val="clear"/>
            <w:vAlign w:val="center"/>
          </w:tcPr>
          <w:p>
            <w:pPr>
              <w:pStyle w:val="TableContents"/>
              <w:spacing w:before="0" w:after="0"/>
              <w:ind w:left="0" w:right="0" w:firstLine="200"/>
              <w:jc w:val="left"/>
              <w:rPr/>
            </w:pPr>
            <w:r>
              <w:rPr/>
              <w:t> </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5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(16,542</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591" w:type="dxa"/>
            <w:tcBorders/>
            <w:shd w:fill="auto" w:val="clear"/>
            <w:vAlign w:val="center"/>
          </w:tcPr>
          <w:p>
            <w:pPr>
              <w:pStyle w:val="TableContents"/>
              <w:spacing w:before="0" w:after="0"/>
              <w:ind w:left="0" w:right="0" w:firstLine="200"/>
              <w:jc w:val="left"/>
              <w:rPr/>
            </w:pPr>
            <w:r>
              <w:rPr/>
              <w:t> </w:t>
            </w:r>
          </w:p>
        </w:tc>
      </w:tr>
      <w:tr>
        <w:trPr/>
        <w:tc>
          <w:tcPr>
            <w:tcW w:w="3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5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years ended December 31, 2022 and 2021 (in thousands):</w:t>
      </w:r>
    </w:p>
    <w:p>
      <w:pPr>
        <w:pStyle w:val="TextBody"/>
        <w:spacing w:before="0" w:after="0"/>
        <w:jc w:val="both"/>
        <w:rPr/>
      </w:pPr>
      <w:r>
        <w:rPr/>
        <w:t> </w:t>
      </w:r>
    </w:p>
    <w:tbl>
      <w:tblPr>
        <w:tblW w:w="8396" w:type="dxa"/>
        <w:jc w:val="left"/>
        <w:tblInd w:w="0" w:type="dxa"/>
        <w:tblCellMar>
          <w:top w:w="28" w:type="dxa"/>
          <w:left w:w="28" w:type="dxa"/>
          <w:bottom w:w="28" w:type="dxa"/>
          <w:right w:w="28" w:type="dxa"/>
        </w:tblCellMar>
      </w:tblPr>
      <w:tblGrid>
        <w:gridCol w:w="4771"/>
        <w:gridCol w:w="109"/>
        <w:gridCol w:w="211"/>
        <w:gridCol w:w="676"/>
        <w:gridCol w:w="146"/>
        <w:gridCol w:w="109"/>
        <w:gridCol w:w="211"/>
        <w:gridCol w:w="676"/>
        <w:gridCol w:w="146"/>
        <w:gridCol w:w="109"/>
        <w:gridCol w:w="226"/>
        <w:gridCol w:w="615"/>
        <w:gridCol w:w="391"/>
      </w:tblGrid>
      <w:tr>
        <w:trPr/>
        <w:tc>
          <w:tcPr>
            <w:tcW w:w="4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312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Bitopertin</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8,783</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8,354</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391" w:type="dxa"/>
            <w:tcBorders/>
            <w:shd w:fill="auto" w:val="clear"/>
            <w:vAlign w:val="center"/>
          </w:tcPr>
          <w:p>
            <w:pPr>
              <w:pStyle w:val="TableContents"/>
              <w:spacing w:before="0" w:after="0"/>
              <w:ind w:left="0" w:right="0" w:hanging="0"/>
              <w:jc w:val="left"/>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DISC-0974</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10,241</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7,019</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3,222</w:t>
            </w:r>
          </w:p>
        </w:tc>
        <w:tc>
          <w:tcPr>
            <w:tcW w:w="391" w:type="dxa"/>
            <w:tcBorders/>
            <w:shd w:fill="auto" w:val="clear"/>
            <w:vAlign w:val="center"/>
          </w:tcPr>
          <w:p>
            <w:pPr>
              <w:pStyle w:val="TableContents"/>
              <w:spacing w:before="0" w:after="0"/>
              <w:ind w:left="0" w:right="0" w:hanging="0"/>
              <w:jc w:val="left"/>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(including equity-based compensation)</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9,177</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4,709</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391" w:type="dxa"/>
            <w:tcBorders/>
            <w:shd w:fill="auto" w:val="clear"/>
            <w:vAlign w:val="center"/>
          </w:tcPr>
          <w:p>
            <w:pPr>
              <w:pStyle w:val="TableContents"/>
              <w:spacing w:before="0" w:after="0"/>
              <w:ind w:left="0" w:right="0" w:hanging="0"/>
              <w:jc w:val="left"/>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programs and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Research and development expenses were $33.4 million for the year ended December 31, 2022, compared to $25.2 million for the year ended December 31, 2021. The increase of $8.3 million in research and development expenses was primarily due to a $4.5 million increase in personnel-related costs related to higher research and development headcount and $3.2 million in the DISC-0974 program as a result of increased clinical CRO spend.</w:t>
      </w:r>
    </w:p>
    <w:p>
      <w:pPr>
        <w:pStyle w:val="TextBody"/>
        <w:spacing w:before="24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general and administrative expenses for the years ended December 31, 2022 and 2021 (in thousands):</w:t>
      </w:r>
    </w:p>
    <w:p>
      <w:pPr>
        <w:pStyle w:val="TextBody"/>
        <w:spacing w:before="0" w:after="0"/>
        <w:jc w:val="both"/>
        <w:rPr/>
      </w:pPr>
      <w:r>
        <w:rPr/>
        <w:t> </w:t>
      </w:r>
    </w:p>
    <w:tbl>
      <w:tblPr>
        <w:tblW w:w="8291" w:type="dxa"/>
        <w:jc w:val="left"/>
        <w:tblInd w:w="0" w:type="dxa"/>
        <w:tblCellMar>
          <w:top w:w="28" w:type="dxa"/>
          <w:left w:w="28" w:type="dxa"/>
          <w:bottom w:w="28" w:type="dxa"/>
          <w:right w:w="28" w:type="dxa"/>
        </w:tblCellMar>
      </w:tblPr>
      <w:tblGrid>
        <w:gridCol w:w="4771"/>
        <w:gridCol w:w="109"/>
        <w:gridCol w:w="211"/>
        <w:gridCol w:w="676"/>
        <w:gridCol w:w="146"/>
        <w:gridCol w:w="109"/>
        <w:gridCol w:w="211"/>
        <w:gridCol w:w="571"/>
        <w:gridCol w:w="146"/>
        <w:gridCol w:w="109"/>
        <w:gridCol w:w="226"/>
        <w:gridCol w:w="615"/>
        <w:gridCol w:w="391"/>
      </w:tblGrid>
      <w:tr>
        <w:trPr/>
        <w:tc>
          <w:tcPr>
            <w:tcW w:w="4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302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Personnel-related (including equity-based compensation)</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6,983</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2,692</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4,291</w:t>
            </w:r>
          </w:p>
        </w:tc>
        <w:tc>
          <w:tcPr>
            <w:tcW w:w="391" w:type="dxa"/>
            <w:tcBorders/>
            <w:shd w:fill="auto" w:val="clear"/>
            <w:vAlign w:val="center"/>
          </w:tcPr>
          <w:p>
            <w:pPr>
              <w:pStyle w:val="TableContents"/>
              <w:spacing w:before="0" w:after="0"/>
              <w:ind w:left="0" w:right="0" w:hanging="0"/>
              <w:jc w:val="left"/>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consulting and professional fees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6,252</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2,661</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w:t>
            </w:r>
          </w:p>
        </w:tc>
        <w:tc>
          <w:tcPr>
            <w:tcW w:w="391" w:type="dxa"/>
            <w:tcBorders/>
            <w:shd w:fill="auto" w:val="clear"/>
            <w:vAlign w:val="center"/>
          </w:tcPr>
          <w:p>
            <w:pPr>
              <w:pStyle w:val="TableContents"/>
              <w:spacing w:before="0" w:after="0"/>
              <w:ind w:left="0" w:right="0" w:hanging="0"/>
              <w:jc w:val="left"/>
              <w:rPr/>
            </w:pPr>
            <w:r>
              <w:rPr/>
              <w:t> </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general and administrative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General and administrative expenses were $14.0 million for the year ended December 31, 2022, compared to $5.8 million for the year ended December 31, 2021. The increase of $8.3 million in general and administrative expenses was primarily due to a $4.3 million increase in personnel-related costs related to higher general and administrative headcount and a $3.6 million increase in legal, audit and other services primarily due to the recognition of $2.2 million of deferred transaction costs in legal and consulting fees related to a planned equity financing that was superseded by the merger.</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was $0.6 million for the year ended December 31, 2022, compared to other expense of $5.0 million for the year ended December 31, 2021. The change of $5.7 million in other income (expense), net was primarily due to the change in fair value of our derivative liability of $5.0 million related to the Roche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from product sales and have incurred significant operating losses. We expect to continue to incur significant expenses and operating losses for the foreseeable future as we advances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pStyle w:val="TextBody"/>
        <w:spacing w:before="120" w:after="0"/>
        <w:jc w:val="left"/>
        <w:rPr>
          <w:rFonts w:ascii="Times New Roman" w:hAnsi="Times New Roman"/>
          <w:sz w:val="20"/>
        </w:rPr>
      </w:pPr>
      <w:r>
        <w:rPr>
          <w:rFonts w:ascii="Times New Roman;serif" w:hAnsi="Times New Roman;serif"/>
          <w:b w:val="false"/>
          <w:sz w:val="20"/>
        </w:rPr>
        <w:t>To date, we have funded our operations primarily with proceeds from the sale of our convertible preferred stock and common stock and the proceeds from the merger with Gemini. Through December 31, 2022, we received gross proceeds of $145.0 million from sales of our Series Seed, Series A and Series B convertible preferred stock, gross proceeds of $53.5 million from sales of common stock in a pre-closing financing, and gross proceeds of $97.4 million from the merger with Gemini. As of December 31, 2022, we had cash and cash equivalents of $194.6 million.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incurred significant operating losses since inception and, as of December 31, 2022, had an accumulated deficit of $112.2 million. In addition, we expect to continue to incur significant and increasing expenses and operating losses for the foreseeable future. We believe that our current cash resources will enable us to fund our current planned operating expense and capital expenditure requirements for at least twelve months from the date of issuance of these consolidated financial statements, March 31, 2023.</w:t>
      </w:r>
    </w:p>
    <w:p>
      <w:pPr>
        <w:pStyle w:val="TextBody"/>
        <w:spacing w:before="24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information regarding our cash flows for each period presented (in thousands):</w:t>
      </w:r>
    </w:p>
    <w:p>
      <w:pPr>
        <w:pStyle w:val="TextBody"/>
        <w:spacing w:before="0" w:after="0"/>
        <w:jc w:val="both"/>
        <w:rPr/>
      </w:pPr>
      <w:r>
        <w:rPr/>
        <w:t> </w:t>
      </w:r>
    </w:p>
    <w:tbl>
      <w:tblPr>
        <w:tblW w:w="7725" w:type="dxa"/>
        <w:jc w:val="left"/>
        <w:tblInd w:w="0" w:type="dxa"/>
        <w:tblCellMar>
          <w:top w:w="28" w:type="dxa"/>
          <w:left w:w="28" w:type="dxa"/>
          <w:bottom w:w="28" w:type="dxa"/>
          <w:right w:w="28" w:type="dxa"/>
        </w:tblCellMar>
      </w:tblPr>
      <w:tblGrid>
        <w:gridCol w:w="5011"/>
        <w:gridCol w:w="109"/>
        <w:gridCol w:w="211"/>
        <w:gridCol w:w="781"/>
        <w:gridCol w:w="166"/>
        <w:gridCol w:w="109"/>
        <w:gridCol w:w="211"/>
        <w:gridCol w:w="736"/>
        <w:gridCol w:w="391"/>
      </w:tblGrid>
      <w:tr>
        <w:trPr/>
        <w:tc>
          <w:tcPr>
            <w:tcW w:w="5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01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221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09" w:type="dxa"/>
            <w:tcBorders/>
            <w:shd w:fill="auto" w:val="clear"/>
            <w:vAlign w:val="center"/>
          </w:tcPr>
          <w:p>
            <w:pPr>
              <w:pStyle w:val="TableContents"/>
              <w:spacing w:before="0" w:after="0"/>
              <w:ind w:left="0" w:right="0" w:hanging="0"/>
              <w:jc w:val="right"/>
              <w:rPr/>
            </w:pPr>
            <w:r>
              <w:rPr/>
              <w:t>​</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(27,534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0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in cash and cash equivalents and restricted cash</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106,575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62,327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net cash used in operating activities of $42.3 million was primarily due to our net loss of $46.8 million, offset by non-cash expenses of $2.4 million and changes in operating assets and liabilities of $2.1 million primarily related to accounts payable and accrued expenses assumed in the merger.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2021, net cash used in operating activities of $27.5 million was primarily due to our net loss of $36.0 million, offset by non-cash expenses of $7.2 million and changes in operating assets and liabilities of $1.3 million. Non-cash expenses included $6.5 million of expense related to non-cash license expense for Roche and the change in the fair value of the Roche liability.</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years ended December 31, 2022 and 2021, net cash used in investing activities was due to purchases of property and equipment.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net cash provided by financing activities of $149.0 million consisted primarily of $97.4 million of net cash proceeds from the completion of the merger with Gemini and $53.5 million of net cash proceeds from the pre-closing financing.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2021, net cash provided by financing activities of $89.9 million consisted primarily of net proceeds from the sale and issuance of our Series B convertible preferred stock in September 2021.</w:t>
      </w:r>
    </w:p>
    <w:p>
      <w:pPr>
        <w:pStyle w:val="TextBody"/>
        <w:spacing w:before="240" w:after="0"/>
        <w:jc w:val="left"/>
        <w:rPr>
          <w:rFonts w:ascii="Times New Roman" w:hAnsi="Times New Roman"/>
          <w:sz w:val="20"/>
        </w:rPr>
      </w:pPr>
      <w:r>
        <w:rPr>
          <w:rFonts w:ascii="Times New Roman;serif" w:hAnsi="Times New Roman;serif"/>
          <w:b/>
          <w:i/>
          <w:sz w:val="20"/>
        </w:rPr>
        <w:t>Future Funding Requirements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progress, timing, costs and results of preclinical studies and clinical trials for our product candidates or any future product candidates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timing and outcome of regulatory review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any product candidates we may develop, including but not limited to clinical trial requirements for approvals;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 and timing of obtaining materials to produce adequate product supply for any preclinical or clinical development of any product candidate we may develop;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effect of competing technological and market developments;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strategic collaborations, licensing or other arrangements and the financial terms of such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payment or receipt of milestones, royalties and other collaboration-based revenues,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timing of future commercialization activities, including product manufacturing, marketing, sales and distribution, for any product candidate we may develop for which we obtain marketing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amount and timing of revenue, if any, received from commercial sales of our product candidates for which we receives marketing approval;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legal costs involved in prosecuting patent applications and enforcing patent claims and other intellectual property claims.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ourself.</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Contractual Obligations and Other Commitments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contractual obligations as of December 31, 2022 and the effects that such obligations are expected to have on our liquidity and cash flows in future periods (in thousands):</w:t>
      </w:r>
    </w:p>
    <w:p>
      <w:pPr>
        <w:pStyle w:val="TextBody"/>
        <w:spacing w:before="0" w:after="0"/>
        <w:jc w:val="both"/>
        <w:rPr/>
      </w:pPr>
      <w:r>
        <w:rPr/>
        <w:t> </w:t>
      </w:r>
    </w:p>
    <w:tbl>
      <w:tblPr>
        <w:tblW w:w="7882" w:type="dxa"/>
        <w:jc w:val="left"/>
        <w:tblInd w:w="0" w:type="dxa"/>
        <w:tblCellMar>
          <w:top w:w="28" w:type="dxa"/>
          <w:left w:w="28" w:type="dxa"/>
          <w:bottom w:w="28" w:type="dxa"/>
          <w:right w:w="28" w:type="dxa"/>
        </w:tblCellMar>
      </w:tblPr>
      <w:tblGrid>
        <w:gridCol w:w="2686"/>
        <w:gridCol w:w="109"/>
        <w:gridCol w:w="211"/>
        <w:gridCol w:w="571"/>
        <w:gridCol w:w="146"/>
        <w:gridCol w:w="109"/>
        <w:gridCol w:w="290"/>
        <w:gridCol w:w="580"/>
        <w:gridCol w:w="146"/>
        <w:gridCol w:w="109"/>
        <w:gridCol w:w="211"/>
        <w:gridCol w:w="421"/>
        <w:gridCol w:w="146"/>
        <w:gridCol w:w="109"/>
        <w:gridCol w:w="211"/>
        <w:gridCol w:w="421"/>
        <w:gridCol w:w="146"/>
        <w:gridCol w:w="109"/>
        <w:gridCol w:w="364"/>
        <w:gridCol w:w="596"/>
        <w:gridCol w:w="191"/>
      </w:tblGrid>
      <w:tr>
        <w:trPr/>
        <w:tc>
          <w:tcPr>
            <w:tcW w:w="2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489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Less Than </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1 to 3 </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3 to 5 </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More Than </w:t>
              <w:br/>
              <w:t>5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 lease commitments</w:t>
            </w:r>
            <w:r>
              <w:rPr>
                <w:rFonts w:ascii="Times New Roman;serif" w:hAnsi="Times New Roman;serif"/>
                <w:b w:val="false"/>
                <w:sz w:val="13"/>
              </w:rPr>
              <w:t>(1)</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8" w:space="1" w:color="000000"/>
        </w:pBdr>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rFonts w:ascii="Times New Roman;serif" w:hAnsi="Times New Roman;serif"/>
          <w:b w:val="false"/>
          <w:sz w:val="16"/>
        </w:rPr>
      </w:pPr>
      <w:r>
        <w:rPr>
          <w:rFonts w:ascii="Times New Roman;serif" w:hAnsi="Times New Roman;serif"/>
          <w:b w:val="false"/>
          <w:sz w:val="16"/>
        </w:rPr>
        <w:t>Amounts reflect payments due for our leased office space in Watertown, Massachusetts as of December 31, 2022. The lease term began in November 2021 and will end in November 2026.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 See also “Licensing Agreements.”</w:t>
      </w:r>
    </w:p>
    <w:p>
      <w:pPr>
        <w:pStyle w:val="TextBody"/>
        <w:spacing w:before="24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our significant accounting policies are described in more detail in Note 2 to our consolidated financial statements, we believe that the following accounting policies are those most critical to the judgments and estimates used in the preparation of our consolidated financial statements.</w:t>
      </w:r>
    </w:p>
    <w:p>
      <w:pPr>
        <w:pStyle w:val="TextBody"/>
        <w:spacing w:before="240" w:after="0"/>
        <w:jc w:val="left"/>
        <w:rPr>
          <w:rFonts w:ascii="Times New Roman" w:hAnsi="Times New Roman"/>
          <w:sz w:val="20"/>
        </w:rPr>
      </w:pPr>
      <w:r>
        <w:rPr>
          <w:rFonts w:ascii="Times New Roman;serif" w:hAnsi="Times New Roman;serif"/>
          <w:b/>
          <w:i/>
          <w:sz w:val="20"/>
        </w:rPr>
        <w:t>Research and Development Contract Costs and Accruals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part of the process of preparing our consolidated financial statements, we are required to estimate our accrued and prepaid research and development expenses. This process involves reviewing open contracts and purchase orders, communicating 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vendors in connection with preclinical development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CROs and investigative sites in connection with preclinical studies and clinical trials;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CDMOs in connection with the production of preclinical study and clinical trial materials.</w:t>
      </w:r>
    </w:p>
    <w:p>
      <w:pPr>
        <w:pStyle w:val="TextBody"/>
        <w:spacing w:before="120" w:after="0"/>
        <w:jc w:val="left"/>
        <w:rPr>
          <w:rFonts w:ascii="Times New Roman" w:hAnsi="Times New Roman"/>
          <w:sz w:val="20"/>
        </w:rPr>
      </w:pPr>
      <w:r>
        <w:rPr>
          <w:rFonts w:ascii="Times New Roman;serif" w:hAnsi="Times New Roman;serif"/>
          <w:b w:val="false"/>
          <w:sz w:val="20"/>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103</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pStyle w:val="TextBody"/>
        <w:spacing w:before="240" w:after="0"/>
        <w:jc w:val="left"/>
        <w:rPr>
          <w:rFonts w:ascii="Times New Roman;serif" w:hAnsi="Times New Roman;serif"/>
          <w:b/>
          <w:i/>
          <w:sz w:val="20"/>
        </w:rPr>
      </w:pPr>
      <w:r>
        <w:rPr>
          <w:rFonts w:ascii="Times New Roman;serif" w:hAnsi="Times New Roman;serif"/>
          <w:b/>
          <w:i/>
          <w:sz w:val="20"/>
        </w:rPr>
        <w:t>Fair Value of Derivative Liability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2021, we entered into Roche Agreement as further described in Notes 4 and 8 to our consolidated financial statements. We recognized a liability in connection with the Roche Agreement which includes an obligation to issue a variable number of shares of our common stock to Roche for no additional consideration upon our completion of an initial public offering or certain merger transactions, a “Roche Qualified Transaction.” The number of shares of common stock to be issued to Roche was estimated to be approximately 2.85% of the outstanding shares of our common stock as of immediately after the completion of a Roche Qualified Transaction. We had determined that the obligation to issue common stock upon completion of a Roche Qualified Transaction represented a liability classified financial instrument. The liability was measured at fair value as of each reporting date and the change in the fair value for the period was recorded in the consolidated statements of operations in the change in fair value of derivative liability. Prior to its settlement in Q4 2022, the fair value measurement of the derivative liability was classified as Level 3 under the fair value hierarchy as it had been valued using certain unobservable inputs. These inputs included: (1) our fair value upon completion of a Roche Qualified Transaction and (2) the probability of us completing a Roche Qualified Transaction. The probability of us completing a Roche Qualified Transaction was low double-digits upon the execution of the Roche Agreement and was adjusted periodically based on our progress towards a Roche Qualified Transaction. We settled the derivative liability by issuing common stock to Roche immediately following the completion of the merger. We remeasured the derivative liability based on the stock price of our publicly-traded common stock on December 29, 2022. The change in the fair value for the period was recorded in the consolidated statements of operations and comprehensive loss in the change in fair value of derivative liability. We then reclassified the resulting amount of the derivative liability to additional paid-in capital.</w:t>
      </w:r>
    </w:p>
    <w:p>
      <w:pPr>
        <w:pStyle w:val="TextBody"/>
        <w:spacing w:before="240" w:after="0"/>
        <w:jc w:val="left"/>
        <w:rPr>
          <w:rFonts w:ascii="Times New Roman;serif" w:hAnsi="Times New Roman;serif"/>
          <w:b/>
          <w:i/>
          <w:sz w:val="20"/>
        </w:rPr>
      </w:pPr>
      <w:r>
        <w:rPr>
          <w:rFonts w:ascii="Times New Roman;serif" w:hAnsi="Times New Roman;serif"/>
          <w:b/>
          <w:i/>
          <w:sz w:val="20"/>
        </w:rPr>
        <w:t>Stock-Based Compensation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 The fair value of each stock option grant is estimated on the date of grant using the Black-Scholes option-pricing model, which requires inputs based on certain subjective assumptions, including the fair value of our common stock, the expected stock price volatility, the expected term of the option, the risk-free interest rate for a period that approximates the expected term of the option, and the expected dividend yield. Due to the lack of company-specific historical and implied volatility data, we determine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 The expected term of our stock options granted to employees has been determined utilizing the “simplified” method for awards that qualify as “plain-vanilla” options, using the average between the vesting date and the contractual term. The fair value of each restricted common stock award is estimated on the date of grant based on the estimated fair value of our common stock on the date of grant.</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Determination of the Fair Value of Common Stock</w:t>
      </w:r>
    </w:p>
    <w:p>
      <w:pPr>
        <w:pStyle w:val="TextBody"/>
        <w:spacing w:before="120" w:after="0"/>
        <w:jc w:val="left"/>
        <w:rPr>
          <w:rFonts w:ascii="Times New Roman" w:hAnsi="Times New Roman"/>
          <w:sz w:val="20"/>
        </w:rPr>
      </w:pPr>
      <w:r>
        <w:rPr>
          <w:rFonts w:ascii="Times New Roman;serif" w:hAnsi="Times New Roman;serif"/>
          <w:b w:val="false"/>
          <w:sz w:val="20"/>
        </w:rPr>
        <w:t xml:space="preserve">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serif" w:hAnsi="Times New Roman;serif"/>
          <w:b w:val="false"/>
          <w:i/>
          <w:sz w:val="20"/>
        </w:rPr>
        <w:t>Valuation of Privately-Held-Company Equity Securities Issued as Compensation</w:t>
      </w:r>
      <w:r>
        <w:rPr>
          <w:rFonts w:ascii="Times New Roman;serif" w:hAnsi="Times New Roman;serif"/>
          <w:b w:val="false"/>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pStyle w:val="TextBody"/>
        <w:spacing w:before="120" w:after="0"/>
        <w:jc w:val="left"/>
        <w:rPr>
          <w:rFonts w:ascii="Times New Roman" w:hAnsi="Times New Roman"/>
          <w:sz w:val="20"/>
        </w:rPr>
      </w:pPr>
      <w:r>
        <w:rPr>
          <w:rFonts w:ascii="Times New Roman;serif" w:hAnsi="Times New Roman;serif"/>
          <w:b w:val="false"/>
          <w:sz w:val="20"/>
        </w:rPr>
        <w:t>The hybrid method is a probability-weighted expected return method, or PWERM, by which the equity value in one or more scenarios is calculated using an OPM. The PWERM is a scenario-based methodology that estimates the fair value of common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pStyle w:val="TextBody"/>
        <w:spacing w:before="240" w:after="0"/>
        <w:jc w:val="left"/>
        <w:rPr>
          <w:rFonts w:ascii="Times New Roman" w:hAnsi="Times New Roman"/>
          <w:sz w:val="20"/>
        </w:rPr>
      </w:pPr>
      <w:r>
        <w:rPr>
          <w:rFonts w:ascii="Times New Roman;serif" w:hAnsi="Times New Roman;serif"/>
          <w:b/>
          <w:sz w:val="20"/>
        </w:rPr>
        <w:t>Recently Issued and Adopted Accounting Pronouncements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description of recently issued and certain recently adopted accounting pronouncements that have or may potentially impact our financial position and results of operations is included in Note 2 to our consolidated financial statements.</w:t>
      </w:r>
    </w:p>
    <w:p>
      <w:pPr>
        <w:pStyle w:val="TextBody"/>
        <w:spacing w:before="240" w:after="0"/>
        <w:jc w:val="left"/>
        <w:rPr>
          <w:rFonts w:ascii="Times New Roman;serif" w:hAnsi="Times New Roman;serif"/>
          <w:b/>
          <w:sz w:val="20"/>
        </w:rPr>
      </w:pPr>
      <w:r>
        <w:rPr>
          <w:rFonts w:ascii="Times New Roman;serif" w:hAnsi="Times New Roman;serif"/>
          <w:b/>
          <w:sz w:val="20"/>
        </w:rPr>
        <w:t>Emerging Growth Company and Smaller Reporting Company Status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pStyle w:val="TextBody"/>
        <w:spacing w:before="240" w:after="0"/>
        <w:jc w:val="left"/>
        <w:rPr>
          <w:rFonts w:ascii="Times New Roman;serif" w:hAnsi="Times New Roman;serif"/>
          <w:b/>
          <w:sz w:val="20"/>
        </w:rPr>
      </w:pPr>
      <w:bookmarkStart w:id="18" w:name="item_7a_quantitative_and_qualitative_dis"/>
      <w:bookmarkEnd w:id="18"/>
      <w:r>
        <w:rPr>
          <w:rFonts w:ascii="Times New Roman;serif" w:hAnsi="Times New Roman;serif"/>
          <w:b/>
          <w:sz w:val="20"/>
        </w:rPr>
        <w:t>Item 7A.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and 2021, we had cash and cash equivalents of $194.6 million and $88.0 million, respectively, which consisted of cash and money market funds.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pStyle w:val="TextBody"/>
        <w:spacing w:before="120" w:after="0"/>
        <w:jc w:val="left"/>
        <w:rPr>
          <w:rFonts w:ascii="Times New Roman" w:hAnsi="Times New Roman"/>
          <w:sz w:val="20"/>
        </w:rPr>
      </w:pPr>
      <w:r>
        <w:rPr>
          <w:rFonts w:ascii="Times New Roman;serif" w:hAnsi="Times New Roman;serif"/>
          <w:b w:val="false"/>
          <w:sz w:val="20"/>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it does not have a material exposure to foreign currency risk.</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Inflation generally affects us by increasing our cost of labor. We do not believe that inflation had a material effect on our business, financial condition or results of operations during the twelve months ended December 31, 2022 and 2021.</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105</w:t>
      </w:r>
    </w:p>
    <w:p>
      <w:pPr>
        <w:pStyle w:val="HorizontalLine"/>
        <w:rPr/>
      </w:pPr>
      <w:r>
        <w:rPr/>
      </w:r>
    </w:p>
    <w:p>
      <w:pPr>
        <w:pStyle w:val="TextBody"/>
        <w:spacing w:before="0" w:after="0"/>
        <w:jc w:val="left"/>
        <w:rPr>
          <w:rFonts w:ascii="Times New Roman" w:hAnsi="Times New Roman"/>
          <w:sz w:val="20"/>
        </w:rPr>
      </w:pPr>
      <w:bookmarkStart w:id="19" w:name="item_8_consolidated_financial_statements"/>
      <w:bookmarkEnd w:id="19"/>
      <w:r>
        <w:rPr>
          <w:rFonts w:ascii="Times New Roman;serif" w:hAnsi="Times New Roman;serif"/>
          <w:b/>
          <w:sz w:val="20"/>
        </w:rPr>
        <w:t>ITEM 8.</w:t>
      </w:r>
      <w:r>
        <w:rPr>
          <w:rFonts w:ascii="Times New Roman" w:hAnsi="Times New Roman"/>
          <w:sz w:val="20"/>
        </w:rPr>
        <w:t xml:space="preserve"> </w:t>
      </w:r>
      <w:r>
        <w:rPr>
          <w:rFonts w:ascii="Times New Roman;serif" w:hAnsi="Times New Roman;serif"/>
          <w:b/>
          <w:sz w:val="20"/>
        </w:rPr>
        <w:t>CONSOLIDATED FINANCIAL STATEMENTS AND SUPPLEMENTARY DATA</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Index to Consolidated Financial Statements</w:t>
      </w:r>
      <w:r>
        <w:rPr>
          <w:rFonts w:ascii="Times New Roman" w:hAnsi="Times New Roman"/>
          <w:sz w:val="20"/>
        </w:rPr>
        <w:t xml:space="preserve"> </w:t>
      </w:r>
    </w:p>
    <w:p>
      <w:pPr>
        <w:pStyle w:val="TextBody"/>
        <w:spacing w:before="0" w:after="0"/>
        <w:jc w:val="left"/>
        <w:rPr/>
      </w:pPr>
      <w:r>
        <w:rPr/>
        <w:t> </w:t>
      </w:r>
    </w:p>
    <w:tbl>
      <w:tblPr>
        <w:tblW w:w="7247" w:type="dxa"/>
        <w:jc w:val="left"/>
        <w:tblInd w:w="0" w:type="dxa"/>
        <w:tblCellMar>
          <w:top w:w="28" w:type="dxa"/>
          <w:left w:w="28" w:type="dxa"/>
          <w:bottom w:w="28" w:type="dxa"/>
          <w:right w:w="28" w:type="dxa"/>
        </w:tblCellMar>
      </w:tblPr>
      <w:tblGrid>
        <w:gridCol w:w="6511"/>
        <w:gridCol w:w="736"/>
      </w:tblGrid>
      <w:tr>
        <w:trPr/>
        <w:tc>
          <w:tcPr>
            <w:tcW w:w="65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Page(s)</w:t>
            </w:r>
            <w:r>
              <w:rPr>
                <w:rFonts w:ascii="Times New Roman" w:hAnsi="Times New Roman"/>
                <w:sz w:val="16"/>
              </w:rPr>
              <w:t xml:space="preserve"> </w:t>
            </w:r>
          </w:p>
        </w:tc>
      </w:tr>
      <w:tr>
        <w:trPr/>
        <w:tc>
          <w:tcPr>
            <w:tcW w:w="6511" w:type="dxa"/>
            <w:tcBorders/>
            <w:shd w:fill="auto" w:val="clear"/>
            <w:vAlign w:val="center"/>
          </w:tcPr>
          <w:p>
            <w:pPr>
              <w:pStyle w:val="TableContents"/>
              <w:spacing w:before="0" w:after="0"/>
              <w:ind w:left="0" w:right="0" w:hanging="0"/>
              <w:jc w:val="left"/>
              <w:rPr/>
            </w:pPr>
            <w:hyperlink w:anchor="report_of_indepen_regis_pub_accou_firm">
              <w:r>
                <w:rPr>
                  <w:rStyle w:val="InternetLink"/>
                  <w:rFonts w:ascii="Times New Roman;serif" w:hAnsi="Times New Roman;serif"/>
                  <w:b w:val="false"/>
                  <w:sz w:val="20"/>
                  <w:u w:val="single"/>
                </w:rPr>
                <w:t>Report of Independent Registered Public Accounting Firm (PCAOB ID: 42)</w:t>
              </w:r>
            </w:hyperlink>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r>
      <w:tr>
        <w:trPr/>
        <w:tc>
          <w:tcPr>
            <w:tcW w:w="6511" w:type="dxa"/>
            <w:tcBorders/>
            <w:shd w:fill="auto" w:val="clear"/>
            <w:vAlign w:val="center"/>
          </w:tcPr>
          <w:p>
            <w:pPr>
              <w:pStyle w:val="TableContents"/>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w:t>
              </w:r>
            </w:hyperlink>
            <w:r>
              <w:rPr>
                <w:rFonts w:ascii="Times New Roman" w:hAnsi="Times New Roman"/>
                <w:sz w:val="20"/>
              </w:rPr>
              <w:t xml:space="preserve">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r>
      <w:tr>
        <w:trPr/>
        <w:tc>
          <w:tcPr>
            <w:tcW w:w="6511" w:type="dxa"/>
            <w:tcBorders/>
            <w:shd w:fill="auto" w:val="clear"/>
            <w:vAlign w:val="center"/>
          </w:tcPr>
          <w:p>
            <w:pPr>
              <w:pStyle w:val="TableContents"/>
              <w:spacing w:before="0" w:after="0"/>
              <w:ind w:left="0" w:right="0" w:hanging="0"/>
              <w:jc w:val="left"/>
              <w:rPr/>
            </w:pPr>
            <w:hyperlink w:anchor="statements_of_operations_and_comp_loss">
              <w:r>
                <w:rPr>
                  <w:rStyle w:val="InternetLink"/>
                  <w:rFonts w:ascii="Times New Roman;serif" w:hAnsi="Times New Roman;serif"/>
                  <w:b w:val="false"/>
                  <w:sz w:val="20"/>
                  <w:u w:val="single"/>
                </w:rPr>
                <w:t>Consolidated Statements of Operations and Comprehensive Loss</w:t>
              </w:r>
            </w:hyperlink>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r>
      <w:tr>
        <w:trPr/>
        <w:tc>
          <w:tcPr>
            <w:tcW w:w="6511" w:type="dxa"/>
            <w:tcBorders/>
            <w:shd w:fill="auto" w:val="clear"/>
            <w:vAlign w:val="center"/>
          </w:tcPr>
          <w:p>
            <w:pPr>
              <w:pStyle w:val="TableContents"/>
              <w:spacing w:before="0" w:after="0"/>
              <w:ind w:left="0" w:right="0" w:hanging="0"/>
              <w:jc w:val="left"/>
              <w:rPr/>
            </w:pPr>
            <w:hyperlink w:anchor="consolidated_stockholdersequity">
              <w:r>
                <w:rPr>
                  <w:rStyle w:val="InternetLink"/>
                  <w:rFonts w:ascii="Times New Roman;serif" w:hAnsi="Times New Roman;serif"/>
                  <w:b w:val="false"/>
                  <w:sz w:val="20"/>
                  <w:u w:val="single"/>
                </w:rPr>
                <w:t>Consolidated Statements of Preferred Stock and Stockholders’ Equity (Deficit)</w:t>
              </w:r>
            </w:hyperlink>
            <w:hyperlink w:anchor="consolidated_stockholdersequity">
              <w:r>
                <w:rPr>
                  <w:rStyle w:val="InternetLink"/>
                  <w:rFonts w:ascii="Times New Roman" w:hAnsi="Times New Roman"/>
                  <w:sz w:val="20"/>
                </w:rPr>
                <w:t xml:space="preserve"> </w:t>
              </w:r>
            </w:hyperlink>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r>
      <w:tr>
        <w:trPr/>
        <w:tc>
          <w:tcPr>
            <w:tcW w:w="6511" w:type="dxa"/>
            <w:tcBorders/>
            <w:shd w:fill="auto" w:val="clear"/>
            <w:vAlign w:val="center"/>
          </w:tcPr>
          <w:p>
            <w:pPr>
              <w:pStyle w:val="TableContents"/>
              <w:spacing w:before="0" w:after="0"/>
              <w:ind w:left="0" w:right="0" w:hanging="0"/>
              <w:jc w:val="left"/>
              <w:rPr/>
            </w:pPr>
            <w:hyperlink w:anchor="consolidated_statements_of_cash_flows">
              <w:r>
                <w:rPr>
                  <w:rStyle w:val="InternetLink"/>
                  <w:rFonts w:ascii="Times New Roman;serif" w:hAnsi="Times New Roman;serif"/>
                  <w:b w:val="false"/>
                  <w:sz w:val="20"/>
                  <w:u w:val="single"/>
                </w:rPr>
                <w:t>Consolidated Statements of Cash Flows</w:t>
              </w:r>
            </w:hyperlink>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r>
      <w:tr>
        <w:trPr/>
        <w:tc>
          <w:tcPr>
            <w:tcW w:w="6511" w:type="dxa"/>
            <w:tcBorders/>
            <w:shd w:fill="auto" w:val="clear"/>
            <w:vAlign w:val="center"/>
          </w:tcPr>
          <w:p>
            <w:pPr>
              <w:pStyle w:val="TableContents"/>
              <w:spacing w:before="0" w:after="0"/>
              <w:ind w:left="0" w:right="0" w:hanging="0"/>
              <w:jc w:val="left"/>
              <w:rPr/>
            </w:pPr>
            <w:hyperlink w:anchor="notes_to_cons_financial_statements">
              <w:r>
                <w:rPr>
                  <w:rStyle w:val="InternetLink"/>
                  <w:rFonts w:ascii="Times New Roman;serif" w:hAnsi="Times New Roman;serif"/>
                  <w:b w:val="false"/>
                  <w:sz w:val="20"/>
                  <w:u w:val="single"/>
                </w:rPr>
                <w:t>Notes to Consolidated Financial Statements</w:t>
              </w:r>
            </w:hyperlink>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106</w:t>
      </w:r>
    </w:p>
    <w:p>
      <w:pPr>
        <w:pStyle w:val="HorizontalLine"/>
        <w:rPr/>
      </w:pPr>
      <w:r>
        <w:rPr/>
      </w:r>
    </w:p>
    <w:p>
      <w:pPr>
        <w:pStyle w:val="TextBody"/>
        <w:spacing w:before="0" w:after="0"/>
        <w:jc w:val="center"/>
        <w:rPr>
          <w:rFonts w:ascii="Times New Roman" w:hAnsi="Times New Roman"/>
          <w:sz w:val="20"/>
        </w:rPr>
      </w:pPr>
      <w:bookmarkStart w:id="20" w:name="report_of_indepen_regis_pub_accou_firm"/>
      <w:bookmarkEnd w:id="20"/>
      <w:r>
        <w:rPr>
          <w:rFonts w:ascii="Times New Roman;serif" w:hAnsi="Times New Roman;serif"/>
          <w:b/>
          <w:sz w:val="20"/>
        </w:rPr>
        <w:t>Report of Independent Registered Public Accounting Firm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Stockholders and Board of Directors of Disc Medicine, Inc.</w:t>
      </w:r>
    </w:p>
    <w:p>
      <w:pPr>
        <w:pStyle w:val="TextBody"/>
        <w:spacing w:before="240" w:after="0"/>
        <w:jc w:val="left"/>
        <w:rPr>
          <w:rFonts w:ascii="Times New Roman;serif" w:hAnsi="Times New Roman;serif"/>
          <w:b/>
          <w:sz w:val="20"/>
        </w:rPr>
      </w:pPr>
      <w:r>
        <w:rPr>
          <w:rFonts w:ascii="Times New Roman;serif" w:hAnsi="Times New Roman;serif"/>
          <w:b/>
          <w:sz w:val="20"/>
        </w:rPr>
        <w:t>Opinion on the Financial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audited the accompanying consolidated balance sheets of Disc Medicine, Inc. (the Company) as of December 31, 2022 and 2021, the related consolidated statements of operations and comprehensive loss, shareholders' equity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pStyle w:val="TextBody"/>
        <w:spacing w:before="240" w:after="0"/>
        <w:jc w:val="left"/>
        <w:rPr>
          <w:rFonts w:ascii="Times New Roman;serif" w:hAnsi="Times New Roman;serif"/>
          <w:b/>
          <w:sz w:val="20"/>
        </w:rPr>
      </w:pPr>
      <w:r>
        <w:rPr>
          <w:rFonts w:ascii="Times New Roman;serif" w:hAnsi="Times New Roman;serif"/>
          <w:b/>
          <w:sz w:val="20"/>
        </w:rPr>
        <w:t>Basis for Opinion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served as the Company’s auditor since 2020.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Boston, Massachusetts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107</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21" w:name="consolidated_balance_sheets"/>
      <w:bookmarkEnd w:id="21"/>
      <w:r>
        <w:rPr>
          <w:rFonts w:ascii="Times New Roman;serif" w:hAnsi="Times New Roman;serif"/>
          <w:b/>
          <w:sz w:val="20"/>
        </w:rPr>
        <w:t>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spacing w:before="0" w:after="0"/>
        <w:jc w:val="left"/>
        <w:rPr/>
      </w:pPr>
      <w:r>
        <w:rPr/>
        <w:t> </w:t>
      </w:r>
    </w:p>
    <w:tbl>
      <w:tblPr>
        <w:tblW w:w="9995" w:type="dxa"/>
        <w:jc w:val="left"/>
        <w:tblInd w:w="0" w:type="dxa"/>
        <w:tblCellMar>
          <w:top w:w="28" w:type="dxa"/>
          <w:left w:w="28" w:type="dxa"/>
          <w:bottom w:w="28" w:type="dxa"/>
          <w:right w:w="28" w:type="dxa"/>
        </w:tblCellMar>
      </w:tblPr>
      <w:tblGrid>
        <w:gridCol w:w="7021"/>
        <w:gridCol w:w="109"/>
        <w:gridCol w:w="211"/>
        <w:gridCol w:w="841"/>
        <w:gridCol w:w="166"/>
        <w:gridCol w:w="109"/>
        <w:gridCol w:w="211"/>
        <w:gridCol w:w="736"/>
        <w:gridCol w:w="591"/>
      </w:tblGrid>
      <w:tr>
        <w:trPr/>
        <w:tc>
          <w:tcPr>
            <w:tcW w:w="7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7021"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2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21"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194,611</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88,036</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198,491</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90,484</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operating leases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92,411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Convertible Preferred Stock and Stockholders’ Equity (Deficit)</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16,162</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2,559</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6,109</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4,096</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Derivative liability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22,578</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13,424</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23,605</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14,758</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14)</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Series Seed convertible preferred stock, $0.0001</w:t>
            </w:r>
            <w:r>
              <w:rPr>
                <w:rFonts w:ascii="Times New Roman" w:hAnsi="Times New Roman"/>
                <w:sz w:val="20"/>
              </w:rPr>
              <w:t> </w:t>
            </w:r>
            <w:r>
              <w:rPr>
                <w:rFonts w:ascii="Times New Roman;serif" w:hAnsi="Times New Roman;serif"/>
                <w:b w:val="false"/>
                <w:sz w:val="20"/>
              </w:rPr>
              <w:t>par value; no</w:t>
            </w:r>
            <w:r>
              <w:rPr>
                <w:rFonts w:ascii="Times New Roman" w:hAnsi="Times New Roman"/>
                <w:sz w:val="20"/>
              </w:rPr>
              <w:t> </w:t>
            </w:r>
            <w:r>
              <w:rPr>
                <w:rFonts w:ascii="Times New Roman;serif" w:hAnsi="Times New Roman;serif"/>
                <w:b w:val="false"/>
                <w:sz w:val="20"/>
              </w:rPr>
              <w:t>shares and 5,000,000</w:t>
              <w:br/>
              <w:t>   shares authorized at December 31, 2022 and 2021, respectively; no</w:t>
            </w:r>
            <w:r>
              <w:rPr>
                <w:rFonts w:ascii="Times New Roman" w:hAnsi="Times New Roman"/>
                <w:sz w:val="20"/>
              </w:rPr>
              <w:t> </w:t>
            </w:r>
            <w:r>
              <w:rPr>
                <w:rFonts w:ascii="Times New Roman;serif" w:hAnsi="Times New Roman;serif"/>
                <w:b w:val="false"/>
                <w:sz w:val="20"/>
              </w:rPr>
              <w:t>shares and</w:t>
              <w:br/>
              <w:t>   5,000,000</w:t>
            </w:r>
            <w:r>
              <w:rPr>
                <w:rFonts w:ascii="Times New Roman" w:hAnsi="Times New Roman"/>
                <w:sz w:val="20"/>
              </w:rPr>
              <w:t> </w:t>
            </w:r>
            <w:r>
              <w:rPr>
                <w:rFonts w:ascii="Times New Roman;serif" w:hAnsi="Times New Roman;serif"/>
                <w:b w:val="false"/>
                <w:sz w:val="20"/>
              </w:rPr>
              <w:t>shares issued and outstanding as of December 31, 2022 and 2021,</w:t>
              <w:br/>
              <w:t>   respectively; (liquidation preference of $0</w:t>
            </w:r>
            <w:r>
              <w:rPr>
                <w:rFonts w:ascii="Times New Roman" w:hAnsi="Times New Roman"/>
                <w:sz w:val="20"/>
              </w:rPr>
              <w:t> </w:t>
            </w:r>
            <w:r>
              <w:rPr>
                <w:rFonts w:ascii="Times New Roman;serif" w:hAnsi="Times New Roman;serif"/>
                <w:b w:val="false"/>
                <w:sz w:val="20"/>
              </w:rPr>
              <w:t>and $5,000</w:t>
            </w:r>
            <w:r>
              <w:rPr>
                <w:rFonts w:ascii="Times New Roman" w:hAnsi="Times New Roman"/>
                <w:sz w:val="20"/>
              </w:rPr>
              <w:t> </w:t>
            </w:r>
            <w:r>
              <w:rPr>
                <w:rFonts w:ascii="Times New Roman;serif" w:hAnsi="Times New Roman;serif"/>
                <w:b w:val="false"/>
                <w:sz w:val="20"/>
              </w:rPr>
              <w:t>as of December 31, 2022 and</w:t>
              <w:br/>
              <w:t>   2021, respectively)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Series A convertible preferred stock, $0.0001</w:t>
            </w:r>
            <w:r>
              <w:rPr>
                <w:rFonts w:ascii="Times New Roman" w:hAnsi="Times New Roman"/>
                <w:sz w:val="20"/>
              </w:rPr>
              <w:t> </w:t>
            </w:r>
            <w:r>
              <w:rPr>
                <w:rFonts w:ascii="Times New Roman;serif" w:hAnsi="Times New Roman;serif"/>
                <w:b w:val="false"/>
                <w:sz w:val="20"/>
              </w:rPr>
              <w:t>par value; no</w:t>
            </w:r>
            <w:r>
              <w:rPr>
                <w:rFonts w:ascii="Times New Roman" w:hAnsi="Times New Roman"/>
                <w:sz w:val="20"/>
              </w:rPr>
              <w:t> </w:t>
            </w:r>
            <w:r>
              <w:rPr>
                <w:rFonts w:ascii="Times New Roman;serif" w:hAnsi="Times New Roman;serif"/>
                <w:b w:val="false"/>
                <w:sz w:val="20"/>
              </w:rPr>
              <w:t>shares and 41,666,666</w:t>
              <w:br/>
              <w:t>   shares authorized as of December 31, 2022 and 2021, respectively; no</w:t>
            </w:r>
            <w:r>
              <w:rPr>
                <w:rFonts w:ascii="Times New Roman" w:hAnsi="Times New Roman"/>
                <w:sz w:val="20"/>
              </w:rPr>
              <w:t> </w:t>
            </w:r>
            <w:r>
              <w:rPr>
                <w:rFonts w:ascii="Times New Roman;serif" w:hAnsi="Times New Roman;serif"/>
                <w:b w:val="false"/>
                <w:sz w:val="20"/>
              </w:rPr>
              <w:t>shares and</w:t>
              <w:br/>
              <w:t>   41,666,666</w:t>
            </w:r>
            <w:r>
              <w:rPr>
                <w:rFonts w:ascii="Times New Roman" w:hAnsi="Times New Roman"/>
                <w:sz w:val="20"/>
              </w:rPr>
              <w:t> </w:t>
            </w:r>
            <w:r>
              <w:rPr>
                <w:rFonts w:ascii="Times New Roman;serif" w:hAnsi="Times New Roman;serif"/>
                <w:b w:val="false"/>
                <w:sz w:val="20"/>
              </w:rPr>
              <w:t>shares issued and outstanding as of December 31, 2022 and 2021,</w:t>
              <w:br/>
              <w:t>   respectively; (liquidation preference of $0</w:t>
            </w:r>
            <w:r>
              <w:rPr>
                <w:rFonts w:ascii="Times New Roman" w:hAnsi="Times New Roman"/>
                <w:sz w:val="20"/>
              </w:rPr>
              <w:t> </w:t>
            </w:r>
            <w:r>
              <w:rPr>
                <w:rFonts w:ascii="Times New Roman;serif" w:hAnsi="Times New Roman;serif"/>
                <w:b w:val="false"/>
                <w:sz w:val="20"/>
              </w:rPr>
              <w:t>and $50,000</w:t>
            </w:r>
            <w:r>
              <w:rPr>
                <w:rFonts w:ascii="Times New Roman" w:hAnsi="Times New Roman"/>
                <w:sz w:val="20"/>
              </w:rPr>
              <w:t> </w:t>
            </w:r>
            <w:r>
              <w:rPr>
                <w:rFonts w:ascii="Times New Roman;serif" w:hAnsi="Times New Roman;serif"/>
                <w:b w:val="false"/>
                <w:sz w:val="20"/>
              </w:rPr>
              <w:t>as of December 31, 2022</w:t>
              <w:br/>
              <w:t>   and 2021, respectively)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49,762</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Series B convertible preferred stock, $0.0001</w:t>
            </w:r>
            <w:r>
              <w:rPr>
                <w:rFonts w:ascii="Times New Roman" w:hAnsi="Times New Roman"/>
                <w:sz w:val="20"/>
              </w:rPr>
              <w:t> </w:t>
            </w:r>
            <w:r>
              <w:rPr>
                <w:rFonts w:ascii="Times New Roman;serif" w:hAnsi="Times New Roman;serif"/>
                <w:b w:val="false"/>
                <w:sz w:val="20"/>
              </w:rPr>
              <w:t>par value; no</w:t>
            </w:r>
            <w:r>
              <w:rPr>
                <w:rFonts w:ascii="Times New Roman" w:hAnsi="Times New Roman"/>
                <w:sz w:val="20"/>
              </w:rPr>
              <w:t> </w:t>
            </w:r>
            <w:r>
              <w:rPr>
                <w:rFonts w:ascii="Times New Roman;serif" w:hAnsi="Times New Roman;serif"/>
                <w:b w:val="false"/>
                <w:sz w:val="20"/>
              </w:rPr>
              <w:t>shares and 37,499,999</w:t>
              <w:br/>
              <w:t>   shares authorized as of December 31, 2022 and 2021, respectively; no</w:t>
            </w:r>
            <w:r>
              <w:rPr>
                <w:rFonts w:ascii="Times New Roman" w:hAnsi="Times New Roman"/>
                <w:sz w:val="20"/>
              </w:rPr>
              <w:t> </w:t>
            </w:r>
            <w:r>
              <w:rPr>
                <w:rFonts w:ascii="Times New Roman;serif" w:hAnsi="Times New Roman;serif"/>
                <w:b w:val="false"/>
                <w:sz w:val="20"/>
              </w:rPr>
              <w:t>shares and</w:t>
              <w:br/>
              <w:t>   37,499,999</w:t>
            </w:r>
            <w:r>
              <w:rPr>
                <w:rFonts w:ascii="Times New Roman" w:hAnsi="Times New Roman"/>
                <w:sz w:val="20"/>
              </w:rPr>
              <w:t> </w:t>
            </w:r>
            <w:r>
              <w:rPr>
                <w:rFonts w:ascii="Times New Roman;serif" w:hAnsi="Times New Roman;serif"/>
                <w:b w:val="false"/>
                <w:sz w:val="20"/>
              </w:rPr>
              <w:t>shares issued and outstanding as of December 31, 2022 and 2021,</w:t>
              <w:br/>
              <w:t>   respectively; (liquidation preference of $0</w:t>
            </w:r>
            <w:r>
              <w:rPr>
                <w:rFonts w:ascii="Times New Roman" w:hAnsi="Times New Roman"/>
                <w:sz w:val="20"/>
              </w:rPr>
              <w:t> </w:t>
            </w:r>
            <w:r>
              <w:rPr>
                <w:rFonts w:ascii="Times New Roman;serif" w:hAnsi="Times New Roman;serif"/>
                <w:b w:val="false"/>
                <w:sz w:val="20"/>
              </w:rPr>
              <w:t>and $90,000</w:t>
            </w:r>
            <w:r>
              <w:rPr>
                <w:rFonts w:ascii="Times New Roman" w:hAnsi="Times New Roman"/>
                <w:sz w:val="20"/>
              </w:rPr>
              <w:t> </w:t>
            </w:r>
            <w:r>
              <w:rPr>
                <w:rFonts w:ascii="Times New Roman;serif" w:hAnsi="Times New Roman;serif"/>
                <w:b w:val="false"/>
                <w:sz w:val="20"/>
              </w:rPr>
              <w:t>as of December 31, 2022</w:t>
              <w:br/>
              <w:t>   and 2021, respectively)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89,744</w:t>
            </w:r>
          </w:p>
        </w:tc>
        <w:tc>
          <w:tcPr>
            <w:tcW w:w="591" w:type="dxa"/>
            <w:tcBorders/>
            <w:shd w:fill="auto" w:val="clear"/>
            <w:vAlign w:val="center"/>
          </w:tcPr>
          <w:p>
            <w:pPr>
              <w:pStyle w:val="TableContents"/>
              <w:spacing w:before="0" w:after="0"/>
              <w:ind w:left="0" w:right="0" w:hanging="0"/>
              <w:jc w:val="left"/>
              <w:rPr/>
            </w:pPr>
            <w:r>
              <w:rPr/>
              <w:t> </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 (deficit):</w:t>
            </w:r>
          </w:p>
        </w:tc>
        <w:tc>
          <w:tcPr>
            <w:tcW w:w="109" w:type="dxa"/>
            <w:tcBorders/>
            <w:shd w:fill="auto" w:val="clear"/>
            <w:vAlign w:val="center"/>
          </w:tcPr>
          <w:p>
            <w:pPr>
              <w:pStyle w:val="TableContents"/>
              <w:spacing w:before="0" w:after="0"/>
              <w:ind w:left="0" w:right="0" w:hanging="0"/>
              <w:jc w:val="right"/>
              <w:rPr/>
            </w:pPr>
            <w:r>
              <w:rPr/>
              <w:t>​</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and 108,108,833</w:t>
            </w:r>
            <w:r>
              <w:rPr>
                <w:rFonts w:ascii="Times New Roman" w:hAnsi="Times New Roman"/>
                <w:sz w:val="20"/>
              </w:rPr>
              <w:t> </w:t>
            </w:r>
            <w:r>
              <w:rPr>
                <w:rFonts w:ascii="Times New Roman;serif" w:hAnsi="Times New Roman;serif"/>
                <w:b w:val="false"/>
                <w:sz w:val="20"/>
              </w:rPr>
              <w:t>shares authorized</w:t>
              <w:br/>
              <w:t>   as of December 31, 2022 and 2021, respectively; 17,405,231</w:t>
            </w:r>
            <w:r>
              <w:rPr>
                <w:rFonts w:ascii="Times New Roman" w:hAnsi="Times New Roman"/>
                <w:sz w:val="20"/>
              </w:rPr>
              <w:t> </w:t>
            </w:r>
            <w:r>
              <w:rPr>
                <w:rFonts w:ascii="Times New Roman;serif" w:hAnsi="Times New Roman;serif"/>
                <w:b w:val="false"/>
                <w:sz w:val="20"/>
              </w:rPr>
              <w:t>and 919,588</w:t>
            </w:r>
            <w:r>
              <w:rPr>
                <w:rFonts w:ascii="Times New Roman" w:hAnsi="Times New Roman"/>
                <w:sz w:val="20"/>
              </w:rPr>
              <w:t> </w:t>
            </w:r>
            <w:r>
              <w:rPr>
                <w:rFonts w:ascii="Times New Roman;serif" w:hAnsi="Times New Roman;serif"/>
                <w:b w:val="false"/>
                <w:sz w:val="20"/>
              </w:rPr>
              <w:t>shares</w:t>
              <w:br/>
              <w:t>   issued December 31, 2022 and 2021, respectively; and 17,403,315</w:t>
            </w:r>
            <w:r>
              <w:rPr>
                <w:rFonts w:ascii="Times New Roman" w:hAnsi="Times New Roman"/>
                <w:sz w:val="20"/>
              </w:rPr>
              <w:t> </w:t>
            </w:r>
            <w:r>
              <w:rPr>
                <w:rFonts w:ascii="Times New Roman;serif" w:hAnsi="Times New Roman;serif"/>
                <w:b w:val="false"/>
                <w:sz w:val="20"/>
              </w:rPr>
              <w:t>and 909,418</w:t>
              <w:br/>
              <w:t>   shares outstanding as of December 31, 2022 and 2021, respectively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288,814</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1,186</w:t>
            </w:r>
          </w:p>
        </w:tc>
        <w:tc>
          <w:tcPr>
            <w:tcW w:w="591" w:type="dxa"/>
            <w:tcBorders/>
            <w:shd w:fill="auto" w:val="clear"/>
            <w:vAlign w:val="center"/>
          </w:tcPr>
          <w:p>
            <w:pPr>
              <w:pStyle w:val="TableContents"/>
              <w:spacing w:before="0" w:after="0"/>
              <w:ind w:left="0" w:right="0" w:firstLine="200"/>
              <w:jc w:val="left"/>
              <w:rPr/>
            </w:pPr>
            <w:r>
              <w:rPr/>
              <w:t> </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 (deficit)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176,600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(64,203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convertible preferred stock and stockholders’ equity (deficit)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200,205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92,411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108</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22" w:name="statements_of_operations_and_comp_loss"/>
      <w:bookmarkEnd w:id="22"/>
      <w:r>
        <w:rPr>
          <w:rFonts w:ascii="Times New Roman;serif" w:hAnsi="Times New Roman;serif"/>
          <w:b/>
          <w:sz w:val="20"/>
        </w:rPr>
        <w:t>CONSOLIDATED STATEMENTS OF OPERATIONS AND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spacing w:before="0" w:after="0"/>
        <w:jc w:val="center"/>
        <w:rPr/>
      </w:pPr>
      <w:r>
        <w:rPr/>
        <w:t> </w:t>
      </w:r>
    </w:p>
    <w:tbl>
      <w:tblPr>
        <w:tblW w:w="9145" w:type="dxa"/>
        <w:jc w:val="left"/>
        <w:tblInd w:w="0" w:type="dxa"/>
        <w:tblCellMar>
          <w:top w:w="28" w:type="dxa"/>
          <w:left w:w="28" w:type="dxa"/>
          <w:bottom w:w="28" w:type="dxa"/>
          <w:right w:w="28" w:type="dxa"/>
        </w:tblCellMar>
      </w:tblPr>
      <w:tblGrid>
        <w:gridCol w:w="6016"/>
        <w:gridCol w:w="109"/>
        <w:gridCol w:w="211"/>
        <w:gridCol w:w="931"/>
        <w:gridCol w:w="166"/>
        <w:gridCol w:w="109"/>
        <w:gridCol w:w="211"/>
        <w:gridCol w:w="781"/>
        <w:gridCol w:w="611"/>
      </w:tblGrid>
      <w:tr>
        <w:trPr/>
        <w:tc>
          <w:tcPr>
            <w:tcW w:w="6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40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33,437</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25,170</w:t>
            </w:r>
          </w:p>
        </w:tc>
        <w:tc>
          <w:tcPr>
            <w:tcW w:w="611" w:type="dxa"/>
            <w:tcBorders/>
            <w:shd w:fill="auto" w:val="clear"/>
            <w:vAlign w:val="center"/>
          </w:tcPr>
          <w:p>
            <w:pPr>
              <w:pStyle w:val="TableContents"/>
              <w:spacing w:before="0" w:after="0"/>
              <w:ind w:left="0" w:right="0" w:firstLine="200"/>
              <w:jc w:val="lef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30,933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(30,933</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99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1" w:type="dxa"/>
            <w:tcBorders/>
            <w:shd w:fill="auto" w:val="clear"/>
            <w:vAlign w:val="center"/>
          </w:tcPr>
          <w:p>
            <w:pPr>
              <w:pStyle w:val="TableContents"/>
              <w:spacing w:before="0" w:after="0"/>
              <w:ind w:left="0" w:right="0" w:firstLine="200"/>
              <w:jc w:val="lef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(35,969</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(35,969</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1,039,490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878,407</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DISC MEDICINE, INC.</w:t>
      </w:r>
    </w:p>
    <w:p>
      <w:pPr>
        <w:pStyle w:val="TextBody"/>
        <w:spacing w:before="0" w:after="0"/>
        <w:jc w:val="center"/>
        <w:rPr>
          <w:rFonts w:ascii="Times New Roman;serif" w:hAnsi="Times New Roman;serif"/>
          <w:b/>
          <w:sz w:val="20"/>
        </w:rPr>
      </w:pPr>
      <w:bookmarkStart w:id="23" w:name="consolidated_stockholdersequity"/>
      <w:bookmarkEnd w:id="23"/>
      <w:r>
        <w:rPr>
          <w:rFonts w:ascii="Times New Roman;serif" w:hAnsi="Times New Roman;serif"/>
          <w:b/>
          <w:sz w:val="20"/>
        </w:rPr>
        <w:t>CONSOLIDATED STATEMENTS OF CONVERTIBLE PREFERRED STOCK</w:t>
      </w:r>
    </w:p>
    <w:p>
      <w:pPr>
        <w:pStyle w:val="TextBody"/>
        <w:spacing w:before="0" w:after="0"/>
        <w:jc w:val="center"/>
        <w:rPr>
          <w:rFonts w:ascii="Times New Roman;serif" w:hAnsi="Times New Roman;serif"/>
          <w:b/>
          <w:sz w:val="20"/>
        </w:rPr>
      </w:pPr>
      <w:r>
        <w:rPr>
          <w:rFonts w:ascii="Times New Roman;serif" w:hAnsi="Times New Roman;serif"/>
          <w:b/>
          <w:sz w:val="20"/>
        </w:rPr>
        <w:t>AND STOCKHOLDERS’ EQUITY (DEFICIT)</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spacing w:before="0" w:after="0"/>
        <w:jc w:val="center"/>
        <w:rPr/>
      </w:pPr>
      <w:r>
        <w:rPr/>
        <w:t> </w:t>
      </w:r>
    </w:p>
    <w:tbl>
      <w:tblPr>
        <w:tblW w:w="12208" w:type="dxa"/>
        <w:jc w:val="left"/>
        <w:tblInd w:w="0" w:type="dxa"/>
        <w:tblCellMar>
          <w:top w:w="28" w:type="dxa"/>
          <w:left w:w="28" w:type="dxa"/>
          <w:bottom w:w="28" w:type="dxa"/>
          <w:right w:w="28" w:type="dxa"/>
        </w:tblCellMar>
      </w:tblPr>
      <w:tblGrid>
        <w:gridCol w:w="886"/>
        <w:gridCol w:w="146"/>
        <w:gridCol w:w="146"/>
        <w:gridCol w:w="631"/>
        <w:gridCol w:w="151"/>
        <w:gridCol w:w="146"/>
        <w:gridCol w:w="166"/>
        <w:gridCol w:w="421"/>
        <w:gridCol w:w="151"/>
        <w:gridCol w:w="146"/>
        <w:gridCol w:w="146"/>
        <w:gridCol w:w="691"/>
        <w:gridCol w:w="151"/>
        <w:gridCol w:w="146"/>
        <w:gridCol w:w="166"/>
        <w:gridCol w:w="481"/>
        <w:gridCol w:w="151"/>
        <w:gridCol w:w="146"/>
        <w:gridCol w:w="146"/>
        <w:gridCol w:w="691"/>
        <w:gridCol w:w="151"/>
        <w:gridCol w:w="146"/>
        <w:gridCol w:w="166"/>
        <w:gridCol w:w="481"/>
        <w:gridCol w:w="151"/>
        <w:gridCol w:w="146"/>
        <w:gridCol w:w="146"/>
        <w:gridCol w:w="146"/>
        <w:gridCol w:w="646"/>
        <w:gridCol w:w="146"/>
        <w:gridCol w:w="146"/>
        <w:gridCol w:w="170"/>
        <w:gridCol w:w="356"/>
        <w:gridCol w:w="146"/>
        <w:gridCol w:w="146"/>
        <w:gridCol w:w="166"/>
        <w:gridCol w:w="496"/>
        <w:gridCol w:w="151"/>
        <w:gridCol w:w="146"/>
        <w:gridCol w:w="186"/>
        <w:gridCol w:w="610"/>
        <w:gridCol w:w="151"/>
        <w:gridCol w:w="146"/>
        <w:gridCol w:w="192"/>
        <w:gridCol w:w="574"/>
        <w:gridCol w:w="196"/>
      </w:tblGrid>
      <w:tr>
        <w:trPr/>
        <w:tc>
          <w:tcPr>
            <w:tcW w:w="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5817"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Convertible 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52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796"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766" w:type="dxa"/>
            <w:gridSpan w:val="2"/>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r>
      <w:tr>
        <w:trPr/>
        <w:tc>
          <w:tcPr>
            <w:tcW w:w="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Series Seed</w:t>
              <w:br/>
              <w:t>$0.0001 Par</w:t>
              <w:br/>
              <w:t>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Series A</w:t>
              <w:br/>
              <w:t>$0.0001 Par</w:t>
              <w:br/>
              <w:t>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Series B</w:t>
              <w:br/>
              <w:t>$0.0001 Par</w:t>
              <w:br/>
              <w:t>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1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Common Stock</w:t>
              <w:br/>
              <w:t>$0.0001 Par</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6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Additional </w:t>
              <w:br/>
              <w:t>Paid-In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76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Total</w:t>
              <w:br/>
              <w:t>Stockholders’</w:t>
            </w:r>
          </w:p>
        </w:tc>
        <w:tc>
          <w:tcPr>
            <w:tcW w:w="196" w:type="dxa"/>
            <w:tcBorders/>
            <w:shd w:fill="auto" w:val="clear"/>
            <w:vAlign w:val="center"/>
          </w:tcPr>
          <w:p>
            <w:pPr>
              <w:pStyle w:val="TableContents"/>
              <w:spacing w:before="0" w:after="0"/>
              <w:ind w:left="0" w:right="0" w:hanging="0"/>
              <w:jc w:val="center"/>
              <w:rPr/>
            </w:pPr>
            <w:r>
              <w:rPr/>
              <w:t> </w:t>
            </w:r>
          </w:p>
        </w:tc>
      </w:tr>
      <w:tr>
        <w:trPr/>
        <w:tc>
          <w:tcPr>
            <w:tcW w:w="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Equity (Deficit)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at December 31, 2020</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5,000,000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2,350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41,666,666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49,762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843,587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(29,420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(28,809</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Series B</w:t>
              <w:br/>
              <w:t>   convertible preferred</w:t>
              <w:br/>
              <w:t>   stock, net of issuance</w:t>
              <w:br/>
              <w:t>   costs of $256</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37,499,999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89,744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w:t>
              <w:br/>
              <w:t>   upon exercise of stock</w:t>
              <w:br/>
              <w:t>   options</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51,061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Vesting of restricted</w:t>
              <w:br/>
              <w:t>   common stock</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Stock-based compensation</w:t>
              <w:br/>
              <w:t>   expense</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507</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(35,969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(35,969</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at December 31, 2021</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5,000,000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2,350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41,666,666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49,762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37,499,999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89,744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909,418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(65,389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(64,203</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w:t>
              <w:br/>
              <w:t>   upon exercise of stock</w:t>
              <w:br/>
              <w:t>   options</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Vesting of restricted</w:t>
              <w:br/>
              <w:t>   common stock</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Stock-based compensation</w:t>
              <w:br/>
              <w:t>   expense</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2,089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2,089</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w:t>
              <w:br/>
              <w:t>   for cash in pre-closing</w:t>
              <w:br/>
              <w:t>   financing</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2,336,092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53,500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53,500</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Conversion of preferred</w:t>
              <w:br/>
              <w:t>   stock to common stock</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(5,000,000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(2,350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(41,666,666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(49,762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(37,499,999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(89,744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9,224,653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141,855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141,856</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w:t>
              <w:br/>
              <w:t>   to Gemini shareholders</w:t>
              <w:br/>
              <w:t>   in reverse recapitalization</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4,389,361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91,390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91,391</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Reverse recapitalization</w:t>
              <w:br/>
              <w:t>   transaction costs</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(7,936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(7,936</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w:t>
              <w:br/>
              <w:t>    to Roche</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6,511</w:t>
            </w:r>
          </w:p>
        </w:tc>
        <w:tc>
          <w:tcPr>
            <w:tcW w:w="196"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(46,827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(46,827</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Balance at December 31, 2022</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17,403,315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288,814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(112,216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176,600</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110</w:t>
      </w:r>
    </w:p>
    <w:p>
      <w:pPr>
        <w:pStyle w:val="HorizontalLine"/>
        <w:rPr/>
      </w:pPr>
      <w:r>
        <w:rPr/>
      </w:r>
    </w:p>
    <w:p>
      <w:pPr>
        <w:pStyle w:val="TextBody"/>
        <w:spacing w:before="240" w:after="0"/>
        <w:jc w:val="center"/>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24" w:name="consolidated_statements_of_cash_flows"/>
      <w:bookmarkEnd w:id="24"/>
      <w:r>
        <w:rPr>
          <w:rFonts w:ascii="Times New Roman;serif" w:hAnsi="Times New Roman;serif"/>
          <w:b/>
          <w:sz w:val="20"/>
        </w:rPr>
        <w:t>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797"/>
        <w:gridCol w:w="146"/>
        <w:gridCol w:w="211"/>
        <w:gridCol w:w="781"/>
        <w:gridCol w:w="166"/>
        <w:gridCol w:w="146"/>
        <w:gridCol w:w="211"/>
        <w:gridCol w:w="736"/>
        <w:gridCol w:w="1011"/>
      </w:tblGrid>
      <w:tr>
        <w:trPr/>
        <w:tc>
          <w:tcPr>
            <w:tcW w:w="67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79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w:t>
              <w:br/>
              <w:t>December 31,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(35,969</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operations: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011" w:type="dxa"/>
            <w:tcBorders/>
            <w:shd w:fill="auto" w:val="cle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w:t>
            </w:r>
          </w:p>
        </w:tc>
        <w:tc>
          <w:tcPr>
            <w:tcW w:w="1011" w:type="dxa"/>
            <w:tcBorders/>
            <w:shd w:fill="auto" w:val="cle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5,050</w:t>
            </w:r>
          </w:p>
        </w:tc>
        <w:tc>
          <w:tcPr>
            <w:tcW w:w="1011" w:type="dxa"/>
            <w:tcBorders/>
            <w:shd w:fill="auto" w:val="cle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license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011" w:type="dxa"/>
            <w:tcBorders/>
            <w:shd w:fill="auto" w:val="cle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011" w:type="dxa"/>
            <w:tcBorders/>
            <w:shd w:fill="auto" w:val="cle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600"/>
              <w:jc w:val="right"/>
              <w:rPr/>
            </w:pPr>
            <w:r>
              <w:rPr/>
              <w:t> </w:t>
            </w:r>
          </w:p>
        </w:tc>
      </w:tr>
      <w:tr>
        <w:trPr/>
        <w:tc>
          <w:tcPr>
            <w:tcW w:w="679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w:t>
            </w:r>
          </w:p>
        </w:tc>
        <w:tc>
          <w:tcPr>
            <w:tcW w:w="1011" w:type="dxa"/>
            <w:tcBorders/>
            <w:shd w:fill="auto" w:val="clear"/>
            <w:vAlign w:val="center"/>
          </w:tcPr>
          <w:p>
            <w:pPr>
              <w:pStyle w:val="TableContents"/>
              <w:spacing w:before="0" w:after="0"/>
              <w:ind w:left="0" w:right="0" w:firstLine="600"/>
              <w:jc w:val="left"/>
              <w:rPr/>
            </w:pPr>
            <w:r>
              <w:rPr/>
              <w:t> </w:t>
            </w:r>
          </w:p>
        </w:tc>
      </w:tr>
      <w:tr>
        <w:trPr/>
        <w:tc>
          <w:tcPr>
            <w:tcW w:w="679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1011" w:type="dxa"/>
            <w:tcBorders/>
            <w:shd w:fill="auto" w:val="clear"/>
            <w:vAlign w:val="center"/>
          </w:tcPr>
          <w:p>
            <w:pPr>
              <w:pStyle w:val="TableContents"/>
              <w:spacing w:before="0" w:after="0"/>
              <w:ind w:left="0" w:right="0" w:firstLine="600"/>
              <w:jc w:val="left"/>
              <w:rPr/>
            </w:pPr>
            <w:r>
              <w:rPr/>
              <w:t> </w:t>
            </w:r>
          </w:p>
        </w:tc>
      </w:tr>
      <w:tr>
        <w:trPr/>
        <w:tc>
          <w:tcPr>
            <w:tcW w:w="679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(27,534</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issuance of common stock in pre-closing financing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acquired in connection with the reverse recapitalization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reverse recapitalization transaction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convertible preferred stock, net of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89,861</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stock option exercises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79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89,929</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106,575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62,327</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88,213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25,886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194,788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88,213</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hanging="0"/>
              <w:jc w:val="left"/>
              <w:rPr/>
            </w:pPr>
            <w:r>
              <w:rPr/>
              <w:t> </w:t>
            </w:r>
          </w:p>
        </w:tc>
      </w:tr>
      <w:tr>
        <w:trPr/>
        <w:tc>
          <w:tcPr>
            <w:tcW w:w="67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 accrued</w:t>
              <w:br/>
              <w: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1,670</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right-of-use assets related to lease modification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operating lease liabilities due to lease modification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issuance costs on Series B convertible preferred stock in accounts payable</w:t>
              <w:br/>
              <w:t>   and accruals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offering costs included in accounts payable and accruals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c>
          <w:tcPr>
            <w:tcW w:w="1011" w:type="dxa"/>
            <w:tcBorders/>
            <w:shd w:fill="auto" w:val="clear"/>
            <w:vAlign w:val="center"/>
          </w:tcPr>
          <w:p>
            <w:pPr>
              <w:pStyle w:val="TableContents"/>
              <w:spacing w:before="0" w:after="0"/>
              <w:ind w:left="0" w:right="0" w:firstLine="200"/>
              <w:jc w:val="left"/>
              <w:rPr/>
            </w:pPr>
            <w:r>
              <w:rPr/>
              <w:t> </w:t>
            </w:r>
          </w:p>
        </w:tc>
      </w:tr>
      <w:tr>
        <w:trPr/>
        <w:tc>
          <w:tcPr>
            <w:tcW w:w="67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Settlement of derivative liability upon issuance of common stock to Roche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DISC MEDICINE, INC.</w:t>
      </w:r>
    </w:p>
    <w:p>
      <w:pPr>
        <w:pStyle w:val="TextBody"/>
        <w:spacing w:before="0" w:after="0"/>
        <w:jc w:val="center"/>
        <w:rPr>
          <w:rFonts w:ascii="Times New Roman;serif" w:hAnsi="Times New Roman;serif"/>
          <w:b/>
          <w:sz w:val="20"/>
        </w:rPr>
      </w:pPr>
      <w:bookmarkStart w:id="25" w:name="notes_to_cons_financial_statements"/>
      <w:bookmarkEnd w:id="25"/>
      <w:r>
        <w:rPr>
          <w:rFonts w:ascii="Times New Roman;serif" w:hAnsi="Times New Roman;serif"/>
          <w:b/>
          <w:sz w:val="20"/>
        </w:rPr>
        <w:t>NOTES TO CONSOLIDATED FINANCIAL STATEMENTS</w:t>
      </w:r>
    </w:p>
    <w:p>
      <w:pPr>
        <w:pStyle w:val="TextBody"/>
        <w:spacing w:before="240" w:after="0"/>
        <w:jc w:val="left"/>
        <w:rPr>
          <w:rFonts w:ascii="Times New Roman" w:hAnsi="Times New Roman"/>
          <w:sz w:val="20"/>
        </w:rPr>
      </w:pPr>
      <w:r>
        <w:rPr>
          <w:rFonts w:ascii="Times New Roman;serif" w:hAnsi="Times New Roman;serif"/>
          <w:b/>
          <w:sz w:val="20"/>
        </w:rPr>
        <w:t>1. Organization and Nature of the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MWTX-003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pStyle w:val="TextBody"/>
        <w:spacing w:before="120" w:after="0"/>
        <w:jc w:val="left"/>
        <w:rPr>
          <w:rFonts w:ascii="Times New Roman" w:hAnsi="Times New Roman"/>
          <w:sz w:val="20"/>
        </w:rPr>
      </w:pPr>
      <w:r>
        <w:rPr>
          <w:rFonts w:ascii="Times New Roman;serif" w:hAnsi="Times New Roman;serif"/>
          <w:b w:val="false"/>
          <w:sz w:val="20"/>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the COVID-19 pandemic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Reverse Merger with Gemini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pStyle w:val="TextBody"/>
        <w:spacing w:before="240" w:after="0"/>
        <w:jc w:val="left"/>
        <w:rPr>
          <w:rFonts w:ascii="Times New Roman" w:hAnsi="Times New Roman"/>
          <w:sz w:val="20"/>
        </w:rPr>
      </w:pPr>
      <w:r>
        <w:rPr>
          <w:rFonts w:ascii="Times New Roman;serif" w:hAnsi="Times New Roman;serif"/>
          <w:b w:val="false"/>
          <w:sz w:val="20"/>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w:t>
      </w:r>
      <w:r>
        <w:rPr>
          <w:rFonts w:ascii="Times New Roman" w:hAnsi="Times New Roman"/>
          <w:sz w:val="20"/>
        </w:rPr>
        <w:t xml:space="preserve"> </w:t>
      </w:r>
      <w:r>
        <w:rPr>
          <w:rFonts w:ascii="Times New Roman;serif" w:hAnsi="Times New Roman;serif"/>
          <w:b w:val="false"/>
          <w:sz w:val="20"/>
        </w:rPr>
        <w:t>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during the period that is one year after the closing of the merger, calculated in accordance with the CVR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112</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In connection with the Merger Agreement, certain third parties entered into a subscription agreement with Private Disc to purchase shares of Private Disc's common stock for an aggregate purchase price of $53.5</w:t>
      </w:r>
      <w:r>
        <w:rPr>
          <w:rFonts w:ascii="Times New Roman" w:hAnsi="Times New Roman"/>
          <w:sz w:val="20"/>
        </w:rPr>
        <w:t xml:space="preserve"> </w:t>
      </w:r>
      <w:r>
        <w:rPr>
          <w:rFonts w:ascii="Times New Roman;serif" w:hAnsi="Times New Roman;serif"/>
          <w:b w:val="false"/>
          <w:sz w:val="20"/>
        </w:rPr>
        <w:t>million (the “pre-closing financing”). Shares of Private Disc's common stock issued pursuant to the pre-closing financing were converted into shares of the Company's common stock based on the Exchange Ratio.</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pStyle w:val="TextBody"/>
        <w:spacing w:before="240" w:after="0"/>
        <w:jc w:val="left"/>
        <w:rPr>
          <w:rFonts w:ascii="Times New Roman" w:hAnsi="Times New Roman"/>
          <w:sz w:val="20"/>
        </w:rPr>
      </w:pPr>
      <w:r>
        <w:rPr>
          <w:rFonts w:ascii="Times New Roman;serif" w:hAnsi="Times New Roman;serif"/>
          <w:b w:val="false"/>
          <w:sz w:val="20"/>
        </w:rPr>
        <w:t>Pursuant to the terms of the Roche Agreement (see Note 8), immediately following the Effective Time, the Company issued 482,313</w:t>
      </w:r>
      <w:r>
        <w:rPr>
          <w:rFonts w:ascii="Times New Roman" w:hAnsi="Times New Roman"/>
          <w:sz w:val="20"/>
        </w:rPr>
        <w:t xml:space="preserve"> </w:t>
      </w:r>
      <w:r>
        <w:rPr>
          <w:rFonts w:ascii="Times New Roman;serif" w:hAnsi="Times New Roman;serif"/>
          <w:b w:val="false"/>
          <w:sz w:val="20"/>
        </w:rPr>
        <w:t>shares of the combined company to Roche for no consideration.</w:t>
      </w:r>
    </w:p>
    <w:p>
      <w:pPr>
        <w:pStyle w:val="TextBody"/>
        <w:spacing w:before="360" w:after="120"/>
        <w:jc w:val="left"/>
        <w:rPr>
          <w:rFonts w:ascii="Times New Roman;serif" w:hAnsi="Times New Roman;serif"/>
          <w:b/>
          <w:i/>
          <w:sz w:val="20"/>
        </w:rPr>
      </w:pPr>
      <w:r>
        <w:rPr>
          <w:rFonts w:ascii="Times New Roman;serif" w:hAnsi="Times New Roman;serif"/>
          <w:b/>
          <w:i/>
          <w:sz w:val="20"/>
        </w:rPr>
        <w:t>Reverse Stock Split and Exchange Ratio</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pStyle w:val="TextBody"/>
        <w:spacing w:before="240" w:after="0"/>
        <w:jc w:val="left"/>
        <w:rPr>
          <w:rFonts w:ascii="Times New Roman" w:hAnsi="Times New Roman"/>
          <w:sz w:val="20"/>
        </w:rPr>
      </w:pPr>
      <w:r>
        <w:rPr>
          <w:rFonts w:ascii="Times New Roman;serif" w:hAnsi="Times New Roman;serif"/>
          <w:b w:val="false"/>
          <w:sz w:val="20"/>
        </w:rPr>
        <w:t>All issued and outstanding Private Disc common stock, convertible preferred stock and options prior to the effective date of the merger have been retroactively adjusted to reflect the 0.1096</w:t>
      </w:r>
      <w:r>
        <w:rPr>
          <w:rFonts w:ascii="Times New Roman" w:hAnsi="Times New Roman"/>
          <w:sz w:val="20"/>
        </w:rPr>
        <w:t xml:space="preserve"> </w:t>
      </w:r>
      <w:r>
        <w:rPr>
          <w:rFonts w:ascii="Times New Roman;serif" w:hAnsi="Times New Roman;serif"/>
          <w:b w:val="false"/>
          <w:sz w:val="20"/>
        </w:rPr>
        <w:t>Exchange Ratio, which reflects the impact of the reverse stock split, for all periods presented.</w:t>
      </w:r>
    </w:p>
    <w:p>
      <w:pPr>
        <w:pStyle w:val="TextBody"/>
        <w:spacing w:before="240" w:after="0"/>
        <w:jc w:val="left"/>
        <w:rPr>
          <w:rFonts w:ascii="Times New Roman" w:hAnsi="Times New Roman"/>
          <w:sz w:val="20"/>
        </w:rPr>
      </w:pPr>
      <w:r>
        <w:rPr>
          <w:rFonts w:ascii="Times New Roman;serif" w:hAnsi="Times New Roman;serif"/>
          <w:b/>
          <w:i/>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consolidated financial statements have been prepared on the basis of the Company continuing as a going concern. The Company expects that its existing cash and cash equivalents as of December 31, 2022 of $194.6</w:t>
      </w:r>
      <w:r>
        <w:rPr>
          <w:rFonts w:ascii="Times New Roman" w:hAnsi="Times New Roman"/>
          <w:sz w:val="20"/>
        </w:rPr>
        <w:t xml:space="preserve"> </w:t>
      </w:r>
      <w:r>
        <w:rPr>
          <w:rFonts w:ascii="Times New Roman;serif" w:hAnsi="Times New Roman;serif"/>
          <w:b w:val="false"/>
          <w:sz w:val="20"/>
        </w:rPr>
        <w:t>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2022, the Company had an accumulated deficit of $112.2</w:t>
      </w:r>
      <w:r>
        <w:rPr>
          <w:rFonts w:ascii="Times New Roman" w:hAnsi="Times New Roman"/>
          <w:sz w:val="20"/>
        </w:rPr>
        <w:t xml:space="preserve"> </w:t>
      </w:r>
      <w:r>
        <w:rPr>
          <w:rFonts w:ascii="Times New Roman;serif" w:hAnsi="Times New Roman;serif"/>
          <w:b w:val="false"/>
          <w:sz w:val="20"/>
        </w:rPr>
        <w:t>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pStyle w:val="TextBody"/>
        <w:spacing w:before="24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Basis of Presentation and Principles of Consolidation</w:t>
      </w:r>
    </w:p>
    <w:p>
      <w:pPr>
        <w:pStyle w:val="TextBody"/>
        <w:spacing w:before="120" w:after="0"/>
        <w:jc w:val="left"/>
        <w:rPr>
          <w:rFonts w:ascii="Times New Roman" w:hAnsi="Times New Roman"/>
          <w:sz w:val="20"/>
        </w:rPr>
      </w:pPr>
      <w:r>
        <w:rPr>
          <w:rFonts w:ascii="Times New Roman;serif" w:hAnsi="Times New Roman;serif"/>
          <w:b w:val="false"/>
          <w:sz w:val="20"/>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accompanying consolidated financial statements include the accounts of the Company and its wholly-owned subsidiaries. All intercompany transactions and balances have been eliminated in consolidation.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and assumptions reflected in these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8); the fair value of Gemini’s development programs underlying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Segment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manages its operations as a single</w:t>
      </w:r>
      <w:r>
        <w:rPr>
          <w:rFonts w:ascii="Times New Roman" w:hAnsi="Times New Roman"/>
          <w:sz w:val="20"/>
        </w:rPr>
        <w:t xml:space="preserve"> </w:t>
      </w:r>
      <w:r>
        <w:rPr>
          <w:rFonts w:ascii="Times New Roman;serif" w:hAnsi="Times New Roman;serif"/>
          <w:b w:val="false"/>
          <w:sz w:val="20"/>
        </w:rPr>
        <w:t>operating segment for the purposes of assessing performance and making operating decisions, resulting in a single reportable segment. The Company has assembled a portfolio of clinical and preclinical product candidates that aim to modify fundamental biological pathways associated with the formation and function of red blood cells, specifically heme biosynthesis and iron homeostasis.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Concentration of Credit Risk and of Significant Suppliers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Financial instruments that potentially subject the Company to significant concentrations of credit risk consist primarily of cash and cash equivalents. The Company maintains deposits in a federally insured financial institution in excess of federally insured limits and limits its exposure to cash risk by placing its cash with a high credit quality accredited financial institution. The Company has concluded that it is not subject to unusual credit risk beyond the normal credit risk associated with commercial banking relationships.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Cash and Cash Equivalents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considers all highly liquid investments with original maturities of three months or less at the date of purchase to be cash equivalents. Cash and cash equivalents include cash in readily available checking and money market accounts. Cash equivalents are reflected at fair value based on quoted market prices as further described in Note 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Restricted Cash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maintained letters of credit for the benefit of its landlords related to its leased office space in Cambridge, Massachusetts and Watertown, Massachusetts. The Company was required to maintain separate cash balances to secure its letters of credit.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Due to the lease termination in September 2021, the letter of credit related to the leased office space in Cambridge, Massachusetts is classified within prepaid expenses and other current assets as of December 31, 2022 (see Note 15).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Deferred Transaction Costs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pStyle w:val="TextBody"/>
        <w:spacing w:before="240" w:after="0"/>
        <w:jc w:val="left"/>
        <w:rPr>
          <w:rFonts w:ascii="Times New Roman" w:hAnsi="Times New Roman"/>
          <w:sz w:val="20"/>
        </w:rPr>
      </w:pPr>
      <w:r>
        <w:rPr>
          <w:rFonts w:ascii="Times New Roman;serif" w:hAnsi="Times New Roman;serif"/>
          <w:b w:val="false"/>
          <w:sz w:val="20"/>
        </w:rPr>
        <w:t>As of December 31, 2021, Private Disc had capitalized deferred transaction costs of $1.7</w:t>
      </w:r>
      <w:r>
        <w:rPr>
          <w:rFonts w:ascii="Times New Roman" w:hAnsi="Times New Roman"/>
          <w:sz w:val="20"/>
        </w:rPr>
        <w:t xml:space="preserve"> </w:t>
      </w:r>
      <w:r>
        <w:rPr>
          <w:rFonts w:ascii="Times New Roman;serif" w:hAnsi="Times New Roman;serif"/>
          <w:b w:val="false"/>
          <w:sz w:val="20"/>
        </w:rPr>
        <w:t>million related to a planned equity financing. During</w:t>
      </w:r>
      <w:r>
        <w:rPr>
          <w:rFonts w:ascii="Times New Roman" w:hAnsi="Times New Roman"/>
          <w:sz w:val="20"/>
        </w:rPr>
        <w:t xml:space="preserve"> </w:t>
      </w:r>
      <w:r>
        <w:rPr>
          <w:rFonts w:ascii="Times New Roman;serif" w:hAnsi="Times New Roman;serif"/>
          <w:b w:val="false"/>
          <w:sz w:val="20"/>
        </w:rPr>
        <w:t>2022, Private Disc</w:t>
      </w:r>
      <w:r>
        <w:rPr>
          <w:rFonts w:ascii="Times New Roman" w:hAnsi="Times New Roman"/>
          <w:sz w:val="20"/>
        </w:rPr>
        <w:t xml:space="preserve"> </w:t>
      </w:r>
      <w:r>
        <w:rPr>
          <w:rFonts w:ascii="Times New Roman;serif" w:hAnsi="Times New Roman;serif"/>
          <w:b w:val="false"/>
          <w:sz w:val="20"/>
        </w:rPr>
        <w:t>concluded not to proceed with the planned equity financing and expensed the related deferred transaction costs of $2.2</w:t>
      </w:r>
      <w:r>
        <w:rPr>
          <w:rFonts w:ascii="Times New Roman" w:hAnsi="Times New Roman"/>
          <w:sz w:val="20"/>
        </w:rPr>
        <w:t xml:space="preserve"> </w:t>
      </w:r>
      <w:r>
        <w:rPr>
          <w:rFonts w:ascii="Times New Roman;serif" w:hAnsi="Times New Roman;serif"/>
          <w:b w:val="false"/>
          <w:sz w:val="20"/>
        </w:rPr>
        <w:t>million to general and administrative expenses. During 2022, the Company capitalized deferred transaction costs related to the merger of $7.9</w:t>
      </w:r>
      <w:r>
        <w:rPr>
          <w:rFonts w:ascii="Times New Roman" w:hAnsi="Times New Roman"/>
          <w:sz w:val="20"/>
        </w:rPr>
        <w:t xml:space="preserve"> </w:t>
      </w:r>
      <w:r>
        <w:rPr>
          <w:rFonts w:ascii="Times New Roman;serif" w:hAnsi="Times New Roman;serif"/>
          <w:b w:val="false"/>
          <w:sz w:val="20"/>
        </w:rPr>
        <w:t>million. At the Effective Time, the Company reclassified the capitalized deferred transaction costs to reduce additional paid-in capital generated as a result of the merger.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114</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Fair Value Measurements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1—Quoted prices (unadjusted) in active markets for identical assets or liabilities;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2—Inputs other than quoted prices included within Level 1 that are either directly or indirectly observable;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Level 3—Unobservable inputs in which little or no market activity exists, therefore requiring an entity to develop its own assumptions about the assumptions that market participants would use in pricing. </w:t>
      </w:r>
    </w:p>
    <w:p>
      <w:pPr>
        <w:pStyle w:val="TextBody"/>
        <w:spacing w:before="120" w:after="0"/>
        <w:jc w:val="left"/>
        <w:rPr>
          <w:rFonts w:ascii="Times New Roman" w:hAnsi="Times New Roman"/>
          <w:sz w:val="20"/>
        </w:rPr>
      </w:pPr>
      <w:r>
        <w:rPr>
          <w:rFonts w:ascii="Times New Roman;serif" w:hAnsi="Times New Roman;serif"/>
          <w:b w:val="false"/>
          <w:sz w:val="20"/>
        </w:rPr>
        <w:t>The fair value of the Company’s cash equivalents are determined according to the fair value hierarchy described above (see Note 4). The carrying values of the Company’s prepaid expenses and other current assets, accounts payable and accrued expenses approximate their fair values due to the short-term nature of these assets and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Property and Equipment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are stated at cost, less accumulated depreciation. Depreciation is calculated using the straight-line method over the estimated useful lives of the assets.</w:t>
      </w:r>
    </w:p>
    <w:p>
      <w:pPr>
        <w:pStyle w:val="TextBody"/>
        <w:spacing w:before="0" w:after="0"/>
        <w:jc w:val="both"/>
        <w:rPr/>
      </w:pPr>
      <w:r>
        <w:rPr/>
        <w:t> </w:t>
      </w:r>
    </w:p>
    <w:tbl>
      <w:tblPr>
        <w:tblW w:w="3823" w:type="dxa"/>
        <w:jc w:val="left"/>
        <w:tblInd w:w="0" w:type="dxa"/>
        <w:tblCellMar>
          <w:top w:w="28" w:type="dxa"/>
          <w:left w:w="28" w:type="dxa"/>
          <w:bottom w:w="28" w:type="dxa"/>
          <w:right w:w="28" w:type="dxa"/>
        </w:tblCellMar>
      </w:tblPr>
      <w:tblGrid>
        <w:gridCol w:w="1876"/>
        <w:gridCol w:w="146"/>
        <w:gridCol w:w="1801"/>
      </w:tblGrid>
      <w:tr>
        <w:trPr/>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 USEFUL</w:t>
              <w:br/>
              <w:t>LIFE</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180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w:t>
            </w:r>
            <w:r>
              <w:rPr>
                <w:rFonts w:ascii="Times New Roman" w:hAnsi="Times New Roman"/>
                <w:sz w:val="20"/>
              </w:rPr>
              <w:t> </w:t>
            </w:r>
            <w:r>
              <w:rPr>
                <w:rFonts w:ascii="Times New Roman;serif" w:hAnsi="Times New Roman;serif"/>
                <w:b w:val="false"/>
                <w:sz w:val="20"/>
              </w:rPr>
              <w:t>years</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180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3.0</w:t>
            </w:r>
            <w:r>
              <w:rPr>
                <w:rFonts w:ascii="Times New Roman" w:hAnsi="Times New Roman"/>
                <w:sz w:val="20"/>
              </w:rPr>
              <w:t> </w:t>
            </w:r>
            <w:r>
              <w:rPr>
                <w:rFonts w:ascii="Times New Roman;serif" w:hAnsi="Times New Roman;serif"/>
                <w:b w:val="false"/>
                <w:sz w:val="20"/>
              </w:rPr>
              <w:t>years</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pStyle w:val="TextBody"/>
        <w:spacing w:before="120" w:after="0"/>
        <w:jc w:val="left"/>
        <w:rPr>
          <w:rFonts w:ascii="Times New Roman" w:hAnsi="Times New Roman"/>
          <w:sz w:val="20"/>
        </w:rPr>
      </w:pPr>
      <w:r>
        <w:rPr>
          <w:rFonts w:ascii="Times New Roman;serif" w:hAnsi="Times New Roman;serif"/>
          <w:b w:val="false"/>
          <w:sz w:val="20"/>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 w:hAnsi="Times New Roman"/>
          <w:sz w:val="20"/>
        </w:rPr>
      </w:pPr>
      <w:r>
        <w:rPr>
          <w:rFonts w:ascii="Times New Roman;serif" w:hAnsi="Times New Roman;serif"/>
          <w:b/>
          <w:i/>
          <w:sz w:val="20"/>
        </w:rPr>
        <w:t>Impairment of Long-lived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required under the applicable accounting guidance, the Company periodically reevaluates the original assumptions and rationale used in the establishment of the carrying value and estimated lives of all of its long-lived assets, including property and equipment. 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w:t>
      </w:r>
      <w:r>
        <w:rPr>
          <w:rFonts w:ascii="Times New Roman" w:hAnsi="Times New Roman"/>
          <w:sz w:val="20"/>
        </w:rPr>
        <w:t xml:space="preserve"> </w:t>
      </w:r>
      <w:r>
        <w:rPr>
          <w:rFonts w:ascii="Times New Roman;serif" w:hAnsi="Times New Roman;serif"/>
          <w:b w:val="false"/>
          <w:sz w:val="20"/>
        </w:rPr>
        <w:t>impairments for the twelve months ended December 31, 2022 and 2021.</w:t>
      </w:r>
    </w:p>
    <w:p>
      <w:pPr>
        <w:pStyle w:val="TextBody"/>
        <w:spacing w:before="24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Effective January 1, 2020, Private Disc adopted and accounts for its leases under ASC 842, using the modified retrospective transition approach.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for any class of underlying asset.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Leases are classified at their lease commencement date, which is defined as the date on which the lessor makes the underlying asset available for use by the lessee, as either operating or finance leases based on the economic substance of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115</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agreement. All of the Company’s leases are classified as operating leases. Operating lease liabilities and their corresponding ROU assets are recorded based on the present value of future lease payments over the expected remaining lease term. Fixed lease cost for operating leases is recognized on a straight-line basis over the lease term as an operating expense. Variable lease costs, such as common area maintenance expenses, are recognized in the period incurred. Certain adjustments to the ROU asset may be required for items such as lease prepayments or incentives received. The interest rate implicit in lease contracts is typically not readily determinable. As a result, the Company utilizes its estimated incremental borrowing rate, which reflects the estimated fixed rate at which the Company could borrow on a collateralized basis the amount of the lease payments in the same currency, for a similar term, in a similar economic environment.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elected to account for the lease and non-lease components together for existing classes of underlying assets.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Preferred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applies the guidance of ASC Topic 480, </w:t>
      </w:r>
      <w:r>
        <w:rPr>
          <w:rFonts w:ascii="Times New Roman;serif" w:hAnsi="Times New Roman;serif"/>
          <w:b w:val="false"/>
          <w:i/>
          <w:sz w:val="20"/>
        </w:rPr>
        <w:t xml:space="preserve">Distinguishing Liabilities from Equity </w:t>
      </w:r>
      <w:r>
        <w:rPr>
          <w:rFonts w:ascii="Times New Roman;serif" w:hAnsi="Times New Roman;serif"/>
          <w:b w:val="false"/>
          <w:sz w:val="20"/>
        </w:rPr>
        <w:t>(“ASC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 (deficit).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the merger, Private Disc classified its convertible preferred stock as temporary equity due to terms that allowed for redemption of the shares upon the occurrence of a contingent event that was not solely within the Private Disc's control. Private Disc did not accrete the carrying values of the preferred stock to the redemption values since the contingent event was not considered probable as of December 31, 2021.</w:t>
      </w:r>
    </w:p>
    <w:p>
      <w:pPr>
        <w:pStyle w:val="TextBody"/>
        <w:spacing w:before="24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If the Company acquires an asset or group of assets under an in-licensing arrangement that does not meet the definition of a business under ASC Topic 805, </w:t>
      </w:r>
      <w:r>
        <w:rPr>
          <w:rFonts w:ascii="Times New Roman;serif" w:hAnsi="Times New Roman;serif"/>
          <w:b w:val="false"/>
          <w:i/>
          <w:sz w:val="20"/>
        </w:rPr>
        <w:t>Business Combinations</w:t>
      </w:r>
      <w:r>
        <w:rPr>
          <w:rFonts w:ascii="Times New Roman;serif" w:hAnsi="Times New Roman;serif"/>
          <w:b w:val="false"/>
          <w:sz w:val="20"/>
        </w:rPr>
        <w:t xml:space="preserve">, and the acquired in-process research and development does not have an alternative future use, any related upfront license payment is expensed as incurred in accordance with guidance in ASC Topic 730, </w:t>
      </w:r>
      <w:r>
        <w:rPr>
          <w:rFonts w:ascii="Times New Roman;serif" w:hAnsi="Times New Roman;serif"/>
          <w:b w:val="false"/>
          <w:i/>
          <w:sz w:val="20"/>
        </w:rPr>
        <w:t>Research and Development</w:t>
      </w:r>
      <w:r>
        <w:rPr>
          <w:rFonts w:ascii="Times New Roman;serif" w:hAnsi="Times New Roman;serif"/>
          <w:b w:val="false"/>
          <w:sz w:val="20"/>
        </w:rPr>
        <w:t>. In general, contingent payments are recognized when it becomes probable the payment will be required.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116</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Patent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general and administrative expenses within the Company’s consolidated statements of operations and comprehensive loss.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accounts for all stock-based awards granted to employees and non-employees as stock-based compensation expense at fair value.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The fair value of each restricted stock award is estimated on the date of grant based on the fair value of the Company’s common stock on that same date.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classifies stock-based compensation expense in the consolidated statements of operations and comprehensive loss in the same manner in which the award recipient’s payroll costs are classified or in which the award recipient’s service payments are classified.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See Note 11 for a summary of the stock-based award activity under the Company’s stock-based compensation 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Determination of Fair Value of Common Stock on Grant 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w:t>
      </w:r>
      <w:r>
        <w:rPr>
          <w:rFonts w:ascii="Times New Roman;serif" w:hAnsi="Times New Roman;serif"/>
          <w:b w:val="false"/>
          <w:i/>
          <w:sz w:val="20"/>
        </w:rPr>
        <w:t>Valuation of Privately-Held Company Equity Securities Issued as Compensation</w:t>
      </w:r>
      <w:r>
        <w:rPr>
          <w:rFonts w:ascii="Times New Roman;serif" w:hAnsi="Times New Roman;serif"/>
          <w:b w:val="false"/>
          <w:sz w:val="20"/>
        </w:rPr>
        <w:t>. In determining the exercise prices for options granted, Private Disc considered the estimated fair value of the 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117</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pStyle w:val="TextBody"/>
        <w:spacing w:before="240" w:after="0"/>
        <w:jc w:val="left"/>
        <w:rPr>
          <w:rFonts w:ascii="Times New Roman" w:hAnsi="Times New Roman"/>
          <w:sz w:val="20"/>
        </w:rPr>
      </w:pPr>
      <w:r>
        <w:rPr>
          <w:rFonts w:ascii="Times New Roman;serif" w:hAnsi="Times New Roman;serif"/>
          <w:b/>
          <w:i/>
          <w:sz w:val="20"/>
        </w:rPr>
        <w:t>Comprehensive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Comprehensive loss includes net loss, as well as other changes in stockholders’ equity (deficit) that result from transactions and economic events other than those with stockholders. The Company’s comprehensive loss was equal to net loss for the twelve months ended December 31, 2022 and 2021.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w:t>
      </w:r>
      <w:r>
        <w:rPr>
          <w:rFonts w:ascii="Times New Roman" w:hAnsi="Times New Roman"/>
          <w:sz w:val="20"/>
        </w:rPr>
        <w:t xml:space="preserve"> </w:t>
      </w:r>
      <w:r>
        <w:rPr>
          <w:rFonts w:ascii="Times New Roman;serif" w:hAnsi="Times New Roman;serif"/>
          <w:b w:val="false"/>
          <w:sz w:val="20"/>
        </w:rPr>
        <w:t>unrecognized tax benefits included in the Company’s consolidated balance sheets at December 31, 2022 or 2021.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files income tax returns in the United States and in Massachusetts. The Company’s income tax returns are subject to review and tax assessment from an income tax examination. As of December 31, 2022, the Company was not under examination by the Internal Revenue Service or other jurisdictions for any tax year.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Net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contains participation rights in any dividend paid by the Company and is deemed to be a participating security. Net income attributable to common stockholders and participating preferred shares are allocated to each share as if all of the earnings for the period had been distributed. The participating securities do not include a contractual obligation to share in losses of the Company and are not included in the calculation of net loss per share in the periods in which a net loss is recorded. Net loss attributable to common stockholders is equal to the net loss for the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Diluted net loss per share is computed using the more dilutive of (a) the two-class method or (b) the treasury stock method and if-converted method. The Company allocates earnings first to preferred stockholders based on dividend rights and then to common and preferred stockholders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Subsequent Events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considers events or transactions that occur after the consolidated balance sheet date but prior to the issuance of the consolidated financial statements to provide additional evidence for certain estimates or to identify matters that require additional disclosure. The Company has evaluated events occurring after the date of its consolidated balance sheet, through March 31, 2023, the date these consolidated financial statements were available to be issued. See Note 16.</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Emerging growth company status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pStyle w:val="TextBody"/>
        <w:spacing w:before="24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August 2018, the FASB issued ASU No. 2018-15, </w:t>
      </w:r>
      <w:r>
        <w:rPr>
          <w:rFonts w:ascii="Times New Roman;serif" w:hAnsi="Times New Roman;serif"/>
          <w:b w:val="false"/>
          <w:i/>
          <w:sz w:val="20"/>
        </w:rPr>
        <w:t>Intangibles-Goodwill and Other-Internal-Use Software (Topic 350): Customer’s Accounting for Implementation Costs Incurred in a Cloud Computing Arrangement That Is a Service Contract</w:t>
      </w:r>
      <w:r>
        <w:rPr>
          <w:rFonts w:ascii="Times New Roman;serif" w:hAnsi="Times New Roman;serif"/>
          <w:b w:val="false"/>
          <w:sz w:val="20"/>
        </w:rPr>
        <w:t>. This standard requires capitalizing implementation costs incurred to develop or obtain internal-use software (and hosting arrangements that include an internal-use software license). The Company adopted ASU 2018-15 on January 1, 2021 using the prospective method. The adoption of this standard did not have a material effect on the Company’s financial position, results of operations or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December 2019, the FASB issued ASU No. 2019-12, </w:t>
      </w:r>
      <w:r>
        <w:rPr>
          <w:rFonts w:ascii="Times New Roman;serif" w:hAnsi="Times New Roman;serif"/>
          <w:b w:val="false"/>
          <w:i/>
          <w:sz w:val="20"/>
        </w:rPr>
        <w:t>Income Taxes (Topic 740): Simplifying the Accounting for Income Taxes</w:t>
      </w:r>
      <w:r>
        <w:rPr>
          <w:rFonts w:ascii="Times New Roman;serif" w:hAnsi="Times New Roman;serif"/>
          <w:b w:val="false"/>
          <w:sz w:val="20"/>
        </w:rPr>
        <w:t>. This standard removes certain exceptions for investments, intra-period allocations and interim calculations, and adds guidance to reduce complexity in accounting for income taxes. The Company adopted ASU 2019-12 on January 1, 2021 using the prospective method. The adoption of this standard did not have a material effect on the Company’s financial position, results of operations or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August 2020, the FASB issued ASU No. 2020-06, </w:t>
      </w:r>
      <w:r>
        <w:rPr>
          <w:rFonts w:ascii="Times New Roman;serif" w:hAnsi="Times New Roman;serif"/>
          <w:b w:val="false"/>
          <w:i/>
          <w:sz w:val="20"/>
        </w:rPr>
        <w:t>Debt-Debt with Conversion and Other Options (Subtopic 470-20) and Derivatives and Hedging-Contracts in Entity’s Own Equity (Subtopic 815-40): Accounting for Convertible Instruments and Contracts in an Entity’s Own Equity</w:t>
      </w:r>
      <w:r>
        <w:rPr>
          <w:rFonts w:ascii="Times New Roman;serif" w:hAnsi="Times New Roman;serif"/>
          <w:b w:val="false"/>
          <w:sz w:val="20"/>
        </w:rPr>
        <w:t>. This standard amends the guidance on convertible instruments and the derivatives scope exception for contracts in an entity’s own equity and improves and amends the related earnings per share guidance for both subtopics. The Company early adopted ASU 2020-06 on January 1, 2021 using a modified retrospective approach. The adoption of this standard did not have a material effect on the Company’s financial position, results of operations or disclosures.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Recently Issued Accounting Pronouncements Not Yet Adopted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 - Credit Losses (Topic 326): Measurement of Credit Losses on Financial Instruments</w:t>
      </w:r>
      <w:r>
        <w:rPr>
          <w:rFonts w:ascii="Times New Roman;serif" w:hAnsi="Times New Roman;serif"/>
          <w:b w:val="false"/>
          <w:sz w:val="20"/>
        </w:rPr>
        <w:t>, which has been subsequently amended by ASU 2018-19, ASU 2019-04, ASU 2019-05, ASU 2019-10, ASU 2019-11, ASU 2020-03, and ASU 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For public business entities that meet the definition of a U.S. Securities and Exchange Commission (“SEC”) filer, excluding entities eligible to be smaller reporting companies as defined by the SEC, the standard is effective for fiscal calendar years beginning January 1, 2020, including interim periods within those fiscal years. For all other entities, the standard is effective for fiscal calendar years beginning January 1, 2023. Early adoption is permitted. The Company does not expect that this standard will have a material impact on its consolidated financial statements and disclosures.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119</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3. Reverse Merger with Gemini</w:t>
      </w:r>
    </w:p>
    <w:p>
      <w:pPr>
        <w:pStyle w:val="TextBody"/>
        <w:spacing w:before="240" w:after="0"/>
        <w:jc w:val="left"/>
        <w:rPr>
          <w:rFonts w:ascii="Times New Roman" w:hAnsi="Times New Roman"/>
          <w:sz w:val="20"/>
        </w:rPr>
      </w:pPr>
      <w:r>
        <w:rPr>
          <w:rFonts w:ascii="Times New Roman;serif" w:hAnsi="Times New Roman;serif"/>
          <w:b w:val="false"/>
          <w:sz w:val="20"/>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w:t>
      </w:r>
      <w:r>
        <w:rPr>
          <w:rFonts w:ascii="Times New Roman" w:hAnsi="Times New Roman"/>
          <w:sz w:val="20"/>
        </w:rPr>
        <w:t xml:space="preserve"> </w:t>
      </w:r>
      <w:r>
        <w:rPr>
          <w:rFonts w:ascii="Times New Roman;serif" w:hAnsi="Times New Roman;serif"/>
          <w:b w:val="false"/>
          <w:sz w:val="20"/>
        </w:rPr>
        <w:t>goodwill or intangible assets were recognized. Consequently, the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part of the reverse recapitalization, the Company acquired $97.4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cash and cash equivalents. The Company also obtained prepaids and other assets of $1.8</w:t>
      </w:r>
      <w:r>
        <w:rPr>
          <w:rFonts w:ascii="Times New Roman" w:hAnsi="Times New Roman"/>
          <w:sz w:val="20"/>
        </w:rPr>
        <w:t xml:space="preserve"> </w:t>
      </w:r>
      <w:r>
        <w:rPr>
          <w:rFonts w:ascii="Times New Roman;serif" w:hAnsi="Times New Roman;serif"/>
          <w:b w:val="false"/>
          <w:sz w:val="20"/>
        </w:rPr>
        <w:t>million and assumed accounts payable and accrued expenses of $7.8</w:t>
      </w:r>
      <w:r>
        <w:rPr>
          <w:rFonts w:ascii="Times New Roman" w:hAnsi="Times New Roman"/>
          <w:sz w:val="20"/>
        </w:rPr>
        <w:t xml:space="preserve"> </w:t>
      </w:r>
      <w:r>
        <w:rPr>
          <w:rFonts w:ascii="Times New Roman;serif" w:hAnsi="Times New Roman;serif"/>
          <w:b w:val="false"/>
          <w:sz w:val="20"/>
        </w:rPr>
        <w:t>million. Gemini's development programs had ceased prior to the merger and were deemed to be de minimis in value at the transaction date.</w:t>
      </w:r>
    </w:p>
    <w:p>
      <w:pPr>
        <w:pStyle w:val="TextBody"/>
        <w:spacing w:before="240" w:after="0"/>
        <w:jc w:val="left"/>
        <w:rPr>
          <w:rFonts w:ascii="Times New Roman" w:hAnsi="Times New Roman"/>
          <w:sz w:val="20"/>
        </w:rPr>
      </w:pPr>
      <w:r>
        <w:rPr>
          <w:rFonts w:ascii="Times New Roman;serif" w:hAnsi="Times New Roman;serif"/>
          <w:b w:val="false"/>
          <w:sz w:val="20"/>
        </w:rPr>
        <w:t>In addition, the Company recognized $0.6</w:t>
      </w:r>
      <w:r>
        <w:rPr>
          <w:rFonts w:ascii="Times New Roman" w:hAnsi="Times New Roman"/>
          <w:sz w:val="20"/>
        </w:rPr>
        <w:t xml:space="preserve"> </w:t>
      </w:r>
      <w:r>
        <w:rPr>
          <w:rFonts w:ascii="Times New Roman;serif" w:hAnsi="Times New Roman;serif"/>
          <w:b w:val="false"/>
          <w:sz w:val="20"/>
        </w:rPr>
        <w:t>million in share-based compensation expense as a result of the acceleration of vesting of stock options, performance stock units and restricted stock units at the time of merger. This amount was recorded in general and administrative expense in the accompanying consolidated statements of operations and comprehensive loss for the year ended December 31, 2022. The Company also incurred transaction costs of $7.9</w:t>
      </w:r>
      <w:r>
        <w:rPr>
          <w:rFonts w:ascii="Times New Roman" w:hAnsi="Times New Roman"/>
          <w:sz w:val="20"/>
        </w:rPr>
        <w:t xml:space="preserve"> </w:t>
      </w:r>
      <w:r>
        <w:rPr>
          <w:rFonts w:ascii="Times New Roman;serif" w:hAnsi="Times New Roman;serif"/>
          <w:b w:val="false"/>
          <w:sz w:val="20"/>
        </w:rPr>
        <w:t>million and this amount is recorded in additional paid-in capital in the accompanying consolidated statements of convertible preferred stock and stockholders’ equity (deficit) for the year ended December 31, 2022.</w:t>
      </w:r>
    </w:p>
    <w:p>
      <w:pPr>
        <w:pStyle w:val="TextBody"/>
        <w:spacing w:before="240" w:after="0"/>
        <w:jc w:val="left"/>
        <w:rPr>
          <w:rFonts w:ascii="Times New Roman" w:hAnsi="Times New Roman"/>
          <w:sz w:val="20"/>
        </w:rPr>
      </w:pPr>
      <w:r>
        <w:rPr>
          <w:rFonts w:ascii="Times New Roman;serif" w:hAnsi="Times New Roman;serif"/>
          <w:b/>
          <w:sz w:val="20"/>
        </w:rPr>
        <w:t>4. Fair Value Measurements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Financial assets and liabilities measured at fair value on a recurring basis are summarized as follows (in thousands):</w:t>
      </w:r>
    </w:p>
    <w:p>
      <w:pPr>
        <w:pStyle w:val="TextBody"/>
        <w:spacing w:before="0" w:after="0"/>
        <w:jc w:val="left"/>
        <w:rPr/>
      </w:pPr>
      <w:r>
        <w:rPr/>
        <w:t> </w:t>
      </w:r>
    </w:p>
    <w:tbl>
      <w:tblPr>
        <w:tblW w:w="7424" w:type="dxa"/>
        <w:jc w:val="left"/>
        <w:tblInd w:w="0" w:type="dxa"/>
        <w:tblCellMar>
          <w:top w:w="28" w:type="dxa"/>
          <w:left w:w="28" w:type="dxa"/>
          <w:bottom w:w="28" w:type="dxa"/>
          <w:right w:w="28" w:type="dxa"/>
        </w:tblCellMar>
      </w:tblPr>
      <w:tblGrid>
        <w:gridCol w:w="4156"/>
        <w:gridCol w:w="146"/>
        <w:gridCol w:w="211"/>
        <w:gridCol w:w="676"/>
        <w:gridCol w:w="146"/>
        <w:gridCol w:w="146"/>
        <w:gridCol w:w="239"/>
        <w:gridCol w:w="391"/>
        <w:gridCol w:w="146"/>
        <w:gridCol w:w="146"/>
        <w:gridCol w:w="239"/>
        <w:gridCol w:w="391"/>
        <w:gridCol w:w="39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273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right"/>
              <w:rPr/>
            </w:pPr>
            <w:r>
              <w:rPr/>
              <w:t>​</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 in cash and cash equivalents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465" w:type="dxa"/>
        <w:jc w:val="left"/>
        <w:tblInd w:w="0" w:type="dxa"/>
        <w:tblCellMar>
          <w:top w:w="28" w:type="dxa"/>
          <w:left w:w="28" w:type="dxa"/>
          <w:bottom w:w="28" w:type="dxa"/>
          <w:right w:w="28" w:type="dxa"/>
        </w:tblCellMar>
      </w:tblPr>
      <w:tblGrid>
        <w:gridCol w:w="4156"/>
        <w:gridCol w:w="109"/>
        <w:gridCol w:w="211"/>
        <w:gridCol w:w="676"/>
        <w:gridCol w:w="146"/>
        <w:gridCol w:w="109"/>
        <w:gridCol w:w="239"/>
        <w:gridCol w:w="391"/>
        <w:gridCol w:w="146"/>
        <w:gridCol w:w="109"/>
        <w:gridCol w:w="211"/>
        <w:gridCol w:w="571"/>
        <w:gridCol w:w="391"/>
      </w:tblGrid>
      <w:tr>
        <w:trPr/>
        <w:tc>
          <w:tcPr>
            <w:tcW w:w="4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280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09" w:type="dxa"/>
            <w:tcBorders/>
            <w:shd w:fill="auto" w:val="clear"/>
            <w:vAlign w:val="center"/>
          </w:tcPr>
          <w:p>
            <w:pPr>
              <w:pStyle w:val="TableContents"/>
              <w:spacing w:before="0" w:after="0"/>
              <w:ind w:left="0" w:right="0" w:hanging="0"/>
              <w:jc w:val="right"/>
              <w:rPr/>
            </w:pPr>
            <w:r>
              <w:rPr/>
              <w:t>​</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 in cash and cash equivalents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09" w:type="dxa"/>
            <w:tcBorders/>
            <w:shd w:fill="auto" w:val="clear"/>
            <w:vAlign w:val="center"/>
          </w:tcPr>
          <w:p>
            <w:pPr>
              <w:pStyle w:val="TableContents"/>
              <w:spacing w:before="0" w:after="0"/>
              <w:ind w:left="0" w:right="0" w:hanging="0"/>
              <w:jc w:val="right"/>
              <w:rPr/>
            </w:pPr>
            <w:r>
              <w:rPr/>
              <w:t>​</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liability</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fair value of the Company’s cash equivalents, consisting of money market funds, is based on quoted market prices in active markets with no valuation adjustment. There have been no impairments of the Company’s assets measured and carried at fair value during the twelve months ended December 31, 2022 and 2021. In addition, there were no changes in valuation techniques or transfers between Level 1 and Level 2 financial assets during the twelve months ended December 31, 2022 and 2021. The Company did not have any non-recurring fair value measurements on any assets or liabilities during the twelve months ended December 31, 2022 and 2021.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May 2021, Private Disc entered into a license agreement (the “Roche Agreement”) with F. Hoffmann-La Roche Ltd. and Hoffmann-La Roche Inc. (together, “Roche”) pursuant to which Roche granted Private Disc an exclusive and sublicensable worldwide license under certain patent rights and know-how to develop, manufacture and commercialize certain compounds (the “Compounds”) as further described in Note 8. Private Disc recognized a liability in connection with the Roche Agreement which included an obligation to issue a variable number of shares of the Company's common stock to Roche for no additional consideration upon Private Disc’s completion of an initial public offering or certain merger transactions, a “Roche Qualified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120</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Transaction.” The number of shares of common stock to be issued to Roche was estimated to be approximately 2.85% of the outstanding shares of common stock of the combined company as of immediately after the completion of a Roche Qualified Transaction. Private Disc determined that the obligation to issue common stock upon completion of a Roche Qualified Transaction represented a liability classified financial instrument. The liability was measured at fair value as of each reporting date and the change in the fair value for the period is recorded in the consolidated statements of operations and comprehensive loss in the change in fair value of derivative liability.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Company settled the derivative liability by issuing common stock to Roche immediately following the completion of the merger. The Company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The Company then reclassified the resulting amount of the derivative liability to additional paid-in capital.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a summary of changes in fair value of the Level 3 liabilities related to the Roche Agreement (in thousands):</w:t>
      </w:r>
    </w:p>
    <w:p>
      <w:pPr>
        <w:pStyle w:val="TextBody"/>
        <w:spacing w:before="0" w:after="0"/>
        <w:jc w:val="left"/>
        <w:rPr/>
      </w:pPr>
      <w:r>
        <w:rPr/>
        <w:t> </w:t>
      </w:r>
    </w:p>
    <w:tbl>
      <w:tblPr>
        <w:tblW w:w="7559" w:type="dxa"/>
        <w:jc w:val="left"/>
        <w:tblInd w:w="0" w:type="dxa"/>
        <w:tblCellMar>
          <w:top w:w="28" w:type="dxa"/>
          <w:left w:w="28" w:type="dxa"/>
          <w:bottom w:w="28" w:type="dxa"/>
          <w:right w:w="28" w:type="dxa"/>
        </w:tblCellMar>
      </w:tblPr>
      <w:tblGrid>
        <w:gridCol w:w="6196"/>
        <w:gridCol w:w="146"/>
        <w:gridCol w:w="252"/>
        <w:gridCol w:w="754"/>
        <w:gridCol w:w="211"/>
      </w:tblGrid>
      <w:tr>
        <w:trPr/>
        <w:tc>
          <w:tcPr>
            <w:tcW w:w="6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br/>
              <w:t>Rollforward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21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derivative liability</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Settlement of derivative liability upon issuance of common stock to Roche</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5. Cash, Cash Equivalents and Restricted Cash</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cash equivalents and restricted cash consisted of the following (in thousands):</w:t>
      </w:r>
    </w:p>
    <w:p>
      <w:pPr>
        <w:pStyle w:val="TextBody"/>
        <w:spacing w:before="0" w:after="0"/>
        <w:jc w:val="left"/>
        <w:rPr/>
      </w:pPr>
      <w:r>
        <w:rPr/>
        <w:t> </w:t>
      </w:r>
    </w:p>
    <w:tbl>
      <w:tblPr>
        <w:tblW w:w="8847" w:type="dxa"/>
        <w:jc w:val="left"/>
        <w:tblInd w:w="0" w:type="dxa"/>
        <w:tblCellMar>
          <w:top w:w="28" w:type="dxa"/>
          <w:left w:w="28" w:type="dxa"/>
          <w:bottom w:w="28" w:type="dxa"/>
          <w:right w:w="28" w:type="dxa"/>
        </w:tblCellMar>
      </w:tblPr>
      <w:tblGrid>
        <w:gridCol w:w="6376"/>
        <w:gridCol w:w="109"/>
        <w:gridCol w:w="211"/>
        <w:gridCol w:w="781"/>
        <w:gridCol w:w="146"/>
        <w:gridCol w:w="146"/>
        <w:gridCol w:w="211"/>
        <w:gridCol w:w="676"/>
        <w:gridCol w:w="191"/>
      </w:tblGrid>
      <w:tr>
        <w:trPr/>
        <w:tc>
          <w:tcPr>
            <w:tcW w:w="6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37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7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88,036</w:t>
            </w:r>
          </w:p>
        </w:tc>
        <w:tc>
          <w:tcPr>
            <w:tcW w:w="191" w:type="dxa"/>
            <w:tcBorders/>
            <w:shd w:fill="auto" w:val="cle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 as shown on the consolidated</w:t>
              <w:br/>
              <w:t>   statements of cash flows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194,788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88,213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6. Property and Equipment, Net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consisted of the following (in thousands):</w:t>
      </w:r>
    </w:p>
    <w:p>
      <w:pPr>
        <w:pStyle w:val="TextBody"/>
        <w:spacing w:before="0" w:after="0"/>
        <w:jc w:val="left"/>
        <w:rPr/>
      </w:pPr>
      <w:r>
        <w:rPr/>
        <w:t> </w:t>
      </w:r>
    </w:p>
    <w:tbl>
      <w:tblPr>
        <w:tblW w:w="4687" w:type="dxa"/>
        <w:jc w:val="left"/>
        <w:tblInd w:w="0" w:type="dxa"/>
        <w:tblCellMar>
          <w:top w:w="28" w:type="dxa"/>
          <w:left w:w="28" w:type="dxa"/>
          <w:bottom w:w="28" w:type="dxa"/>
          <w:right w:w="28" w:type="dxa"/>
        </w:tblCellMar>
      </w:tblPr>
      <w:tblGrid>
        <w:gridCol w:w="2731"/>
        <w:gridCol w:w="146"/>
        <w:gridCol w:w="211"/>
        <w:gridCol w:w="481"/>
        <w:gridCol w:w="166"/>
        <w:gridCol w:w="109"/>
        <w:gridCol w:w="211"/>
        <w:gridCol w:w="421"/>
        <w:gridCol w:w="21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2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7. Accrued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expenses consisted of the following (in thousands):</w:t>
      </w:r>
    </w:p>
    <w:p>
      <w:pPr>
        <w:pStyle w:val="TextBody"/>
        <w:spacing w:before="0" w:after="0"/>
        <w:jc w:val="left"/>
        <w:rPr/>
      </w:pPr>
      <w:r>
        <w:rPr/>
        <w:t> </w:t>
      </w:r>
    </w:p>
    <w:tbl>
      <w:tblPr>
        <w:tblW w:w="5187" w:type="dxa"/>
        <w:jc w:val="left"/>
        <w:tblInd w:w="0" w:type="dxa"/>
        <w:tblCellMar>
          <w:top w:w="28" w:type="dxa"/>
          <w:left w:w="28" w:type="dxa"/>
          <w:bottom w:w="28" w:type="dxa"/>
          <w:right w:w="28" w:type="dxa"/>
        </w:tblCellMar>
      </w:tblPr>
      <w:tblGrid>
        <w:gridCol w:w="3031"/>
        <w:gridCol w:w="109"/>
        <w:gridCol w:w="211"/>
        <w:gridCol w:w="571"/>
        <w:gridCol w:w="146"/>
        <w:gridCol w:w="146"/>
        <w:gridCol w:w="211"/>
        <w:gridCol w:w="571"/>
        <w:gridCol w:w="191"/>
      </w:tblGrid>
      <w:tr>
        <w:trPr/>
        <w:tc>
          <w:tcPr>
            <w:tcW w:w="3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3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employee-related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1,177</w:t>
            </w:r>
          </w:p>
        </w:tc>
        <w:tc>
          <w:tcPr>
            <w:tcW w:w="191"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2,297</w:t>
            </w:r>
          </w:p>
        </w:tc>
        <w:tc>
          <w:tcPr>
            <w:tcW w:w="191"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91" w:type="dxa"/>
            <w:tcBorders/>
            <w:shd w:fill="auto" w:val="cle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121</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8. Development and License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License Agreement and Master Service Agreement with Aurigene Discoveries Technology Limited (“Aurigene”)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2018, Private Disc entered into a license agreement with Aurigene, pursuant to which Aurigene granted Private Disc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In December 2022, the master service agreement was terminated.</w:t>
      </w:r>
    </w:p>
    <w:p>
      <w:pPr>
        <w:pStyle w:val="TextBody"/>
        <w:spacing w:before="120" w:after="0"/>
        <w:jc w:val="left"/>
        <w:rPr>
          <w:rFonts w:ascii="Times New Roman" w:hAnsi="Times New Roman"/>
          <w:sz w:val="20"/>
        </w:rPr>
      </w:pPr>
      <w:r>
        <w:rPr>
          <w:rFonts w:ascii="Times New Roman;serif" w:hAnsi="Times New Roman;serif"/>
          <w:b w:val="false"/>
          <w:sz w:val="20"/>
        </w:rPr>
        <w:t>Pursuant to the license agreement, Private Disc agreed to pay an upfront fee of $0.1</w:t>
      </w:r>
      <w:r>
        <w:rPr>
          <w:rFonts w:ascii="Times New Roman" w:hAnsi="Times New Roman"/>
          <w:sz w:val="20"/>
        </w:rPr>
        <w:t xml:space="preserve"> </w:t>
      </w:r>
      <w:r>
        <w:rPr>
          <w:rFonts w:ascii="Times New Roman;serif" w:hAnsi="Times New Roman;serif"/>
          <w:b w:val="false"/>
          <w:sz w:val="20"/>
        </w:rPr>
        <w:t>million and annual maintenance fees up to $0.2</w:t>
      </w:r>
      <w:r>
        <w:rPr>
          <w:rFonts w:ascii="Times New Roman" w:hAnsi="Times New Roman"/>
          <w:sz w:val="20"/>
        </w:rPr>
        <w:t xml:space="preserve"> </w:t>
      </w:r>
      <w:r>
        <w:rPr>
          <w:rFonts w:ascii="Times New Roman;serif" w:hAnsi="Times New Roman;serif"/>
          <w:b w:val="false"/>
          <w:sz w:val="20"/>
        </w:rPr>
        <w:t>million for the licensed intellectual property. The Company may also be obligated to make future milestone payments of up to $7.1</w:t>
      </w:r>
      <w:r>
        <w:rPr>
          <w:rFonts w:ascii="Times New Roman" w:hAnsi="Times New Roman"/>
          <w:sz w:val="20"/>
        </w:rPr>
        <w:t xml:space="preserve"> </w:t>
      </w:r>
      <w:r>
        <w:rPr>
          <w:rFonts w:ascii="Times New Roman;serif" w:hAnsi="Times New Roman;serif"/>
          <w:b w:val="false"/>
          <w:sz w:val="20"/>
        </w:rPr>
        <w:t>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twelve months ended December 31, 2022 and 2021, the Company recorded research and development expense of $0.8</w:t>
      </w:r>
      <w:r>
        <w:rPr>
          <w:rFonts w:ascii="Times New Roman" w:hAnsi="Times New Roman"/>
          <w:sz w:val="20"/>
        </w:rPr>
        <w:t xml:space="preserve"> </w:t>
      </w:r>
      <w:r>
        <w:rPr>
          <w:rFonts w:ascii="Times New Roman;serif" w:hAnsi="Times New Roman;serif"/>
          <w:b w:val="false"/>
          <w:sz w:val="20"/>
        </w:rPr>
        <w:t>million and $1.7</w:t>
      </w:r>
      <w:r>
        <w:rPr>
          <w:rFonts w:ascii="Times New Roman" w:hAnsi="Times New Roman"/>
          <w:sz w:val="20"/>
        </w:rPr>
        <w:t xml:space="preserve"> </w:t>
      </w:r>
      <w:r>
        <w:rPr>
          <w:rFonts w:ascii="Times New Roman;serif" w:hAnsi="Times New Roman;serif"/>
          <w:b w:val="false"/>
          <w:sz w:val="20"/>
        </w:rPr>
        <w:t>million, respectively, related to its arrangements with Aurigene.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License and Stock Purchase Agreement with AbbVie Deutschland GmbH &amp; Co. KG (“AbbVie”)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September 2019, Private Disc entered into an agreement with AbbVie, pursuant to which AbbVie granted Private Disc an exclusive license, with the right to grant sublicenses, to certain AbbVie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this agreement, Private Disc paid a non-refundable, non-creditable upfront fee of $0.6</w:t>
      </w:r>
      <w:r>
        <w:rPr>
          <w:rFonts w:ascii="Times New Roman" w:hAnsi="Times New Roman"/>
          <w:sz w:val="20"/>
        </w:rPr>
        <w:t xml:space="preserve"> </w:t>
      </w:r>
      <w:r>
        <w:rPr>
          <w:rFonts w:ascii="Times New Roman;serif" w:hAnsi="Times New Roman;serif"/>
          <w:b w:val="false"/>
          <w:sz w:val="20"/>
        </w:rPr>
        <w:t>million. The Company is also obligated to make future payments upon the achievement of certain development, commercialization and sales-based milestones up to $18.0</w:t>
      </w:r>
      <w:r>
        <w:rPr>
          <w:rFonts w:ascii="Times New Roman" w:hAnsi="Times New Roman"/>
          <w:sz w:val="20"/>
        </w:rPr>
        <w:t xml:space="preserve"> </w:t>
      </w:r>
      <w:r>
        <w:rPr>
          <w:rFonts w:ascii="Times New Roman;serif" w:hAnsi="Times New Roman;serif"/>
          <w:b w:val="false"/>
          <w:sz w:val="20"/>
        </w:rPr>
        <w:t>million, $45.0</w:t>
      </w:r>
      <w:r>
        <w:rPr>
          <w:rFonts w:ascii="Times New Roman" w:hAnsi="Times New Roman"/>
          <w:sz w:val="20"/>
        </w:rPr>
        <w:t xml:space="preserve"> </w:t>
      </w:r>
      <w:r>
        <w:rPr>
          <w:rFonts w:ascii="Times New Roman;serif" w:hAnsi="Times New Roman;serif"/>
          <w:b w:val="false"/>
          <w:sz w:val="20"/>
        </w:rPr>
        <w:t>million and $87.5</w:t>
      </w:r>
      <w:r>
        <w:rPr>
          <w:rFonts w:ascii="Times New Roman" w:hAnsi="Times New Roman"/>
          <w:sz w:val="20"/>
        </w:rPr>
        <w:t xml:space="preserve"> </w:t>
      </w:r>
      <w:r>
        <w:rPr>
          <w:rFonts w:ascii="Times New Roman;serif" w:hAnsi="Times New Roman;serif"/>
          <w:b w:val="false"/>
          <w:sz w:val="20"/>
        </w:rPr>
        <w:t>million, respectively on a licensed product-by-licensed product basis. In addition, the Company is also obligated to pay royalties based on net sales of the licensed products on a licensed product-by-licensed product and country-by-country basis. As of December 31, 2022, none</w:t>
      </w:r>
      <w:r>
        <w:rPr>
          <w:rFonts w:ascii="Times New Roman" w:hAnsi="Times New Roman"/>
          <w:sz w:val="20"/>
        </w:rPr>
        <w:t xml:space="preserve"> </w:t>
      </w:r>
      <w:r>
        <w:rPr>
          <w:rFonts w:ascii="Times New Roman;serif" w:hAnsi="Times New Roman;serif"/>
          <w:b w:val="false"/>
          <w:sz w:val="20"/>
        </w:rPr>
        <w:t>of the milestones had been achieved.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License Agreement with Roche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Roche Agreement, Private Disc paid Roche an upfront, non-refundable exclusivity payment of $0.5</w:t>
      </w:r>
      <w:r>
        <w:rPr>
          <w:rFonts w:ascii="Times New Roman" w:hAnsi="Times New Roman"/>
          <w:sz w:val="20"/>
        </w:rPr>
        <w:t xml:space="preserve"> </w:t>
      </w:r>
      <w:r>
        <w:rPr>
          <w:rFonts w:ascii="Times New Roman;serif" w:hAnsi="Times New Roman;serif"/>
          <w:b w:val="false"/>
          <w:sz w:val="20"/>
        </w:rPr>
        <w:t>million in March 2021. Upon execution of the Roche Agreement in May 2021, Private Disc paid Roche an additional upfront, non-refundable payment of $4.0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obligated to make contingent payments to Roche totaling up to $205.0</w:t>
      </w:r>
      <w:r>
        <w:rPr>
          <w:rFonts w:ascii="Times New Roman" w:hAnsi="Times New Roman"/>
          <w:sz w:val="20"/>
        </w:rPr>
        <w:t xml:space="preserve"> </w:t>
      </w:r>
      <w:r>
        <w:rPr>
          <w:rFonts w:ascii="Times New Roman;serif" w:hAnsi="Times New Roman;serif"/>
          <w:b w:val="false"/>
          <w:sz w:val="20"/>
        </w:rPr>
        <w:t>million upon achievement of certain development, regulatory and commercial milestones. Roche is also eligible to receive tiered royalties on net sales of commercialized products, at rates ranging from high single-digits to high teens.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Private Disc was obligated to issue shares of the Company to Roche in connection with the completion of a Roche Qualified Transaction as defined by the Roche Agreement.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Private Disc had determined that the obligation to issue common stock upon completion of a Roche Qualified Transaction represented a liability classified financial instrument. The resulting liability was initially recorded at fair value in research and development expense, with gains and losses arising from changes in fair value recognized in other income (expense), net in the consolidated statement of operations and comprehensive loss at each period while the instrument was outstanding.</w:t>
      </w:r>
    </w:p>
    <w:p>
      <w:pPr>
        <w:pStyle w:val="TextBody"/>
        <w:spacing w:before="120" w:after="0"/>
        <w:jc w:val="left"/>
        <w:rPr>
          <w:rFonts w:ascii="Times New Roman" w:hAnsi="Times New Roman"/>
          <w:sz w:val="20"/>
        </w:rPr>
      </w:pPr>
      <w:r>
        <w:rPr>
          <w:rFonts w:ascii="Times New Roman;serif" w:hAnsi="Times New Roman;serif"/>
          <w:b w:val="false"/>
          <w:sz w:val="20"/>
        </w:rPr>
        <w:t>During the twelve months ended December 31, 2022, the Company recorded research and development expense of $0.3</w:t>
      </w:r>
      <w:r>
        <w:rPr>
          <w:rFonts w:ascii="Times New Roman" w:hAnsi="Times New Roman"/>
          <w:sz w:val="20"/>
        </w:rPr>
        <w:t xml:space="preserve"> </w:t>
      </w:r>
      <w:r>
        <w:rPr>
          <w:rFonts w:ascii="Times New Roman;serif" w:hAnsi="Times New Roman;serif"/>
          <w:b w:val="false"/>
          <w:sz w:val="20"/>
        </w:rPr>
        <w:t>million for a material transfer per the Roche Agreement. During the twelve months ended December 31, 2021, Private Disc recorded research and development expense of $5.9</w:t>
      </w:r>
      <w:r>
        <w:rPr>
          <w:rFonts w:ascii="Times New Roman" w:hAnsi="Times New Roman"/>
          <w:sz w:val="20"/>
        </w:rPr>
        <w:t xml:space="preserve"> </w:t>
      </w:r>
      <w:r>
        <w:rPr>
          <w:rFonts w:ascii="Times New Roman;serif" w:hAnsi="Times New Roman;serif"/>
          <w:b w:val="false"/>
          <w:sz w:val="20"/>
        </w:rPr>
        <w:t>million related to the Roche Agreement, comprised of the upfront payment of $4.5</w:t>
      </w:r>
      <w:r>
        <w:rPr>
          <w:rFonts w:ascii="Times New Roman" w:hAnsi="Times New Roman"/>
          <w:sz w:val="20"/>
        </w:rPr>
        <w:t xml:space="preserve"> </w:t>
      </w:r>
      <w:r>
        <w:rPr>
          <w:rFonts w:ascii="Times New Roman;serif" w:hAnsi="Times New Roman;serif"/>
          <w:b w:val="false"/>
          <w:sz w:val="20"/>
        </w:rPr>
        <w:t>million and the initial fair value of the derivative liability</w:t>
      </w:r>
      <w:r>
        <w:rPr>
          <w:rFonts w:ascii="Times New Roman" w:hAnsi="Times New Roman"/>
          <w:sz w:val="20"/>
        </w:rPr>
        <w:t xml:space="preserve"> </w:t>
      </w:r>
      <w:r>
        <w:rPr>
          <w:rFonts w:ascii="Times New Roman;serif" w:hAnsi="Times New Roman;serif"/>
          <w:b w:val="false"/>
          <w:sz w:val="20"/>
        </w:rPr>
        <w:t>of $1.4</w:t>
      </w:r>
      <w:r>
        <w:rPr>
          <w:rFonts w:ascii="Times New Roman" w:hAnsi="Times New Roman"/>
          <w:sz w:val="20"/>
        </w:rPr>
        <w:t xml:space="preserve"> </w:t>
      </w:r>
      <w:r>
        <w:rPr>
          <w:rFonts w:ascii="Times New Roman;serif" w:hAnsi="Times New Roman;serif"/>
          <w:b w:val="false"/>
          <w:sz w:val="20"/>
        </w:rPr>
        <w:t>million. During the twelve months ended December 31, 2022 and 2021, the Company recorded expense of less than $0.1</w:t>
      </w:r>
      <w:r>
        <w:rPr>
          <w:rFonts w:ascii="Times New Roman" w:hAnsi="Times New Roman"/>
          <w:sz w:val="20"/>
        </w:rPr>
        <w:t xml:space="preserve"> </w:t>
      </w:r>
      <w:r>
        <w:rPr>
          <w:rFonts w:ascii="Times New Roman;serif" w:hAnsi="Times New Roman;serif"/>
          <w:b w:val="false"/>
          <w:sz w:val="20"/>
        </w:rPr>
        <w:t>million and $5.1</w:t>
      </w:r>
      <w:r>
        <w:rPr>
          <w:rFonts w:ascii="Times New Roman" w:hAnsi="Times New Roman"/>
          <w:sz w:val="20"/>
        </w:rPr>
        <w:t xml:space="preserve"> </w:t>
      </w:r>
      <w:r>
        <w:rPr>
          <w:rFonts w:ascii="Times New Roman;serif" w:hAnsi="Times New Roman;serif"/>
          <w:b w:val="false"/>
          <w:sz w:val="20"/>
        </w:rPr>
        <w:t>million, respectively, within other income (expense), net, related to the change in fair value of the derivative liability.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122</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Upon completion of the merger, the Company issued 482,313</w:t>
      </w:r>
      <w:r>
        <w:rPr>
          <w:rFonts w:ascii="Times New Roman" w:hAnsi="Times New Roman"/>
          <w:sz w:val="20"/>
        </w:rPr>
        <w:t xml:space="preserve"> </w:t>
      </w:r>
      <w:r>
        <w:rPr>
          <w:rFonts w:ascii="Times New Roman;serif" w:hAnsi="Times New Roman;serif"/>
          <w:b w:val="false"/>
          <w:sz w:val="20"/>
        </w:rPr>
        <w:t>shares of common stock to Roche, thereby settling the derivative liability, with the fair value of the common stock at the time of issuance recorded as additional paid-in capital.</w:t>
      </w:r>
    </w:p>
    <w:p>
      <w:pPr>
        <w:pStyle w:val="TextBody"/>
        <w:spacing w:before="240" w:after="0"/>
        <w:jc w:val="left"/>
        <w:rPr>
          <w:rFonts w:ascii="Times New Roman" w:hAnsi="Times New Roman"/>
          <w:sz w:val="20"/>
        </w:rPr>
      </w:pPr>
      <w:r>
        <w:rPr>
          <w:rFonts w:ascii="Times New Roman;serif" w:hAnsi="Times New Roman;serif"/>
          <w:b/>
          <w:sz w:val="20"/>
        </w:rPr>
        <w:t>9. Convertible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December 31, 2022, the Company was authorized to issue up to 10,000,000</w:t>
      </w:r>
      <w:r>
        <w:rPr>
          <w:rFonts w:ascii="Times New Roman" w:hAnsi="Times New Roman"/>
          <w:sz w:val="20"/>
        </w:rPr>
        <w:t xml:space="preserve"> </w:t>
      </w:r>
      <w:r>
        <w:rPr>
          <w:rFonts w:ascii="Times New Roman;serif" w:hAnsi="Times New Roman;serif"/>
          <w:b w:val="false"/>
          <w:sz w:val="20"/>
        </w:rPr>
        <w:t>shares of preferred stock at a par value of $0.0001, with no</w:t>
      </w:r>
      <w:r>
        <w:rPr>
          <w:rFonts w:ascii="Times New Roman" w:hAnsi="Times New Roman"/>
          <w:sz w:val="20"/>
        </w:rPr>
        <w:t xml:space="preserve"> </w:t>
      </w:r>
      <w:r>
        <w:rPr>
          <w:rFonts w:ascii="Times New Roman;serif" w:hAnsi="Times New Roman;serif"/>
          <w:b w:val="false"/>
          <w:sz w:val="20"/>
        </w:rPr>
        <w:t>shares issued or outstanding.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pStyle w:val="TextBody"/>
        <w:spacing w:before="240" w:after="0"/>
        <w:jc w:val="left"/>
        <w:rPr>
          <w:rFonts w:ascii="Times New Roman" w:hAnsi="Times New Roman"/>
          <w:sz w:val="20"/>
        </w:rPr>
      </w:pPr>
      <w:r>
        <w:rPr>
          <w:rFonts w:ascii="Times New Roman;serif" w:hAnsi="Times New Roman;serif"/>
          <w:b w:val="false"/>
          <w:sz w:val="20"/>
        </w:rPr>
        <w:t>As of December 31, 2021, the Preferred Stock authorized, issued and outstanding consisted of the following (in thousands, except share amounts):</w:t>
      </w:r>
      <w:r>
        <w:rPr>
          <w:rFonts w:ascii="Times New Roman" w:hAnsi="Times New Roman"/>
          <w:sz w:val="20"/>
        </w:rPr>
        <w:t xml:space="preserve"> </w:t>
      </w:r>
    </w:p>
    <w:p>
      <w:pPr>
        <w:pStyle w:val="TextBody"/>
        <w:spacing w:before="0" w:after="0"/>
        <w:jc w:val="left"/>
        <w:rPr/>
      </w:pPr>
      <w:r>
        <w:rPr/>
        <w:t> </w:t>
      </w:r>
    </w:p>
    <w:tbl>
      <w:tblPr>
        <w:tblW w:w="8086" w:type="dxa"/>
        <w:jc w:val="left"/>
        <w:tblInd w:w="0" w:type="dxa"/>
        <w:tblCellMar>
          <w:top w:w="28" w:type="dxa"/>
          <w:left w:w="28" w:type="dxa"/>
          <w:bottom w:w="28" w:type="dxa"/>
          <w:right w:w="28" w:type="dxa"/>
        </w:tblCellMar>
      </w:tblPr>
      <w:tblGrid>
        <w:gridCol w:w="1036"/>
        <w:gridCol w:w="109"/>
        <w:gridCol w:w="146"/>
        <w:gridCol w:w="1036"/>
        <w:gridCol w:w="146"/>
        <w:gridCol w:w="109"/>
        <w:gridCol w:w="146"/>
        <w:gridCol w:w="1036"/>
        <w:gridCol w:w="146"/>
        <w:gridCol w:w="109"/>
        <w:gridCol w:w="211"/>
        <w:gridCol w:w="781"/>
        <w:gridCol w:w="146"/>
        <w:gridCol w:w="109"/>
        <w:gridCol w:w="211"/>
        <w:gridCol w:w="781"/>
        <w:gridCol w:w="146"/>
        <w:gridCol w:w="109"/>
        <w:gridCol w:w="146"/>
        <w:gridCol w:w="1036"/>
        <w:gridCol w:w="391"/>
      </w:tblGrid>
      <w:tr>
        <w:trPr/>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6550"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Preferred</w:t>
              <w:br/>
              <w:t>Stock</w:t>
              <w:br/>
              <w:t>Authorized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Preferred</w:t>
              <w:br/>
              <w:t>Stock Issued</w:t>
              <w:br/>
              <w:t>and</w:t>
              <w:b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Liquidation</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w:t>
              <w:br/>
              <w:t>Stock</w:t>
              <w:br/>
              <w:t>Issuable Upon</w:t>
              <w:br/>
              <w:t>Conversion</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Seed</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391" w:type="dxa"/>
            <w:tcBorders/>
            <w:shd w:fill="auto" w:val="cle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41,666,666</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41,666,666</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49,762</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41,666,666</w:t>
            </w:r>
          </w:p>
        </w:tc>
        <w:tc>
          <w:tcPr>
            <w:tcW w:w="391" w:type="dxa"/>
            <w:tcBorders/>
            <w:shd w:fill="auto" w:val="cle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37,499,999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37,499,999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37,499,999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84,166,665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84,166,665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141,856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84,166,665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Preferred Stock as of December 31, 2021 had the following rights and preferences: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Dividends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holders of the Preferred Stock were entitled to receive noncumulative dividends when and if declared by the Board at the rate per annum of eight percent (8%) of the applicable Original Issue Price, which is $1.00</w:t>
      </w:r>
      <w:r>
        <w:rPr>
          <w:rFonts w:ascii="Times New Roman" w:hAnsi="Times New Roman"/>
          <w:sz w:val="20"/>
        </w:rPr>
        <w:t xml:space="preserve"> </w:t>
      </w:r>
      <w:r>
        <w:rPr>
          <w:rFonts w:ascii="Times New Roman;serif" w:hAnsi="Times New Roman;serif"/>
          <w:b w:val="false"/>
          <w:sz w:val="20"/>
        </w:rPr>
        <w:t>per share for the Series Seed Preferred Stock, $1.20</w:t>
      </w:r>
      <w:r>
        <w:rPr>
          <w:rFonts w:ascii="Times New Roman" w:hAnsi="Times New Roman"/>
          <w:sz w:val="20"/>
        </w:rPr>
        <w:t xml:space="preserve"> </w:t>
      </w:r>
      <w:r>
        <w:rPr>
          <w:rFonts w:ascii="Times New Roman;serif" w:hAnsi="Times New Roman;serif"/>
          <w:b w:val="false"/>
          <w:sz w:val="20"/>
        </w:rPr>
        <w:t>per share for the Series A Preferred Stock, and $2.40</w:t>
      </w:r>
      <w:r>
        <w:rPr>
          <w:rFonts w:ascii="Times New Roman" w:hAnsi="Times New Roman"/>
          <w:sz w:val="20"/>
        </w:rPr>
        <w:t xml:space="preserve"> </w:t>
      </w:r>
      <w:r>
        <w:rPr>
          <w:rFonts w:ascii="Times New Roman;serif" w:hAnsi="Times New Roman;serif"/>
          <w:b w:val="false"/>
          <w:sz w:val="20"/>
        </w:rPr>
        <w:t>per share for the Series B Preferred Stock. Preferred Stock dividends would have been paid in preference and in priority to any dividends on common stock. If Private Disc had declared, paid or set aside, on the same date, a dividend on shares of more than one class or series of capital stock of Private Disc, the dividend payable to the holders of the Preferred Stock would have been based on the number of common shares the Preferred Stock would convert into. There have been no</w:t>
      </w:r>
      <w:r>
        <w:rPr>
          <w:rFonts w:ascii="Times New Roman" w:hAnsi="Times New Roman"/>
          <w:sz w:val="20"/>
        </w:rPr>
        <w:t xml:space="preserve"> </w:t>
      </w:r>
      <w:r>
        <w:rPr>
          <w:rFonts w:ascii="Times New Roman;serif" w:hAnsi="Times New Roman;serif"/>
          <w:b w:val="false"/>
          <w:sz w:val="20"/>
        </w:rPr>
        <w:t>dividends declared by the Board to date.</w:t>
      </w:r>
    </w:p>
    <w:p>
      <w:pPr>
        <w:pStyle w:val="TextBody"/>
        <w:spacing w:before="240" w:after="0"/>
        <w:jc w:val="left"/>
        <w:rPr>
          <w:rFonts w:ascii="Times New Roman" w:hAnsi="Times New Roman"/>
          <w:sz w:val="20"/>
        </w:rPr>
      </w:pPr>
      <w:r>
        <w:rPr>
          <w:rFonts w:ascii="Times New Roman;serif" w:hAnsi="Times New Roman;serif"/>
          <w:b w:val="false"/>
          <w:i/>
          <w:sz w:val="20"/>
        </w:rPr>
        <w:t>Liquidation Preference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event of any liquidation, dissolution, or winding up of Private Disc (“Liquidation Event”), the holders of Series A and Series B Preferred Stock were entitled to receive prior and in preference to the holders of common stock and Series Seed Preferred Stock, an amount equal to the Original Issue Price plus all declared and unpaid dividends on the Series A and Series B Preferred Stock. If the assets and funds available to be distributed to all holders of Series A and Series B Preferred Stock were insufficient to permit the payment, in full, of any of the liquidation preferences, then the entire assets and funds legally available for distribution to the Series A and Series B Preferred Stock would have been distributed ratably among the holders of Series A and Series B Preferred Stock at the time outstanding, ratably in proportion to the full amounts to which they would otherwise be respectively entitled.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After the payment of the full liquidation preference of the Series A and Series B Preferred Stock as set forth above, the holders of shares of Series Seed Preferred Stock were entitled to receive an amount per share of Series Seed Preferred Stock equal to the Original Issue Price plus all declared and unpaid dividends on the Series Seed Preferred Stock. If the assets and funds available to be distributed to all holders of Series Seed Preferred Stock were insufficient to permit the payment, in full, of any of the liquidation preferences, then the entire assets and funds legally available for distribution to the Series Seed Preferred Stock would have been distributed ratably among the holders of Series Seed Preferred Stock at the time outstanding, ratably in proportion to the full amounts to which they would otherwise be respectively entitled or when the remaining capital is distributed.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After the payment of all preferential amounts related to the holders of Preferred Stock, the remaining assets of Private Disc would have been distributed pro rata to the holders of the Preferred Stock and common stock as if the Preferred Stock had converted at the time of the Liquidation Event. Preferential amounts to the holders of Preferred Stock were capped at 2.5 times the applicable Original Issue Price per share plus any dividends declared but unpaid or the amount such holder would have received if all shares had been converted to common stock immediately prior to the Liquidation Event.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123</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i/>
          <w:sz w:val="20"/>
        </w:rPr>
        <w:t>Conversion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2021, the shares of Preferred Stock were convertible into equal shares of common stock, at the conversion price in effect at the time of such conversion, (a) at any time upon the written consent of the holders of a majority of the outstanding shares of the Preferred Stock and at least one holder of Series B Preferred Stock that owned at least 4,166,666</w:t>
      </w:r>
      <w:r>
        <w:rPr>
          <w:rFonts w:ascii="Times New Roman" w:hAnsi="Times New Roman"/>
          <w:sz w:val="20"/>
        </w:rPr>
        <w:t xml:space="preserve"> </w:t>
      </w:r>
      <w:r>
        <w:rPr>
          <w:rFonts w:ascii="Times New Roman;serif" w:hAnsi="Times New Roman;serif"/>
          <w:b w:val="false"/>
          <w:sz w:val="20"/>
        </w:rPr>
        <w:t>shares of Series B Preferred Stock and that had not purchased any shares of Series A Preferred Stock as part of the Series A Agreement or (b) immediately upon the closing of a Qualified Public Offering. The conversion ratio for the shares of Preferred Stock was 1:1, subject to appropriate adjustment in the event of any stock dividend, stock split, combination or other similar recapitalization.</w:t>
      </w:r>
    </w:p>
    <w:p>
      <w:pPr>
        <w:pStyle w:val="TextBody"/>
        <w:spacing w:before="240" w:after="0"/>
        <w:jc w:val="left"/>
        <w:rPr>
          <w:rFonts w:ascii="Times New Roman" w:hAnsi="Times New Roman"/>
          <w:sz w:val="20"/>
        </w:rPr>
      </w:pPr>
      <w:r>
        <w:rPr>
          <w:rFonts w:ascii="Times New Roman;serif" w:hAnsi="Times New Roman;serif"/>
          <w:b w:val="false"/>
          <w:i/>
          <w:sz w:val="20"/>
        </w:rPr>
        <w:t>Voting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Preferred Stock vote together with the common stock on an as-converted basis, and not as a separate class, except for matters as defined by the Certificate of Incorporation which required the written consent or affirmative votes of the holders of a majority of the outstanding shares of the Preferred Stock and at least one holder of Series B Preferred Stock that owned at least 4,166,666</w:t>
      </w:r>
      <w:r>
        <w:rPr>
          <w:rFonts w:ascii="Times New Roman" w:hAnsi="Times New Roman"/>
          <w:sz w:val="20"/>
        </w:rPr>
        <w:t xml:space="preserve"> </w:t>
      </w:r>
      <w:r>
        <w:rPr>
          <w:rFonts w:ascii="Times New Roman;serif" w:hAnsi="Times New Roman;serif"/>
          <w:b w:val="false"/>
          <w:sz w:val="20"/>
        </w:rPr>
        <w:t>shares of Series B Preferred Stock and that had not purchased any shares of Series A Preferred Stock as part of the Series A Agreement. For any transactions that affect the priority of the Series A or Series B Preferred Stock, a majority of Series A or Series B Preferred Stock was required,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Redemption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Preferred Stock was not redeemable at the option of the holders thereof. However, the Preferred Stock was redeemable upon the occurrence of certain contingent events, unless otherwise determined by the holders.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it relates to the redemption upon the occurrence of a contingent event, Private Disc evaluated the Preferred Stock in accordance with the guidance in ASC 480 and determined that the redemption upon the occurrence of a contingent event was not solely within Private Disc’s</w:t>
      </w:r>
      <w:r>
        <w:rPr>
          <w:rFonts w:ascii="Times New Roman" w:hAnsi="Times New Roman"/>
          <w:sz w:val="20"/>
        </w:rPr>
        <w:t xml:space="preserve"> </w:t>
      </w:r>
      <w:r>
        <w:rPr>
          <w:rFonts w:ascii="Times New Roman;serif" w:hAnsi="Times New Roman;serif"/>
          <w:b w:val="false"/>
          <w:sz w:val="20"/>
        </w:rPr>
        <w:t>control and accordingly classified the Preferred Stock in temporary equity. The Preferred Stock was not currently redeemable, nor was it probable that the instruments would have become redeemable, and therefore the instruments were not being accreted to redemption value.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10. Common Stock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the closing of the merger, the shares of Private Disc's common stock were converted into shares of the Company's common stock based on the Exchange Ratio.</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authorized capital stock of the Company included 100,000,000</w:t>
      </w:r>
      <w:r>
        <w:rPr>
          <w:rFonts w:ascii="Times New Roman" w:hAnsi="Times New Roman"/>
          <w:sz w:val="20"/>
        </w:rPr>
        <w:t xml:space="preserve"> </w:t>
      </w:r>
      <w:r>
        <w:rPr>
          <w:rFonts w:ascii="Times New Roman;serif" w:hAnsi="Times New Roman;serif"/>
          <w:b w:val="false"/>
          <w:sz w:val="20"/>
        </w:rPr>
        <w:t>shares of common stock, $0.0001</w:t>
      </w:r>
      <w:r>
        <w:rPr>
          <w:rFonts w:ascii="Times New Roman" w:hAnsi="Times New Roman"/>
          <w:sz w:val="20"/>
        </w:rPr>
        <w:t xml:space="preserve"> </w:t>
      </w:r>
      <w:r>
        <w:rPr>
          <w:rFonts w:ascii="Times New Roman;serif" w:hAnsi="Times New Roman;serif"/>
          <w:b w:val="false"/>
          <w:sz w:val="20"/>
        </w:rPr>
        <w:t>par value per share. Prior to the merger, the holders of Private Disc's common stock were subject to and qualified by the rights, powers and preferences of the holders of the Preferred Stock set forth above. Each share of common stock entitles the holder to one vote on all matters submitted to the stockholders for a vote.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the Company has reserved the following shares of common stock for potential conversion of outstanding Preferred Stock and exercise of stock options:</w:t>
      </w:r>
    </w:p>
    <w:p>
      <w:pPr>
        <w:pStyle w:val="TextBody"/>
        <w:spacing w:before="0" w:after="0"/>
        <w:jc w:val="left"/>
        <w:rPr/>
      </w:pPr>
      <w:r>
        <w:rPr/>
        <w:t> </w:t>
      </w:r>
    </w:p>
    <w:tbl>
      <w:tblPr>
        <w:tblW w:w="6070" w:type="dxa"/>
        <w:jc w:val="left"/>
        <w:tblInd w:w="0" w:type="dxa"/>
        <w:tblCellMar>
          <w:top w:w="28" w:type="dxa"/>
          <w:left w:w="28" w:type="dxa"/>
          <w:bottom w:w="28" w:type="dxa"/>
          <w:right w:w="28" w:type="dxa"/>
        </w:tblCellMar>
      </w:tblPr>
      <w:tblGrid>
        <w:gridCol w:w="3256"/>
        <w:gridCol w:w="109"/>
        <w:gridCol w:w="146"/>
        <w:gridCol w:w="931"/>
        <w:gridCol w:w="146"/>
        <w:gridCol w:w="109"/>
        <w:gridCol w:w="146"/>
        <w:gridCol w:w="1036"/>
        <w:gridCol w:w="191"/>
      </w:tblGrid>
      <w:tr>
        <w:trPr/>
        <w:tc>
          <w:tcPr>
            <w:tcW w:w="3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51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Seed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41,666,666</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37,499,999</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2,640,590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1,456,551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2,640,590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85,623,216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11. 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2017 Stock Option and Grant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Private Disc adopted the 2017 Stock Option and Grant Plan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124</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w:t>
      </w:r>
    </w:p>
    <w:p>
      <w:pPr>
        <w:pStyle w:val="TextBody"/>
        <w:spacing w:before="120" w:after="0"/>
        <w:jc w:val="left"/>
        <w:rPr>
          <w:rFonts w:ascii="Times New Roman" w:hAnsi="Times New Roman"/>
          <w:sz w:val="20"/>
        </w:rPr>
      </w:pPr>
      <w:r>
        <w:rPr>
          <w:rFonts w:ascii="Times New Roman;serif" w:hAnsi="Times New Roman;serif"/>
          <w:b w:val="false"/>
          <w:sz w:val="20"/>
        </w:rPr>
        <w:t>The number of shares of common stock reserved for issuance as of December 31, 2022 and 2021 was 1,672,599</w:t>
      </w:r>
      <w:r>
        <w:rPr>
          <w:rFonts w:ascii="Times New Roman" w:hAnsi="Times New Roman"/>
          <w:sz w:val="20"/>
        </w:rPr>
        <w:t xml:space="preserve"> </w:t>
      </w:r>
      <w:r>
        <w:rPr>
          <w:rFonts w:ascii="Times New Roman;serif" w:hAnsi="Times New Roman;serif"/>
          <w:b w:val="false"/>
          <w:sz w:val="20"/>
        </w:rPr>
        <w:t>and 1,777,309</w:t>
      </w:r>
      <w:r>
        <w:rPr>
          <w:rFonts w:ascii="Times New Roman" w:hAnsi="Times New Roman"/>
          <w:sz w:val="20"/>
        </w:rPr>
        <w:t xml:space="preserve"> </w:t>
      </w:r>
      <w:r>
        <w:rPr>
          <w:rFonts w:ascii="Times New Roman;serif" w:hAnsi="Times New Roman;serif"/>
          <w:b w:val="false"/>
          <w:sz w:val="20"/>
        </w:rPr>
        <w:t>shares, respectively. Options available for grant were no</w:t>
      </w:r>
      <w:r>
        <w:rPr>
          <w:rFonts w:ascii="Times New Roman" w:hAnsi="Times New Roman"/>
          <w:sz w:val="20"/>
        </w:rPr>
        <w:t xml:space="preserve"> </w:t>
      </w:r>
      <w:r>
        <w:rPr>
          <w:rFonts w:ascii="Times New Roman;serif" w:hAnsi="Times New Roman;serif"/>
          <w:b w:val="false"/>
          <w:sz w:val="20"/>
        </w:rPr>
        <w:t>options and 247,896</w:t>
      </w:r>
      <w:r>
        <w:rPr>
          <w:rFonts w:ascii="Times New Roman" w:hAnsi="Times New Roman"/>
          <w:sz w:val="20"/>
        </w:rPr>
        <w:t xml:space="preserve"> </w:t>
      </w:r>
      <w:r>
        <w:rPr>
          <w:rFonts w:ascii="Times New Roman;serif" w:hAnsi="Times New Roman;serif"/>
          <w:b w:val="false"/>
          <w:sz w:val="20"/>
        </w:rPr>
        <w:t>options at December 31, 2022 and 2021, respectively. Upon completion of the merger, the Company ceased granting awards under the Private Disc Plan.</w:t>
      </w:r>
    </w:p>
    <w:p>
      <w:pPr>
        <w:pStyle w:val="TextBody"/>
        <w:spacing w:before="120" w:after="0"/>
        <w:jc w:val="left"/>
        <w:rPr>
          <w:rFonts w:ascii="Times New Roman;serif" w:hAnsi="Times New Roman;serif"/>
          <w:b/>
          <w:i/>
          <w:sz w:val="20"/>
        </w:rPr>
      </w:pPr>
      <w:r>
        <w:rPr>
          <w:rFonts w:ascii="Times New Roman;serif" w:hAnsi="Times New Roman;serif"/>
          <w:b/>
          <w:i/>
          <w:sz w:val="20"/>
        </w:rPr>
        <w:t>2021 Stock Option and Incentive Plan</w:t>
      </w:r>
    </w:p>
    <w:p>
      <w:pPr>
        <w:pStyle w:val="TextBody"/>
        <w:spacing w:before="120" w:after="0"/>
        <w:jc w:val="left"/>
        <w:rPr>
          <w:rFonts w:ascii="Times New Roman" w:hAnsi="Times New Roman"/>
          <w:sz w:val="20"/>
        </w:rPr>
      </w:pPr>
      <w:r>
        <w:rPr>
          <w:rFonts w:ascii="Times New Roman;serif" w:hAnsi="Times New Roman;serif"/>
          <w:b w:val="false"/>
          <w:sz w:val="20"/>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December 31, 2022, 1,031,615</w:t>
      </w:r>
      <w:r>
        <w:rPr>
          <w:rFonts w:ascii="Times New Roman" w:hAnsi="Times New Roman"/>
          <w:sz w:val="20"/>
        </w:rPr>
        <w:t xml:space="preserve"> </w:t>
      </w:r>
      <w:r>
        <w:rPr>
          <w:rFonts w:ascii="Times New Roman;serif" w:hAnsi="Times New Roman;serif"/>
          <w:b w:val="false"/>
          <w:sz w:val="20"/>
        </w:rPr>
        <w:t>shares remained available for future issuance under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pStyle w:val="TextBody"/>
        <w:spacing w:before="120" w:after="0"/>
        <w:jc w:val="left"/>
        <w:rPr>
          <w:rFonts w:ascii="Times New Roman;serif" w:hAnsi="Times New Roman;serif"/>
          <w:b/>
          <w:i/>
          <w:sz w:val="20"/>
        </w:rPr>
      </w:pPr>
      <w:r>
        <w:rPr>
          <w:rFonts w:ascii="Times New Roman;serif" w:hAnsi="Times New Roman;serif"/>
          <w:b/>
          <w:i/>
          <w:sz w:val="20"/>
        </w:rPr>
        <w:t>2021 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In July 2021, Gemini’s board of directors approved the 2021 Employee Stock Purchase Plan (the "2021 ESPP"). The first offering period under the 2021 ESPP began on December 1, 2021. As of December 31, 2022, 179,898</w:t>
      </w:r>
      <w:r>
        <w:rPr>
          <w:rFonts w:ascii="Times New Roman" w:hAnsi="Times New Roman"/>
          <w:sz w:val="20"/>
        </w:rPr>
        <w:t xml:space="preserve"> </w:t>
      </w:r>
      <w:r>
        <w:rPr>
          <w:rFonts w:ascii="Times New Roman;serif" w:hAnsi="Times New Roman;serif"/>
          <w:b w:val="false"/>
          <w:sz w:val="20"/>
        </w:rPr>
        <w:t>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w:t>
      </w:r>
      <w:r>
        <w:rPr>
          <w:rFonts w:ascii="Times New Roman" w:hAnsi="Times New Roman"/>
          <w:sz w:val="20"/>
        </w:rPr>
        <w:t xml:space="preserve"> </w:t>
      </w:r>
      <w:r>
        <w:rPr>
          <w:rFonts w:ascii="Times New Roman;serif" w:hAnsi="Times New Roman;serif"/>
          <w:b w:val="false"/>
          <w:sz w:val="20"/>
        </w:rPr>
        <w:t>shares of common stock, or (c) such number of shares determined by the Company’s board of directors.</w:t>
      </w:r>
    </w:p>
    <w:p>
      <w:pPr>
        <w:pStyle w:val="TextBody"/>
        <w:spacing w:before="120" w:after="0"/>
        <w:jc w:val="left"/>
        <w:rPr>
          <w:rFonts w:ascii="Times New Roman;serif" w:hAnsi="Times New Roman;serif"/>
          <w:b/>
          <w:i/>
          <w:sz w:val="20"/>
        </w:rPr>
      </w:pPr>
      <w:r>
        <w:rPr>
          <w:rFonts w:ascii="Times New Roman;serif" w:hAnsi="Times New Roman;serif"/>
          <w:b/>
          <w:i/>
          <w:sz w:val="20"/>
        </w:rPr>
        <w:t>2021 Inducement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Upon completion of the merger, the Company ceased granting awards under the 2021 Inducement Plan.</w:t>
      </w:r>
    </w:p>
    <w:p>
      <w:pPr>
        <w:pStyle w:val="TextBody"/>
        <w:spacing w:before="120" w:after="0"/>
        <w:jc w:val="left"/>
        <w:rPr>
          <w:rFonts w:ascii="Times New Roman;serif" w:hAnsi="Times New Roman;serif"/>
          <w:b/>
          <w:i/>
          <w:sz w:val="20"/>
        </w:rPr>
      </w:pPr>
      <w:r>
        <w:rPr>
          <w:rFonts w:ascii="Times New Roman;serif" w:hAnsi="Times New Roman;serif"/>
          <w:b/>
          <w:i/>
          <w:sz w:val="20"/>
        </w:rPr>
        <w:t>Reverse Merger with Gemini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merger, each option to purchase shares of Private Disc common stock that was outstanding and unexercised under the Private Disc Plan immediately prior to the Effective Time, whether or not vested, was converted into an option to purchase shares of Gemini common stock and became eligible to be registered on Form S-8. Gemini assumed the Private Disc Plan, as amended, and each such outstanding option to purchase shares of Private Disc common stock in accordance with the terms (as in effect as of the date of the Merger Agreement) of the Private Disc Plan and the terms of the stock option agreement by which such option to purchase shares of Private Disc common stock is evidenced.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29, 2022, Gemini's shareholders approved amendments to the 2021 Plan and the 2021 ESPP to (i) increase the number of shares of common stock reserved for issuance under the 2021 Plan to a number of shares representing approximately 9% of the fully diluted capitalization of the Company, determined as of immediately following the merger and (ii) increase the number of shares of common stock reserved for issuance under the 2021 ESPP to a number of shares representing approximately 0.84% of the fully diluted capitalization of the Company, determined as of immediately following the merger.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125</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i/>
          <w:sz w:val="20"/>
        </w:rPr>
        <w:t>Stock Options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purposes of calculating stock-based compensation, the Company estimates the fair value of stock options using the Black-Scholes option-pricing model. This model incorporates various assumptions, including the expected volatility, expected term, and interest rates.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 option activity for the year ended December 31, 2022.</w:t>
      </w:r>
    </w:p>
    <w:p>
      <w:pPr>
        <w:pStyle w:val="TextBody"/>
        <w:spacing w:before="0" w:after="0"/>
        <w:jc w:val="left"/>
        <w:rPr/>
      </w:pPr>
      <w:r>
        <w:rPr/>
        <w:t> </w:t>
      </w:r>
    </w:p>
    <w:tbl>
      <w:tblPr>
        <w:tblW w:w="8627" w:type="dxa"/>
        <w:jc w:val="left"/>
        <w:tblInd w:w="0" w:type="dxa"/>
        <w:tblCellMar>
          <w:top w:w="28" w:type="dxa"/>
          <w:left w:w="28" w:type="dxa"/>
          <w:bottom w:w="28" w:type="dxa"/>
          <w:right w:w="28" w:type="dxa"/>
        </w:tblCellMar>
      </w:tblPr>
      <w:tblGrid>
        <w:gridCol w:w="3001"/>
        <w:gridCol w:w="146"/>
        <w:gridCol w:w="146"/>
        <w:gridCol w:w="931"/>
        <w:gridCol w:w="166"/>
        <w:gridCol w:w="146"/>
        <w:gridCol w:w="230"/>
        <w:gridCol w:w="626"/>
        <w:gridCol w:w="146"/>
        <w:gridCol w:w="146"/>
        <w:gridCol w:w="303"/>
        <w:gridCol w:w="972"/>
        <w:gridCol w:w="146"/>
        <w:gridCol w:w="146"/>
        <w:gridCol w:w="282"/>
        <w:gridCol w:w="903"/>
        <w:gridCol w:w="19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b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2021</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1,456,551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13,027</w:t>
            </w:r>
          </w:p>
        </w:tc>
        <w:tc>
          <w:tcPr>
            <w:tcW w:w="1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Assumed in reverse recapitalization</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303,497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978,539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18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18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2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118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2,640,590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25,513</w:t>
            </w:r>
          </w:p>
        </w:tc>
        <w:tc>
          <w:tcPr>
            <w:tcW w:w="191" w:type="dxa"/>
            <w:tcBorders/>
            <w:shd w:fill="auto" w:val="clear"/>
            <w:vAlign w:val="center"/>
          </w:tcPr>
          <w:p>
            <w:pPr>
              <w:pStyle w:val="TableContents"/>
              <w:spacing w:before="0" w:after="0"/>
              <w:ind w:left="0" w:right="0" w:hanging="0"/>
              <w:jc w:val="left"/>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December 31, 2022</w:t>
            </w:r>
          </w:p>
        </w:tc>
        <w:tc>
          <w:tcPr>
            <w:tcW w:w="1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1,010,939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11,037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2022 and 2021 was $0.6</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weighted-average assumptions used to estimate the fair value of stock options granted were as follows:</w:t>
      </w:r>
    </w:p>
    <w:p>
      <w:pPr>
        <w:pStyle w:val="TextBody"/>
        <w:spacing w:before="0" w:after="0"/>
        <w:jc w:val="left"/>
        <w:rPr/>
      </w:pPr>
      <w:r>
        <w:rPr/>
        <w:t> </w:t>
      </w:r>
    </w:p>
    <w:tbl>
      <w:tblPr>
        <w:tblW w:w="5555" w:type="dxa"/>
        <w:jc w:val="left"/>
        <w:tblInd w:w="0" w:type="dxa"/>
        <w:tblCellMar>
          <w:top w:w="28" w:type="dxa"/>
          <w:left w:w="28" w:type="dxa"/>
          <w:bottom w:w="28" w:type="dxa"/>
          <w:right w:w="28" w:type="dxa"/>
        </w:tblCellMar>
      </w:tblPr>
      <w:tblGrid>
        <w:gridCol w:w="3136"/>
        <w:gridCol w:w="109"/>
        <w:gridCol w:w="229"/>
        <w:gridCol w:w="619"/>
        <w:gridCol w:w="294"/>
        <w:gridCol w:w="118"/>
        <w:gridCol w:w="229"/>
        <w:gridCol w:w="505"/>
        <w:gridCol w:w="316"/>
      </w:tblGrid>
      <w:tr>
        <w:trPr/>
        <w:tc>
          <w:tcPr>
            <w:tcW w:w="3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7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09"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09"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294" w:type="dxa"/>
            <w:tcBorders/>
            <w:shd w:fill="auto" w:val="clear"/>
            <w:vAlign w:val="center"/>
          </w:tcPr>
          <w:p>
            <w:pPr>
              <w:pStyle w:val="TableContents"/>
              <w:spacing w:before="0" w:after="0"/>
              <w:ind w:left="0" w:right="0" w:hanging="0"/>
              <w:jc w:val="left"/>
              <w:rPr/>
            </w:pPr>
            <w:r>
              <w:rPr/>
              <w:t> </w:t>
            </w:r>
          </w:p>
        </w:tc>
        <w:tc>
          <w:tcPr>
            <w:tcW w:w="118"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16"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09"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09"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pPr>
            <w:r>
              <w:rPr/>
              <w:t> </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per share of common stock</w:t>
            </w:r>
          </w:p>
        </w:tc>
        <w:tc>
          <w:tcPr>
            <w:tcW w:w="109"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294" w:type="dxa"/>
            <w:tcBorders/>
            <w:shd w:fill="auto" w:val="clear"/>
            <w:vAlign w:val="center"/>
          </w:tcPr>
          <w:p>
            <w:pPr>
              <w:pStyle w:val="TableContents"/>
              <w:spacing w:before="0" w:after="0"/>
              <w:ind w:left="0" w:right="0" w:hanging="0"/>
              <w:jc w:val="left"/>
              <w:rPr/>
            </w:pPr>
            <w:r>
              <w:rPr/>
              <w:t> </w:t>
            </w:r>
          </w:p>
        </w:tc>
        <w:tc>
          <w:tcPr>
            <w:tcW w:w="118" w:type="dxa"/>
            <w:tcBorders/>
            <w:shd w:fill="auto" w:val="clear"/>
            <w:vAlign w:val="center"/>
          </w:tcPr>
          <w:p>
            <w:pPr>
              <w:pStyle w:val="TableContents"/>
              <w:spacing w:before="0" w:after="0"/>
              <w:ind w:left="0" w:right="0" w:hanging="0"/>
              <w:jc w:val="right"/>
              <w:rPr/>
            </w:pPr>
            <w:r>
              <w:rPr/>
              <w:t>​</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weighted-average grant date fair value of options granted in the years ended December 31, 2022 and 2021 was $8.13</w:t>
      </w:r>
      <w:r>
        <w:rPr>
          <w:rFonts w:ascii="Times New Roman" w:hAnsi="Times New Roman"/>
          <w:sz w:val="20"/>
        </w:rPr>
        <w:t xml:space="preserve"> </w:t>
      </w:r>
      <w:r>
        <w:rPr>
          <w:rFonts w:ascii="Times New Roman;serif" w:hAnsi="Times New Roman;serif"/>
          <w:b w:val="false"/>
          <w:sz w:val="20"/>
        </w:rPr>
        <w:t>and $4.98</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total fair value of options vested during the years ended December 31, 2022 and 2021 was $1.9</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Shares of Restricted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Company had issued a total of 63,061</w:t>
      </w:r>
      <w:r>
        <w:rPr>
          <w:rFonts w:ascii="Times New Roman" w:hAnsi="Times New Roman"/>
          <w:sz w:val="20"/>
        </w:rPr>
        <w:t xml:space="preserve"> </w:t>
      </w:r>
      <w:r>
        <w:rPr>
          <w:rFonts w:ascii="Times New Roman;serif" w:hAnsi="Times New Roman;serif"/>
          <w:b w:val="false"/>
          <w:sz w:val="20"/>
        </w:rPr>
        <w:t>shares of restricted common stock to the founders of Private Disc pursuant to subscription agreements and to certain key employees pursuant to the Private Disc Plan at $0.0001</w:t>
      </w:r>
      <w:r>
        <w:rPr>
          <w:rFonts w:ascii="Times New Roman" w:hAnsi="Times New Roman"/>
          <w:sz w:val="20"/>
        </w:rPr>
        <w:t xml:space="preserve"> </w:t>
      </w:r>
      <w:r>
        <w:rPr>
          <w:rFonts w:ascii="Times New Roman;serif" w:hAnsi="Times New Roman;serif"/>
          <w:b w:val="false"/>
          <w:sz w:val="20"/>
        </w:rPr>
        <w:t>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restricted common stock activity is as follows:</w:t>
      </w:r>
    </w:p>
    <w:p>
      <w:pPr>
        <w:pStyle w:val="TextBody"/>
        <w:spacing w:before="0" w:after="0"/>
        <w:jc w:val="left"/>
        <w:rPr/>
      </w:pPr>
      <w:r>
        <w:rPr/>
        <w:t> </w:t>
      </w:r>
    </w:p>
    <w:tbl>
      <w:tblPr>
        <w:tblW w:w="5659" w:type="dxa"/>
        <w:jc w:val="left"/>
        <w:tblInd w:w="0" w:type="dxa"/>
        <w:tblCellMar>
          <w:top w:w="28" w:type="dxa"/>
          <w:left w:w="28" w:type="dxa"/>
          <w:bottom w:w="28" w:type="dxa"/>
          <w:right w:w="28" w:type="dxa"/>
        </w:tblCellMar>
      </w:tblPr>
      <w:tblGrid>
        <w:gridCol w:w="3166"/>
        <w:gridCol w:w="109"/>
        <w:gridCol w:w="147"/>
        <w:gridCol w:w="681"/>
        <w:gridCol w:w="167"/>
        <w:gridCol w:w="109"/>
        <w:gridCol w:w="147"/>
        <w:gridCol w:w="742"/>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9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the beginning of the year</w:t>
            </w:r>
          </w:p>
        </w:tc>
        <w:tc>
          <w:tcPr>
            <w:tcW w:w="109"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10,170</w:t>
            </w:r>
          </w:p>
        </w:tc>
        <w:tc>
          <w:tcPr>
            <w:tcW w:w="167"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24,940</w:t>
            </w:r>
          </w:p>
        </w:tc>
        <w:tc>
          <w:tcPr>
            <w:tcW w:w="391" w:type="dxa"/>
            <w:tcBorders/>
            <w:shd w:fill="auto" w:val="cle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09" w:type="dxa"/>
            <w:tcBorders/>
            <w:shd w:fill="auto" w:val="clear"/>
            <w:vAlign w:val="center"/>
          </w:tcPr>
          <w:p>
            <w:pPr>
              <w:pStyle w:val="TableContents"/>
              <w:spacing w:before="0" w:after="0"/>
              <w:ind w:left="0" w:right="0" w:hanging="0"/>
              <w:jc w:val="right"/>
              <w:rPr/>
            </w:pPr>
            <w:r>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(8,254</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the end of the year</w:t>
            </w:r>
          </w:p>
        </w:tc>
        <w:tc>
          <w:tcPr>
            <w:tcW w:w="109" w:type="dxa"/>
            <w:tcBorders/>
            <w:shd w:fill="auto" w:val="clear"/>
            <w:vAlign w:val="center"/>
          </w:tcPr>
          <w:p>
            <w:pPr>
              <w:pStyle w:val="TableContents"/>
              <w:spacing w:before="0" w:after="0"/>
              <w:ind w:left="0" w:right="0" w:hanging="0"/>
              <w:jc w:val="right"/>
              <w:rPr/>
            </w:pPr>
            <w:r>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December 31, 2022, the unrecognized stock-based compensation expense related to restricted common stock is expected to be recognized over a weighted-average period of 0.25</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stock-based compensation expense recorded as research and development and general and administrative expenses, respectively, for employees, directors and non-employees is as follows (in thousands):</w:t>
      </w:r>
    </w:p>
    <w:p>
      <w:pPr>
        <w:pStyle w:val="TextBody"/>
        <w:spacing w:before="0" w:after="0"/>
        <w:jc w:val="both"/>
        <w:rPr/>
      </w:pPr>
      <w:r>
        <w:rPr/>
        <w:t> </w:t>
      </w:r>
    </w:p>
    <w:tbl>
      <w:tblPr>
        <w:tblW w:w="5744" w:type="dxa"/>
        <w:jc w:val="left"/>
        <w:tblInd w:w="0" w:type="dxa"/>
        <w:tblCellMar>
          <w:top w:w="28" w:type="dxa"/>
          <w:left w:w="28" w:type="dxa"/>
          <w:bottom w:w="28" w:type="dxa"/>
          <w:right w:w="28" w:type="dxa"/>
        </w:tblCellMar>
      </w:tblPr>
      <w:tblGrid>
        <w:gridCol w:w="3451"/>
        <w:gridCol w:w="109"/>
        <w:gridCol w:w="252"/>
        <w:gridCol w:w="682"/>
        <w:gridCol w:w="174"/>
        <w:gridCol w:w="130"/>
        <w:gridCol w:w="252"/>
        <w:gridCol w:w="503"/>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9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09" w:type="dxa"/>
            <w:tcBorders/>
            <w:shd w:fill="auto" w:val="clear"/>
            <w:vAlign w:val="center"/>
          </w:tcPr>
          <w:p>
            <w:pPr>
              <w:pStyle w:val="TableContents"/>
              <w:spacing w:before="0" w:after="0"/>
              <w:ind w:left="0" w:right="0" w:hanging="0"/>
              <w:jc w:val="right"/>
              <w:rPr/>
            </w:pPr>
            <w:r>
              <w:rPr/>
              <w:t>​</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74" w:type="dxa"/>
            <w:tcBorders/>
            <w:shd w:fill="auto" w:val="clear"/>
            <w:vAlign w:val="center"/>
          </w:tcPr>
          <w:p>
            <w:pPr>
              <w:pStyle w:val="TableContents"/>
              <w:spacing w:before="0" w:after="0"/>
              <w:ind w:left="0" w:right="0" w:hanging="0"/>
              <w:jc w:val="left"/>
              <w:rPr/>
            </w:pPr>
            <w:r>
              <w:rPr/>
              <w:t> </w:t>
            </w:r>
          </w:p>
        </w:tc>
        <w:tc>
          <w:tcPr>
            <w:tcW w:w="130" w:type="dxa"/>
            <w:tcBorders/>
            <w:shd w:fill="auto" w:val="clear"/>
            <w:vAlign w:val="center"/>
          </w:tcPr>
          <w:p>
            <w:pPr>
              <w:pStyle w:val="TableContents"/>
              <w:spacing w:before="0" w:after="0"/>
              <w:ind w:left="0" w:right="0" w:hanging="0"/>
              <w:jc w:val="right"/>
              <w:rPr/>
            </w:pPr>
            <w:r>
              <w:rPr/>
              <w:t>​</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09" w:type="dxa"/>
            <w:tcBorders/>
            <w:shd w:fill="auto" w:val="clear"/>
            <w:vAlign w:val="center"/>
          </w:tcPr>
          <w:p>
            <w:pPr>
              <w:pStyle w:val="TableContents"/>
              <w:spacing w:before="0" w:after="0"/>
              <w:ind w:left="0" w:right="0" w:hanging="0"/>
              <w:jc w:val="right"/>
              <w:rPr/>
            </w:pPr>
            <w:r>
              <w:rPr/>
              <w:t>​</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09" w:type="dxa"/>
            <w:tcBorders/>
            <w:shd w:fill="auto" w:val="clear"/>
            <w:vAlign w:val="center"/>
          </w:tcPr>
          <w:p>
            <w:pPr>
              <w:pStyle w:val="TableContents"/>
              <w:spacing w:before="0" w:after="0"/>
              <w:ind w:left="0" w:right="0" w:hanging="0"/>
              <w:jc w:val="right"/>
              <w:rPr/>
            </w:pPr>
            <w:r>
              <w:rPr/>
              <w:t>​</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December 31, 2022, the total unrecognized stock-based compensation expense related to outstanding awards was $10.0</w:t>
      </w:r>
      <w:r>
        <w:rPr>
          <w:rFonts w:ascii="Times New Roman" w:hAnsi="Times New Roman"/>
          <w:sz w:val="20"/>
        </w:rPr>
        <w:t xml:space="preserve"> </w:t>
      </w:r>
      <w:r>
        <w:rPr>
          <w:rFonts w:ascii="Times New Roman;serif" w:hAnsi="Times New Roman;serif"/>
          <w:b w:val="false"/>
          <w:sz w:val="20"/>
        </w:rPr>
        <w:t>million and is expected to be recognized over a weighted-average period of 2.98</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reconciliation of the U.S. federal statutory income tax rate to the Company’s effective income tax rate is as follows:</w:t>
      </w:r>
    </w:p>
    <w:p>
      <w:pPr>
        <w:pStyle w:val="TextBody"/>
        <w:spacing w:before="0" w:after="0"/>
        <w:jc w:val="both"/>
        <w:rPr/>
      </w:pPr>
      <w:r>
        <w:rPr/>
        <w:t> </w:t>
      </w:r>
    </w:p>
    <w:tbl>
      <w:tblPr>
        <w:tblW w:w="7150" w:type="dxa"/>
        <w:jc w:val="left"/>
        <w:tblInd w:w="0" w:type="dxa"/>
        <w:tblCellMar>
          <w:top w:w="28" w:type="dxa"/>
          <w:left w:w="28" w:type="dxa"/>
          <w:bottom w:w="28" w:type="dxa"/>
          <w:right w:w="28" w:type="dxa"/>
        </w:tblCellMar>
      </w:tblPr>
      <w:tblGrid>
        <w:gridCol w:w="4531"/>
        <w:gridCol w:w="109"/>
        <w:gridCol w:w="165"/>
        <w:gridCol w:w="596"/>
        <w:gridCol w:w="307"/>
        <w:gridCol w:w="165"/>
        <w:gridCol w:w="165"/>
        <w:gridCol w:w="596"/>
        <w:gridCol w:w="516"/>
      </w:tblGrid>
      <w:tr>
        <w:trPr/>
        <w:tc>
          <w:tcPr>
            <w:tcW w:w="4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453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statutory income tax rate</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State income taxes, net of federal benefit</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07"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1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and state research and development tax credits</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07"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16" w:type="dxa"/>
            <w:tcBorders/>
            <w:shd w:fill="auto" w:val="clear"/>
            <w:vAlign w:val="center"/>
          </w:tcPr>
          <w:p>
            <w:pPr>
              <w:pStyle w:val="TableContents"/>
              <w:spacing w:before="0" w:after="0"/>
              <w:ind w:left="0" w:right="0" w:firstLine="200"/>
              <w:jc w:val="left"/>
              <w:rPr/>
            </w:pPr>
            <w:r>
              <w:rPr/>
              <w:t> </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deferred tax asset valuation allowance</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09" w:type="dxa"/>
            <w:tcBorders/>
            <w:shd w:fill="auto" w:val="clear"/>
            <w:vAlign w:val="center"/>
          </w:tcPr>
          <w:p>
            <w:pPr>
              <w:pStyle w:val="TableContents"/>
              <w:spacing w:before="0" w:after="0"/>
              <w:ind w:left="0" w:right="0" w:hanging="0"/>
              <w:jc w:val="right"/>
              <w:rPr/>
            </w:pPr>
            <w:r>
              <w:rPr/>
              <w:t>​</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For the twelve months ended December 31, 2022 and 2021, no income tax expense was recorded due to the Company’s net operating loss (“NOL”) and full valuation allowance.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Deferred income taxes reflect the net tax effects of temporary differences between the carrying amount of assets and liabilities for financial reporting purposes and the amounts used for income tax purposes.</w:t>
      </w:r>
      <w:r>
        <w:rPr>
          <w:rFonts w:ascii="Times New Roman" w:hAnsi="Times New Roman"/>
          <w:sz w:val="20"/>
        </w:rPr>
        <w:t xml:space="preserve"> </w:t>
      </w:r>
      <w:r>
        <w:rPr>
          <w:rFonts w:ascii="Times New Roman;serif" w:hAnsi="Times New Roman;serif"/>
          <w:b w:val="false"/>
          <w:sz w:val="20"/>
        </w:rPr>
        <w:t>The significant components of the Company’s net deferred income taxes are as follows (in thousands):</w:t>
      </w:r>
    </w:p>
    <w:p>
      <w:pPr>
        <w:pStyle w:val="TextBody"/>
        <w:spacing w:before="0" w:after="0"/>
        <w:jc w:val="both"/>
        <w:rPr/>
      </w:pPr>
      <w:r>
        <w:rPr/>
        <w:t> </w:t>
      </w:r>
    </w:p>
    <w:tbl>
      <w:tblPr>
        <w:tblW w:w="7084" w:type="dxa"/>
        <w:jc w:val="left"/>
        <w:tblInd w:w="0" w:type="dxa"/>
        <w:tblCellMar>
          <w:top w:w="28" w:type="dxa"/>
          <w:left w:w="28" w:type="dxa"/>
          <w:bottom w:w="28" w:type="dxa"/>
          <w:right w:w="28" w:type="dxa"/>
        </w:tblCellMar>
      </w:tblPr>
      <w:tblGrid>
        <w:gridCol w:w="4321"/>
        <w:gridCol w:w="146"/>
        <w:gridCol w:w="211"/>
        <w:gridCol w:w="736"/>
        <w:gridCol w:w="166"/>
        <w:gridCol w:w="146"/>
        <w:gridCol w:w="211"/>
        <w:gridCol w:w="736"/>
        <w:gridCol w:w="41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 carryforwards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15,128</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experimental expenditures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credits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1,639</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licenses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deferred tax assets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20,467</w:t>
            </w:r>
          </w:p>
        </w:tc>
        <w:tc>
          <w:tcPr>
            <w:tcW w:w="41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tax assets, net of valuation allowance</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right-of-use assets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deferred tax liabilities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w:t>
            </w:r>
          </w:p>
        </w:tc>
        <w:tc>
          <w:tcPr>
            <w:tcW w:w="14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127</w:t>
      </w:r>
    </w:p>
    <w:p>
      <w:pPr>
        <w:pStyle w:val="HorizontalLine"/>
        <w:rPr/>
      </w:pPr>
      <w:r>
        <w:rPr/>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has had no income tax expense due to operating losses incurred since inception. The Company’s losses before income taxes consist solely of losses from domestic operations.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2022, the valuation allowance increased by $16.1</w:t>
      </w:r>
      <w:r>
        <w:rPr>
          <w:rFonts w:ascii="Times New Roman" w:hAnsi="Times New Roman"/>
          <w:sz w:val="20"/>
        </w:rPr>
        <w:t xml:space="preserve"> </w:t>
      </w:r>
      <w:r>
        <w:rPr>
          <w:rFonts w:ascii="Times New Roman;serif" w:hAnsi="Times New Roman;serif"/>
          <w:b w:val="false"/>
          <w:sz w:val="20"/>
        </w:rPr>
        <w:t>million primarily due to the increase in the Company’s net operating loss, capitalized expenditures and tax credit carryforwards during the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December 31, 2022, the Company had $69.3</w:t>
      </w:r>
      <w:r>
        <w:rPr>
          <w:rFonts w:ascii="Times New Roman" w:hAnsi="Times New Roman"/>
          <w:sz w:val="20"/>
        </w:rPr>
        <w:t xml:space="preserve"> </w:t>
      </w:r>
      <w:r>
        <w:rPr>
          <w:rFonts w:ascii="Times New Roman;serif" w:hAnsi="Times New Roman;serif"/>
          <w:b w:val="false"/>
          <w:sz w:val="20"/>
        </w:rPr>
        <w:t>million and $67.7</w:t>
      </w:r>
      <w:r>
        <w:rPr>
          <w:rFonts w:ascii="Times New Roman" w:hAnsi="Times New Roman"/>
          <w:sz w:val="20"/>
        </w:rPr>
        <w:t xml:space="preserve"> </w:t>
      </w:r>
      <w:r>
        <w:rPr>
          <w:rFonts w:ascii="Times New Roman;serif" w:hAnsi="Times New Roman;serif"/>
          <w:b w:val="false"/>
          <w:sz w:val="20"/>
        </w:rPr>
        <w:t>million of federal and state operating loss carryforwards, respectively. The pre-merger net operating loss carryforwards of Gemini were written off in the transaction as these would be permanently restricted from use as a result of Section 382 of the Internal Revenue Code of 1986 (“Section 382”). Substantially all of the federal NOLs are not subject to expiration and the state NOLs begin to expire in 2037. These loss carryforwards are available to reduce future federal taxable income, if any. As of December 31, 2022, the Company also had federal and state research and development tax credit carryforwards of $2.7</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respectively, to offset future income taxes, which will begin to expire beginning in December 2032. These loss carryforwards are subject to review</w:t>
      </w:r>
      <w:r>
        <w:rPr>
          <w:rFonts w:ascii="Times New Roman" w:hAnsi="Times New Roman"/>
          <w:sz w:val="20"/>
        </w:rPr>
        <w:t xml:space="preserve"> </w:t>
      </w:r>
      <w:r>
        <w:rPr>
          <w:rFonts w:ascii="Times New Roman;serif" w:hAnsi="Times New Roman;serif"/>
          <w:b w:val="false"/>
          <w:sz w:val="20"/>
        </w:rPr>
        <w:t>and possible adjustment by the appropriate taxing authorities.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2022, would limit or otherwise restrict its ability to utilize its NOL and research and development credit carryforwards. In addition, future changes in ownership occurring after December 31, 2022 could affect the limitation in future years, and any limitation may result in expiration of a portion of the NOL or research and development credit carryforwards before utilization.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pStyle w:val="TextBody"/>
        <w:spacing w:before="120" w:after="0"/>
        <w:jc w:val="left"/>
        <w:rPr>
          <w:rFonts w:ascii="Times New Roman" w:hAnsi="Times New Roman"/>
          <w:sz w:val="20"/>
        </w:rPr>
      </w:pPr>
      <w:r>
        <w:rPr>
          <w:rFonts w:ascii="Times New Roman;serif" w:hAnsi="Times New Roman;serif"/>
          <w:b w:val="false"/>
          <w:sz w:val="20"/>
        </w:rPr>
        <w:t>On December 18, 2015, the Protecting Americans from Tax Hikes (“PATH”) Act of 2015 was signed into law. The PATH Act has created several research and development credit provisions, including allowing a qualified small business to utilize the research credit against the employer portion of payroll tax (i.e., FICA tax) not exceeding $0.3</w:t>
      </w:r>
      <w:r>
        <w:rPr>
          <w:rFonts w:ascii="Times New Roman" w:hAnsi="Times New Roman"/>
          <w:sz w:val="20"/>
        </w:rPr>
        <w:t xml:space="preserve"> </w:t>
      </w:r>
      <w:r>
        <w:rPr>
          <w:rFonts w:ascii="Times New Roman;serif" w:hAnsi="Times New Roman;serif"/>
          <w:b w:val="false"/>
          <w:sz w:val="20"/>
        </w:rPr>
        <w:t>million per year. This provision is available for credits generated in tax years beginning after 2015. The Company qualifies as a small business for 2022 and will elect to make a small business election.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follows the provisions of ASC Topic 740-10, </w:t>
      </w:r>
      <w:r>
        <w:rPr>
          <w:rFonts w:ascii="Times New Roman;serif" w:hAnsi="Times New Roman;serif"/>
          <w:b w:val="false"/>
          <w:i/>
          <w:sz w:val="20"/>
        </w:rPr>
        <w:t>Accounting for Uncertainty in Income Taxes</w:t>
      </w:r>
      <w:r>
        <w:rPr>
          <w:rFonts w:ascii="Times New Roman;serif" w:hAnsi="Times New Roman;serif"/>
          <w:b w:val="false"/>
          <w:sz w:val="20"/>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2022 and 2021,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2022 and 2021, the Company had no reserves for uncertain tax positions. For the years ended December 31, 2022 and 2021, no estimated interest or penalties were recognized on uncertain tax positions.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tax returns for the years ended December 31, 2019 to December 31, 2022</w:t>
      </w:r>
      <w:r>
        <w:rPr>
          <w:rFonts w:ascii="Times New Roman" w:hAnsi="Times New Roman"/>
          <w:sz w:val="20"/>
        </w:rPr>
        <w:t xml:space="preserve"> </w:t>
      </w:r>
      <w:r>
        <w:rPr>
          <w:rFonts w:ascii="Times New Roman;serif" w:hAnsi="Times New Roman;serif"/>
          <w:b w:val="false"/>
          <w:sz w:val="20"/>
        </w:rPr>
        <w:t>remain open and subject to examination by the Internal Revenue Service and state taxing authorities.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13. Net Loss Per Share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and diluted loss per share is computed by dividing net loss attributable to common stockholders by the weighted-average common shares outstanding. The following table sets forth the computation of the Company’s basic and diluted net loss per share (in thousands, except share and per share data):</w:t>
      </w:r>
    </w:p>
    <w:p>
      <w:pPr>
        <w:pStyle w:val="TextBody"/>
        <w:spacing w:before="0" w:after="0"/>
        <w:jc w:val="both"/>
        <w:rPr/>
      </w:pPr>
      <w:r>
        <w:rPr/>
        <w:t> </w:t>
      </w:r>
    </w:p>
    <w:tbl>
      <w:tblPr>
        <w:tblW w:w="8962" w:type="dxa"/>
        <w:jc w:val="left"/>
        <w:tblInd w:w="0" w:type="dxa"/>
        <w:tblCellMar>
          <w:top w:w="28" w:type="dxa"/>
          <w:left w:w="28" w:type="dxa"/>
          <w:bottom w:w="28" w:type="dxa"/>
          <w:right w:w="28" w:type="dxa"/>
        </w:tblCellMar>
      </w:tblPr>
      <w:tblGrid>
        <w:gridCol w:w="6016"/>
        <w:gridCol w:w="109"/>
        <w:gridCol w:w="211"/>
        <w:gridCol w:w="931"/>
        <w:gridCol w:w="166"/>
        <w:gridCol w:w="146"/>
        <w:gridCol w:w="211"/>
        <w:gridCol w:w="781"/>
        <w:gridCol w:w="391"/>
      </w:tblGrid>
      <w:tr>
        <w:trPr/>
        <w:tc>
          <w:tcPr>
            <w:tcW w:w="6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(35,969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09" w:type="dxa"/>
            <w:tcBorders/>
            <w:shd w:fill="auto" w:val="clear"/>
            <w:vAlign w:val="center"/>
          </w:tcPr>
          <w:p>
            <w:pPr>
              <w:pStyle w:val="TableContents"/>
              <w:spacing w:before="0" w:after="0"/>
              <w:ind w:left="0" w:right="0" w:hanging="0"/>
              <w:jc w:val="right"/>
              <w:rPr/>
            </w:pPr>
            <w:r>
              <w:rPr/>
              <w:t>​</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1,039,490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878,407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stockholders-basic and diluted</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potentially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because including them would have had an anti-dilutive effect:</w:t>
      </w:r>
    </w:p>
    <w:p>
      <w:pPr>
        <w:pStyle w:val="TextBody"/>
        <w:spacing w:before="0" w:after="0"/>
        <w:jc w:val="both"/>
        <w:rPr/>
      </w:pPr>
      <w:r>
        <w:rPr/>
        <w:t> </w:t>
      </w:r>
    </w:p>
    <w:tbl>
      <w:tblPr>
        <w:tblW w:w="6070" w:type="dxa"/>
        <w:jc w:val="left"/>
        <w:tblInd w:w="0" w:type="dxa"/>
        <w:tblCellMar>
          <w:top w:w="28" w:type="dxa"/>
          <w:left w:w="28" w:type="dxa"/>
          <w:bottom w:w="28" w:type="dxa"/>
          <w:right w:w="28" w:type="dxa"/>
        </w:tblCellMar>
      </w:tblPr>
      <w:tblGrid>
        <w:gridCol w:w="3256"/>
        <w:gridCol w:w="109"/>
        <w:gridCol w:w="146"/>
        <w:gridCol w:w="931"/>
        <w:gridCol w:w="146"/>
        <w:gridCol w:w="109"/>
        <w:gridCol w:w="146"/>
        <w:gridCol w:w="1036"/>
        <w:gridCol w:w="191"/>
      </w:tblGrid>
      <w:tr>
        <w:trPr/>
        <w:tc>
          <w:tcPr>
            <w:tcW w:w="3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251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Seed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41,666,666</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 convertible preferred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37,499,999</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common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10,170</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2,640,590</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1,456,551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left"/>
        <w:rPr>
          <w:rFonts w:ascii="Times New Roman" w:hAnsi="Times New Roman"/>
          <w:sz w:val="20"/>
        </w:rPr>
      </w:pPr>
      <w:r>
        <w:rPr>
          <w:rFonts w:ascii="Times New Roman;serif" w:hAnsi="Times New Roman;serif"/>
          <w:b/>
          <w:sz w:val="20"/>
        </w:rPr>
        <w:t>14.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from time to time, may be party to litigation arising in the ordinary course of business. The Company was not subject to any material legal proceedings during the twelve months ended December 31, 2022 and 2021 and, to the best of its knowledge, no material legal proceedings are currently pending or threatened.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Payments Upon Termination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pStyle w:val="TextBody"/>
        <w:spacing w:before="240" w:after="0"/>
        <w:jc w:val="left"/>
        <w:rPr>
          <w:rFonts w:ascii="Times New Roman" w:hAnsi="Times New Roman"/>
          <w:sz w:val="20"/>
        </w:rPr>
      </w:pPr>
      <w:r>
        <w:rPr>
          <w:rFonts w:ascii="Times New Roman;serif" w:hAnsi="Times New Roman;serif"/>
          <w:b/>
          <w:sz w:val="20"/>
        </w:rPr>
        <w:t>15. 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September 2021, Private Disc and its landlord jointly entered a termination agreement to provide an early termination date in November 2021 for its operating lease in Cambridge, Massachusetts. In addition, the landlord provided an incentive of $0.1</w:t>
      </w:r>
      <w:r>
        <w:rPr>
          <w:rFonts w:ascii="Times New Roman" w:hAnsi="Times New Roman"/>
          <w:sz w:val="20"/>
        </w:rPr>
        <w:t xml:space="preserve"> </w:t>
      </w:r>
      <w:r>
        <w:rPr>
          <w:rFonts w:ascii="Times New Roman;serif" w:hAnsi="Times New Roman;serif"/>
          <w:b w:val="false"/>
          <w:sz w:val="20"/>
        </w:rPr>
        <w:t>million. On the modification date, Private Disc decreased the lease liability and corresponding right-of-use asset to zero. Private Disc recognized the incentive as a reduction to lease expense over the remaining lease term. As of December 31, 2022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129</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2021, the Company had a security deposit in the form of an irrevocable standby letter of credit in the amount of $0.1</w:t>
      </w:r>
      <w:r>
        <w:rPr>
          <w:rFonts w:ascii="Times New Roman" w:hAnsi="Times New Roman"/>
          <w:sz w:val="20"/>
        </w:rPr>
        <w:t xml:space="preserve"> </w:t>
      </w:r>
      <w:r>
        <w:rPr>
          <w:rFonts w:ascii="Times New Roman;serif" w:hAnsi="Times New Roman;serif"/>
          <w:b w:val="false"/>
          <w:sz w:val="20"/>
        </w:rPr>
        <w:t>million related to this lease, which was recorded as prepaid expenses and other current assets on the Company’s consolidated balance sheets as of December 31, 2022 and 2021.</w:t>
      </w:r>
    </w:p>
    <w:p>
      <w:pPr>
        <w:pStyle w:val="TextBody"/>
        <w:spacing w:before="120" w:after="0"/>
        <w:jc w:val="left"/>
        <w:rPr>
          <w:rFonts w:ascii="Times New Roman" w:hAnsi="Times New Roman"/>
          <w:sz w:val="20"/>
        </w:rPr>
      </w:pPr>
      <w:r>
        <w:rPr>
          <w:rFonts w:ascii="Times New Roman;serif" w:hAnsi="Times New Roman;serif"/>
          <w:b w:val="false"/>
          <w:sz w:val="20"/>
        </w:rPr>
        <w:t>In October 2021, Private Disc entered into a five-year</w:t>
      </w:r>
      <w:r>
        <w:rPr>
          <w:rFonts w:ascii="Times New Roman" w:hAnsi="Times New Roman"/>
          <w:sz w:val="20"/>
        </w:rPr>
        <w:t xml:space="preserve"> </w:t>
      </w:r>
      <w:r>
        <w:rPr>
          <w:rFonts w:ascii="Times New Roman;serif" w:hAnsi="Times New Roman;serif"/>
          <w:b w:val="false"/>
          <w:sz w:val="20"/>
        </w:rPr>
        <w:t>lease of 7,566</w:t>
      </w:r>
      <w:r>
        <w:rPr>
          <w:rFonts w:ascii="Times New Roman" w:hAnsi="Times New Roman"/>
          <w:sz w:val="20"/>
        </w:rPr>
        <w:t xml:space="preserve"> </w:t>
      </w:r>
      <w:r>
        <w:rPr>
          <w:rFonts w:ascii="Times New Roman;serif" w:hAnsi="Times New Roman;serif"/>
          <w:b w:val="false"/>
          <w:sz w:val="20"/>
        </w:rPr>
        <w:t>square feet of office space located at 321 Arsenal Street, Watertown, Massachusetts to be used as its corporate headquarters. The Company’s landlord is a related party of the Company due to its equity ownership.</w:t>
      </w:r>
      <w:r>
        <w:rPr>
          <w:rFonts w:ascii="Times New Roman" w:hAnsi="Times New Roman"/>
          <w:sz w:val="20"/>
        </w:rPr>
        <w:t xml:space="preserve"> </w:t>
      </w:r>
      <w:r>
        <w:rPr>
          <w:rFonts w:ascii="Times New Roman;serif" w:hAnsi="Times New Roman;serif"/>
          <w:b w:val="false"/>
          <w:sz w:val="20"/>
        </w:rPr>
        <w:t>The lease term began in November 2021 and will end in November 2026, unless terminated earlier. The lease contains a five-year</w:t>
      </w:r>
      <w:r>
        <w:rPr>
          <w:rFonts w:ascii="Times New Roman;serif" w:hAnsi="Times New Roman;serif"/>
          <w:sz w:val="20"/>
        </w:rPr>
        <w:t xml:space="preserve"> </w:t>
      </w:r>
      <w:r>
        <w:rPr>
          <w:rFonts w:ascii="Times New Roman;serif" w:hAnsi="Times New Roman;serif"/>
          <w:b w:val="false"/>
          <w:sz w:val="20"/>
        </w:rPr>
        <w:t>renewal option, which the Company is not reasonably certain to exercise. Fixed lease payments include base rent, subject to annual rent increases, and a management fee. Variable lease payments include the Company’s allocated share of costs incurred for real estate taxes, utilities, and other operating expenses applicable to the leased premises.</w:t>
      </w:r>
      <w:r>
        <w:rPr>
          <w:rFonts w:ascii="Times New Roman" w:hAnsi="Times New Roman"/>
          <w:sz w:val="20"/>
        </w:rPr>
        <w:t xml:space="preserve"> </w:t>
      </w:r>
      <w:r>
        <w:rPr>
          <w:rFonts w:ascii="Times New Roman;serif" w:hAnsi="Times New Roman;serif"/>
          <w:b w:val="false"/>
          <w:sz w:val="20"/>
        </w:rPr>
        <w:t>In connection with the lease, a security deposit was delivered to the landlord in the form of an irrevocable standby letter of credit in the amount of $0.1</w:t>
      </w:r>
      <w:r>
        <w:rPr>
          <w:rFonts w:ascii="Times New Roman" w:hAnsi="Times New Roman"/>
          <w:sz w:val="20"/>
        </w:rPr>
        <w:t xml:space="preserve"> </w:t>
      </w:r>
      <w:r>
        <w:rPr>
          <w:rFonts w:ascii="Times New Roman;serif" w:hAnsi="Times New Roman;serif"/>
          <w:b w:val="false"/>
          <w:sz w:val="20"/>
        </w:rPr>
        <w:t>million, which is recorded as other assets (non-current) on the Company’s consolidated balance sheet as of December 31, 2022. Pursuant to the lease, the Company is also obligated to pay for certain administrative costs, taxes and operating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components of lease expense were as follows (in thousands):</w:t>
      </w:r>
    </w:p>
    <w:p>
      <w:pPr>
        <w:pStyle w:val="TextBody"/>
        <w:spacing w:before="0" w:after="0"/>
        <w:jc w:val="left"/>
        <w:rPr/>
      </w:pPr>
      <w:r>
        <w:rPr/>
        <w:t> </w:t>
      </w:r>
    </w:p>
    <w:tbl>
      <w:tblPr>
        <w:tblW w:w="4170" w:type="dxa"/>
        <w:jc w:val="left"/>
        <w:tblInd w:w="0" w:type="dxa"/>
        <w:tblCellMar>
          <w:top w:w="28" w:type="dxa"/>
          <w:left w:w="28" w:type="dxa"/>
          <w:bottom w:w="28" w:type="dxa"/>
          <w:right w:w="28" w:type="dxa"/>
        </w:tblCellMar>
      </w:tblPr>
      <w:tblGrid>
        <w:gridCol w:w="1876"/>
        <w:gridCol w:w="109"/>
        <w:gridCol w:w="277"/>
        <w:gridCol w:w="553"/>
        <w:gridCol w:w="191"/>
        <w:gridCol w:w="143"/>
        <w:gridCol w:w="277"/>
        <w:gridCol w:w="553"/>
        <w:gridCol w:w="191"/>
      </w:tblGrid>
      <w:tr>
        <w:trPr/>
        <w:tc>
          <w:tcPr>
            <w:tcW w:w="1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09"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91" w:type="dxa"/>
            <w:tcBorders/>
            <w:shd w:fill="auto" w:val="clear"/>
            <w:vAlign w:val="center"/>
          </w:tcPr>
          <w:p>
            <w:pPr>
              <w:pStyle w:val="TableContents"/>
              <w:spacing w:before="0" w:after="0"/>
              <w:ind w:left="0" w:right="0" w:hanging="0"/>
              <w:jc w:val="left"/>
              <w:rPr/>
            </w:pPr>
            <w:r>
              <w:rPr/>
              <w:t> </w:t>
            </w:r>
          </w:p>
        </w:tc>
        <w:tc>
          <w:tcPr>
            <w:tcW w:w="143"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91" w:type="dxa"/>
            <w:tcBorders/>
            <w:shd w:fill="auto" w:val="cle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costs</w:t>
            </w:r>
          </w:p>
        </w:tc>
        <w:tc>
          <w:tcPr>
            <w:tcW w:w="109"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pPr>
            <w:r>
              <w:rPr/>
              <w:t> </w:t>
            </w:r>
          </w:p>
        </w:tc>
        <w:tc>
          <w:tcPr>
            <w:tcW w:w="55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c>
          <w:tcPr>
            <w:tcW w:w="143" w:type="dxa"/>
            <w:tcBorders/>
            <w:shd w:fill="auto" w:val="clear"/>
            <w:vAlign w:val="center"/>
          </w:tcPr>
          <w:p>
            <w:pPr>
              <w:pStyle w:val="TableContents"/>
              <w:spacing w:before="0" w:after="0"/>
              <w:ind w:left="0" w:right="0" w:hanging="0"/>
              <w:jc w:val="right"/>
              <w:rPr/>
            </w:pPr>
            <w:r>
              <w:rPr/>
              <w:t>​</w:t>
            </w:r>
          </w:p>
        </w:tc>
        <w:tc>
          <w:tcPr>
            <w:tcW w:w="277" w:type="dxa"/>
            <w:tcBorders/>
            <w:shd w:fill="auto" w:val="clear"/>
            <w:vAlign w:val="center"/>
          </w:tcPr>
          <w:p>
            <w:pPr>
              <w:pStyle w:val="TableContents"/>
              <w:spacing w:before="0" w:after="0"/>
              <w:ind w:left="0" w:right="0" w:hanging="0"/>
              <w:jc w:val="left"/>
              <w:rPr/>
            </w:pPr>
            <w:r>
              <w:rPr/>
              <w:t> </w:t>
            </w:r>
          </w:p>
        </w:tc>
        <w:tc>
          <w:tcPr>
            <w:tcW w:w="55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costs</w:t>
            </w:r>
          </w:p>
        </w:tc>
        <w:tc>
          <w:tcPr>
            <w:tcW w:w="109" w:type="dxa"/>
            <w:tcBorders/>
            <w:shd w:fill="auto" w:val="clear"/>
            <w:vAlign w:val="center"/>
          </w:tcPr>
          <w:p>
            <w:pPr>
              <w:pStyle w:val="TableContents"/>
              <w:spacing w:before="0" w:after="0"/>
              <w:ind w:left="0" w:right="0" w:hanging="0"/>
              <w:jc w:val="right"/>
              <w:rPr/>
            </w:pPr>
            <w:r>
              <w:rPr/>
              <w:t>​</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expense</w:t>
            </w:r>
          </w:p>
        </w:tc>
        <w:tc>
          <w:tcPr>
            <w:tcW w:w="109" w:type="dxa"/>
            <w:tcBorders/>
            <w:shd w:fill="auto" w:val="clear"/>
            <w:vAlign w:val="center"/>
          </w:tcPr>
          <w:p>
            <w:pPr>
              <w:pStyle w:val="TableContents"/>
              <w:spacing w:before="0" w:after="0"/>
              <w:ind w:left="0" w:right="0" w:hanging="0"/>
              <w:jc w:val="right"/>
              <w:rPr/>
            </w:pPr>
            <w:r>
              <w:rPr/>
              <w:t>​</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information related to the Company’s leases is as follows (in thousands, except term and discount rate amounts):</w:t>
      </w:r>
    </w:p>
    <w:p>
      <w:pPr>
        <w:pStyle w:val="TextBody"/>
        <w:spacing w:before="0" w:after="0"/>
        <w:jc w:val="left"/>
        <w:rPr/>
      </w:pPr>
      <w:r>
        <w:rPr/>
        <w:t> </w:t>
      </w:r>
    </w:p>
    <w:tbl>
      <w:tblPr>
        <w:tblW w:w="8726" w:type="dxa"/>
        <w:jc w:val="left"/>
        <w:tblInd w:w="0" w:type="dxa"/>
        <w:tblCellMar>
          <w:top w:w="28" w:type="dxa"/>
          <w:left w:w="28" w:type="dxa"/>
          <w:bottom w:w="28" w:type="dxa"/>
          <w:right w:w="28" w:type="dxa"/>
        </w:tblCellMar>
      </w:tblPr>
      <w:tblGrid>
        <w:gridCol w:w="5866"/>
        <w:gridCol w:w="146"/>
        <w:gridCol w:w="310"/>
        <w:gridCol w:w="621"/>
        <w:gridCol w:w="329"/>
        <w:gridCol w:w="132"/>
        <w:gridCol w:w="310"/>
        <w:gridCol w:w="621"/>
        <w:gridCol w:w="391"/>
      </w:tblGrid>
      <w:tr>
        <w:trPr/>
        <w:tc>
          <w:tcPr>
            <w:tcW w:w="5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232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w:t>
            </w:r>
          </w:p>
        </w:tc>
        <w:tc>
          <w:tcPr>
            <w:tcW w:w="146" w:type="dxa"/>
            <w:tcBorders/>
            <w:shd w:fill="auto" w:val="clear"/>
            <w:vAlign w:val="center"/>
          </w:tcPr>
          <w:p>
            <w:pPr>
              <w:pStyle w:val="TableContents"/>
              <w:spacing w:before="0" w:after="0"/>
              <w:ind w:left="0" w:right="0" w:hanging="0"/>
              <w:jc w:val="right"/>
              <w:rPr/>
            </w:pPr>
            <w:r>
              <w:rPr/>
              <w:t>​</w:t>
            </w:r>
          </w:p>
        </w:tc>
        <w:tc>
          <w:tcPr>
            <w:tcW w:w="931"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3.91</w:t>
            </w:r>
            <w:r>
              <w:rPr>
                <w:rFonts w:ascii="Times New Roman" w:hAnsi="Times New Roman"/>
                <w:sz w:val="20"/>
              </w:rPr>
              <w:t> </w:t>
            </w:r>
            <w:r>
              <w:rPr>
                <w:rFonts w:ascii="Times New Roman;serif" w:hAnsi="Times New Roman;serif"/>
                <w:b w:val="false"/>
                <w:sz w:val="20"/>
              </w:rPr>
              <w:t>years</w:t>
            </w:r>
          </w:p>
        </w:tc>
        <w:tc>
          <w:tcPr>
            <w:tcW w:w="329" w:type="dxa"/>
            <w:tcBorders/>
            <w:shd w:fill="auto" w:val="clear"/>
            <w:vAlign w:val="center"/>
          </w:tcPr>
          <w:p>
            <w:pPr>
              <w:pStyle w:val="TableContents"/>
              <w:spacing w:before="0" w:after="0"/>
              <w:ind w:left="0" w:right="0" w:hanging="0"/>
              <w:jc w:val="right"/>
              <w:rPr/>
            </w:pPr>
            <w:r>
              <w:rPr/>
              <w:t> </w:t>
            </w:r>
          </w:p>
        </w:tc>
        <w:tc>
          <w:tcPr>
            <w:tcW w:w="132" w:type="dxa"/>
            <w:tcBorders/>
            <w:shd w:fill="auto" w:val="clear"/>
            <w:vAlign w:val="center"/>
          </w:tcPr>
          <w:p>
            <w:pPr>
              <w:pStyle w:val="TableContents"/>
              <w:spacing w:before="0" w:after="0"/>
              <w:ind w:left="0" w:right="0" w:hanging="0"/>
              <w:jc w:val="right"/>
              <w:rPr/>
            </w:pPr>
            <w:r>
              <w:rPr/>
              <w:t>​</w:t>
            </w:r>
          </w:p>
        </w:tc>
        <w:tc>
          <w:tcPr>
            <w:tcW w:w="931"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4.91</w:t>
            </w:r>
            <w:r>
              <w:rPr>
                <w:rFonts w:ascii="Times New Roman" w:hAnsi="Times New Roman"/>
                <w:sz w:val="20"/>
              </w:rPr>
              <w:t> </w:t>
            </w:r>
            <w:r>
              <w:rPr>
                <w:rFonts w:ascii="Times New Roman;serif" w:hAnsi="Times New Roman;serif"/>
                <w:b w:val="false"/>
                <w:sz w:val="20"/>
              </w:rPr>
              <w:t>years</w:t>
            </w:r>
          </w:p>
        </w:tc>
        <w:tc>
          <w:tcPr>
            <w:tcW w:w="391" w:type="dxa"/>
            <w:tcBorders/>
            <w:shd w:fill="auto" w:val="clear"/>
            <w:vAlign w:val="center"/>
          </w:tcPr>
          <w:p>
            <w:pPr>
              <w:pStyle w:val="TableContents"/>
              <w:spacing w:before="0" w:after="0"/>
              <w:ind w:left="0" w:right="0" w:hanging="0"/>
              <w:jc w:val="right"/>
              <w:rPr/>
            </w:pPr>
            <w:r>
              <w:rPr/>
              <w:t> </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 w:type="dxa"/>
            <w:tcBorders/>
            <w:shd w:fill="auto" w:val="clear"/>
            <w:vAlign w:val="center"/>
          </w:tcPr>
          <w:p>
            <w:pPr>
              <w:pStyle w:val="TableContents"/>
              <w:spacing w:before="0" w:after="0"/>
              <w:ind w:left="0" w:right="0" w:hanging="0"/>
              <w:jc w:val="right"/>
              <w:rPr/>
            </w:pPr>
            <w:r>
              <w:rPr/>
              <w:t>​</w:t>
            </w:r>
          </w:p>
        </w:tc>
        <w:tc>
          <w:tcPr>
            <w:tcW w:w="310" w:type="dxa"/>
            <w:tcBorders/>
            <w:shd w:fill="auto" w:val="clear"/>
            <w:vAlign w:val="center"/>
          </w:tcPr>
          <w:p>
            <w:pPr>
              <w:pStyle w:val="TableContents"/>
              <w:spacing w:before="0" w:after="0"/>
              <w:ind w:left="0" w:right="0" w:hanging="0"/>
              <w:jc w:val="lef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shd w:fill="auto" w:val="clear"/>
            <w:vAlign w:val="center"/>
          </w:tcPr>
          <w:p>
            <w:pPr>
              <w:pStyle w:val="TableContents"/>
              <w:spacing w:before="0" w:after="0"/>
              <w:ind w:left="0" w:right="0" w:hanging="0"/>
              <w:jc w:val="right"/>
              <w:rPr/>
            </w:pPr>
            <w:r>
              <w:rPr/>
              <w:t>​</w:t>
            </w:r>
          </w:p>
        </w:tc>
        <w:tc>
          <w:tcPr>
            <w:tcW w:w="931" w:type="dxa"/>
            <w:gridSpan w:val="2"/>
            <w:tcBorders/>
            <w:shd w:fill="auto" w:val="clear"/>
            <w:vAlign w:val="center"/>
          </w:tcPr>
          <w:p>
            <w:pPr>
              <w:pStyle w:val="TableContents"/>
              <w:spacing w:before="0" w:after="0"/>
              <w:ind w:left="0" w:right="0" w:hanging="0"/>
              <w:jc w:val="right"/>
              <w:rPr/>
            </w:pPr>
            <w:r>
              <w:rPr/>
              <w:t> </w:t>
            </w:r>
          </w:p>
        </w:tc>
        <w:tc>
          <w:tcPr>
            <w:tcW w:w="329" w:type="dxa"/>
            <w:tcBorders/>
            <w:shd w:fill="auto" w:val="clear"/>
            <w:vAlign w:val="center"/>
          </w:tcPr>
          <w:p>
            <w:pPr>
              <w:pStyle w:val="TableContents"/>
              <w:spacing w:before="0" w:after="0"/>
              <w:ind w:left="0" w:right="0" w:hanging="0"/>
              <w:jc w:val="right"/>
              <w:rPr/>
            </w:pPr>
            <w:r>
              <w:rPr/>
              <w:t> </w:t>
            </w:r>
          </w:p>
        </w:tc>
        <w:tc>
          <w:tcPr>
            <w:tcW w:w="132" w:type="dxa"/>
            <w:tcBorders/>
            <w:shd w:fill="auto" w:val="clear"/>
            <w:vAlign w:val="center"/>
          </w:tcPr>
          <w:p>
            <w:pPr>
              <w:pStyle w:val="TableContents"/>
              <w:spacing w:before="0" w:after="0"/>
              <w:ind w:left="0" w:right="0" w:hanging="0"/>
              <w:jc w:val="right"/>
              <w:rPr/>
            </w:pPr>
            <w:r>
              <w:rPr/>
              <w:t>​</w:t>
            </w:r>
          </w:p>
        </w:tc>
        <w:tc>
          <w:tcPr>
            <w:tcW w:w="93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used in operating leases</w:t>
            </w:r>
          </w:p>
        </w:tc>
        <w:tc>
          <w:tcPr>
            <w:tcW w:w="146" w:type="dxa"/>
            <w:tcBorders/>
            <w:shd w:fill="auto" w:val="clear"/>
            <w:vAlign w:val="center"/>
          </w:tcPr>
          <w:p>
            <w:pPr>
              <w:pStyle w:val="TableContents"/>
              <w:spacing w:before="0" w:after="0"/>
              <w:ind w:left="0" w:right="0" w:hanging="0"/>
              <w:jc w:val="right"/>
              <w:rPr/>
            </w:pPr>
            <w:r>
              <w:rPr/>
              <w:t>​</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329" w:type="dxa"/>
            <w:tcBorders/>
            <w:shd w:fill="auto" w:val="clear"/>
            <w:vAlign w:val="center"/>
          </w:tcPr>
          <w:p>
            <w:pPr>
              <w:pStyle w:val="TableContents"/>
              <w:spacing w:before="0" w:after="0"/>
              <w:ind w:left="0" w:right="0" w:hanging="0"/>
              <w:jc w:val="left"/>
              <w:rPr/>
            </w:pPr>
            <w:r>
              <w:rPr/>
              <w:t> </w:t>
            </w:r>
          </w:p>
        </w:tc>
        <w:tc>
          <w:tcPr>
            <w:tcW w:w="132" w:type="dxa"/>
            <w:tcBorders/>
            <w:shd w:fill="auto" w:val="clear"/>
            <w:vAlign w:val="center"/>
          </w:tcPr>
          <w:p>
            <w:pPr>
              <w:pStyle w:val="TableContents"/>
              <w:spacing w:before="0" w:after="0"/>
              <w:ind w:left="0" w:right="0" w:hanging="0"/>
              <w:jc w:val="right"/>
              <w:rPr/>
            </w:pPr>
            <w:r>
              <w:rPr/>
              <w:t>​</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maturity analysis of the annual undiscounted cash flows reconciled to the carrying value of the operating lease liabilities as of December 31, 2022, reflective of the Company’s election to account for lease and non-lease components together, is as follows (in thousands):</w:t>
      </w:r>
    </w:p>
    <w:p>
      <w:pPr>
        <w:pStyle w:val="TextBody"/>
        <w:spacing w:before="0" w:after="0"/>
        <w:jc w:val="left"/>
        <w:rPr/>
      </w:pPr>
      <w:r>
        <w:rPr/>
        <w:t> </w:t>
      </w:r>
    </w:p>
    <w:tbl>
      <w:tblPr>
        <w:tblW w:w="4371" w:type="dxa"/>
        <w:jc w:val="left"/>
        <w:tblInd w:w="0" w:type="dxa"/>
        <w:tblCellMar>
          <w:top w:w="28" w:type="dxa"/>
          <w:left w:w="28" w:type="dxa"/>
          <w:bottom w:w="28" w:type="dxa"/>
          <w:right w:w="28" w:type="dxa"/>
        </w:tblCellMar>
      </w:tblPr>
      <w:tblGrid>
        <w:gridCol w:w="2686"/>
        <w:gridCol w:w="109"/>
        <w:gridCol w:w="367"/>
        <w:gridCol w:w="998"/>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9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09" w:type="dxa"/>
            <w:tcBorders/>
            <w:shd w:fill="auto" w:val="clear"/>
            <w:vAlign w:val="center"/>
          </w:tcPr>
          <w:p>
            <w:pPr>
              <w:pStyle w:val="TableContents"/>
              <w:spacing w:before="0" w:after="0"/>
              <w:ind w:left="0" w:right="0" w:hanging="0"/>
              <w:jc w:val="right"/>
              <w:rPr/>
            </w:pPr>
            <w:r>
              <w:rPr/>
              <w:t>​</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16. Subsequent Events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completed an evaluation of all subsequent events after the audited consolidated balance sheet date of December 31, 2022 through March 31, 2023, the date these consolidated financial statements were issued, to ensure that these consolidated financial statements include appropriate disclosure of events both recognized in the consolidated financial statements as of December 31, 2022, and events which occurred subsequently but were not recognized in the consolidated financial statements. Non-recognizable subsequent events through March 31, 2023 are summarized below.</w:t>
      </w:r>
    </w:p>
    <w:p>
      <w:pPr>
        <w:pStyle w:val="TextBody"/>
        <w:spacing w:before="240" w:after="0"/>
        <w:jc w:val="left"/>
        <w:rPr>
          <w:rFonts w:ascii="Times New Roman;serif" w:hAnsi="Times New Roman;serif"/>
          <w:b/>
          <w:i/>
          <w:sz w:val="20"/>
        </w:rPr>
      </w:pPr>
      <w:r>
        <w:rPr>
          <w:rFonts w:ascii="Times New Roman;serif" w:hAnsi="Times New Roman;serif"/>
          <w:b/>
          <w:i/>
          <w:sz w:val="20"/>
        </w:rPr>
        <w:t>Registration Statements Resulting from the Merger</w:t>
      </w:r>
    </w:p>
    <w:p>
      <w:pPr>
        <w:pStyle w:val="TextBody"/>
        <w:spacing w:before="120" w:after="0"/>
        <w:jc w:val="left"/>
        <w:rPr>
          <w:rFonts w:ascii="Times New Roman" w:hAnsi="Times New Roman"/>
          <w:sz w:val="20"/>
        </w:rPr>
      </w:pPr>
      <w:r>
        <w:rPr>
          <w:rFonts w:ascii="Times New Roman;serif" w:hAnsi="Times New Roman;serif"/>
          <w:b w:val="false"/>
          <w:sz w:val="20"/>
        </w:rPr>
        <w:t>In January 2023, as a result of the merger, the Company filed a resale registration statement on Form S-3 with the SEC, which covered the proposed resale or other disposition by certain stockholders of up to an aggregate of 12,635,956</w:t>
      </w:r>
      <w:r>
        <w:rPr>
          <w:rFonts w:ascii="Times New Roman" w:hAnsi="Times New Roman"/>
          <w:sz w:val="20"/>
        </w:rPr>
        <w:t xml:space="preserve"> </w:t>
      </w:r>
      <w:r>
        <w:rPr>
          <w:rFonts w:ascii="Times New Roman;serif" w:hAnsi="Times New Roman;serif"/>
          <w:b w:val="false"/>
          <w:sz w:val="20"/>
        </w:rPr>
        <w:t>shares of the Company’s common stock. The Company also filed a registration statement on Form S-8 with the SEC, which registered 1,672,599</w:t>
      </w:r>
      <w:r>
        <w:rPr>
          <w:rFonts w:ascii="Times New Roman" w:hAnsi="Times New Roman"/>
          <w:sz w:val="20"/>
        </w:rPr>
        <w:t xml:space="preserve"> </w:t>
      </w:r>
      <w:r>
        <w:rPr>
          <w:rFonts w:ascii="Times New Roman;serif" w:hAnsi="Times New Roman;serif"/>
          <w:b w:val="false"/>
          <w:sz w:val="20"/>
        </w:rPr>
        <w:t>shares of common stock issuable with respect to Private Disc options assumed by the Company pursuant to the Merger Agreement as well as 2,035,103</w:t>
      </w:r>
      <w:r>
        <w:rPr>
          <w:rFonts w:ascii="Times New Roman" w:hAnsi="Times New Roman"/>
          <w:sz w:val="20"/>
        </w:rPr>
        <w:t xml:space="preserve"> </w:t>
      </w:r>
      <w:r>
        <w:rPr>
          <w:rFonts w:ascii="Times New Roman;serif" w:hAnsi="Times New Roman;serif"/>
          <w:b w:val="false"/>
          <w:sz w:val="20"/>
        </w:rPr>
        <w:t>additional shares of common stock reserved and available for future issuance under the 2021 Plan and 180,894</w:t>
      </w:r>
      <w:r>
        <w:rPr>
          <w:rFonts w:ascii="Times New Roman" w:hAnsi="Times New Roman"/>
          <w:sz w:val="20"/>
        </w:rPr>
        <w:t xml:space="preserve"> </w:t>
      </w:r>
      <w:r>
        <w:rPr>
          <w:rFonts w:ascii="Times New Roman;serif" w:hAnsi="Times New Roman;serif"/>
          <w:b w:val="false"/>
          <w:sz w:val="20"/>
        </w:rPr>
        <w:t>additional shares of common stock reserved and available for future issuance under the 2021 ESPP.</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130</w:t>
      </w:r>
    </w:p>
    <w:p>
      <w:pPr>
        <w:pStyle w:val="HorizontalLine"/>
        <w:rPr/>
      </w:pPr>
      <w:r>
        <w:rPr/>
      </w:r>
    </w:p>
    <w:p>
      <w:pPr>
        <w:pStyle w:val="TextBody"/>
        <w:spacing w:before="240" w:after="0"/>
        <w:jc w:val="left"/>
        <w:rPr>
          <w:rFonts w:ascii="Times New Roman;serif" w:hAnsi="Times New Roman;serif"/>
          <w:b/>
          <w:i/>
          <w:sz w:val="20"/>
        </w:rPr>
      </w:pPr>
      <w:r>
        <w:rPr>
          <w:rFonts w:ascii="Times New Roman;serif" w:hAnsi="Times New Roman;serif"/>
          <w:b/>
          <w:i/>
          <w:sz w:val="20"/>
        </w:rPr>
        <w:t>Exclusive License Agreement with Mabwell Therapeutics,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January 2023, the Company entered into an exclusive license agreement with Mabwell Therapeutics, Inc. ("Mabwell"), pursuant to which Mabwell granted the Company an exclusive and sublicensable license to certain Mabwell intellectual property.</w:t>
      </w:r>
    </w:p>
    <w:p>
      <w:pPr>
        <w:pStyle w:val="TextBody"/>
        <w:spacing w:before="120" w:after="0"/>
        <w:jc w:val="left"/>
        <w:rPr>
          <w:rFonts w:ascii="Times New Roman" w:hAnsi="Times New Roman"/>
          <w:sz w:val="20"/>
        </w:rPr>
      </w:pPr>
      <w:r>
        <w:rPr>
          <w:rFonts w:ascii="Times New Roman;serif" w:hAnsi="Times New Roman;serif"/>
          <w:b w:val="false"/>
          <w:sz w:val="20"/>
        </w:rPr>
        <w:t>The Company is obligated to pay Mabwell an upfront payment of $10.0</w:t>
      </w:r>
      <w:r>
        <w:rPr>
          <w:rFonts w:ascii="Times New Roman" w:hAnsi="Times New Roman"/>
          <w:sz w:val="20"/>
        </w:rPr>
        <w:t xml:space="preserve"> </w:t>
      </w:r>
      <w:r>
        <w:rPr>
          <w:rFonts w:ascii="Times New Roman;serif" w:hAnsi="Times New Roman;serif"/>
          <w:b w:val="false"/>
          <w:sz w:val="20"/>
        </w:rPr>
        <w:t>million, and certain development and regulatory milestone payments for the licensed products, for up to three indications, up to a maximum aggregate amount of $127.5</w:t>
      </w:r>
      <w:r>
        <w:rPr>
          <w:rFonts w:ascii="Times New Roman" w:hAnsi="Times New Roman"/>
          <w:sz w:val="20"/>
        </w:rPr>
        <w:t xml:space="preserve"> </w:t>
      </w:r>
      <w:r>
        <w:rPr>
          <w:rFonts w:ascii="Times New Roman;serif" w:hAnsi="Times New Roman;serif"/>
          <w:b w:val="false"/>
          <w:sz w:val="20"/>
        </w:rPr>
        <w:t>million, as well as certain commercial milestone payments for certain licensed product net sales achievements, up to a maximum aggregate amount of $275</w:t>
      </w:r>
      <w:r>
        <w:rPr>
          <w:rFonts w:ascii="Times New Roman" w:hAnsi="Times New Roman"/>
          <w:sz w:val="20"/>
        </w:rPr>
        <w:t xml:space="preserve"> </w:t>
      </w:r>
      <w:r>
        <w:rPr>
          <w:rFonts w:ascii="Times New Roman;serif" w:hAnsi="Times New Roman;serif"/>
          <w:b w:val="false"/>
          <w:sz w:val="20"/>
        </w:rPr>
        <w:t>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 The Company paid the upfront payment of $10.0</w:t>
      </w:r>
      <w:r>
        <w:rPr>
          <w:rFonts w:ascii="Times New Roman" w:hAnsi="Times New Roman"/>
          <w:sz w:val="20"/>
        </w:rPr>
        <w:t xml:space="preserve"> </w:t>
      </w:r>
      <w:r>
        <w:rPr>
          <w:rFonts w:ascii="Times New Roman;serif" w:hAnsi="Times New Roman;serif"/>
          <w:b w:val="false"/>
          <w:sz w:val="20"/>
        </w:rPr>
        <w:t>million to Mabwell in March 2023.</w:t>
      </w:r>
    </w:p>
    <w:p>
      <w:pPr>
        <w:pStyle w:val="TextBody"/>
        <w:spacing w:before="240" w:after="0"/>
        <w:jc w:val="left"/>
        <w:rPr>
          <w:rFonts w:ascii="Times New Roman;serif" w:hAnsi="Times New Roman;serif"/>
          <w:b/>
          <w:i/>
          <w:sz w:val="20"/>
        </w:rPr>
      </w:pPr>
      <w:r>
        <w:rPr>
          <w:rFonts w:ascii="Times New Roman;serif" w:hAnsi="Times New Roman;serif"/>
          <w:b/>
          <w:i/>
          <w:sz w:val="20"/>
        </w:rPr>
        <w:t>ATM Program</w:t>
      </w:r>
    </w:p>
    <w:p>
      <w:pPr>
        <w:pStyle w:val="TextBody"/>
        <w:spacing w:before="120" w:after="0"/>
        <w:jc w:val="left"/>
        <w:rPr>
          <w:rFonts w:ascii="Times New Roman" w:hAnsi="Times New Roman"/>
          <w:sz w:val="20"/>
        </w:rPr>
      </w:pPr>
      <w:r>
        <w:rPr>
          <w:rFonts w:ascii="Times New Roman;serif" w:hAnsi="Times New Roman;serif"/>
          <w:b w:val="false"/>
          <w:sz w:val="20"/>
        </w:rPr>
        <w:t>In January 2023, the Company filed a shelf registration statement on Form S-3 with the SEC, which covered the offering, issuance and sale by the Company of up to an aggregate of $300.0</w:t>
      </w:r>
      <w:r>
        <w:rPr>
          <w:rFonts w:ascii="Times New Roman" w:hAnsi="Times New Roman"/>
          <w:sz w:val="20"/>
        </w:rPr>
        <w:t xml:space="preserve"> </w:t>
      </w:r>
      <w:r>
        <w:rPr>
          <w:rFonts w:ascii="Times New Roman;serif" w:hAnsi="Times New Roman;serif"/>
          <w:b w:val="false"/>
          <w:sz w:val="20"/>
        </w:rPr>
        <w:t>million of the Company’s common stock, preferred stock, debt securities, warrants or units. Subsequently in January 2023, the Company entered into a Sales Agreement with SVB Securities LLC, as sales agent, to provide for the offering, issuance and sale by the Company of up to $100.0</w:t>
      </w:r>
      <w:r>
        <w:rPr>
          <w:rFonts w:ascii="Times New Roman" w:hAnsi="Times New Roman"/>
          <w:sz w:val="20"/>
        </w:rPr>
        <w:t xml:space="preserve"> </w:t>
      </w:r>
      <w:r>
        <w:rPr>
          <w:rFonts w:ascii="Times New Roman;serif" w:hAnsi="Times New Roman;serif"/>
          <w:b w:val="false"/>
          <w:sz w:val="20"/>
        </w:rPr>
        <w:t>million of the Company’s common stock from time to time in "at-the-market" offerings under the shelf.</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issuance date of these consolidated financial statements, the Company has sold an aggregate of 608,050</w:t>
      </w:r>
      <w:r>
        <w:rPr>
          <w:rFonts w:ascii="Times New Roman" w:hAnsi="Times New Roman"/>
          <w:sz w:val="20"/>
        </w:rPr>
        <w:t xml:space="preserve"> </w:t>
      </w:r>
      <w:r>
        <w:rPr>
          <w:rFonts w:ascii="Times New Roman;serif" w:hAnsi="Times New Roman;serif"/>
          <w:b w:val="false"/>
          <w:sz w:val="20"/>
        </w:rPr>
        <w:t>shares of common stock in at-the-market offerings under the shelf for gross proceeds of $15.0</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left"/>
        <w:rPr>
          <w:rFonts w:ascii="Times New Roman;serif" w:hAnsi="Times New Roman;serif"/>
          <w:b/>
          <w:i/>
          <w:sz w:val="20"/>
        </w:rPr>
      </w:pPr>
      <w:r>
        <w:rPr>
          <w:rFonts w:ascii="Times New Roman;serif" w:hAnsi="Times New Roman;serif"/>
          <w:b/>
          <w:i/>
          <w:sz w:val="20"/>
        </w:rPr>
        <w:t>Registered Direct Offering</w:t>
      </w:r>
    </w:p>
    <w:p>
      <w:pPr>
        <w:pStyle w:val="TextBody"/>
        <w:spacing w:before="120" w:after="0"/>
        <w:jc w:val="left"/>
        <w:rPr>
          <w:rFonts w:ascii="Times New Roman" w:hAnsi="Times New Roman"/>
          <w:sz w:val="20"/>
        </w:rPr>
      </w:pPr>
      <w:r>
        <w:rPr>
          <w:rFonts w:ascii="Times New Roman;serif" w:hAnsi="Times New Roman;serif"/>
          <w:b w:val="false"/>
          <w:sz w:val="20"/>
        </w:rPr>
        <w:t>In February 2023, the Company entered into a securities purchase agreement (the "Purchase Agreement"), with certain investors. Pursuant to the Purchase Agreement, the Company sold an aggregate of 1,488,166</w:t>
      </w:r>
      <w:r>
        <w:rPr>
          <w:rFonts w:ascii="Times New Roman" w:hAnsi="Times New Roman"/>
          <w:sz w:val="20"/>
        </w:rPr>
        <w:t xml:space="preserve"> </w:t>
      </w:r>
      <w:r>
        <w:rPr>
          <w:rFonts w:ascii="Times New Roman;serif" w:hAnsi="Times New Roman;serif"/>
          <w:b w:val="false"/>
          <w:sz w:val="20"/>
        </w:rPr>
        <w:t>shares of the Company's common stock, at a purchase price of $23.00</w:t>
      </w:r>
      <w:r>
        <w:rPr>
          <w:rFonts w:ascii="Times New Roman" w:hAnsi="Times New Roman"/>
          <w:sz w:val="20"/>
        </w:rPr>
        <w:t xml:space="preserve"> </w:t>
      </w:r>
      <w:r>
        <w:rPr>
          <w:rFonts w:ascii="Times New Roman;serif" w:hAnsi="Times New Roman;serif"/>
          <w:b w:val="false"/>
          <w:sz w:val="20"/>
        </w:rPr>
        <w:t>per share, and with respect to certain investors, in lieu of shares of the Company's common stock, pre-funded warrants to purchase an aggregate of 1,229,224</w:t>
      </w:r>
      <w:r>
        <w:rPr>
          <w:rFonts w:ascii="Times New Roman" w:hAnsi="Times New Roman"/>
          <w:sz w:val="20"/>
        </w:rPr>
        <w:t xml:space="preserve"> </w:t>
      </w:r>
      <w:r>
        <w:rPr>
          <w:rFonts w:ascii="Times New Roman;serif" w:hAnsi="Times New Roman;serif"/>
          <w:b w:val="false"/>
          <w:sz w:val="20"/>
        </w:rPr>
        <w:t>shares of the Company's common stock, at a purchase price of $22.9999</w:t>
      </w:r>
      <w:r>
        <w:rPr>
          <w:rFonts w:ascii="Times New Roman" w:hAnsi="Times New Roman"/>
          <w:sz w:val="20"/>
        </w:rPr>
        <w:t xml:space="preserve"> </w:t>
      </w:r>
      <w:r>
        <w:rPr>
          <w:rFonts w:ascii="Times New Roman;serif" w:hAnsi="Times New Roman;serif"/>
          <w:b w:val="false"/>
          <w:sz w:val="20"/>
        </w:rPr>
        <w:t>per pre-funded warrant, for aggregate gross proceeds of $62.5</w:t>
      </w:r>
      <w:r>
        <w:rPr>
          <w:rFonts w:ascii="Times New Roman" w:hAnsi="Times New Roman"/>
          <w:sz w:val="20"/>
        </w:rPr>
        <w:t xml:space="preserve"> </w:t>
      </w:r>
      <w:r>
        <w:rPr>
          <w:rFonts w:ascii="Times New Roman;serif" w:hAnsi="Times New Roman;serif"/>
          <w:b w:val="false"/>
          <w:sz w:val="20"/>
        </w:rPr>
        <w:t>million.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131</w:t>
      </w:r>
    </w:p>
    <w:p>
      <w:pPr>
        <w:pStyle w:val="HorizontalLine"/>
        <w:rPr/>
      </w:pPr>
      <w:r>
        <w:rPr/>
      </w:r>
    </w:p>
    <w:p>
      <w:pPr>
        <w:pStyle w:val="TextBody"/>
        <w:spacing w:before="0" w:after="0"/>
        <w:jc w:val="left"/>
        <w:rPr>
          <w:rFonts w:ascii="Times New Roman" w:hAnsi="Times New Roman"/>
          <w:sz w:val="20"/>
        </w:rPr>
      </w:pPr>
      <w:bookmarkStart w:id="26" w:name="item_9_changes_in_and_disagreements_with"/>
      <w:bookmarkEnd w:id="26"/>
      <w:r>
        <w:rPr>
          <w:rFonts w:ascii="Times New Roman;serif" w:hAnsi="Times New Roman;serif"/>
          <w:b/>
          <w:sz w:val="20"/>
        </w:rPr>
        <w:t>ITEM 9.</w:t>
      </w:r>
      <w:r>
        <w:rPr>
          <w:rFonts w:ascii="Times New Roman" w:hAnsi="Times New Roman"/>
          <w:sz w:val="20"/>
        </w:rPr>
        <w:t xml:space="preserve"> </w:t>
      </w:r>
      <w:r>
        <w:rPr>
          <w:rFonts w:ascii="Times New Roman;serif" w:hAnsi="Times New Roman;serif"/>
          <w:b/>
          <w:sz w:val="20"/>
        </w:rPr>
        <w:t>CHANGES IN AND DISAGREEMENTS WITH ACCOUNTANTS ON ACCOUNTING AND FINANCIAL DISCLOSURE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 w:hAnsi="Times New Roman"/>
          <w:sz w:val="20"/>
        </w:rPr>
      </w:pPr>
      <w:bookmarkStart w:id="27" w:name="item_9a_controls_and_procedures"/>
      <w:bookmarkEnd w:id="27"/>
      <w:r>
        <w:rPr>
          <w:rFonts w:ascii="Times New Roman;serif" w:hAnsi="Times New Roman;serif"/>
          <w:b/>
          <w:sz w:val="20"/>
        </w:rPr>
        <w:t>ITEM 9A.</w:t>
      </w:r>
      <w:r>
        <w:rPr>
          <w:rFonts w:ascii="Times New Roman" w:hAnsi="Times New Roman"/>
          <w:sz w:val="20"/>
        </w:rPr>
        <w:t xml:space="preserve"> </w:t>
      </w:r>
      <w:r>
        <w:rPr>
          <w:rFonts w:ascii="Times New Roman;serif" w:hAnsi="Times New Roman;serif"/>
          <w:b/>
          <w:sz w:val="20"/>
        </w:rPr>
        <w:t>CONTROLS AND PROCEDURES</w:t>
      </w:r>
      <w:r>
        <w:rPr>
          <w:rFonts w:ascii="Times New Roman" w:hAnsi="Times New Roman"/>
          <w:sz w:val="20"/>
        </w:rPr>
        <w:t xml:space="preserve"> </w:t>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Principal Executive Officer and Principal Financial Officer concluded that, as of such date, our disclosure controls and procedures were effective at the reasonable assurance level.</w:t>
      </w:r>
    </w:p>
    <w:p>
      <w:pPr>
        <w:pStyle w:val="TextBody"/>
        <w:spacing w:before="240" w:after="0"/>
        <w:jc w:val="left"/>
        <w:rPr>
          <w:rFonts w:ascii="Times New Roman;serif" w:hAnsi="Times New Roman;serif"/>
          <w:b/>
          <w:sz w:val="20"/>
        </w:rPr>
      </w:pPr>
      <w:r>
        <w:rPr>
          <w:rFonts w:ascii="Times New Roman;serif" w:hAnsi="Times New Roman;serif"/>
          <w:b/>
          <w:sz w:val="20"/>
        </w:rPr>
        <w:t>Internal Control Over Financial Reporting</w:t>
      </w:r>
    </w:p>
    <w:p>
      <w:pPr>
        <w:pStyle w:val="TextBody"/>
        <w:spacing w:before="120" w:after="0"/>
        <w:jc w:val="left"/>
        <w:rPr>
          <w:rFonts w:ascii="Times New Roman;serif" w:hAnsi="Times New Roman;serif"/>
          <w:b/>
          <w:i/>
          <w:sz w:val="20"/>
        </w:rPr>
      </w:pPr>
      <w:r>
        <w:rPr>
          <w:rFonts w:ascii="Times New Roman;serif" w:hAnsi="Times New Roman;serif"/>
          <w:b/>
          <w:i/>
          <w:sz w:val="20"/>
        </w:rPr>
        <w:t>Management’s Report on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Notwithstanding that we do not qualify for the relief afforded by Instruction 1 to Item 308 of Regulation S-K to newly public companies, management has not assessed nor attested to our internal control over financial reporting as is set forth in Item 308 of Regulation S-K promulgated under the Securities Exchange Act 1934, as amended, and Section 404 of the Sarbanes-Oxley Act as of December 31, 2022, the end of our last fiscal year. We will do so initially as of December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were unable to conduct the required assessment primarily due to the merger that closed on December 29, 2022 and the substantial change in operational focus, management and the internal control environment following the merger and due to the fact the internal controls of the legal acquirer no longer existed as of the required assessment date and during that period. Since completion of the merger, we engaged an external consulting firm to assist in the implementation of ICFR best practices to position management to report on its assessment of internal controls for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Annual Report on Form 10-K does not include an attestation report of our independent registered public accounting firm on internal control over financial reporting due to an exemption established by the JOBS Act for “emerging growth companies.”</w:t>
      </w:r>
    </w:p>
    <w:p>
      <w:pPr>
        <w:pStyle w:val="TextBody"/>
        <w:spacing w:before="12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as discussed above, there have not been any changes in our internal control over financial reporting (as defined in Rules 13a-15(f) and 15d-15(f) under the Exchange Act) occurred during the three months ended December 31, 2022 that has materially affected, or is reasonably likely to materially affect, our internal control over financial reporting.</w:t>
      </w:r>
    </w:p>
    <w:p>
      <w:pPr>
        <w:pStyle w:val="TextBody"/>
        <w:spacing w:before="240" w:after="0"/>
        <w:jc w:val="left"/>
        <w:rPr>
          <w:rFonts w:ascii="Times New Roman" w:hAnsi="Times New Roman"/>
          <w:sz w:val="20"/>
        </w:rPr>
      </w:pPr>
      <w:bookmarkStart w:id="28" w:name="item_9b_other_information"/>
      <w:bookmarkEnd w:id="28"/>
      <w:r>
        <w:rPr>
          <w:rFonts w:ascii="Times New Roman;serif" w:hAnsi="Times New Roman;serif"/>
          <w:b/>
          <w:sz w:val="20"/>
        </w:rPr>
        <w:t>ITEM 9B.</w:t>
      </w:r>
      <w:r>
        <w:rPr>
          <w:rFonts w:ascii="Times New Roman" w:hAnsi="Times New Roman"/>
          <w:sz w:val="20"/>
        </w:rPr>
        <w:t xml:space="preserve"> </w:t>
      </w:r>
      <w:r>
        <w:rPr>
          <w:rFonts w:ascii="Times New Roman;serif" w:hAnsi="Times New Roman;serif"/>
          <w:b/>
          <w:sz w:val="20"/>
        </w:rPr>
        <w:t>OTHER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 w:hAnsi="Times New Roman"/>
          <w:sz w:val="20"/>
        </w:rPr>
      </w:pPr>
      <w:bookmarkStart w:id="29" w:name="item_9c_disclosure_regarding_foreign"/>
      <w:bookmarkEnd w:id="29"/>
      <w:r>
        <w:rPr>
          <w:rFonts w:ascii="Times New Roman;serif" w:hAnsi="Times New Roman;serif"/>
          <w:b/>
          <w:sz w:val="20"/>
        </w:rPr>
        <w:t>ITEM 9C.</w:t>
      </w:r>
      <w:r>
        <w:rPr>
          <w:rFonts w:ascii="Times New Roman" w:hAnsi="Times New Roman"/>
          <w:sz w:val="20"/>
        </w:rPr>
        <w:t xml:space="preserve"> </w:t>
      </w:r>
      <w:r>
        <w:rPr>
          <w:rFonts w:ascii="Times New Roman;serif" w:hAnsi="Times New Roman;serif"/>
          <w:b/>
          <w:sz w:val="20"/>
        </w:rPr>
        <w:t>DISCLOSURE REGARDING FOREIGN JURISDICTIONS THAT PREVENT INSPECTIONS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132</w:t>
      </w:r>
    </w:p>
    <w:p>
      <w:pPr>
        <w:pStyle w:val="HorizontalLine"/>
        <w:rPr/>
      </w:pPr>
      <w:r>
        <w:rPr/>
      </w:r>
    </w:p>
    <w:p>
      <w:pPr>
        <w:pStyle w:val="TextBody"/>
        <w:spacing w:before="0" w:after="0"/>
        <w:jc w:val="center"/>
        <w:rPr>
          <w:rFonts w:ascii="Times New Roman" w:hAnsi="Times New Roman"/>
          <w:sz w:val="20"/>
        </w:rPr>
      </w:pPr>
      <w:bookmarkStart w:id="30" w:name="part_iii"/>
      <w:bookmarkEnd w:id="30"/>
      <w:r>
        <w:rPr>
          <w:rFonts w:ascii="Times New Roman;serif" w:hAnsi="Times New Roman;serif"/>
          <w:b/>
          <w:sz w:val="20"/>
        </w:rPr>
        <w:t>PART III</w:t>
      </w:r>
      <w:r>
        <w:rPr>
          <w:rFonts w:ascii="Times New Roman" w:hAnsi="Times New Roman"/>
          <w:sz w:val="20"/>
        </w:rPr>
        <w:t xml:space="preserve"> </w:t>
      </w:r>
    </w:p>
    <w:p>
      <w:pPr>
        <w:pStyle w:val="TextBody"/>
        <w:spacing w:before="240" w:after="0"/>
        <w:jc w:val="left"/>
        <w:rPr>
          <w:rFonts w:ascii="Times New Roman" w:hAnsi="Times New Roman"/>
          <w:sz w:val="20"/>
        </w:rPr>
      </w:pPr>
      <w:bookmarkStart w:id="31" w:name="item_10_directors_executive_officers"/>
      <w:bookmarkEnd w:id="31"/>
      <w:r>
        <w:rPr>
          <w:rFonts w:ascii="Times New Roman;serif" w:hAnsi="Times New Roman;serif"/>
          <w:b/>
          <w:sz w:val="20"/>
        </w:rPr>
        <w:t>ITEM 10.</w:t>
      </w:r>
      <w:r>
        <w:rPr>
          <w:rFonts w:ascii="Times New Roman" w:hAnsi="Times New Roman"/>
          <w:sz w:val="20"/>
        </w:rPr>
        <w:t xml:space="preserve"> </w:t>
      </w:r>
      <w:r>
        <w:rPr>
          <w:rFonts w:ascii="Times New Roman;serif" w:hAnsi="Times New Roman;serif"/>
          <w:b/>
          <w:sz w:val="20"/>
        </w:rPr>
        <w:t>DIRECTORS, EXECUTIVE OFFICERS AND CORPORATE GOVERNANCE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name, age and position of each of the individuals who serve as executives and directors of our company as of February 28, 2023.</w:t>
      </w:r>
      <w:r>
        <w:rPr>
          <w:rFonts w:ascii="Times New Roman" w:hAnsi="Times New Roman"/>
          <w:sz w:val="20"/>
        </w:rPr>
        <w:t xml:space="preserve"> </w:t>
      </w:r>
    </w:p>
    <w:p>
      <w:pPr>
        <w:pStyle w:val="TextBody"/>
        <w:spacing w:before="0" w:after="0"/>
        <w:jc w:val="left"/>
        <w:rPr/>
      </w:pPr>
      <w:r>
        <w:rPr/>
        <w:t> </w:t>
      </w:r>
    </w:p>
    <w:tbl>
      <w:tblPr>
        <w:tblW w:w="6865" w:type="dxa"/>
        <w:jc w:val="left"/>
        <w:tblInd w:w="0" w:type="dxa"/>
        <w:tblCellMar>
          <w:top w:w="28" w:type="dxa"/>
          <w:left w:w="28" w:type="dxa"/>
          <w:bottom w:w="28" w:type="dxa"/>
          <w:right w:w="28" w:type="dxa"/>
        </w:tblCellMar>
      </w:tblPr>
      <w:tblGrid>
        <w:gridCol w:w="3061"/>
        <w:gridCol w:w="146"/>
        <w:gridCol w:w="391"/>
        <w:gridCol w:w="146"/>
        <w:gridCol w:w="3121"/>
      </w:tblGrid>
      <w:tr>
        <w:trPr/>
        <w:tc>
          <w:tcPr>
            <w:tcW w:w="3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3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Position</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Executive Officers:</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righ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Quisel, J.D.,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56</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Jonathan Yu</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Business Officer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Savage, MD,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Medical Officer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MacDonald, MB, Ch.B.,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63</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Innovation Officer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Rahul Khara, Pharm.D., J.D.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Counsel</w:t>
            </w:r>
          </w:p>
        </w:tc>
      </w:tr>
      <w:tr>
        <w:trPr/>
        <w:tc>
          <w:tcPr>
            <w:tcW w:w="30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Non-Employee Directors:</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Donald Nicholson,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Chairman and 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Mona Ashiya,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Backstrom, M.D., M.P.H</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Kevin Bitterman,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Chin, MS, MBA</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Georges Gemayel</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62</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Liam Ratcliffe, MD,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3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White, MPP, J.D.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Each executive officer serves at the discretion of the board and will hold office until his or her successor is duly elected and qualified or until his or her earlier resignation or removal. There are no family relationships among any of our directors or executive officers.</w:t>
      </w:r>
    </w:p>
    <w:p>
      <w:pPr>
        <w:pStyle w:val="TextBody"/>
        <w:spacing w:before="240" w:after="0"/>
        <w:jc w:val="left"/>
        <w:rPr>
          <w:rFonts w:ascii="Times New Roman" w:hAnsi="Times New Roman"/>
          <w:sz w:val="20"/>
        </w:rPr>
      </w:pPr>
      <w:r>
        <w:rPr>
          <w:rFonts w:ascii="Times New Roman;serif" w:hAnsi="Times New Roman;serif"/>
          <w:b/>
          <w:i/>
          <w:sz w:val="20"/>
        </w:rPr>
        <w:t>Executive Officers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 xml:space="preserve">John Quisel, J.D. Ph.D. </w:t>
      </w:r>
      <w:r>
        <w:rPr>
          <w:rFonts w:ascii="Times New Roman;serif" w:hAnsi="Times New Roman;serif"/>
          <w:b w:val="false"/>
          <w:sz w:val="20"/>
        </w:rPr>
        <w:t>has served as our Chief Executive Officer and as a member of our board of directors since February 2020. Previously, from October 2006 through February 2020, Dr. Quisel served in various positions at Acceleron Pharma Inc., a biopharmaceutical company, most recently as Chief Business Officer. Prior to joining Acceleron, Dr. Quisel worked as an associate at the law firms of Ropes &amp; Gray and Foley Hoag.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Joanne Bryce, CPA </w:t>
      </w:r>
      <w:r>
        <w:rPr>
          <w:rFonts w:ascii="Times New Roman;serif" w:hAnsi="Times New Roman;serif"/>
          <w:b w:val="false"/>
          <w:sz w:val="20"/>
        </w:rPr>
        <w:t>has served as our Chief Financial Officer since September 2021. Previously, she served as a part-time consultant for us acting as our Chief Financial Officer from November 2017 to September 2021. Ms. Bryce was previously the Chief Financial Officer of Arkuda Therapeutics, a biotechnology company, having served from February 2018 to September 2021. Additionally, she previously served as a consultant to Dyne Therapeutics, a muscle disease company, acting as head of finance, from January 2018 to March 2020, and was also previously Chief Financial Officer of Quartet Medicine, a biotechnology company, from November 2016 to November 2018. Prior to Quartet, Ms. Bryce held Chief Financial Officer roles at a number of technology companies, including Speedy Packets from October 2014 to November 2016 and WiTricity from September 2008 to June 2014. Ms. Bryce was Interim Chief Executive Officer at Jingle Networks from November 2005 to November 2008 and served as an independent consultant for multiple organizations between 2001 and 2005. Ms. Bryce was also Chief Financial Officer at Narrative Communications, later acquired by At Home Corporation, from January 1997 to July 2000. Ms. Bryce began her career at Arthur Andersen &amp; Co., an accounting firm. Ms. Bryce holds a B.S. from Babson College and is a certified public accountant licensed in the Commonwealth of Massachusetts.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 xml:space="preserve">Jonathan Yu </w:t>
      </w:r>
      <w:r>
        <w:rPr>
          <w:rFonts w:ascii="Times New Roman;serif" w:hAnsi="Times New Roman;serif"/>
          <w:b w:val="false"/>
          <w:sz w:val="20"/>
        </w:rPr>
        <w:t>has served as our Chief Business Officer since August 2021, and was previously our Senior Vice President of Corporate Development from July 2020 to August 2021. Previously, he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Pharma and Johnson &amp; Johnson, spanning commercial planning and assessment, business development and finance. Mr. Yu holds an AB from Harvard College and an MBA from the Wharton School of the University of Pennsylvania.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William Savage, MD, Ph.D. </w:t>
      </w:r>
      <w:r>
        <w:rPr>
          <w:rFonts w:ascii="Times New Roman;serif" w:hAnsi="Times New Roman;serif"/>
          <w:b w:val="false"/>
          <w:sz w:val="20"/>
        </w:rPr>
        <w:t>has served as our Chief Medical Officer since August 2021 and was previously our Vice President, Head of Clinical Development from August 2020 to August 2021. Previously, he served as Senior Medical Director at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133</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He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Brian MacDonald, MB, Ch.B., Ph.D., </w:t>
      </w:r>
      <w:r>
        <w:rPr>
          <w:rFonts w:ascii="Times New Roman;serif" w:hAnsi="Times New Roman;serif"/>
          <w:b w:val="false"/>
          <w:sz w:val="20"/>
        </w:rPr>
        <w:t>has served as our Chief Innovation Officer since September 2021 and served as a member of our board of directors from February 2020 until September 2021. Dr. MacDonald was our founding and Interim Chief Executive Officer from October 2017 through February 2020, and has founded another company engaged in the discovery of hepcidin-targeting therapeutics, Merganser Biotech, Inc., where he was the Chief Executive Officer from September 2011 through July 2016. Prior to that, he spent six years as Chief Executive Officer of Zelos Therapeutics from October 2005 through September 2011. He was also previously Head of Regulatory Affairs at Tetralogic from 2004 to 2005, Vice President, Development at 3-Dimensional Pharmaceuticals, Inc. from 2002 to 2003 and Group Director, Emerging Therapeutic Areas, at GSK from 2000 to 2002. Dr. MacDonald received his MB, Ch.B. and Ph.D. from the University of Sheffield, and is a member of the Royal College of Physicians.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Rahul Khara, Pharm.D., J.D., </w:t>
      </w:r>
      <w:r>
        <w:rPr>
          <w:rFonts w:ascii="Times New Roman;serif" w:hAnsi="Times New Roman;serif"/>
          <w:b w:val="false"/>
          <w:sz w:val="20"/>
        </w:rPr>
        <w:t>has served as our General Counsel since December 2021 and as our Compliance Officer and Secretary since December 2022. Dr. Khara previously served as Vice President, Legal and Chief Compliance Officer at Acceleron Pharma Inc. from August 2018 until December 2021. Prior to joining Acceleron he was a Senior Associate at the law firm Arnold &amp; Porter LLP from March 2015 until August 2018. Prior to that, Dr. Khara was a Senior Associate at the law firm Sidley Austin LLP from September 2008 until March 2015. Dr. Khara received his J.D. from the University of Michigan Law School. He earned a Pharm.D. from Rutgers University.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Non-Employee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Donald Nicholson, Ph.D. </w:t>
      </w:r>
      <w:r>
        <w:rPr>
          <w:rFonts w:ascii="Times New Roman;serif" w:hAnsi="Times New Roman;serif"/>
          <w:b w:val="false"/>
          <w:sz w:val="20"/>
        </w:rPr>
        <w:t>has served as Executive Chairman of our board of directors since April 2019. Dr. Nicholson is the former chief executive officer 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Mona Ashiya, Ph.D. </w:t>
      </w:r>
      <w:r>
        <w:rPr>
          <w:rFonts w:ascii="Times New Roman;serif" w:hAnsi="Times New Roman;serif"/>
          <w:b w:val="false"/>
          <w:sz w:val="20"/>
        </w:rPr>
        <w:t>has served as a member of our board of directors since September 2021. Dr. Ashiya is currently a Partner at OrbiMed Advisors LLC, an investment firm, where she has been employed since October 2010. She currently serves on the board of directors of several private companies. Dr. Ashiya also previously served on the board of directors of Prevail Therapeutics Inc. and Sierra Oncology, Inc.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Jay Backstrom, M.D., </w:t>
      </w:r>
      <w:r>
        <w:rPr>
          <w:rFonts w:ascii="Times New Roman;serif" w:hAnsi="Times New Roman;serif"/>
          <w:b/>
          <w:sz w:val="20"/>
        </w:rPr>
        <w:t>M.P.H.</w:t>
      </w:r>
      <w:r>
        <w:rPr>
          <w:rFonts w:ascii="Times New Roman" w:hAnsi="Times New Roman"/>
          <w:sz w:val="20"/>
        </w:rPr>
        <w:t xml:space="preserve"> </w:t>
      </w:r>
      <w:r>
        <w:rPr>
          <w:rFonts w:ascii="Times New Roman;serif" w:hAnsi="Times New Roman;serif"/>
          <w:b w:val="false"/>
          <w:sz w:val="20"/>
        </w:rPr>
        <w:t>has served as a member of our board of directors since December 2021. Dr. Backstrom is currently Chief Executive Officer of Scholar Rock, a position that he assumed in October 2022. Dr. Backstrom previously served as Executive Vice President, Research and Development at Acceleron Pharma Inc. from December 2019 through December 2021. Dr. Backstrom previously served as Chief Medical Officer of Celgene Corporation from April 2016 until November 2019. Prior to that he served as Senior Vice President, Clinical R&amp;D and Regulatory Affairs at Celgene where he was responsible for the late stage clinical and regulatory programs across the Hematology &amp; Oncology portfolio. Dr. Backstrom joined Celgene in March 2008 as Vice President, Clinical R&amp;D after serving as Vice President, Global Medical Affairs and Safety for Pharmion from 2002 to 2008. Prior to joining Pharmion, Dr. Backstrom was with Marion Merrell Dow and its successor companies including Hoechst Marion Roussel. Dr. Backstrom received his M.D. from Temple University School of Medicine. He did his post graduate training in Internal Medicine at Temple University Hospital and earned a Masters degree in Public Health from Saint Louis University School of Public Health. Dr. Backstrom is qualified to serve on our board of directors due to his extensive clinical development background.</w:t>
      </w:r>
    </w:p>
    <w:p>
      <w:pPr>
        <w:pStyle w:val="TextBody"/>
        <w:spacing w:before="120" w:after="0"/>
        <w:jc w:val="left"/>
        <w:rPr>
          <w:rFonts w:ascii="Times New Roman" w:hAnsi="Times New Roman"/>
          <w:sz w:val="20"/>
        </w:rPr>
      </w:pPr>
      <w:r>
        <w:rPr>
          <w:rFonts w:ascii="Times New Roman;serif" w:hAnsi="Times New Roman;serif"/>
          <w:b/>
          <w:i/>
          <w:sz w:val="20"/>
        </w:rPr>
        <w:t xml:space="preserve">Kevin Bitterman, Ph.D. </w:t>
      </w:r>
      <w:r>
        <w:rPr>
          <w:rFonts w:ascii="Times New Roman;serif" w:hAnsi="Times New Roman;serif"/>
          <w:b w:val="false"/>
          <w:sz w:val="20"/>
        </w:rPr>
        <w:t>has served as a member of our board of directors since November 2017. Dr. Bitterman currently serves as a partner at venture firm Atlas Venture, or Atlas, a venture capital firm, where he has been employed since June 2017 and where he focuses on investments in life science companies. Prior to joining Atlas, Dr. Bitterman was a partner at Polaris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Partners, an investment firm, as a member of the healthcare team from July 2004 to June 2017. Dr. Bitterman serves on the boards of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Biosciences(NASDAQ: GNCA). He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Mark Chin, MS, MBA </w:t>
      </w:r>
      <w:r>
        <w:rPr>
          <w:rFonts w:ascii="Times New Roman;serif" w:hAnsi="Times New Roman;serif"/>
          <w:b w:val="false"/>
          <w:sz w:val="20"/>
        </w:rPr>
        <w:t>has served as a member of our board of directors since September 2021. Mr. Chin has served as managing director at Arix Bioscience PLC, a biotechnology-focused venture capital firm, since July 2021. From August 2016 to April 2020, Mr. Chin served as an investment director at Arix Bioscience. Prior to Arix Bioscience, he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Harpoon Therapeutics, Inc. (Nasdaq: HARP), Imara Inc. (Nasdaq: IMRA), and Iterum Therapeutics plc (Nasdaq: ITRM) and a number of private biotechnology companies. Mr. Chin received a BS from the University of California at San Diego, an MS from the University of Pennsylvania, and an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 xml:space="preserve">Georges Gemayel, Ph.D. </w:t>
      </w:r>
      <w:r>
        <w:rPr>
          <w:rFonts w:ascii="Times New Roman;serif" w:hAnsi="Times New Roman;serif"/>
          <w:b w:val="false"/>
          <w:sz w:val="20"/>
        </w:rPr>
        <w:t>has served as a member of our board of directors since December 2022. Prior to that, Dr. Gemayel served as Gemini’s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Dynacure, Enterome SA, and GlycoEra. Previously, Dr. Gemayel served as Executive Chair of FoldRx Pharmaceuticals and of Syndexa Pharmaceuticals, as Chair of Oxthera AB, Dimension Therapeutics, Orphazyme A/S,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pStyle w:val="TextBody"/>
        <w:spacing w:before="120" w:after="0"/>
        <w:jc w:val="left"/>
        <w:rPr>
          <w:rFonts w:ascii="Times New Roman" w:hAnsi="Times New Roman"/>
          <w:sz w:val="20"/>
        </w:rPr>
      </w:pPr>
      <w:r>
        <w:rPr>
          <w:rFonts w:ascii="Times New Roman;serif" w:hAnsi="Times New Roman;serif"/>
          <w:b/>
          <w:i/>
          <w:sz w:val="20"/>
        </w:rPr>
        <w:t>Liam Ratcliffe, MD, Ph.D.</w:t>
      </w:r>
      <w:r>
        <w:rPr>
          <w:rFonts w:ascii="Times New Roman" w:hAnsi="Times New Roman"/>
          <w:sz w:val="20"/>
        </w:rPr>
        <w:t xml:space="preserve"> </w:t>
      </w:r>
      <w:r>
        <w:rPr>
          <w:rFonts w:ascii="Times New Roman;serif" w:hAnsi="Times New Roman;serif"/>
          <w:b w:val="false"/>
          <w:sz w:val="20"/>
        </w:rPr>
        <w:t>has served as a member of our board of directors since September 2019. Dr. Ratcliffe has served as Head of Biotechnology at Access Industries, a privately held industrial group, since April 2019. Previously, he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he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William White, MPP, J.D.,</w:t>
      </w:r>
      <w:r>
        <w:rPr>
          <w:rFonts w:ascii="Times New Roman" w:hAnsi="Times New Roman"/>
          <w:sz w:val="20"/>
        </w:rPr>
        <w:t xml:space="preserve"> </w:t>
      </w:r>
      <w:r>
        <w:rPr>
          <w:rFonts w:ascii="Times New Roman;serif" w:hAnsi="Times New Roman;serif"/>
          <w:b w:val="false"/>
          <w:sz w:val="20"/>
        </w:rPr>
        <w:t>has served as a member of our board of directors since December 2020. Mr. White has served as the Executive Vice President, 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135</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until March 2019. Prior to that position, Mr. White was a Managing Director in Healthcare Investment Banking at Citigroup from May 2006 until September 2017. Previously, he served as an associate and later as a Vice President in Healthcare Investment Banking at Goldman, Sachs &amp; Co. from November 2000 to March 2006. Mr. White received an AB from Princeton University, an MPP from Harvard University and a J.D. from Columbia University. Mr. White also serves as a board member and Audit Committee Chair of Ventyx Bioscience (Nasdaq: VTYX). Mr. White is qualified to serve on our board of directors because of his extensive financial and investment experience in the life sciences industry.</w:t>
      </w:r>
    </w:p>
    <w:p>
      <w:pPr>
        <w:pStyle w:val="TextBody"/>
        <w:spacing w:before="240" w:after="0"/>
        <w:jc w:val="left"/>
        <w:rPr>
          <w:rFonts w:ascii="Times New Roman;serif" w:hAnsi="Times New Roman;serif"/>
          <w:b/>
          <w:i/>
          <w:sz w:val="20"/>
        </w:rPr>
      </w:pPr>
      <w:r>
        <w:rPr>
          <w:rFonts w:ascii="Times New Roman;serif" w:hAnsi="Times New Roman;serif"/>
          <w:b/>
          <w:i/>
          <w:sz w:val="20"/>
        </w:rPr>
        <w:t>Corporate Governance</w:t>
      </w:r>
    </w:p>
    <w:p>
      <w:pPr>
        <w:pStyle w:val="TextBody"/>
        <w:spacing w:before="120" w:after="0"/>
        <w:jc w:val="left"/>
        <w:rPr>
          <w:rFonts w:ascii="Times New Roman;serif" w:hAnsi="Times New Roman;serif"/>
          <w:b/>
          <w:sz w:val="20"/>
        </w:rPr>
      </w:pPr>
      <w:r>
        <w:rPr>
          <w:rFonts w:ascii="Times New Roman;serif" w:hAnsi="Times New Roman;serif"/>
          <w:b/>
          <w:sz w:val="20"/>
        </w:rPr>
        <w:t>Corporate Governance Guidelines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corporate governance guidelines assist our board of directors in the exercise of its duties and responsibilities and to serve the best interests of our company and our stockholders. These guidelines, which provide a framework for the conduct of our board’s business, provide that: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principal responsibility of the directors is to oversee our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majority of the members of the board shall be independent directors, unless otherwise permitted by Nasdaq rules;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independent directors meet at least once a year;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directors have full and free access to management and, as necessary and appropriate, independent advisors;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at least annually, the nominating and corporate governance committee oversees a self-evaluation by the board to assess the effectiveness of the board and its committees.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is responsible for managing or supervising the management of our business and affairs. This includes appointing our chief executive officer, advising management on strategic issues, approving our business and other plans and monitoring our performance against those plans and against our operating and capital budgets. In addition, our board of directors also receives and considers recommendations from our various committees with respect to matters such as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compensation of our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criteria for board and committee membership;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persons to be nominated for election as directors and to each of the board of director’s committees;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matters relating to our code of business conduct and ethics and corporate governance guidelines. Our board of directors does not have a written mandate.</w:t>
      </w:r>
    </w:p>
    <w:p>
      <w:pPr>
        <w:pStyle w:val="TextBody"/>
        <w:spacing w:before="240" w:after="0"/>
        <w:jc w:val="left"/>
        <w:rPr>
          <w:rFonts w:ascii="Times New Roman;serif" w:hAnsi="Times New Roman;serif"/>
          <w:b/>
          <w:sz w:val="20"/>
        </w:rPr>
      </w:pPr>
      <w:r>
        <w:rPr>
          <w:rFonts w:ascii="Times New Roman;serif" w:hAnsi="Times New Roman;serif"/>
          <w:b/>
          <w:sz w:val="20"/>
        </w:rPr>
        <w:t>Code of Business Conduct and Ethics</w:t>
      </w:r>
    </w:p>
    <w:p>
      <w:pPr>
        <w:pStyle w:val="TextBody"/>
        <w:spacing w:before="120" w:after="0"/>
        <w:jc w:val="left"/>
        <w:rPr>
          <w:rFonts w:ascii="Times New Roman" w:hAnsi="Times New Roman"/>
          <w:sz w:val="20"/>
        </w:rPr>
      </w:pPr>
      <w:r>
        <w:rPr>
          <w:rFonts w:ascii="Times New Roman;serif" w:hAnsi="Times New Roman;serif"/>
          <w:b w:val="false"/>
          <w:sz w:val="20"/>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serif" w:hAnsi="Times New Roman;serif"/>
          <w:b/>
          <w:i/>
          <w:sz w:val="20"/>
        </w:rPr>
        <w:t>www.discmedicine.com</w:t>
      </w:r>
      <w:r>
        <w:rPr>
          <w:rFonts w:ascii="Times New Roman;serif" w:hAnsi="Times New Roman;serif"/>
          <w:b w:val="false"/>
          <w:sz w:val="20"/>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pStyle w:val="TextBody"/>
        <w:spacing w:before="240" w:after="0"/>
        <w:jc w:val="left"/>
        <w:rPr>
          <w:rFonts w:ascii="Times New Roman;serif" w:hAnsi="Times New Roman;serif"/>
          <w:b/>
          <w:sz w:val="20"/>
        </w:rPr>
      </w:pPr>
      <w:r>
        <w:rPr>
          <w:rFonts w:ascii="Times New Roman;serif" w:hAnsi="Times New Roman;serif"/>
          <w:b/>
          <w:sz w:val="20"/>
        </w:rPr>
        <w:t>Determination of Independence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 3 under the Securities Exchange Act of 1934, as amended, or the Exchange Act, and compensation committee members must also satisfy the independence criteria set forth in Rule 10C 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before="120" w:after="0"/>
        <w:jc w:val="left"/>
        <w:rPr>
          <w:rFonts w:ascii="Times New Roman" w:hAnsi="Times New Roman"/>
          <w:sz w:val="20"/>
        </w:rPr>
      </w:pPr>
      <w:r>
        <w:rPr>
          <w:rFonts w:ascii="Times New Roman;serif" w:hAnsi="Times New Roman;serif"/>
          <w:b w:val="false"/>
          <w:sz w:val="20"/>
        </w:rPr>
        <w:t>In order to be considered independent for purposes of Rule 10A 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 1, the board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136</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has determined that each of our directors, with the exception of Dr. Quisel, who serves as our Chief Executive Officer, and Georges Gemayel, who served as the chief executive officer of Gemini prior to our merger with Gemini, is an “independent director” within the meaning of the director independence standards established by the SEC and Nasdaq. Our 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non-management directors meet at regularly scheduled executive sessions without management participation, and at least once each year an executive session with only independent directors present is held. In 2022, there were four executive sessions at which only the independent directors were present.</w:t>
      </w:r>
    </w:p>
    <w:p>
      <w:pPr>
        <w:pStyle w:val="TextBody"/>
        <w:spacing w:before="240" w:after="0"/>
        <w:jc w:val="left"/>
        <w:rPr>
          <w:rFonts w:ascii="Times New Roman;serif" w:hAnsi="Times New Roman;serif"/>
          <w:b/>
          <w:sz w:val="20"/>
        </w:rPr>
      </w:pPr>
      <w:r>
        <w:rPr>
          <w:rFonts w:ascii="Times New Roman;serif" w:hAnsi="Times New Roman;serif"/>
          <w:b/>
          <w:sz w:val="20"/>
        </w:rPr>
        <w:t>Board Self-Assessment; Director Candidates; and Criteria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performs an annual self-assessment. During this self-assessment, the board of directors considers many factors, including, but not limited to, the expertise of existing board of director members and the expertise of directors we need in our transition from a clinical development stage company to becoming a commercial enterprise. The board of director’s annual self-assessment is conducted by a survey in which each director is asked to comment on the effectiveness and contribution of the board of directors as a whole.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pStyle w:val="TextBody"/>
        <w:spacing w:before="120" w:after="0"/>
        <w:jc w:val="left"/>
        <w:rPr>
          <w:rFonts w:ascii="Times New Roman" w:hAnsi="Times New Roman"/>
          <w:sz w:val="20"/>
        </w:rPr>
      </w:pPr>
      <w:r>
        <w:rPr>
          <w:rFonts w:ascii="Times New Roman;serif" w:hAnsi="Times New Roman;serif"/>
          <w:b w:val="false"/>
          <w:sz w:val="20"/>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established by the nominating and corporate governance committee. These criteria include,</w:t>
      </w:r>
      <w:r>
        <w:rPr>
          <w:rFonts w:ascii="Times New Roman" w:hAnsi="Times New Roman"/>
          <w:sz w:val="20"/>
        </w:rPr>
        <w:t xml:space="preserve"> </w:t>
      </w:r>
      <w:r>
        <w:rPr>
          <w:rFonts w:ascii="Times New Roman;serif" w:hAnsi="Times New Roman;serif"/>
          <w:b w:val="false"/>
          <w:sz w:val="20"/>
        </w:rPr>
        <w:t>among other things, the skills of the candidate, his or her depth and breadth of business experience and other background characteristics, his or her independence and the needs of the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board of directors does not believe that limits on the number of consecutive terms a director may serve or on the directors’ ages are appropriate at this stage. Instead, each director’s performance and their continued service is assessed by the nominating and corporate governance committee in light of the needs of the board of directors and other relevant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may recommend individuals to our nominating and corporate governance committee for consideration as potential director candidates by providing timely notice and meeting the other requirements set forth in our by-laws, including our advanced notice provision, and the rules and regulations of the SEC. Assuming such requirements have been met,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his or her election, then his or her name will be included in our proxy card for the next annual meeting.</w:t>
      </w:r>
    </w:p>
    <w:p>
      <w:pPr>
        <w:pStyle w:val="TextBody"/>
        <w:spacing w:before="120" w:after="0"/>
        <w:jc w:val="left"/>
        <w:rPr>
          <w:rFonts w:ascii="Times New Roman" w:hAnsi="Times New Roman"/>
          <w:sz w:val="20"/>
        </w:rPr>
      </w:pPr>
      <w:r>
        <w:rPr>
          <w:rFonts w:ascii="Times New Roman;serif" w:hAnsi="Times New Roman;serif"/>
          <w:b w:val="false"/>
          <w:sz w:val="20"/>
        </w:rPr>
        <w:t>The company conducts an orientation program for each new director, which generally includes conversations with individual members of management. The orientation is designed to familiarize the new director with the company’s business and strategic plans, key policies and practices, principal officers and management structure, auditing and compliance processes and its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137</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code of business conduct and ethics. New directors have access to historical published information about the company, its articles and by-laws, the corporate governance guidelines and the charters of the board of director’s committees and other relevant information. The nominating and corporate governance committee is responsible for providing materials or briefing sessions for continuing directors on topics that will assist them in discharging their duties. In addition, management makes regular presentations to the board of directors on the main areas of the company’s business and new developments in the industry.</w:t>
      </w:r>
    </w:p>
    <w:p>
      <w:pPr>
        <w:pStyle w:val="TextBody"/>
        <w:spacing w:before="240" w:after="0"/>
        <w:jc w:val="left"/>
        <w:rPr>
          <w:rFonts w:ascii="Times New Roman;serif" w:hAnsi="Times New Roman;serif"/>
          <w:b/>
          <w:sz w:val="20"/>
        </w:rPr>
      </w:pPr>
      <w:r>
        <w:rPr>
          <w:rFonts w:ascii="Times New Roman;serif" w:hAnsi="Times New Roman;serif"/>
          <w:b/>
          <w:sz w:val="20"/>
        </w:rPr>
        <w:t>Communication from Stockholders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Communications are forwarded to all directors if they relate to important substantive matters and include suggestions or comments that the chairman of the board of directors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pStyle w:val="TextBody"/>
        <w:spacing w:before="240" w:after="0"/>
        <w:jc w:val="left"/>
        <w:rPr>
          <w:rFonts w:ascii="Times New Roman;serif" w:hAnsi="Times New Roman;serif"/>
          <w:b/>
          <w:sz w:val="20"/>
        </w:rPr>
      </w:pPr>
      <w:r>
        <w:rPr>
          <w:rFonts w:ascii="Times New Roman;serif" w:hAnsi="Times New Roman;serif"/>
          <w:b/>
          <w:sz w:val="20"/>
        </w:rPr>
        <w:t>Composition of the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currently consists of nine members, divided into three staggered classes, with one class to be elected at each annual meeting to serve for a three-year term.</w:t>
      </w:r>
    </w:p>
    <w:p>
      <w:pPr>
        <w:pStyle w:val="TextBody"/>
        <w:spacing w:before="240" w:after="0"/>
        <w:jc w:val="left"/>
        <w:rPr>
          <w:rFonts w:ascii="Times New Roman;serif" w:hAnsi="Times New Roman;serif"/>
          <w:b/>
          <w:sz w:val="20"/>
        </w:rPr>
      </w:pPr>
      <w:r>
        <w:rPr>
          <w:rFonts w:ascii="Times New Roman;serif" w:hAnsi="Times New Roman;serif"/>
          <w:b/>
          <w:sz w:val="20"/>
        </w:rPr>
        <w:t>Board Diversity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nominating and corporate governance committee has a written board diversity policy and believes that our board of directors, taken as a whole, should embody a diverse set of skills, experience, knowledge and backgrounds, including an appropriate number of women directors. The board of directors has not adopted targets for the number or proportion of female directors as the company is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the company considers candidates on merit against objective criteria and the needs of the board of directors and considers the need to increase the number of women directors on the board of directors to meet the company’s goal. When recruiting new candidates for appointment, search protocols will go beyond the networks of existing board of director members and will incorporate diversity, including identification of female candidates, as a component. Any search firm engaged to assist the board of directors or the nominating and corporate governance committee in identifying candidates for appointment to the board of directors shall be directed to include women candidates and women candidates will be included in the board of director’s evergreen list of potential board of director nominees.</w:t>
      </w:r>
    </w:p>
    <w:p>
      <w:pPr>
        <w:pStyle w:val="TextBody"/>
        <w:spacing w:before="120" w:after="0"/>
        <w:jc w:val="left"/>
        <w:rPr>
          <w:rFonts w:ascii="Times New Roman" w:hAnsi="Times New Roman"/>
          <w:sz w:val="20"/>
        </w:rPr>
      </w:pPr>
      <w:r>
        <w:rPr>
          <w:rFonts w:ascii="Times New Roman;serif" w:hAnsi="Times New Roman;serif"/>
          <w:b w:val="false"/>
          <w:sz w:val="20"/>
        </w:rPr>
        <w:t>The company has not adopted targets for the number or proportion of directors who are members of a visible minority, Indigenous peoples or persons with a disability, or the designated groups, or for other diversity characteristics at this time. For now, the board of directors has chosen to focus on gender in exclusion to other diversity characteristics and the nominating and corporate governance committee does not specifically consider the level of representation of members of designated groups on the board of directors in identifying and nominating candidates for election or re-election to the board of directors.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below board diversity matrix reports self-identified diversity statistics for the board of directors.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Board Diversity Matrix (As of February 28, 2023)</w:t>
      </w:r>
    </w:p>
    <w:p>
      <w:pPr>
        <w:pStyle w:val="TextBody"/>
        <w:spacing w:before="0" w:after="0"/>
        <w:jc w:val="center"/>
        <w:rPr/>
      </w:pPr>
      <w:r>
        <w:rPr/>
        <w:t> </w:t>
      </w:r>
    </w:p>
    <w:tbl>
      <w:tblPr>
        <w:tblW w:w="7784" w:type="dxa"/>
        <w:jc w:val="left"/>
        <w:tblInd w:w="0" w:type="dxa"/>
        <w:tblCellMar>
          <w:top w:w="28" w:type="dxa"/>
          <w:left w:w="28" w:type="dxa"/>
          <w:bottom w:w="28" w:type="dxa"/>
          <w:right w:w="28" w:type="dxa"/>
        </w:tblCellMar>
      </w:tblPr>
      <w:tblGrid>
        <w:gridCol w:w="3046"/>
        <w:gridCol w:w="736"/>
        <w:gridCol w:w="541"/>
        <w:gridCol w:w="1111"/>
        <w:gridCol w:w="2350"/>
      </w:tblGrid>
      <w:tr>
        <w:trPr/>
        <w:tc>
          <w:tcPr>
            <w:tcW w:w="30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ind w:left="0" w:right="0" w:firstLine="144"/>
              <w:rPr>
                <w:sz w:val="4"/>
                <w:szCs w:val="4"/>
              </w:rPr>
            </w:pPr>
            <w:r>
              <w:rPr>
                <w:sz w:val="4"/>
                <w:szCs w:val="4"/>
              </w:rPr>
            </w:r>
          </w:p>
        </w:tc>
      </w:tr>
      <w:tr>
        <w:trPr/>
        <w:tc>
          <w:tcPr>
            <w:tcW w:w="304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144" w:right="0" w:hanging="0"/>
              <w:jc w:val="left"/>
              <w:rPr>
                <w:rFonts w:ascii="Times New Roman;serif" w:hAnsi="Times New Roman;serif"/>
                <w:b/>
                <w:sz w:val="20"/>
              </w:rPr>
            </w:pPr>
            <w:r>
              <w:rPr>
                <w:rFonts w:ascii="Times New Roman;serif" w:hAnsi="Times New Roman;serif"/>
                <w:b/>
                <w:sz w:val="20"/>
              </w:rPr>
              <w:t>Total Number of Directors</w:t>
            </w:r>
          </w:p>
        </w:tc>
        <w:tc>
          <w:tcPr>
            <w:tcW w:w="4738" w:type="dxa"/>
            <w:gridSpan w:val="4"/>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firstLine="144"/>
              <w:jc w:val="center"/>
              <w:rPr>
                <w:rFonts w:ascii="Times New Roman;serif" w:hAnsi="Times New Roman;serif"/>
                <w:b/>
                <w:sz w:val="20"/>
              </w:rPr>
            </w:pPr>
            <w:r>
              <w:rPr>
                <w:rFonts w:ascii="Times New Roman;serif" w:hAnsi="Times New Roman;serif"/>
                <w:b/>
                <w:sz w:val="20"/>
              </w:rPr>
              <w:t>9</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pPr>
            <w:r>
              <w:rPr/>
              <w:t> </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Female</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Male</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Non-Binary</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center"/>
              <w:rPr>
                <w:rFonts w:ascii="Times New Roman;serif" w:hAnsi="Times New Roman;serif"/>
                <w:b/>
                <w:sz w:val="20"/>
              </w:rPr>
            </w:pPr>
            <w:r>
              <w:rPr>
                <w:rFonts w:ascii="Times New Roman;serif" w:hAnsi="Times New Roman;serif"/>
                <w:b/>
                <w:sz w:val="20"/>
              </w:rPr>
              <w:t>Did Not Disclose Gender</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sz w:val="20"/>
              </w:rPr>
            </w:pPr>
            <w:r>
              <w:rPr>
                <w:rFonts w:ascii="Times New Roman;serif" w:hAnsi="Times New Roman;serif"/>
                <w:b/>
                <w:sz w:val="20"/>
              </w:rPr>
              <w:t>Part I: Gender Identity</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Directors</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sz w:val="20"/>
              </w:rPr>
            </w:pPr>
            <w:r>
              <w:rPr>
                <w:rFonts w:ascii="Times New Roman;serif" w:hAnsi="Times New Roman;serif"/>
                <w:b/>
                <w:sz w:val="20"/>
              </w:rPr>
              <w:t>Part II: Demographic Background</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Alaskan Native or Native American</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Asian</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Hispanic or Latinx</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Native Hawaiian or Pacific Islander</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White</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4"/>
              <w:jc w:val="left"/>
              <w:rPr/>
            </w:pPr>
            <w:r>
              <w:rPr/>
              <w:t> </w:t>
            </w:r>
          </w:p>
        </w:tc>
      </w:tr>
      <w:tr>
        <w:trPr/>
        <w:tc>
          <w:tcPr>
            <w:tcW w:w="304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Two or More Races or Ethnicities</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54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11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c>
          <w:tcPr>
            <w:tcW w:w="235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138</w:t>
      </w:r>
    </w:p>
    <w:p>
      <w:pPr>
        <w:pStyle w:val="HorizontalLine"/>
        <w:rPr/>
      </w:pPr>
      <w:r>
        <w:rPr/>
      </w:r>
    </w:p>
    <w:tbl>
      <w:tblPr>
        <w:tblW w:w="4464" w:type="dxa"/>
        <w:jc w:val="left"/>
        <w:tblInd w:w="0" w:type="dxa"/>
        <w:tblCellMar>
          <w:top w:w="28" w:type="dxa"/>
          <w:left w:w="28" w:type="dxa"/>
          <w:bottom w:w="28" w:type="dxa"/>
          <w:right w:w="28" w:type="dxa"/>
        </w:tblCellMar>
      </w:tblPr>
      <w:tblGrid>
        <w:gridCol w:w="3691"/>
        <w:gridCol w:w="146"/>
        <w:gridCol w:w="146"/>
        <w:gridCol w:w="146"/>
        <w:gridCol w:w="335"/>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ind w:left="0" w:right="0" w:firstLine="144"/>
              <w:rPr>
                <w:sz w:val="4"/>
                <w:szCs w:val="4"/>
              </w:rPr>
            </w:pPr>
            <w:r>
              <w:rPr>
                <w:sz w:val="4"/>
                <w:szCs w:val="4"/>
              </w:rPr>
            </w:r>
          </w:p>
        </w:tc>
      </w:tr>
      <w:tr>
        <w:trPr/>
        <w:tc>
          <w:tcPr>
            <w:tcW w:w="3691"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LGBTQ+</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335" w:type="dxa"/>
            <w:tcBorders>
              <w:top w:val="single" w:sz="4" w:space="0" w:color="000000"/>
              <w:right w:val="single" w:sz="4" w:space="0" w:color="000000"/>
            </w:tcBorders>
            <w:shd w:fill="auto" w:val="clear"/>
            <w:tcMar>
              <w:left w:w="0" w:type="dxa"/>
              <w:bottom w:w="0" w:type="dxa"/>
            </w:tcMar>
            <w:vAlign w:val="center"/>
          </w:tcPr>
          <w:p>
            <w:pPr>
              <w:pStyle w:val="TableContents"/>
              <w:spacing w:before="0" w:after="0"/>
              <w:ind w:left="0" w:right="0" w:firstLine="144"/>
              <w:jc w:val="left"/>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Persons with disabilities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5" w:type="dxa"/>
            <w:tcBorders>
              <w:right w:val="single" w:sz="4" w:space="0" w:color="000000"/>
            </w:tcBorders>
            <w:shd w:fill="auto" w:val="clear"/>
            <w:tcMar>
              <w:top w:w="0" w:type="dxa"/>
              <w:left w:w="0" w:type="dxa"/>
              <w:bottom w:w="0" w:type="dxa"/>
            </w:tcMar>
            <w:vAlign w:val="center"/>
          </w:tcPr>
          <w:p>
            <w:pPr>
              <w:pStyle w:val="TableContents"/>
              <w:spacing w:before="0" w:after="0"/>
              <w:ind w:left="0" w:right="0" w:firstLine="144"/>
              <w:jc w:val="left"/>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Visible minorities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5" w:type="dxa"/>
            <w:tcBorders>
              <w:right w:val="single" w:sz="4" w:space="0" w:color="000000"/>
            </w:tcBorders>
            <w:shd w:fill="auto" w:val="clear"/>
            <w:tcMar>
              <w:top w:w="0" w:type="dxa"/>
              <w:left w:w="0" w:type="dxa"/>
              <w:bottom w:w="0" w:type="dxa"/>
            </w:tcMar>
            <w:vAlign w:val="center"/>
          </w:tcPr>
          <w:p>
            <w:pPr>
              <w:pStyle w:val="TableContents"/>
              <w:spacing w:before="0" w:after="0"/>
              <w:ind w:left="0" w:right="0" w:firstLine="144"/>
              <w:jc w:val="left"/>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Indigenous peoples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5" w:type="dxa"/>
            <w:tcBorders>
              <w:right w:val="single" w:sz="4" w:space="0" w:color="000000"/>
            </w:tcBorders>
            <w:shd w:fill="auto" w:val="clear"/>
            <w:tcMar>
              <w:top w:w="0" w:type="dxa"/>
              <w:left w:w="0" w:type="dxa"/>
              <w:bottom w:w="0" w:type="dxa"/>
            </w:tcMar>
            <w:vAlign w:val="center"/>
          </w:tcPr>
          <w:p>
            <w:pPr>
              <w:pStyle w:val="TableContents"/>
              <w:spacing w:before="0" w:after="0"/>
              <w:ind w:left="0" w:right="0" w:firstLine="144"/>
              <w:jc w:val="left"/>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Did Not Disclose Demographic Background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5"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does not consider the level of representation of women or other designated groups in executive officer positions and has not adopted targets for the number or proportion of directors who are women or members of other designated groups as the company seeks to promote individuals solely based on merit. Currently one of the executive officers is a woman, two of the executive officers are visible minorities and none of the executive officers are Indigenous peoples or persons with a disability.</w:t>
      </w:r>
    </w:p>
    <w:p>
      <w:pPr>
        <w:pStyle w:val="TextBody"/>
        <w:spacing w:before="240" w:after="0"/>
        <w:jc w:val="left"/>
        <w:rPr>
          <w:rFonts w:ascii="Times New Roman;serif" w:hAnsi="Times New Roman;serif"/>
          <w:b/>
          <w:sz w:val="20"/>
        </w:rPr>
      </w:pPr>
      <w:r>
        <w:rPr>
          <w:rFonts w:ascii="Times New Roman;serif" w:hAnsi="Times New Roman;serif"/>
          <w:b/>
          <w:sz w:val="20"/>
        </w:rPr>
        <w:t>Board and Committee Meetings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Disc board of directors held 14 meetings during 2022. During 2022, each of the Disc directors then in office attended at least 75% of the aggregate of all meetings of the board of directors and all meetings of the committees of the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pStyle w:val="TextBody"/>
        <w:spacing w:before="240" w:after="0"/>
        <w:jc w:val="left"/>
        <w:rPr>
          <w:rFonts w:ascii="Times New Roman;serif" w:hAnsi="Times New Roman;serif"/>
          <w:b/>
          <w:sz w:val="20"/>
        </w:rPr>
      </w:pPr>
      <w:r>
        <w:rPr>
          <w:rFonts w:ascii="Times New Roman;serif" w:hAnsi="Times New Roman;serif"/>
          <w:b/>
          <w:sz w:val="20"/>
        </w:rPr>
        <w:t>Committees of the Board of Directors</w:t>
      </w:r>
    </w:p>
    <w:p>
      <w:pPr>
        <w:pStyle w:val="TextBody"/>
        <w:spacing w:before="120" w:after="0"/>
        <w:jc w:val="left"/>
        <w:rPr>
          <w:rFonts w:ascii="Times New Roman" w:hAnsi="Times New Roman"/>
          <w:sz w:val="20"/>
        </w:rPr>
      </w:pPr>
      <w:r>
        <w:rPr>
          <w:rFonts w:ascii="Times New Roman;serif" w:hAnsi="Times New Roman;serif"/>
          <w:b w:val="false"/>
          <w:sz w:val="20"/>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Media—Corporate Governance” section of our website, which is located at </w:t>
      </w:r>
      <w:r>
        <w:rPr>
          <w:rFonts w:ascii="Times New Roman;serif" w:hAnsi="Times New Roman;serif"/>
          <w:b/>
          <w:i/>
          <w:sz w:val="20"/>
        </w:rPr>
        <w:t>www</w:t>
      </w:r>
      <w:r>
        <w:rPr>
          <w:rFonts w:ascii="Times New Roman;serif" w:hAnsi="Times New Roman;serif"/>
          <w:b w:val="false"/>
          <w:sz w:val="20"/>
        </w:rPr>
        <w:t>.</w:t>
      </w:r>
      <w:r>
        <w:rPr>
          <w:rFonts w:ascii="Times New Roman;serif" w:hAnsi="Times New Roman;serif"/>
          <w:b/>
          <w:i/>
          <w:sz w:val="20"/>
        </w:rPr>
        <w:t>discmedicine</w:t>
      </w:r>
      <w:r>
        <w:rPr>
          <w:rFonts w:ascii="Times New Roman;serif" w:hAnsi="Times New Roman;serif"/>
          <w:b w:val="false"/>
          <w:sz w:val="20"/>
        </w:rPr>
        <w:t>.</w:t>
      </w:r>
      <w:r>
        <w:rPr>
          <w:rFonts w:ascii="Times New Roman;serif" w:hAnsi="Times New Roman;serif"/>
          <w:b/>
          <w:i/>
          <w:sz w:val="20"/>
        </w:rPr>
        <w:t>com</w:t>
      </w:r>
      <w:r>
        <w:rPr>
          <w:rFonts w:ascii="Times New Roman;serif" w:hAnsi="Times New Roman;serif"/>
          <w:b w:val="false"/>
          <w:sz w:val="20"/>
        </w:rPr>
        <w:t>. The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the board of directors on the work of the committee and any recommendations for approval by the board of directors. The committee chairperson also ensures that the committee receives the information required for the performance of its responsibilities. The board of directors may also establish other committees from time to time to assist the company and the board of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Audit Committee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primary purpose of our audit committee is to discharge the responsibilities of the board of directors with respect to our accounting, financial, and other reporting and internal control practices and to oversee our independent registered accounting firm.</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Specific responsibilities of our audit committee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selecting a qualified firm to serve as the independent registered public accounting firm to audit our financial statements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helping to ensure the independence and performance of the independent registered public accounting firm;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discussing the scope and results of the audit with the independent registered public accounting firm, and reviewing, with management and the independent accountants, our interim and year-end operating results;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procedures for employees to submit concerns anonymously about questionable accounting or audit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policies on risk assessment and risk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related party transactions;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approving (or, as permitted, pre-approving) all audit and all permissible non-audit service to be performed by the independent registered public accounting firm.</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139</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members of the Audit Committee are William White, Liam Ratcliffe and Mark Chin. William White is the chair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2022, the Disc audit committee met four times. We believe that the composition of the audit committee complies with the applicable requirements of the rules and regulations of Nasdaq and the SEC.</w:t>
      </w:r>
    </w:p>
    <w:p>
      <w:pPr>
        <w:pStyle w:val="TextBody"/>
        <w:spacing w:before="240" w:after="0"/>
        <w:jc w:val="left"/>
        <w:rPr>
          <w:rFonts w:ascii="Times New Roman" w:hAnsi="Times New Roman"/>
          <w:sz w:val="20"/>
        </w:rPr>
      </w:pPr>
      <w:r>
        <w:rPr>
          <w:rFonts w:ascii="Times New Roman;serif" w:hAnsi="Times New Roman;serif"/>
          <w:b w:val="false"/>
          <w:i/>
          <w:sz w:val="20"/>
        </w:rPr>
        <w:t>Compensation Committee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purpose of our compensation committee is to discharge the responsibilities of the board of directors to oversee our compensation policies, plans and programs and to review and determine the compensation to be paid to our executive officers, directors and other senior management, as appropriate.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Specific responsibilities of our compensation committee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or recommending that the board of directors approve, the compensation of our executive officers;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recommending to our board of directors the compensation of our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administering our stock and equity incentive plans;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selecting independent compensation consultants and assessing whether there are any conflicts of interest with any of the committee’s compensation advisors;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establishing general policies relating to compensation and benefits of our employees;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reviewing our overall compensation philosophy.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members of the Compensation Committee are Donald Nicholson, Mona Ashiya and Kevin Bitterman. Dr. Nicholson is the chair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2022, the Disc compensation committee met three times. We believe that the composition of the compensation committee complies with the applicable requirements of the rules and regulations of Nasdaq and the SEC.</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Compensation Consultants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fiscal year 2022, our compensation committee engaged Pearl Meyer &amp; Partners, LLC, or Pearl Meyer, to provide compensation consulting services. During fiscal year 2022,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pStyle w:val="TextBody"/>
        <w:spacing w:before="240" w:after="0"/>
        <w:jc w:val="left"/>
        <w:rPr>
          <w:rFonts w:ascii="Times New Roman" w:hAnsi="Times New Roman"/>
          <w:sz w:val="20"/>
        </w:rPr>
      </w:pPr>
      <w:r>
        <w:rPr>
          <w:rFonts w:ascii="Times New Roman;serif" w:hAnsi="Times New Roman;serif"/>
          <w:b w:val="false"/>
          <w:i/>
          <w:sz w:val="20"/>
        </w:rPr>
        <w:t>Nominating and Corporate Governance Committee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Specific responsibilities of our nominating and corporate governance committee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evaluating and selecting, or recommending that the board of directors approve, nominees for election to the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the performance of the board of directors and of individual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developments in corporate governance practices;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the adequacy of our corporate governance practices and reporting;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management succession plans;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developing and making recommendations to the board of directors regarding corporate governance guidelines and matters.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140</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members of the Nominating and Corporate Governance Committee are Kevin Bitterman, Mona Ashiya, Donald Nicholson and Liam Ratcliffe. Dr. Bitterman is the chair of the Nominating and Corporate Governance Committee. During the fiscal year ended December 31, 2022, the Disc nominating and corporate governance committee did not meet. We believe that the composition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pStyle w:val="TextBody"/>
        <w:spacing w:before="240" w:after="0"/>
        <w:jc w:val="left"/>
        <w:rPr>
          <w:rFonts w:ascii="Times New Roman;serif" w:hAnsi="Times New Roman;serif"/>
          <w:b/>
          <w:sz w:val="20"/>
        </w:rPr>
      </w:pPr>
      <w:r>
        <w:rPr>
          <w:rFonts w:ascii="Times New Roman;serif" w:hAnsi="Times New Roman;serif"/>
          <w:b/>
          <w:sz w:val="20"/>
        </w:rPr>
        <w:t>Policy on Trading, Pledging and Hedging of Company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consultants and designated contractors. Our insider trading policy expressly prohibits purchases of any derivative securities that provide the economic equivalent of ownership.</w:t>
      </w:r>
    </w:p>
    <w:p>
      <w:pPr>
        <w:pStyle w:val="TextBody"/>
        <w:spacing w:before="240" w:after="0"/>
        <w:jc w:val="left"/>
        <w:rPr>
          <w:rFonts w:ascii="Times New Roman;serif" w:hAnsi="Times New Roman;serif"/>
          <w:b/>
          <w:sz w:val="20"/>
        </w:rPr>
      </w:pPr>
      <w:r>
        <w:rPr>
          <w:rFonts w:ascii="Times New Roman;serif" w:hAnsi="Times New Roman;serif"/>
          <w:b/>
          <w:sz w:val="20"/>
        </w:rPr>
        <w:t>Compensation Committee Interlocks and Insider Participation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pStyle w:val="TextBody"/>
        <w:spacing w:before="240" w:after="0"/>
        <w:jc w:val="left"/>
        <w:rPr>
          <w:rFonts w:ascii="Times New Roman;serif" w:hAnsi="Times New Roman;serif"/>
          <w:b/>
          <w:sz w:val="20"/>
        </w:rPr>
      </w:pPr>
      <w:r>
        <w:rPr>
          <w:rFonts w:ascii="Times New Roman;serif" w:hAnsi="Times New Roman;serif"/>
          <w:b/>
          <w:sz w:val="20"/>
        </w:rPr>
        <w:t>Board Leadership Structure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is currently chaired by Donald Nicholson, an independent director. Currently, the role of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The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pStyle w:val="TextBody"/>
        <w:spacing w:before="240" w:after="0"/>
        <w:jc w:val="left"/>
        <w:rPr>
          <w:rFonts w:ascii="Times New Roman;serif" w:hAnsi="Times New Roman;serif"/>
          <w:b/>
          <w:sz w:val="20"/>
        </w:rPr>
      </w:pPr>
      <w:r>
        <w:rPr>
          <w:rFonts w:ascii="Times New Roman;serif" w:hAnsi="Times New Roman;serif"/>
          <w:b/>
          <w:sz w:val="20"/>
        </w:rPr>
        <w:t>Oversight of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this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spacing w:before="120" w:after="0"/>
        <w:jc w:val="left"/>
        <w:rPr>
          <w:rFonts w:ascii="Times New Roman" w:hAnsi="Times New Roman"/>
          <w:sz w:val="20"/>
        </w:rPr>
      </w:pPr>
      <w:r>
        <w:rPr>
          <w:rFonts w:ascii="Times New Roman;serif" w:hAnsi="Times New Roman;serif"/>
          <w:b w:val="false"/>
          <w:sz w:val="20"/>
        </w:rPr>
        <w:t>Our board of directors regularly discusses with management our major risk exposures, the potential impact of these risks on our business and the steps we take to manage them. The risk oversight process includes receiving regular reports from board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141</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pStyle w:val="TextBody"/>
        <w:spacing w:before="240" w:after="0"/>
        <w:jc w:val="left"/>
        <w:rPr>
          <w:rFonts w:ascii="Times New Roman;serif" w:hAnsi="Times New Roman;serif"/>
          <w:b/>
          <w:i/>
          <w:sz w:val="20"/>
        </w:rPr>
      </w:pPr>
      <w:r>
        <w:rPr>
          <w:rFonts w:ascii="Times New Roman;serif" w:hAnsi="Times New Roman;serif"/>
          <w:b/>
          <w:i/>
          <w:sz w:val="20"/>
        </w:rPr>
        <w:t>Section 16(a) Beneficial Ownership Reporting Compliance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2022.</w:t>
      </w:r>
    </w:p>
    <w:p>
      <w:pPr>
        <w:pStyle w:val="TextBody"/>
        <w:spacing w:before="240" w:after="0"/>
        <w:jc w:val="left"/>
        <w:rPr>
          <w:rFonts w:ascii="Times New Roman;serif" w:hAnsi="Times New Roman;serif"/>
          <w:b/>
          <w:i/>
          <w:sz w:val="20"/>
        </w:rPr>
      </w:pPr>
      <w:r>
        <w:rPr>
          <w:rFonts w:ascii="Times New Roman;serif" w:hAnsi="Times New Roman;serif"/>
          <w:b/>
          <w:i/>
          <w:sz w:val="20"/>
        </w:rPr>
        <w:t>Ownership of Our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in this section is set forth below in “Item 12. Security Ownership of Certain Beneficial Owners and Management and Related Shareholder Matters”</w:t>
      </w:r>
    </w:p>
    <w:p>
      <w:pPr>
        <w:pStyle w:val="TextBody"/>
        <w:spacing w:before="240" w:after="0"/>
        <w:jc w:val="left"/>
        <w:rPr>
          <w:rFonts w:ascii="Times New Roman" w:hAnsi="Times New Roman"/>
          <w:sz w:val="20"/>
        </w:rPr>
      </w:pPr>
      <w:bookmarkStart w:id="32" w:name="item_11_executive_compensation"/>
      <w:bookmarkEnd w:id="32"/>
      <w:r>
        <w:rPr>
          <w:rFonts w:ascii="Times New Roman;serif" w:hAnsi="Times New Roman;serif"/>
          <w:b/>
          <w:sz w:val="20"/>
        </w:rPr>
        <w:t>ITEM 11.</w:t>
      </w:r>
      <w:r>
        <w:rPr>
          <w:rFonts w:ascii="Times New Roman" w:hAnsi="Times New Roman"/>
          <w:sz w:val="20"/>
        </w:rPr>
        <w:t xml:space="preserve"> </w:t>
      </w:r>
      <w:r>
        <w:rPr>
          <w:rFonts w:ascii="Times New Roman;serif" w:hAnsi="Times New Roman;serif"/>
          <w:b/>
          <w:sz w:val="20"/>
        </w:rPr>
        <w:t>EXECUTIVE COMPENSATION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pStyle w:val="TextBody"/>
        <w:spacing w:before="120" w:after="0"/>
        <w:jc w:val="left"/>
        <w:rPr>
          <w:rFonts w:ascii="Times New Roman" w:hAnsi="Times New Roman"/>
          <w:sz w:val="20"/>
        </w:rPr>
      </w:pPr>
      <w:r>
        <w:rPr>
          <w:rFonts w:ascii="Times New Roman;serif" w:hAnsi="Times New Roman;serif"/>
          <w:b w:val="false"/>
          <w:sz w:val="20"/>
        </w:rPr>
        <w:t>The compensation provided to our named executive officers for the fiscal years ended December 31, 2022 and 2021, as applicable, is detailed in the 2022 Summary Compensation Table and accompanying footnotes and narrative that follow. Our named executive officers for the fiscal year ended December 31, 2022, which consisted of our Chief Executive Officer and our four most highly compensated executive officers other than the Chief Executive Officer, were:</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John Quisel, J.D., Ph.D., Chief Executive Officer</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William Savage, MD, Ph.D., Chief Medical Officer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Joanne Bryce, CPA, Chief Financial Officer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Jonathan Yu, Chief Business Officer</w:t>
      </w:r>
    </w:p>
    <w:p>
      <w:pPr>
        <w:pStyle w:val="TextBody"/>
        <w:spacing w:before="240" w:after="0"/>
        <w:jc w:val="left"/>
        <w:rPr>
          <w:rFonts w:ascii="Times New Roman" w:hAnsi="Times New Roman"/>
          <w:sz w:val="20"/>
        </w:rPr>
      </w:pPr>
      <w:r>
        <w:rPr>
          <w:rFonts w:ascii="Times New Roman;serif" w:hAnsi="Times New Roman;serif"/>
          <w:b/>
          <w:sz w:val="20"/>
        </w:rPr>
        <w:t>2022 Summary Compensation Table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provides information regarding the total compensation awarded to, earned by, and paid to our named executive officers for services rendered to us in all capacities for the fiscal years ended December 31, 2022 and 2021, as applicable.</w:t>
      </w:r>
      <w:r>
        <w:rPr>
          <w:rFonts w:ascii="Times New Roman" w:hAnsi="Times New Roman"/>
          <w:sz w:val="20"/>
        </w:rPr>
        <w:t xml:space="preserve"> </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142</w:t>
      </w:r>
    </w:p>
    <w:p>
      <w:pPr>
        <w:pStyle w:val="HorizontalLine"/>
        <w:rPr/>
      </w:pPr>
      <w:r>
        <w:rPr/>
      </w:r>
    </w:p>
    <w:tbl>
      <w:tblPr>
        <w:tblW w:w="10205" w:type="dxa"/>
        <w:jc w:val="left"/>
        <w:tblInd w:w="0" w:type="dxa"/>
        <w:tblCellMar>
          <w:top w:w="28" w:type="dxa"/>
          <w:left w:w="28" w:type="dxa"/>
          <w:bottom w:w="28" w:type="dxa"/>
          <w:right w:w="28" w:type="dxa"/>
        </w:tblCellMar>
      </w:tblPr>
      <w:tblGrid>
        <w:gridCol w:w="1606"/>
        <w:gridCol w:w="146"/>
        <w:gridCol w:w="466"/>
        <w:gridCol w:w="146"/>
        <w:gridCol w:w="146"/>
        <w:gridCol w:w="691"/>
        <w:gridCol w:w="146"/>
        <w:gridCol w:w="237"/>
        <w:gridCol w:w="146"/>
        <w:gridCol w:w="601"/>
        <w:gridCol w:w="146"/>
        <w:gridCol w:w="237"/>
        <w:gridCol w:w="146"/>
        <w:gridCol w:w="146"/>
        <w:gridCol w:w="826"/>
        <w:gridCol w:w="146"/>
        <w:gridCol w:w="146"/>
        <w:gridCol w:w="203"/>
        <w:gridCol w:w="963"/>
        <w:gridCol w:w="146"/>
        <w:gridCol w:w="146"/>
        <w:gridCol w:w="345"/>
        <w:gridCol w:w="821"/>
        <w:gridCol w:w="146"/>
        <w:gridCol w:w="146"/>
        <w:gridCol w:w="146"/>
        <w:gridCol w:w="826"/>
        <w:gridCol w:w="193"/>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Salary </w:t>
              <w:br/>
              <w:t>($)</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Bonus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Option </w:t>
              <w:br/>
              <w:t xml:space="preserve">Awards </w:t>
              <w:br/>
              <w:t>($)</w:t>
            </w:r>
            <w:r>
              <w:rPr>
                <w:rFonts w:ascii="Times New Roman;serif" w:hAnsi="Times New Roman;serif"/>
                <w:b/>
                <w:sz w:val="11"/>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Non-Equity </w:t>
              <w:br/>
              <w:t xml:space="preserve">Incentive Plan </w:t>
              <w:br/>
              <w:t xml:space="preserve">Compensation </w:t>
              <w:br/>
              <w:t>($)</w:t>
            </w:r>
            <w:r>
              <w:rPr>
                <w:rFonts w:ascii="Times New Roman;serif" w:hAnsi="Times New Roman;serif"/>
                <w:b/>
                <w:sz w:val="11"/>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All Other </w:t>
              <w:br/>
              <w:t xml:space="preserve">Compensation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John Quisel, J.D., Ph.D.</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476,477</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1,081,150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273,638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1,831,265</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455,400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891,605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250,470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1,597,475</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William Savage, MD, Ph.D.</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378,234</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318,803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173,719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890,756</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Chief Medical Officer</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320,000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294,999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720,599</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Joanne Bryce, CPA</w:t>
            </w: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355,884</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277,221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816,543</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303,818</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24,000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419,601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836,244</w:t>
            </w:r>
          </w:p>
        </w:tc>
        <w:tc>
          <w:tcPr>
            <w:tcW w:w="193"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Jonathan Yu</w:t>
              <w:br/>
            </w:r>
            <w:r>
              <w:rPr>
                <w:rFonts w:ascii="Times New Roman;serif" w:hAnsi="Times New Roman;serif"/>
                <w:b w:val="false"/>
                <w:i/>
                <w:sz w:val="18"/>
              </w:rPr>
              <w:t>Chief Business Officer</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355,884</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277,221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816,543</w:t>
            </w:r>
          </w:p>
        </w:tc>
        <w:tc>
          <w:tcPr>
            <w:tcW w:w="193"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The amounts reported reflect salaries earned by each named executive officer during the respective fiscal year.</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The amounts reported represent the aggregate grant date fair value of the stock options awarded to our named executive officers during the 2022 and 2021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consolidated financial statements included in this Annual Report on Form 10-K.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The amounts represent bonuses earned as of December 31, 2021 and December 31, 2022, upon the attainment of one or more pre-established performance goals established by our board of directors on an annual basis. A portion of Ms. Bryce’s 2021 bonus was attributable to her service as a consultant. </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Ms. Bryce was a consultant to us until September 14, 2021 when she transitioned to Chief Financial Officer. </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amounts reported reflect the amount of discretionary bonuses earned in year 2022.</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Includes $210,818 in consulting fees that Ms. Bryce earned during 2021, prior to becoming Chief Financial Officer. </w:t>
      </w:r>
    </w:p>
    <w:p>
      <w:pPr>
        <w:pStyle w:val="TextBody"/>
        <w:spacing w:before="120" w:after="0"/>
        <w:jc w:val="left"/>
        <w:rPr>
          <w:rFonts w:ascii="Times New Roman" w:hAnsi="Times New Roman"/>
          <w:b w:val="false"/>
          <w:sz w:val="16"/>
        </w:rPr>
      </w:pPr>
      <w:r>
        <w:rPr>
          <w:rFonts w:ascii="Times New Roman" w:hAnsi="Times New Roman"/>
          <w:b w:val="false"/>
          <w:sz w:val="16"/>
        </w:rPr>
        <w:t>(7)</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 xml:space="preserve">Ms. Bryce received a signing bonus for her employment in the position of Chief Financial Officer. </w:t>
      </w:r>
    </w:p>
    <w:p>
      <w:pPr>
        <w:pStyle w:val="TextBody"/>
        <w:spacing w:before="240" w:after="0"/>
        <w:jc w:val="left"/>
        <w:rPr>
          <w:rFonts w:ascii="Times New Roman;serif" w:hAnsi="Times New Roman;serif"/>
          <w:b/>
          <w:sz w:val="20"/>
        </w:rPr>
      </w:pPr>
      <w:r>
        <w:rPr>
          <w:rFonts w:ascii="Times New Roman;serif" w:hAnsi="Times New Roman;serif"/>
          <w:b/>
          <w:sz w:val="20"/>
        </w:rPr>
        <w:t>Narrative to Summary Compensation Table</w:t>
      </w:r>
    </w:p>
    <w:p>
      <w:pPr>
        <w:pStyle w:val="TextBody"/>
        <w:spacing w:before="120" w:after="0"/>
        <w:jc w:val="left"/>
        <w:rPr>
          <w:rFonts w:ascii="Times New Roman" w:hAnsi="Times New Roman"/>
          <w:sz w:val="20"/>
        </w:rPr>
      </w:pPr>
      <w:r>
        <w:rPr>
          <w:rFonts w:ascii="Times New Roman;serif" w:hAnsi="Times New Roman;serif"/>
          <w:b/>
          <w:i/>
          <w:sz w:val="20"/>
        </w:rPr>
        <w:t>Base Salaries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 The annual base salaries for Dr. Quisel, Ms. Bryce and Mr. Yu were increased to $562,000, $419,000 and $419,000, respectively effective December 29, 2022 due to updated employment agreements entered into with the Company. Dr. Savage’s base salary was increased from $355,300 to $400,000 effective July 1, 2022 in connection with his mid-year performance review, and then increased again to $458,000 effective December 29, 2022 due to an updated employment agreement entered into with the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Annual Bonuses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fiscal year ended December 31, 2022,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Drs. Quisel and Savage, Ms. Bryce and Mr. Yu for 2022 was 50%, 40%, 40% and 40% of their respective annual base salary as in effect on December 28, 2022 (i.e., prior to the increase provided in the updated employment agreements).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Equity Compensation</w:t>
      </w:r>
    </w:p>
    <w:p>
      <w:pPr>
        <w:pStyle w:val="TextBody"/>
        <w:spacing w:before="120" w:after="0"/>
        <w:jc w:val="left"/>
        <w:rPr>
          <w:rFonts w:ascii="Times New Roman" w:hAnsi="Times New Roman"/>
          <w:sz w:val="20"/>
        </w:rPr>
      </w:pPr>
      <w:r>
        <w:rPr>
          <w:rFonts w:ascii="Times New Roman;serif" w:hAnsi="Times New Roman;serif"/>
          <w:b w:val="false"/>
          <w:sz w:val="20"/>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we granted stock option awards to each of our named executive officers, as described in more detail in the “Outstanding Equity Awards at Fiscal 2022 Year-End” table.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Outstanding Equity Awards at Fiscal 2022 Year-End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information regarding outstanding equity awards held by our named executive officers as of December 31, 2022:</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143</w:t>
      </w:r>
    </w:p>
    <w:p>
      <w:pPr>
        <w:pStyle w:val="HorizontalLine"/>
        <w:rPr/>
      </w:pPr>
      <w:r>
        <w:rPr/>
      </w:r>
    </w:p>
    <w:tbl>
      <w:tblPr>
        <w:tblW w:w="10205" w:type="dxa"/>
        <w:jc w:val="left"/>
        <w:tblInd w:w="0" w:type="dxa"/>
        <w:tblCellMar>
          <w:top w:w="28" w:type="dxa"/>
          <w:left w:w="28" w:type="dxa"/>
          <w:bottom w:w="28" w:type="dxa"/>
          <w:right w:w="28" w:type="dxa"/>
        </w:tblCellMar>
      </w:tblPr>
      <w:tblGrid>
        <w:gridCol w:w="2288"/>
        <w:gridCol w:w="146"/>
        <w:gridCol w:w="1046"/>
        <w:gridCol w:w="269"/>
        <w:gridCol w:w="146"/>
        <w:gridCol w:w="1304"/>
        <w:gridCol w:w="146"/>
        <w:gridCol w:w="159"/>
        <w:gridCol w:w="858"/>
        <w:gridCol w:w="146"/>
        <w:gridCol w:w="146"/>
        <w:gridCol w:w="174"/>
        <w:gridCol w:w="937"/>
        <w:gridCol w:w="146"/>
        <w:gridCol w:w="146"/>
        <w:gridCol w:w="151"/>
        <w:gridCol w:w="596"/>
        <w:gridCol w:w="146"/>
        <w:gridCol w:w="146"/>
        <w:gridCol w:w="1109"/>
      </w:tblGrid>
      <w:tr>
        <w:trPr/>
        <w:tc>
          <w:tcPr>
            <w:tcW w:w="22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60"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Option Awards</w:t>
            </w:r>
            <w:r>
              <w:rPr>
                <w:rFonts w:ascii="Times New Roman;serif" w:hAnsi="Times New Roman;serif"/>
                <w:b/>
                <w:sz w:val="11"/>
              </w:rPr>
              <w:t>(1)</w:t>
            </w:r>
          </w:p>
        </w:tc>
      </w:tr>
      <w:tr>
        <w:trPr/>
        <w:tc>
          <w:tcPr>
            <w:tcW w:w="2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Vesting </w:t>
              <w:br/>
              <w:t xml:space="preserve">Commencement </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Number of </w:t>
              <w:br/>
              <w:t xml:space="preserve">Securities </w:t>
              <w:br/>
              <w:t xml:space="preserve">Underlying </w:t>
              <w:br/>
              <w:t xml:space="preserve">Unexercised </w:t>
              <w:br/>
              <w:t xml:space="preserve">Options </w:t>
              <w:br/>
              <w:t xml:space="preserve">(#) </w:t>
              <w:br/>
              <w:t>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Number of </w:t>
              <w:br/>
              <w:t xml:space="preserve">Securities </w:t>
              <w:br/>
              <w:t xml:space="preserve">Underlying </w:t>
              <w:br/>
              <w:t xml:space="preserve">Unexercised </w:t>
              <w:br/>
              <w:t xml:space="preserve">Options </w:t>
              <w:br/>
              <w:t xml:space="preserve">(#) </w:t>
              <w:br/>
              <w:t>Unexercisable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Option </w:t>
              <w:br/>
              <w:t xml:space="preserve">Exercise </w:t>
              <w:br/>
              <w:t xml:space="preserve">Price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Option </w:t>
              <w:br/>
              <w:t xml:space="preserve">Expiration </w:t>
              <w:br/>
              <w:t>Date</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Quisel, J.D., Ph.D.</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12/28/2032</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10/22/2030</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3/10/2030</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Savage, MD, Ph.D.</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12/28/2032</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Medical Officer</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10/22/2030</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8/10/2030</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12/28/2032</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10/22/2030</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10/22/2030</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11/6/2019</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11/5/2029</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11/6/2019</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9/13/2019</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11/5/2029</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Jonathan Yu</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12/29/2022</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12/28/2032</w:t>
            </w:r>
          </w:p>
        </w:tc>
      </w:tr>
      <w:tr>
        <w:trPr/>
        <w:tc>
          <w:tcPr>
            <w:tcW w:w="2288"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Business Officer</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9/14/2021</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9/13/2031</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10/7/2020</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10/22/2030</w:t>
            </w:r>
          </w:p>
        </w:tc>
      </w:tr>
      <w:tr>
        <w:trPr/>
        <w:tc>
          <w:tcPr>
            <w:tcW w:w="2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8/11/2020</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3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7/1/2021</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9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8/10/2030</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xml:space="preserve">All stock options granted in years 2020 and 2021 have been granted pursuant to the terms of our 2017 Stock Option and Grant Plan, as amended, or our 2017 Plan. All stock options granted in year 2022 have been granted pursuant to the terms of our Amended and Restated 2021 Stock Option and Incentive Plan, or our 2021 Plan. Pursuant to provisions in our stock plans, the exercise price and number of shares subject to certain of these stock options were adjusted in connection with (i) the 1-for-10 reverse stock split that occurred on December 29, 2022 and (ii) our prior merger with Gemini Therapeutics, Inc.,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 </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This stock option vests in 48 equal monthly installments following the Vesting Commencement Date, subject to the named executive officer’s continuous service.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5,138 shares vested on February 25, 2021. The remaining 56,512 shares vest in 44 equal monthly installments following the Vesting Commencement Date, subject to the named executive officer’s continuous service. </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25% of the shares vested on the one-year anniversary of the Vesting Commencement Date. The remaining shares vest in 36 equal monthly installments following the Vesting Commencement Date, subject to the named executive officer’s continuous service. </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2,140 shares vested on August 3, 2021. The remaining 8,135 shares vest in 38 equal monthly installments following the Vesting Commencement Date, subject to the named executive officer’s continuous service. </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 xml:space="preserve">This stock option vests in 16 equal quarterly installments commencing on the three-month anniversary of the Vesting Commencement Date, subject to the named executive officer’s continuous service. </w:t>
      </w:r>
    </w:p>
    <w:p>
      <w:pPr>
        <w:pStyle w:val="TextBody"/>
        <w:spacing w:before="240" w:after="0"/>
        <w:jc w:val="left"/>
        <w:rPr>
          <w:rFonts w:ascii="Times New Roman;serif" w:hAnsi="Times New Roman;serif"/>
          <w:b/>
          <w:i/>
          <w:sz w:val="20"/>
        </w:rPr>
      </w:pPr>
      <w:r>
        <w:rPr>
          <w:rFonts w:ascii="Times New Roman;serif" w:hAnsi="Times New Roman;serif"/>
          <w:b/>
          <w:i/>
          <w:sz w:val="20"/>
        </w:rPr>
        <w:t>Employment Arrangements for Named Executive Officers</w:t>
      </w:r>
    </w:p>
    <w:p>
      <w:pPr>
        <w:pStyle w:val="TextBody"/>
        <w:spacing w:before="120" w:after="0"/>
        <w:jc w:val="left"/>
        <w:rPr>
          <w:rFonts w:ascii="Times New Roman" w:hAnsi="Times New Roman"/>
          <w:sz w:val="20"/>
        </w:rPr>
      </w:pPr>
      <w:r>
        <w:rPr>
          <w:rFonts w:ascii="Times New Roman;serif" w:hAnsi="Times New Roman;serif"/>
          <w:b w:val="false"/>
          <w:i/>
          <w:sz w:val="20"/>
        </w:rPr>
        <w:t>Dr. John Quisel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August 9, 2022, we entered into an employment agreement with Dr. Quisel effective as of December 29, 2022, or the Quisel Employment Agreement, who currently serves as our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144</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Dr. William Savage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Ms. Joanne Bryce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 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145</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outstanding equity awards subject to time-based vesting shall be immediately and fully accelerated and she shall be entitled to the 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Mr. Jonathan Yu</w:t>
      </w:r>
    </w:p>
    <w:p>
      <w:pPr>
        <w:pStyle w:val="TextBody"/>
        <w:spacing w:before="120" w:after="0"/>
        <w:jc w:val="left"/>
        <w:rPr>
          <w:rFonts w:ascii="Times New Roman" w:hAnsi="Times New Roman"/>
          <w:sz w:val="20"/>
        </w:rPr>
      </w:pPr>
      <w:r>
        <w:rPr>
          <w:rFonts w:ascii="Times New Roman;serif" w:hAnsi="Times New Roman;serif"/>
          <w:b w:val="false"/>
          <w:sz w:val="20"/>
        </w:rPr>
        <w:t>On August 9, 2022, we entered into an employment agreement with Mr. Yu effective December 29, 2022, or the Yu Employment Agreement, who currently serves as our Chief Business Officer, that supersedes his previous offer letter. The Yu Employment Agreement provides for Mr. Yu’s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Yu Employment Agreement also provides that upon a termination without cause (and not due to death or disability) or if Mr. Yu resigns for good reason, in each case, outside of the period that is within 3 months prior to, or within 12 months after, the occurrence of the first event constituting a change in control, then Mr. Yu is entitled to receive cash severance equal to continued base salary payments for 9 months, any earned, but unpaid bonus for the fiscal year prior to the fiscal year of termination, and payment of COBRA premiums (subject to Mr. Yu’s continued copayment of such premiums at the active employees’ rate) for up to 9 months. If within 3 months prior to or 12 months following a change of control, Mr. Yu is terminated by the Company or successor involuntarily without cause (and not due to death or disability) or Mr. Yu resigns for good reason, Mr. Yu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Mr. Yu’s outstanding equity awards subject to time-based vesting shall be immediately and fully accelerated and he shall be entitled to the payment of COBRA premiums (subject to Mr. Yu’s continued copayment of such premiums at the active employees’ rate) for up to 12 months. All severance payments and benefits are conditioned upon Mr. Yu’s execution of a release of claims in our favor. If as a result of a termination of his employment Mr. Yu becomes subject to the excise tax imposed by Section 4999 of the Internal Revenue Code, Mr. Yu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Mr. Yu is also subject to our confidentiality, assignment, non-solicitation, and noncompetition policies.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Health and Welfare Benefits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named executive officers, like all full-time employees, are eligible to participate in our health and welfare benefit plans.</w:t>
      </w:r>
    </w:p>
    <w:p>
      <w:pPr>
        <w:pStyle w:val="TextBody"/>
        <w:spacing w:before="240" w:after="0"/>
        <w:jc w:val="left"/>
        <w:rPr>
          <w:rFonts w:ascii="Times New Roman;serif" w:hAnsi="Times New Roman;serif"/>
          <w:b/>
          <w:i/>
          <w:sz w:val="20"/>
        </w:rPr>
      </w:pPr>
      <w:r>
        <w:rPr>
          <w:rFonts w:ascii="Times New Roman;serif" w:hAnsi="Times New Roman;serif"/>
          <w:b/>
          <w:i/>
          <w:sz w:val="20"/>
        </w:rPr>
        <w:t>Perquisites and Personal Benefits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generally do not provide perquisites to our executives.</w:t>
      </w:r>
    </w:p>
    <w:p>
      <w:pPr>
        <w:pStyle w:val="TextBody"/>
        <w:spacing w:before="240" w:after="0"/>
        <w:jc w:val="left"/>
        <w:rPr>
          <w:rFonts w:ascii="Times New Roman;serif" w:hAnsi="Times New Roman;serif"/>
          <w:b/>
          <w:i/>
          <w:sz w:val="20"/>
        </w:rPr>
      </w:pPr>
      <w:r>
        <w:rPr>
          <w:rFonts w:ascii="Times New Roman;serif" w:hAnsi="Times New Roman;serif"/>
          <w:b/>
          <w:i/>
          <w:sz w:val="20"/>
        </w:rPr>
        <w:t>401(k) Plan</w:t>
      </w:r>
    </w:p>
    <w:p>
      <w:pPr>
        <w:pStyle w:val="TextBody"/>
        <w:spacing w:before="120" w:after="0"/>
        <w:jc w:val="left"/>
        <w:rPr>
          <w:rFonts w:ascii="Times New Roman" w:hAnsi="Times New Roman"/>
          <w:sz w:val="20"/>
        </w:rPr>
      </w:pPr>
      <w:r>
        <w:rPr>
          <w:rFonts w:ascii="Times New Roman;serif" w:hAnsi="Times New Roman;serif"/>
          <w:b w:val="false"/>
          <w:sz w:val="20"/>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We did not provide a matching contribution to the named executive officers or to any employees in 2022.</w:t>
      </w:r>
      <w:r>
        <w:rPr>
          <w:rFonts w:ascii="Times New Roman" w:hAnsi="Times New Roman"/>
          <w:sz w:val="20"/>
        </w:rPr>
        <w:t xml:space="preserve"> </w:t>
      </w:r>
      <w:r>
        <w:rPr>
          <w:rFonts w:ascii="Times New Roman;serif" w:hAnsi="Times New Roman;serif"/>
          <w:b w:val="false"/>
          <w:sz w:val="20"/>
        </w:rPr>
        <w:t>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r>
        <w:rPr>
          <w:rFonts w:ascii="Times New Roman;serif" w:hAnsi="Times New Roman;serif"/>
          <w:b/>
          <w:sz w:val="20"/>
        </w:rPr>
        <w: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146</w:t>
      </w:r>
    </w:p>
    <w:p>
      <w:pPr>
        <w:pStyle w:val="HorizontalLine"/>
        <w:rPr/>
      </w:pPr>
      <w:r>
        <w:rPr/>
      </w:r>
    </w:p>
    <w:p>
      <w:pPr>
        <w:pStyle w:val="TextBody"/>
        <w:spacing w:before="240" w:after="0"/>
        <w:jc w:val="center"/>
        <w:rPr>
          <w:rFonts w:ascii="Times New Roman;serif" w:hAnsi="Times New Roman;serif"/>
          <w:b/>
          <w:sz w:val="20"/>
        </w:rPr>
      </w:pPr>
      <w:r>
        <w:rPr>
          <w:rFonts w:ascii="Times New Roman;serif" w:hAnsi="Times New Roman;serif"/>
          <w:b/>
          <w:sz w:val="20"/>
        </w:rPr>
        <w:t>DIRECTOR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Non-Employee Director Compensation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total compensation for each person who served as a non-employee member of our board of directors during the fiscal year ended December 31, 2022. Dr. Quisel, one of our directors who also serves as our Chief Executive Officer, does not receive any additional compensation for his service as a director. Dr. Quisel is one of our named executive officers and, accordingly, the compensation that we pay to Dr. Quisel is discussed above under ‘‘—2022 Summary Compensation Table’’ and ‘‘—Narrative to Summary Compensation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2022 for their services as members of the board of directors.</w:t>
      </w:r>
    </w:p>
    <w:p>
      <w:pPr>
        <w:pStyle w:val="TextBody"/>
        <w:spacing w:before="0" w:after="0"/>
        <w:jc w:val="left"/>
        <w:rPr/>
      </w:pPr>
      <w:r>
        <w:rPr/>
        <w:t> </w:t>
      </w:r>
    </w:p>
    <w:tbl>
      <w:tblPr>
        <w:tblW w:w="7489" w:type="dxa"/>
        <w:jc w:val="left"/>
        <w:tblInd w:w="0" w:type="dxa"/>
        <w:tblCellMar>
          <w:top w:w="28" w:type="dxa"/>
          <w:left w:w="28" w:type="dxa"/>
          <w:bottom w:w="28" w:type="dxa"/>
          <w:right w:w="28" w:type="dxa"/>
        </w:tblCellMar>
      </w:tblPr>
      <w:tblGrid>
        <w:gridCol w:w="2356"/>
        <w:gridCol w:w="146"/>
        <w:gridCol w:w="248"/>
        <w:gridCol w:w="1327"/>
        <w:gridCol w:w="146"/>
        <w:gridCol w:w="146"/>
        <w:gridCol w:w="303"/>
        <w:gridCol w:w="1407"/>
        <w:gridCol w:w="146"/>
        <w:gridCol w:w="146"/>
        <w:gridCol w:w="146"/>
        <w:gridCol w:w="781"/>
        <w:gridCol w:w="191"/>
      </w:tblGrid>
      <w:tr>
        <w:trPr/>
        <w:tc>
          <w:tcPr>
            <w:tcW w:w="2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Fees Earned or Paid</w:t>
              <w:br/>
              <w:t>in Cash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Option Awards ($)</w:t>
            </w:r>
            <w:r>
              <w:rPr>
                <w:rFonts w:ascii="Times New Roman;serif" w:hAnsi="Times New Roman;serif"/>
                <w:b/>
                <w:sz w:val="11"/>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Donald Nicholson, Ph.D.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White, MPP, J.D.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Backstrom, MD, M.P.H.</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Mona Ashiya, Ph.D.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Kevin Bitterman, Ph.D.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Chin, MS, MBA</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Liam Ratcliffe, MD, Ph.D.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Georges Gemayel, Ph.D</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54,186</w:t>
            </w:r>
          </w:p>
        </w:tc>
        <w:tc>
          <w:tcPr>
            <w:tcW w:w="1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Eric Snyder, Ph.D</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132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The amounts reported represent the aggregate grant date fair value of the stock options awarded to the non-employee directors during fiscal year 2022, calculated in accordance with FASB ASC Topic 718. The assumptions used in calculating the grant date fair value of the awards reported in this column are set forth in Note 2 to our consolidated financial statements included in this Annual Report on Form 10-K. The amounts reported in this column reflect the accounting cost for the stock options and does not correspond to the actual economic value that may be received upon exercise of the stock option or any sale of any of the underlying shares of common stock.</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As of December 31, 2022, our non-employee members of our board of directors held the following aggregate number of unexercised options and unvested shares of restricted stock as of such date:</w:t>
      </w:r>
    </w:p>
    <w:p>
      <w:pPr>
        <w:pStyle w:val="TextBody"/>
        <w:spacing w:before="0" w:after="0"/>
        <w:jc w:val="left"/>
        <w:rPr/>
      </w:pPr>
      <w:r>
        <w:rPr/>
        <w:t> </w:t>
      </w:r>
    </w:p>
    <w:tbl>
      <w:tblPr>
        <w:tblW w:w="4516" w:type="dxa"/>
        <w:jc w:val="left"/>
        <w:tblInd w:w="0" w:type="dxa"/>
        <w:tblCellMar>
          <w:top w:w="28" w:type="dxa"/>
          <w:left w:w="28" w:type="dxa"/>
          <w:bottom w:w="28" w:type="dxa"/>
          <w:right w:w="28" w:type="dxa"/>
        </w:tblCellMar>
      </w:tblPr>
      <w:tblGrid>
        <w:gridCol w:w="2026"/>
        <w:gridCol w:w="146"/>
        <w:gridCol w:w="170"/>
        <w:gridCol w:w="806"/>
        <w:gridCol w:w="146"/>
        <w:gridCol w:w="146"/>
        <w:gridCol w:w="195"/>
        <w:gridCol w:w="690"/>
        <w:gridCol w:w="191"/>
      </w:tblGrid>
      <w:tr>
        <w:trPr/>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br/>
              <w:b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Securities</w:t>
              <w:br/>
              <w:t>Underlying</w:t>
              <w:br/>
              <w:t>Unexercised</w:t>
              <w:b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 of</w:t>
              <w:br/>
              <w:t>Unvested</w:t>
              <w:br/>
              <w:t>Restricted</w:t>
              <w:br/>
              <w:t>Stock</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Donald Nicholson,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1,916</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William White, MPP, J.D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Jay Backstrom, MD, M.P.H</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Mona Ashiya,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Kevin Bitterman,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 Chin, MS, MBA</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Liam Ratcliffe, MD,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Georges Gemayel,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Eric Snyder, Ph.D.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8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(3)</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Dr. Gemayel joined our board of directors on December 29, 2022.</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 xml:space="preserve">Dr. Snyder resigned from our board of directors on December 29, 2022, and held no outstanding stock as he was not an independent member of the board of directors. </w:t>
      </w:r>
    </w:p>
    <w:p>
      <w:pPr>
        <w:pStyle w:val="TextBody"/>
        <w:spacing w:before="240" w:after="0"/>
        <w:jc w:val="left"/>
        <w:rPr>
          <w:rFonts w:ascii="Times New Roman" w:hAnsi="Times New Roman"/>
          <w:sz w:val="20"/>
        </w:rPr>
      </w:pPr>
      <w:bookmarkStart w:id="33" w:name="item_12_security_ownership_of_certain_be"/>
      <w:bookmarkEnd w:id="33"/>
      <w:r>
        <w:rPr>
          <w:rFonts w:ascii="Times New Roman;serif" w:hAnsi="Times New Roman;serif"/>
          <w:b/>
          <w:sz w:val="20"/>
        </w:rPr>
        <w:t>ITEM 12.</w:t>
      </w:r>
      <w:r>
        <w:rPr>
          <w:rFonts w:ascii="Times New Roman" w:hAnsi="Times New Roman"/>
          <w:sz w:val="20"/>
        </w:rPr>
        <w:t xml:space="preserve"> </w:t>
      </w:r>
      <w:r>
        <w:rPr>
          <w:rFonts w:ascii="Times New Roman;serif" w:hAnsi="Times New Roman;serif"/>
          <w:b/>
          <w:sz w:val="20"/>
        </w:rPr>
        <w:t>SECURITY OWNERSHIP OF CERTAIN BENEFICIAL OWNERS AND MANAGEMENT AND RELATED STOCKHOLDER MATTERS</w:t>
      </w:r>
      <w:r>
        <w:rPr>
          <w:rFonts w:ascii="Times New Roman" w:hAnsi="Times New Roman"/>
          <w:sz w:val="20"/>
        </w:rPr>
        <w:t xml:space="preserve"> </w:t>
      </w:r>
    </w:p>
    <w:p>
      <w:pPr>
        <w:pStyle w:val="TextBody"/>
        <w:spacing w:before="120" w:after="0"/>
        <w:jc w:val="both"/>
        <w:rPr>
          <w:rFonts w:ascii="Times New Roman;serif" w:hAnsi="Times New Roman;serif"/>
          <w:b/>
          <w:sz w:val="20"/>
        </w:rPr>
      </w:pPr>
      <w:r>
        <w:rPr>
          <w:rFonts w:ascii="Times New Roman;serif" w:hAnsi="Times New Roman;serif"/>
          <w:b/>
          <w:sz w:val="20"/>
        </w:rPr>
        <w:t>Ownership of Our Common Stock</w:t>
      </w:r>
    </w:p>
    <w:p>
      <w:pPr>
        <w:pStyle w:val="TextBody"/>
        <w:spacing w:before="120" w:after="0"/>
        <w:jc w:val="left"/>
        <w:rPr>
          <w:rFonts w:ascii="Times New Roman" w:hAnsi="Times New Roman"/>
          <w:sz w:val="20"/>
        </w:rPr>
      </w:pPr>
      <w:r>
        <w:rPr>
          <w:rFonts w:ascii="Times New Roman;serif" w:hAnsi="Times New Roman;serif"/>
          <w:b w:val="false"/>
          <w:sz w:val="20"/>
        </w:rPr>
        <w:t>Unless otherwise provided below, the following table sets forth information regarding beneficial ownership of our common stock as of February 28, 2023 by: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person, or group of affiliated persons, known to us to be the beneficial owner of 5% or more of the outstanding shares of our common stock;</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each of our current directors;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147</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principal executive officer and our other executive officers who served during the year ended December 31, 2022, named in the Summary Compensation table above, whom, collectively, we refer to as our named executive officers;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all of our directors and executive officers as a group.</w:t>
      </w:r>
    </w:p>
    <w:p>
      <w:pPr>
        <w:pStyle w:val="TextBody"/>
        <w:spacing w:before="120" w:after="0"/>
        <w:jc w:val="left"/>
        <w:rPr>
          <w:rFonts w:ascii="Times New Roman" w:hAnsi="Times New Roman"/>
          <w:sz w:val="20"/>
        </w:rPr>
      </w:pPr>
      <w:r>
        <w:rPr>
          <w:rFonts w:ascii="Times New Roman;serif" w:hAnsi="Times New Roman;serif"/>
          <w:b w:val="false"/>
          <w:sz w:val="20"/>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February 28, 2023.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column entitled “Percentage of Shares Beneficially Owned” is based on a total of 18,988,025 shares of our common stock outstanding as of February 28, 2023. Except as otherwise indicated in the footnotes below, the address of the beneficial owner is c/o Disc Medicine, Inc., 321 Arsenal Street, Suite 101, Watertown, MA 02472.</w:t>
      </w:r>
    </w:p>
    <w:p>
      <w:pPr>
        <w:pStyle w:val="TextBody"/>
        <w:spacing w:before="0" w:after="0"/>
        <w:jc w:val="left"/>
        <w:rPr/>
      </w:pPr>
      <w:r>
        <w:rPr/>
        <w:t> </w:t>
      </w:r>
    </w:p>
    <w:tbl>
      <w:tblPr>
        <w:tblW w:w="8857" w:type="dxa"/>
        <w:jc w:val="left"/>
        <w:tblInd w:w="0" w:type="dxa"/>
        <w:tblCellMar>
          <w:top w:w="28" w:type="dxa"/>
          <w:left w:w="28" w:type="dxa"/>
          <w:bottom w:w="28" w:type="dxa"/>
          <w:right w:w="28" w:type="dxa"/>
        </w:tblCellMar>
      </w:tblPr>
      <w:tblGrid>
        <w:gridCol w:w="5716"/>
        <w:gridCol w:w="146"/>
        <w:gridCol w:w="146"/>
        <w:gridCol w:w="931"/>
        <w:gridCol w:w="146"/>
        <w:gridCol w:w="146"/>
        <w:gridCol w:w="225"/>
        <w:gridCol w:w="885"/>
        <w:gridCol w:w="516"/>
      </w:tblGrid>
      <w:tr>
        <w:trPr/>
        <w:tc>
          <w:tcPr>
            <w:tcW w:w="5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57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 of</w:t>
              <w:br/>
              <w:t>Common</w:t>
              <w:br/>
              <w:t>Stock</w:t>
              <w:br/>
              <w:t>Beneficially</w:t>
              <w:br/>
              <w:t>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w:t>
              <w:br/>
              <w:t>Shares</w:t>
              <w:br/>
              <w:t>Beneficially</w:t>
              <w:br/>
              <w:t>Owned</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5% or Greater Stockholders</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Entities affiliated with Atlas Venture Fund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3,461,784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AI DMI LLC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3,141,759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16.55</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Novo Holdings A/S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2,340,772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Entities affiliated with OrbiMed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2,269,637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Bain Capital Life Sciences Opportunities III, LP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1,896,903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Directors, Named Executive Officers and Other Executive Officers</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John Quisel, J.D., Ph.D.</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309,202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William Savage, MD, Ph.D.</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Joanne Bryce, CPA </w:t>
            </w:r>
            <w:r>
              <w:rPr>
                <w:rFonts w:ascii="Times New Roman;serif" w:hAnsi="Times New Roman;serif"/>
                <w:b w:val="false"/>
                <w:sz w:val="13"/>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Jonathan Yu </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Mona Ashiya,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516" w:type="dxa"/>
            <w:tcBorders/>
            <w:shd w:fill="auto" w:val="clear"/>
            <w:vAlign w:val="center"/>
          </w:tcPr>
          <w:p>
            <w:pPr>
              <w:pStyle w:val="TableContents"/>
              <w:spacing w:before="0" w:after="0"/>
              <w:ind w:left="0" w:right="0" w:firstLine="200"/>
              <w:jc w:val="lef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Jay Backstrom, MD, M.P.H.</w:t>
            </w:r>
            <w:r>
              <w:rPr>
                <w:rFonts w:ascii="Times New Roman;serif" w:hAnsi="Times New Roman;serif"/>
                <w:b w:val="false"/>
                <w:sz w:val="13"/>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Kevin Bitterman,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516" w:type="dxa"/>
            <w:tcBorders/>
            <w:shd w:fill="auto" w:val="clear"/>
            <w:vAlign w:val="center"/>
          </w:tcPr>
          <w:p>
            <w:pPr>
              <w:pStyle w:val="TableContents"/>
              <w:spacing w:before="0" w:after="0"/>
              <w:ind w:left="0" w:right="0" w:firstLine="200"/>
              <w:jc w:val="lef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 Chin, MS, MBA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516" w:type="dxa"/>
            <w:tcBorders/>
            <w:shd w:fill="auto" w:val="clear"/>
            <w:vAlign w:val="center"/>
          </w:tcPr>
          <w:p>
            <w:pPr>
              <w:pStyle w:val="TableContents"/>
              <w:spacing w:before="0" w:after="0"/>
              <w:ind w:left="0" w:right="0" w:firstLine="200"/>
              <w:jc w:val="lef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Georges Gemayel</w:t>
            </w: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Donald Nicholson, Ph.D.</w:t>
            </w: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firstLine="200"/>
              <w:jc w:val="righ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Liam Ratcliffe, MD,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516" w:type="dxa"/>
            <w:tcBorders/>
            <w:shd w:fill="auto" w:val="clear"/>
            <w:vAlign w:val="center"/>
          </w:tcPr>
          <w:p>
            <w:pPr>
              <w:pStyle w:val="TableContents"/>
              <w:spacing w:before="0" w:after="0"/>
              <w:ind w:left="0" w:right="0" w:firstLine="200"/>
              <w:jc w:val="left"/>
              <w:rPr/>
            </w:pPr>
            <w:r>
              <w:rPr/>
              <w:t> </w:t>
            </w:r>
          </w:p>
        </w:tc>
      </w:tr>
      <w:tr>
        <w:trPr/>
        <w:tc>
          <w:tcPr>
            <w:tcW w:w="57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William White, MPP, J.D.</w:t>
            </w:r>
            <w:r>
              <w:rPr>
                <w:rFonts w:ascii="Times New Roman;serif" w:hAnsi="Times New Roman;serif"/>
                <w:b w:val="false"/>
                <w:sz w:val="13"/>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16" w:type="dxa"/>
            <w:tcBorders/>
            <w:shd w:fill="auto"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All executive officers and directors as a group (14 persons)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 Represents beneficial ownership of less than 1% of our outstanding common stock.</w:t>
      </w:r>
    </w:p>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Consists of (i) 2,237,303 shares held by Atlas Venture Fund X, L.P., or Atlas Fund X, 955,155 shares held by Atlas Venture Opportunity Fund I, L.P., or AVOF I, 218,326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148</w:t>
      </w:r>
    </w:p>
    <w:p>
      <w:pPr>
        <w:pStyle w:val="HorizontalLine"/>
        <w:rPr/>
      </w:pPr>
      <w:r>
        <w:rPr/>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shares held by AI DMI LLC may be deemed to be beneficially owned by Access Industries Holdings LLC, or AIH, Access Industries Management, LLC, or AIM, and Len Blavatnik because (i) AIH indirectly controls all of the outstanding voting interests in AI ETI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OrbiMed Advisors LLC exercises voting and investment power through a management committee comprised of Carl L. Gordon, Sven H. Borho, and W. Carter Neild. The business address is 601 Lexington Avenue, 54th Floor, New York, NY 10022.</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 Entities, which is the general partner of BCLSI. As a result, BCLSI may be deemed to share voting and dispositive power with respect to the securities held by BCLSI. As of February 24, 2022, BCLS III Opportunities GP holds 944,687 shares of Common Stock and pre-funded warrants to purchase 1,229,224 shares of Common Stock. As a result of a beneficial ownership blocker, beneficial ownership of Bain Capital Life Sciences Opportunities III, LP is capped at 9.99% of the outstanding shares of Common Stock, representing 1,896,903 shares of Common Stock calculated as described herein as of February 28, 2023.The business address of these entities is 200 Clarendon Street, Boston, Massachusetts 02116.</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options to purchase 309,202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(7)</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20,325 shares of common stock and options to purchase 38,940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(8)</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3,452 shares of common stock and options to purchase 52,525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(9)</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options to purchase 59,815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(10)</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options to purchase 8,907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(11)</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options to purchase 87,946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(12)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Consists of 15,332 shares of common stock and options to purchase 89,539 shares of our common stock that are exercisable within 60 days of February 28, 2023.</w:t>
      </w:r>
    </w:p>
    <w:p>
      <w:pPr>
        <w:pStyle w:val="TextBody"/>
        <w:spacing w:before="120" w:after="0"/>
        <w:jc w:val="left"/>
        <w:rPr>
          <w:rFonts w:ascii="Times New Roman" w:hAnsi="Times New Roman"/>
          <w:b w:val="false"/>
          <w:sz w:val="16"/>
        </w:rPr>
      </w:pPr>
      <w:r>
        <w:rPr>
          <w:rFonts w:ascii="Times New Roman" w:hAnsi="Times New Roman"/>
          <w:b w:val="false"/>
          <w:sz w:val="16"/>
        </w:rPr>
        <w:t>(13)</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Consists of options to purchase 19,632 shares of our common stock that are exercisable within 60 days of February 28, 2023.</w:t>
      </w:r>
    </w:p>
    <w:p>
      <w:pPr>
        <w:pStyle w:val="TextBody"/>
        <w:spacing w:before="240" w:after="0"/>
        <w:jc w:val="left"/>
        <w:rPr>
          <w:rFonts w:ascii="Times New Roman;serif" w:hAnsi="Times New Roman;serif"/>
          <w:b w:val="false"/>
          <w:sz w:val="20"/>
          <w:u w:val="single"/>
        </w:rPr>
      </w:pPr>
      <w:r>
        <w:rPr>
          <w:rFonts w:ascii="Times New Roman;serif" w:hAnsi="Times New Roman;serif"/>
          <w:b w:val="false"/>
          <w:sz w:val="20"/>
          <w:u w:val="single"/>
        </w:rPr>
        <w:t>Equity Compensation Plan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contains information about our equity compensation plans as of December 31, 2022.</w:t>
      </w:r>
    </w:p>
    <w:p>
      <w:pPr>
        <w:pStyle w:val="TextBody"/>
        <w:spacing w:before="120" w:after="0"/>
        <w:jc w:val="center"/>
        <w:rPr>
          <w:rFonts w:ascii="Times New Roman;serif" w:hAnsi="Times New Roman;serif"/>
          <w:b/>
          <w:sz w:val="20"/>
        </w:rPr>
      </w:pPr>
      <w:r>
        <w:rPr>
          <w:rFonts w:ascii="Times New Roman;serif" w:hAnsi="Times New Roman;serif"/>
          <w:b/>
          <w:sz w:val="20"/>
        </w:rPr>
        <w:t>Equity Compensation Plan Information</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00"/>
        <w:gridCol w:w="146"/>
        <w:gridCol w:w="293"/>
        <w:gridCol w:w="1873"/>
        <w:gridCol w:w="146"/>
        <w:gridCol w:w="146"/>
        <w:gridCol w:w="536"/>
        <w:gridCol w:w="1725"/>
        <w:gridCol w:w="146"/>
        <w:gridCol w:w="146"/>
        <w:gridCol w:w="385"/>
        <w:gridCol w:w="2469"/>
        <w:gridCol w:w="194"/>
      </w:tblGrid>
      <w:tr>
        <w:trPr/>
        <w:tc>
          <w:tcPr>
            <w:tcW w:w="20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46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0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 to be issued upon exercise of outstanding options, warrants and rights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exercise price of outstanding options, warrants and rights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 remaining available for future issuance under equity compensation plans (excluding securities reflected in column (a))</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61" w:type="dxa"/>
            <w:gridSpan w:val="2"/>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(b)</w:t>
            </w:r>
            <w:r>
              <w:rPr>
                <w:rFonts w:ascii="Times New Roman;serif" w:hAnsi="Times New Roman;serif"/>
                <w:b/>
                <w:sz w:val="11"/>
              </w:rPr>
              <w:t>(3)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4"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w:t>
            </w:r>
          </w:p>
        </w:tc>
        <w:tc>
          <w:tcPr>
            <w:tcW w:w="194" w:type="dxa"/>
            <w:tcBorders/>
            <w:shd w:fill="auto" w:val="clear"/>
            <w:vAlign w:val="center"/>
          </w:tcPr>
          <w:p>
            <w:pPr>
              <w:pStyle w:val="TableContents"/>
              <w:spacing w:before="0" w:after="0"/>
              <w:ind w:left="0" w:right="0" w:hanging="0"/>
              <w:jc w:val="center"/>
              <w:rPr/>
            </w:pPr>
            <w:r>
              <w:rPr/>
              <w:t> </w:t>
            </w:r>
          </w:p>
        </w:tc>
      </w:tr>
      <w:tr>
        <w:trPr/>
        <w:tc>
          <w:tcPr>
            <w:tcW w:w="20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21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4" w:type="dxa"/>
            <w:gridSpan w:val="2"/>
            <w:tcBorders/>
            <w:shd w:fill="auto" w:val="clear"/>
            <w:vAlign w:val="center"/>
          </w:tcPr>
          <w:p>
            <w:pPr>
              <w:pStyle w:val="TableContents"/>
              <w:spacing w:before="0" w:after="0"/>
              <w:ind w:left="0" w:right="0" w:hanging="0"/>
              <w:jc w:val="right"/>
              <w:rPr/>
            </w:pPr>
            <w:r>
              <w:rPr/>
              <w:t> </w:t>
            </w:r>
          </w:p>
        </w:tc>
        <w:tc>
          <w:tcPr>
            <w:tcW w:w="194" w:type="dxa"/>
            <w:tcBorders/>
            <w:shd w:fill="auto"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2021 Stock Option and Incentive Plan</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833,812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1,031,615</w:t>
            </w:r>
          </w:p>
        </w:tc>
        <w:tc>
          <w:tcPr>
            <w:tcW w:w="194" w:type="dxa"/>
            <w:tcBorders/>
            <w:shd w:fill="auto" w:val="clear"/>
            <w:vAlign w:val="center"/>
          </w:tcPr>
          <w:p>
            <w:pPr>
              <w:pStyle w:val="TableContents"/>
              <w:spacing w:before="0" w:after="0"/>
              <w:ind w:left="0" w:right="0" w:hanging="0"/>
              <w:jc w:val="left"/>
              <w:rPr/>
            </w:pPr>
            <w:r>
              <w:rPr/>
              <w:t> </w:t>
            </w:r>
          </w:p>
        </w:tc>
      </w:tr>
      <w:tr>
        <w:trPr/>
        <w:tc>
          <w:tcPr>
            <w:tcW w:w="200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2021 Employee Stock Purchase Plan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72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179,898</w:t>
            </w:r>
          </w:p>
        </w:tc>
        <w:tc>
          <w:tcPr>
            <w:tcW w:w="194" w:type="dxa"/>
            <w:tcBorders/>
            <w:shd w:fill="auto" w:val="clear"/>
            <w:vAlign w:val="center"/>
          </w:tcPr>
          <w:p>
            <w:pPr>
              <w:pStyle w:val="TableContents"/>
              <w:spacing w:before="0" w:after="0"/>
              <w:ind w:left="0" w:right="0" w:hanging="0"/>
              <w:jc w:val="left"/>
              <w:rPr/>
            </w:pPr>
            <w:r>
              <w:rPr/>
              <w:t> </w:t>
            </w:r>
          </w:p>
        </w:tc>
      </w:tr>
      <w:tr>
        <w:trPr/>
        <w:tc>
          <w:tcPr>
            <w:tcW w:w="200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2017 Stock Option and Grant Plan of Disc</w:t>
            </w:r>
          </w:p>
        </w:tc>
        <w:tc>
          <w:tcPr>
            <w:tcW w:w="146" w:type="dxa"/>
            <w:tcBorders/>
            <w:shd w:fill="auto" w:val="clear"/>
            <w:vAlign w:val="center"/>
          </w:tcPr>
          <w:p>
            <w:pPr>
              <w:pStyle w:val="TableContents"/>
              <w:spacing w:before="0" w:after="0"/>
              <w:ind w:left="0" w:right="0" w:hanging="0"/>
              <w:jc w:val="center"/>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1,670,839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200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2017 Stock Option and Grant Plan of Gemini</w:t>
            </w:r>
          </w:p>
        </w:tc>
        <w:tc>
          <w:tcPr>
            <w:tcW w:w="146" w:type="dxa"/>
            <w:tcBorders/>
            <w:shd w:fill="auto" w:val="clear"/>
            <w:vAlign w:val="center"/>
          </w:tcPr>
          <w:p>
            <w:pPr>
              <w:pStyle w:val="TableContents"/>
              <w:spacing w:before="0" w:after="0"/>
              <w:ind w:left="0" w:right="0" w:hanging="0"/>
              <w:jc w:val="center"/>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20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0" w:right="0" w:hanging="0"/>
              <w:jc w:val="center"/>
              <w:rPr/>
            </w:pPr>
            <w:r>
              <w:rPr/>
              <w:t> </w:t>
            </w:r>
          </w:p>
        </w:tc>
        <w:tc>
          <w:tcPr>
            <w:tcW w:w="21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4" w:type="dxa"/>
            <w:gridSpan w:val="2"/>
            <w:tcBorders/>
            <w:shd w:fill="auto" w:val="clear"/>
            <w:vAlign w:val="center"/>
          </w:tcPr>
          <w:p>
            <w:pPr>
              <w:pStyle w:val="TableContents"/>
              <w:spacing w:before="0" w:after="0"/>
              <w:ind w:left="0" w:right="0" w:hanging="0"/>
              <w:jc w:val="right"/>
              <w:rPr/>
            </w:pPr>
            <w:r>
              <w:rPr/>
              <w:t> </w:t>
            </w:r>
          </w:p>
        </w:tc>
        <w:tc>
          <w:tcPr>
            <w:tcW w:w="194" w:type="dxa"/>
            <w:tcBorders/>
            <w:shd w:fill="auto" w:val="clear"/>
            <w:vAlign w:val="center"/>
          </w:tcPr>
          <w:p>
            <w:pPr>
              <w:pStyle w:val="TableContents"/>
              <w:spacing w:before="0" w:after="0"/>
              <w:ind w:left="0" w:right="0" w:hanging="0"/>
              <w:jc w:val="right"/>
              <w:rPr/>
            </w:pPr>
            <w:r>
              <w:rPr/>
              <w:t> </w:t>
            </w:r>
          </w:p>
        </w:tc>
      </w:tr>
      <w:tr>
        <w:trPr/>
        <w:tc>
          <w:tcPr>
            <w:tcW w:w="200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2021 Inducement Plan</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115,939</w:t>
            </w:r>
          </w:p>
        </w:tc>
        <w:tc>
          <w:tcPr>
            <w:tcW w:w="194" w:type="dxa"/>
            <w:tcBorders/>
            <w:shd w:fill="auto" w:val="clear"/>
            <w:vAlign w:val="center"/>
          </w:tcPr>
          <w:p>
            <w:pPr>
              <w:pStyle w:val="TableContents"/>
              <w:spacing w:before="0" w:after="0"/>
              <w:ind w:left="0" w:right="0" w:hanging="0"/>
              <w:jc w:val="left"/>
              <w:rPr/>
            </w:pPr>
            <w:r>
              <w:rPr/>
              <w:t> </w:t>
            </w:r>
          </w:p>
        </w:tc>
      </w:tr>
      <w:tr>
        <w:trPr/>
        <w:tc>
          <w:tcPr>
            <w:tcW w:w="20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center"/>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18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 w:type="dxa"/>
            <w:tcBorders/>
            <w:shd w:fill="auto" w:val="clear"/>
            <w:vAlign w:val="center"/>
          </w:tcPr>
          <w:p>
            <w:pPr>
              <w:pStyle w:val="TableContents"/>
              <w:spacing w:before="0" w:after="0"/>
              <w:ind w:left="0" w:right="0" w:hanging="0"/>
              <w:jc w:val="left"/>
              <w:rPr/>
            </w:pPr>
            <w:r>
              <w:rPr/>
              <w:t> </w:t>
            </w:r>
          </w:p>
        </w:tc>
        <w:tc>
          <w:tcPr>
            <w:tcW w:w="2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1,327,452</w:t>
            </w:r>
          </w:p>
        </w:tc>
        <w:tc>
          <w:tcPr>
            <w:tcW w:w="19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696,224 shares to the 2021 Stock Option and Incentive Plan effective January 1, 2023.</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 xml:space="preserve">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149</w:t>
      </w:r>
    </w:p>
    <w:p>
      <w:pPr>
        <w:pStyle w:val="HorizontalLine"/>
        <w:rPr/>
      </w:pPr>
      <w:r>
        <w:rPr/>
      </w:r>
    </w:p>
    <w:p>
      <w:pPr>
        <w:pStyle w:val="TextBody"/>
        <w:spacing w:before="120" w:after="0"/>
        <w:jc w:val="left"/>
        <w:rPr>
          <w:rFonts w:ascii="Times New Roman;serif" w:hAnsi="Times New Roman;serif"/>
          <w:b w:val="false"/>
          <w:sz w:val="16"/>
        </w:rPr>
      </w:pPr>
      <w:r>
        <w:rPr>
          <w:rFonts w:ascii="Times New Roman;serif" w:hAnsi="Times New Roman;serif"/>
          <w:b w:val="false"/>
          <w:sz w:val="16"/>
        </w:rPr>
        <w:t>stock, or (c) such number of shares determined by the Board. Subject to this provision, we added 43,055 shares to the 2021 Employee Stock Purchase Plan effective January 1, 2023.</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weighted-average exercise price is calculated based solely on outstanding stock options and does not include outstanding restricted stock awards, which do not have an exercise price.</w:t>
      </w:r>
    </w:p>
    <w:p>
      <w:pPr>
        <w:pStyle w:val="TextBody"/>
        <w:spacing w:before="240" w:after="0"/>
        <w:jc w:val="left"/>
        <w:rPr>
          <w:rFonts w:ascii="Times New Roman" w:hAnsi="Times New Roman"/>
          <w:sz w:val="20"/>
        </w:rPr>
      </w:pPr>
      <w:bookmarkStart w:id="34" w:name="item_13_certain_relationships_and"/>
      <w:bookmarkEnd w:id="34"/>
      <w:r>
        <w:rPr>
          <w:rFonts w:ascii="Times New Roman;serif" w:hAnsi="Times New Roman;serif"/>
          <w:b/>
          <w:sz w:val="20"/>
        </w:rPr>
        <w:t>ITEM 13.</w:t>
      </w:r>
      <w:r>
        <w:rPr>
          <w:rFonts w:ascii="Times New Roman" w:hAnsi="Times New Roman"/>
          <w:sz w:val="20"/>
        </w:rPr>
        <w:t xml:space="preserve"> </w:t>
      </w:r>
      <w:r>
        <w:rPr>
          <w:rFonts w:ascii="Times New Roman;serif" w:hAnsi="Times New Roman;serif"/>
          <w:b/>
          <w:sz w:val="20"/>
        </w:rPr>
        <w:t>CERTAIN RELATIONSHIPS AND RELATED TRANSACTIONS, AND DIRECTOR INDEPENDENCE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description of transactions or series of transactions since January 1, 2022, to which we were or will be a party, in which: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amount involved in the transaction exceeds, or will exceed, the lesser of $120,000 or one percent of the average of our total assets for the last two completed fiscal years;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 which any of our executive officers, directors or holders of five percent or more of any class of our capital stock, including their immediate family members or affiliated entities, had or will have a direct or indirect material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Compensation arrangements for our named executive officers and directors are described in Item 11 – Executive Compensation.</w:t>
      </w:r>
    </w:p>
    <w:p>
      <w:pPr>
        <w:pStyle w:val="TextBody"/>
        <w:spacing w:before="240" w:after="0"/>
        <w:jc w:val="left"/>
        <w:rPr>
          <w:rFonts w:ascii="Times New Roman;serif" w:hAnsi="Times New Roman;serif"/>
          <w:b/>
          <w:sz w:val="20"/>
        </w:rPr>
      </w:pPr>
      <w:r>
        <w:rPr>
          <w:rFonts w:ascii="Times New Roman;serif" w:hAnsi="Times New Roman;serif"/>
          <w:b/>
          <w:sz w:val="20"/>
        </w:rPr>
        <w:t>Private Placements of Securities</w:t>
      </w:r>
    </w:p>
    <w:p>
      <w:pPr>
        <w:pStyle w:val="TextBody"/>
        <w:spacing w:before="120" w:after="0"/>
        <w:jc w:val="left"/>
        <w:rPr>
          <w:rFonts w:ascii="Times New Roman;serif" w:hAnsi="Times New Roman;serif"/>
          <w:b/>
          <w:i/>
          <w:sz w:val="20"/>
        </w:rPr>
      </w:pPr>
      <w:r>
        <w:rPr>
          <w:rFonts w:ascii="Times New Roman;serif" w:hAnsi="Times New Roman;serif"/>
          <w:b/>
          <w:i/>
          <w:sz w:val="20"/>
        </w:rPr>
        <w:t>2022 Registration Rights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party to a registration rights agreement, or the 2022 Registration Rights Agreement, with certain holders of our capital stock, or the 2022 Investors, pursuant to which we (i) agreed to register for resale shares of our common stock issued to the 2022 Investors, or the Registrable Securities, and (ii) granted certain other registration rights to the 2022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particular, the 2022 Registration Rights Agreement provides for the following registration rights:</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Shelf registration rights</w:t>
      </w:r>
      <w:r>
        <w:rPr>
          <w:rFonts w:ascii="Times New Roman;serif" w:hAnsi="Times New Roman;serif"/>
          <w:b w:val="false"/>
          <w:sz w:val="20"/>
        </w:rPr>
        <w:t>. No later than 45 calendar days following the completion of the merger, we were required to file with the SEC, a shelf registration statement registering the resale of the Registrable Securities, and use our commercially reasonable efforts to have such registration statement declared effective by the SEC as promptly as possible.</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Expenses and indemnification</w:t>
      </w:r>
      <w:r>
        <w:rPr>
          <w:rFonts w:ascii="Times New Roman;serif" w:hAnsi="Times New Roman;serif"/>
          <w:b w:val="false"/>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p>
      <w:pPr>
        <w:pStyle w:val="TextBody"/>
        <w:spacing w:before="240" w:after="0"/>
        <w:jc w:val="left"/>
        <w:rPr>
          <w:rFonts w:ascii="Times New Roman;serif" w:hAnsi="Times New Roman;serif"/>
          <w:b/>
          <w:i/>
          <w:sz w:val="20"/>
        </w:rPr>
      </w:pPr>
      <w:r>
        <w:rPr>
          <w:rFonts w:ascii="Times New Roman;serif" w:hAnsi="Times New Roman;serif"/>
          <w:b/>
          <w:i/>
          <w:sz w:val="20"/>
        </w:rPr>
        <w:t>Common Stock Financing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August 2022, in connection with our merger with Gemini, we entered into a Subscription Agreement with certain investors. Pursuant to the Subscription Agreement, we sold an aggregate of 21,341,737 shares of our common stock, at a price of $2.51 per share, for aggregate gross proceeds of $53.5 million. At the closing of the merger, shares of our common stock held before the merger were exchanged for shares of common stock in the combined publicly-traded company based on an exchange ratio of 0.1096. Four of the investors or their affiliates are beneficial holders of more than 5% of our capital stock, and the table below sets forth the number of shares of our common stock purchased by such holders:</w:t>
      </w:r>
    </w:p>
    <w:p>
      <w:pPr>
        <w:pStyle w:val="TextBody"/>
        <w:spacing w:before="0" w:after="0"/>
        <w:jc w:val="left"/>
        <w:rPr/>
      </w:pPr>
      <w:r>
        <w:rPr/>
        <w:t> </w:t>
      </w:r>
    </w:p>
    <w:tbl>
      <w:tblPr>
        <w:tblW w:w="6917" w:type="dxa"/>
        <w:jc w:val="left"/>
        <w:tblInd w:w="0" w:type="dxa"/>
        <w:tblCellMar>
          <w:top w:w="28" w:type="dxa"/>
          <w:left w:w="28" w:type="dxa"/>
          <w:bottom w:w="28" w:type="dxa"/>
          <w:right w:w="28" w:type="dxa"/>
        </w:tblCellMar>
      </w:tblPr>
      <w:tblGrid>
        <w:gridCol w:w="4066"/>
        <w:gridCol w:w="109"/>
        <w:gridCol w:w="146"/>
        <w:gridCol w:w="931"/>
        <w:gridCol w:w="146"/>
        <w:gridCol w:w="146"/>
        <w:gridCol w:w="146"/>
        <w:gridCol w:w="1036"/>
        <w:gridCol w:w="191"/>
      </w:tblGrid>
      <w:tr>
        <w:trPr/>
        <w:tc>
          <w:tcPr>
            <w:tcW w:w="4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Participant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Shares of </w:t>
              <w:br/>
              <w:t>our</w:t>
              <w:br/>
              <w:t xml:space="preserve">Common </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Total </w:t>
              <w:br/>
              <w:t xml:space="preserve">Purchase </w:t>
              <w:br/>
              <w:t xml:space="preserve">Price </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Atlas Venture Opportunity Fund I, L.P.</w:t>
            </w:r>
            <w:r>
              <w:rPr>
                <w:rFonts w:ascii="Times New Roman;serif" w:hAnsi="Times New Roman;serif"/>
                <w:b w:val="false"/>
                <w:sz w:val="13"/>
              </w:rPr>
              <w:t>(1)</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1,992,031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Novo Holdings A/S</w:t>
            </w:r>
            <w:r>
              <w:rPr>
                <w:rFonts w:ascii="Times New Roman;serif" w:hAnsi="Times New Roman;serif"/>
                <w:b w:val="false"/>
                <w:sz w:val="13"/>
              </w:rPr>
              <w:t>(2)</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AI DMI LLC</w:t>
            </w:r>
            <w:r>
              <w:rPr>
                <w:rFonts w:ascii="Times New Roman;serif" w:hAnsi="Times New Roman;serif"/>
                <w:b w:val="false"/>
                <w:sz w:val="13"/>
              </w:rPr>
              <w:t>(3)</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9,960,159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25,000,000</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Entities affiliated with OrbiMed Advisors LLC</w:t>
            </w:r>
            <w:r>
              <w:rPr>
                <w:rFonts w:ascii="Times New Roman;serif" w:hAnsi="Times New Roman;serif"/>
                <w:b w:val="false"/>
                <w:sz w:val="13"/>
              </w:rPr>
              <w:t>(4)</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3,984,063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9,999,998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(1)</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Entities affiliated with Atlas Venture Opportunity Fund I, L.P. beneficially own more than five percent of our outstanding capital stock. Dr. Bitterman is a Partner at Atlas Ventures and a member of our board of directors.</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Novo Holdings A/S is an affiliate of Novo Ventures (US), Inc., and beneficially owns more than five percent of our outstanding capital stock.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AI DMI LLC is an affiliate of Access Industries Management, and beneficially owns more than five percent of our outstanding capital stock. Dr. Ratcliffe is Head of Biotechnology at Access Industries Management and a member of our board of directors.</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Entities affiliated with OrbiMed Advisors LLC beneficially own more than five percent of our outstanding capital stock. Dr. Ashiya is a Partner at OrbiMed Advisors LLC and a member of our board of directors.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150</w:t>
      </w:r>
    </w:p>
    <w:p>
      <w:pPr>
        <w:pStyle w:val="HorizontalLine"/>
        <w:rPr/>
      </w:pPr>
      <w:r>
        <w:rPr/>
      </w:r>
    </w:p>
    <w:p>
      <w:pPr>
        <w:pStyle w:val="TextBody"/>
        <w:spacing w:before="240" w:after="0"/>
        <w:jc w:val="left"/>
        <w:rPr>
          <w:rFonts w:ascii="Times New Roman;serif" w:hAnsi="Times New Roman;serif"/>
          <w:b/>
          <w:i/>
          <w:sz w:val="20"/>
        </w:rPr>
      </w:pPr>
      <w:r>
        <w:rPr>
          <w:rFonts w:ascii="Times New Roman;serif" w:hAnsi="Times New Roman;serif"/>
          <w:b/>
          <w:i/>
          <w:sz w:val="20"/>
        </w:rPr>
        <w:t>Registered Direct Offering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2023, we entered into a securities purchase agreement, or the Purchase Agreement, with certain investors. Pursuant to the Purchase Agreement, we sold (i) an aggregate of 1,488,166 shares of our common stock, at a purchase price of $23.00 per share, and (ii) with respect to certain investors, in lieu of shares of our common stock, pre-funded warrants to purchase an aggregate of 1,229,224 shares of our common stock, at a purchase price of $22.9999 per pre-funded warrant, for aggregate gross proceeds of approximately $62.5 million. The investors or their affiliates are beneficial holders of more than 5% of our capital stock, and the table below sets forth the number of shares of our common stock and pre-funded warrants to purchase shares of our common stock purchased by such holders:</w:t>
      </w:r>
    </w:p>
    <w:p>
      <w:pPr>
        <w:pStyle w:val="TextBody"/>
        <w:spacing w:before="0" w:after="0"/>
        <w:jc w:val="left"/>
        <w:rPr/>
      </w:pPr>
      <w:r>
        <w:rPr/>
        <w:t> </w:t>
      </w:r>
    </w:p>
    <w:tbl>
      <w:tblPr>
        <w:tblW w:w="8912" w:type="dxa"/>
        <w:jc w:val="left"/>
        <w:tblInd w:w="0" w:type="dxa"/>
        <w:tblCellMar>
          <w:top w:w="28" w:type="dxa"/>
          <w:left w:w="28" w:type="dxa"/>
          <w:bottom w:w="28" w:type="dxa"/>
          <w:right w:w="28" w:type="dxa"/>
        </w:tblCellMar>
      </w:tblPr>
      <w:tblGrid>
        <w:gridCol w:w="4246"/>
        <w:gridCol w:w="109"/>
        <w:gridCol w:w="146"/>
        <w:gridCol w:w="781"/>
        <w:gridCol w:w="146"/>
        <w:gridCol w:w="146"/>
        <w:gridCol w:w="231"/>
        <w:gridCol w:w="1479"/>
        <w:gridCol w:w="146"/>
        <w:gridCol w:w="109"/>
        <w:gridCol w:w="146"/>
        <w:gridCol w:w="1036"/>
        <w:gridCol w:w="191"/>
      </w:tblGrid>
      <w:tr>
        <w:trPr/>
        <w:tc>
          <w:tcPr>
            <w:tcW w:w="4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Participant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Shares of </w:t>
              <w:br/>
              <w:t xml:space="preserve">our </w:t>
              <w:br/>
              <w:t xml:space="preserve">Common </w:t>
              <w:b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Shares of </w:t>
              <w:br/>
              <w:t>our</w:t>
              <w:br/>
              <w:t xml:space="preserve">Common </w:t>
              <w:br/>
              <w:t xml:space="preserve">Stock Underlying </w:t>
              <w:br/>
              <w:t>Pre-Funded 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Total </w:t>
              <w:br/>
              <w:t xml:space="preserve">Purchase </w:t>
              <w:br/>
              <w:t xml:space="preserve">Price </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Bain Capital Life Sciences Opportunities III, L.P.</w:t>
            </w:r>
            <w:r>
              <w:rPr>
                <w:rFonts w:ascii="Times New Roman;serif" w:hAnsi="Times New Roman;serif"/>
                <w:b w:val="false"/>
                <w:sz w:val="13"/>
              </w:rPr>
              <w:t>(1)</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1,229,224</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49,999,830</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Entities affiliated with OrbiMed Advisors LLC</w:t>
            </w:r>
            <w:r>
              <w:rPr>
                <w:rFonts w:ascii="Times New Roman;serif" w:hAnsi="Times New Roman;serif"/>
                <w:b w:val="false"/>
                <w:sz w:val="13"/>
              </w:rPr>
              <w:t>(2)</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2,500,008</w:t>
            </w:r>
          </w:p>
        </w:tc>
        <w:tc>
          <w:tcPr>
            <w:tcW w:w="1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AI DMI LLC</w:t>
            </w:r>
            <w:r>
              <w:rPr>
                <w:rFonts w:ascii="Times New Roman;serif" w:hAnsi="Times New Roman;serif"/>
                <w:b w:val="false"/>
                <w:sz w:val="13"/>
              </w:rPr>
              <w:t>(3)</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1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10,000,009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(1)</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Bain Capital Life Sciences Opportunities III, L.P. beneficially owns more than five percent of our outstanding capital stock.</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Entities affiliated with OrbiMed Advisors LLC beneficially own more than five percent of our outstanding capital stock. Dr. Ashiya is a Partner at OrbiMed Advisors LLC and a member of our board of directors.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AI DMI LLC is an affiliate of Access Industries Management, and beneficially owns more than five percent of our outstanding capital stock. Dr. Ratcliffe is Head of Biotechnology at Access Industries Management and a member of our board of directors.</w:t>
      </w:r>
    </w:p>
    <w:p>
      <w:pPr>
        <w:pStyle w:val="TextBody"/>
        <w:spacing w:before="240" w:after="0"/>
        <w:jc w:val="left"/>
        <w:rPr>
          <w:rFonts w:ascii="Times New Roman;serif" w:hAnsi="Times New Roman;serif"/>
          <w:b/>
          <w:sz w:val="20"/>
        </w:rPr>
      </w:pPr>
      <w:r>
        <w:rPr>
          <w:rFonts w:ascii="Times New Roman;serif" w:hAnsi="Times New Roman;serif"/>
          <w:b/>
          <w:sz w:val="20"/>
        </w:rPr>
        <w:t>License Agreements</w:t>
      </w:r>
    </w:p>
    <w:p>
      <w:pPr>
        <w:pStyle w:val="TextBody"/>
        <w:spacing w:before="120" w:after="0"/>
        <w:jc w:val="left"/>
        <w:rPr>
          <w:rFonts w:ascii="Times New Roman" w:hAnsi="Times New Roman"/>
          <w:sz w:val="20"/>
        </w:rPr>
      </w:pPr>
      <w:r>
        <w:rPr>
          <w:rFonts w:ascii="Times New Roman;serif" w:hAnsi="Times New Roman;serif"/>
          <w:b w:val="false"/>
          <w:sz w:val="20"/>
        </w:rPr>
        <w:t>In connection with and as partial consideration under the Roche Agreement with Roche executed in 2021, we issue to Roche 482,313 shares of our common stock equal to 2.85% of our issued and outstanding capitalization immediately following the closing of the merger and the pre-closing financing, no additional consideration concurrent with the completion of the merger. The issuance of such shares were not registered under the Securities Act.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and as partial consideration under the AbbVie Agreement with AbbVie executed in 2019, we issued 4,336,841 shares of our common stock to AbbVie for no additional consideration. Pursuant to this agreement, 2,295,174 shares vested immediately in September 2019, with the remaining 2,041,667 shares subject to a performance condition, which was met during 2020. At the closing of the merger, shares of our common stock held before the merger were exchanged for shares of common stock in the combined publicly-traded company based on an exchange ratio of 0.1096.</w:t>
      </w:r>
    </w:p>
    <w:p>
      <w:pPr>
        <w:pStyle w:val="TextBody"/>
        <w:spacing w:before="240" w:after="0"/>
        <w:jc w:val="left"/>
        <w:rPr>
          <w:rFonts w:ascii="Times New Roman" w:hAnsi="Times New Roman"/>
          <w:sz w:val="20"/>
        </w:rPr>
      </w:pPr>
      <w:r>
        <w:rPr>
          <w:rFonts w:ascii="Times New Roman;serif" w:hAnsi="Times New Roman;serif"/>
          <w:b/>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Policies for Approval of Related Party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r>
        <w:rPr>
          <w:rFonts w:ascii="Times New Roman" w:hAnsi="Times New Roman"/>
          <w:sz w:val="20"/>
        </w:rPr>
        <w:t xml:space="preserve"> </w:t>
      </w:r>
    </w:p>
    <w:p>
      <w:pPr>
        <w:pStyle w:val="TextBody"/>
        <w:spacing w:before="240" w:after="0"/>
        <w:jc w:val="left"/>
        <w:rPr>
          <w:rFonts w:ascii="Times New Roman" w:hAnsi="Times New Roman"/>
          <w:sz w:val="20"/>
        </w:rPr>
      </w:pPr>
      <w:bookmarkStart w:id="35" w:name="item_14_principal_accounting_fees"/>
      <w:bookmarkEnd w:id="35"/>
      <w:r>
        <w:rPr>
          <w:rFonts w:ascii="Times New Roman;serif" w:hAnsi="Times New Roman;serif"/>
          <w:b/>
          <w:sz w:val="20"/>
        </w:rPr>
        <w:t>ITEM 14.</w:t>
      </w:r>
      <w:r>
        <w:rPr>
          <w:rFonts w:ascii="Times New Roman" w:hAnsi="Times New Roman"/>
          <w:sz w:val="20"/>
        </w:rPr>
        <w:t xml:space="preserve"> </w:t>
      </w:r>
      <w:r>
        <w:rPr>
          <w:rFonts w:ascii="Times New Roman;serif" w:hAnsi="Times New Roman;serif"/>
          <w:b/>
          <w:sz w:val="20"/>
        </w:rPr>
        <w:t>PRINCIPAL ACCOUNTING FEES AND SERVICES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Ernst &amp; Young LLP, or EY, has served as our independent registered public accounting firm since 2020 and has audited our financial statements for the fiscal years ended December 31, 2022 and 2021. The following table sets forth fees billed and unbilled for professional audit services and other services rendered to us by EY for the fiscal years ended December 31, 2022 and 2021.</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151</w:t>
      </w:r>
    </w:p>
    <w:p>
      <w:pPr>
        <w:pStyle w:val="HorizontalLine"/>
        <w:rPr/>
      </w:pPr>
      <w:r>
        <w:rPr/>
      </w:r>
    </w:p>
    <w:tbl>
      <w:tblPr>
        <w:tblW w:w="4594" w:type="dxa"/>
        <w:jc w:val="left"/>
        <w:tblInd w:w="0" w:type="dxa"/>
        <w:tblCellMar>
          <w:top w:w="28" w:type="dxa"/>
          <w:left w:w="28" w:type="dxa"/>
          <w:bottom w:w="28" w:type="dxa"/>
          <w:right w:w="28" w:type="dxa"/>
        </w:tblCellMar>
      </w:tblPr>
      <w:tblGrid>
        <w:gridCol w:w="1681"/>
        <w:gridCol w:w="146"/>
        <w:gridCol w:w="211"/>
        <w:gridCol w:w="931"/>
        <w:gridCol w:w="146"/>
        <w:gridCol w:w="146"/>
        <w:gridCol w:w="211"/>
        <w:gridCol w:w="93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Fiscal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1,085,000</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Fees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1,085,000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Audit Fees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Audit fees consist of fees billed and unbilled for professional services performed by EY for the audit of our annual consolidated financial statements, the review of interim consolidated financial statements, and services that are normally provided in connection with registration statements. The 2022 audit fees included $565,000 of fees in connection with the filing of our Registration Statement on Form S-4 and $200,000 of fees in connection with the filing of our Registration Statement on Form S-3. The 2021 audit fees included $685,000 of fees in connection with a planned equity financing which did not occur.</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Tax Fees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Tax fees consist of tax compliance, tax advice and tax planning services.</w:t>
      </w:r>
    </w:p>
    <w:p>
      <w:pPr>
        <w:pStyle w:val="TextBody"/>
        <w:spacing w:before="240" w:after="0"/>
        <w:jc w:val="left"/>
        <w:rPr>
          <w:rFonts w:ascii="Times New Roman" w:hAnsi="Times New Roman"/>
          <w:sz w:val="20"/>
        </w:rPr>
      </w:pPr>
      <w:r>
        <w:rPr>
          <w:rFonts w:ascii="Times New Roman;serif" w:hAnsi="Times New Roman;serif"/>
          <w:b/>
          <w:sz w:val="20"/>
        </w:rPr>
        <w:t>Pre-Approval of Audit and Non-Audit Services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It is the policy of our Audit Committee that all services to be provided by our independent registered public accounting firm, including audit services and permitted audit</w:t>
      </w:r>
      <w:r>
        <w:rPr>
          <w:rFonts w:ascii="Times New Roman;serif" w:hAnsi="Times New Roman;serif"/>
          <w:b/>
          <w:sz w:val="20"/>
        </w:rPr>
        <w:t>-</w:t>
      </w:r>
      <w:r>
        <w:rPr>
          <w:rFonts w:ascii="Times New Roman;serif" w:hAnsi="Times New Roman;serif"/>
          <w:b w:val="false"/>
          <w:sz w:val="20"/>
        </w:rPr>
        <w:t>related and non</w:t>
      </w:r>
      <w:r>
        <w:rPr>
          <w:rFonts w:ascii="Times New Roman;serif" w:hAnsi="Times New Roman;serif"/>
          <w:b/>
          <w:sz w:val="20"/>
        </w:rPr>
        <w:t>-</w:t>
      </w:r>
      <w:r>
        <w:rPr>
          <w:rFonts w:ascii="Times New Roman;serif" w:hAnsi="Times New Roman;serif"/>
          <w:b w:val="false"/>
          <w:sz w:val="20"/>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2022 and 2021 were pre-approved by the Audit Committee in accordance with the pre</w:t>
      </w:r>
      <w:r>
        <w:rPr>
          <w:rFonts w:ascii="Times New Roman;serif" w:hAnsi="Times New Roman;serif"/>
          <w:b/>
          <w:sz w:val="20"/>
        </w:rPr>
        <w:t>-</w:t>
      </w:r>
      <w:r>
        <w:rPr>
          <w:rFonts w:ascii="Times New Roman;serif" w:hAnsi="Times New Roman;serif"/>
          <w:b w:val="false"/>
          <w:sz w:val="20"/>
        </w:rPr>
        <w:t>approval policy described above.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152</w:t>
      </w:r>
    </w:p>
    <w:p>
      <w:pPr>
        <w:pStyle w:val="HorizontalLine"/>
        <w:rPr/>
      </w:pPr>
      <w:r>
        <w:rPr/>
      </w:r>
    </w:p>
    <w:p>
      <w:pPr>
        <w:pStyle w:val="TextBody"/>
        <w:spacing w:before="0" w:after="0"/>
        <w:jc w:val="center"/>
        <w:rPr>
          <w:rFonts w:ascii="Times New Roman" w:hAnsi="Times New Roman"/>
          <w:sz w:val="20"/>
        </w:rPr>
      </w:pPr>
      <w:bookmarkStart w:id="36" w:name="part_iv"/>
      <w:bookmarkEnd w:id="36"/>
      <w:r>
        <w:rPr>
          <w:rFonts w:ascii="Times New Roman;serif" w:hAnsi="Times New Roman;serif"/>
          <w:b/>
          <w:sz w:val="20"/>
        </w:rPr>
        <w:t>PART IV</w:t>
      </w:r>
      <w:r>
        <w:rPr>
          <w:rFonts w:ascii="Times New Roman" w:hAnsi="Times New Roman"/>
          <w:sz w:val="20"/>
        </w:rPr>
        <w:t xml:space="preserve"> </w:t>
      </w:r>
    </w:p>
    <w:p>
      <w:pPr>
        <w:pStyle w:val="TextBody"/>
        <w:spacing w:before="240" w:after="0"/>
        <w:jc w:val="left"/>
        <w:rPr>
          <w:rFonts w:ascii="Times New Roman" w:hAnsi="Times New Roman"/>
          <w:sz w:val="20"/>
        </w:rPr>
      </w:pPr>
      <w:bookmarkStart w:id="37" w:name="item_15_exhibits_financial_statement"/>
      <w:bookmarkEnd w:id="37"/>
      <w:r>
        <w:rPr>
          <w:rFonts w:ascii="Times New Roman;serif" w:hAnsi="Times New Roman;serif"/>
          <w:b/>
          <w:sz w:val="20"/>
        </w:rPr>
        <w:t>ITEM 15.</w:t>
      </w:r>
      <w:r>
        <w:rPr>
          <w:rFonts w:ascii="Times New Roman" w:hAnsi="Times New Roman"/>
          <w:sz w:val="20"/>
        </w:rPr>
        <w:t xml:space="preserve"> </w:t>
      </w:r>
      <w:r>
        <w:rPr>
          <w:rFonts w:ascii="Times New Roman;serif" w:hAnsi="Times New Roman;serif"/>
          <w:b/>
          <w:sz w:val="20"/>
        </w:rPr>
        <w:t>EXHIBITS, FINANCIAL STATEMENT SCHEDULES</w:t>
      </w:r>
      <w:r>
        <w:rPr>
          <w:rFonts w:ascii="Times New Roman" w:hAnsi="Times New Roman"/>
          <w:sz w:val="20"/>
        </w:rPr>
        <w:t xml:space="preserve"> </w:t>
      </w:r>
    </w:p>
    <w:p>
      <w:pPr>
        <w:pStyle w:val="TextBody"/>
        <w:spacing w:before="120" w:after="0"/>
        <w:jc w:val="left"/>
        <w:rPr>
          <w:rFonts w:ascii="Times New Roman" w:hAnsi="Times New Roman"/>
          <w:b w:val="false"/>
          <w:i/>
          <w:sz w:val="20"/>
        </w:rPr>
      </w:pPr>
      <w:r>
        <w:rPr>
          <w:rFonts w:ascii="Times New Roman" w:hAnsi="Times New Roman"/>
          <w:b w:val="false"/>
          <w:i/>
          <w:sz w:val="20"/>
        </w:rPr>
        <w:t>1.</w:t>
      </w:r>
    </w:p>
    <w:p>
      <w:pPr>
        <w:pStyle w:val="TextBody"/>
        <w:spacing w:before="120" w:after="283"/>
        <w:jc w:val="left"/>
        <w:rPr>
          <w:rFonts w:ascii="Times New Roman;serif" w:hAnsi="Times New Roman;serif"/>
          <w:b w:val="false"/>
          <w:i/>
          <w:sz w:val="20"/>
        </w:rPr>
      </w:pPr>
      <w:r>
        <w:rPr>
          <w:rFonts w:ascii="Times New Roman;serif" w:hAnsi="Times New Roman;serif"/>
          <w:b w:val="false"/>
          <w:i/>
          <w:sz w:val="20"/>
        </w:rPr>
        <w:t xml:space="preserve">Financial Statements </w:t>
      </w:r>
    </w:p>
    <w:p>
      <w:pPr>
        <w:pStyle w:val="TextBody"/>
        <w:spacing w:before="120" w:after="0"/>
        <w:jc w:val="left"/>
        <w:rPr>
          <w:rFonts w:ascii="Times New Roman" w:hAnsi="Times New Roman"/>
          <w:sz w:val="20"/>
        </w:rPr>
      </w:pPr>
      <w:r>
        <w:rPr>
          <w:rFonts w:ascii="Times New Roman;serif" w:hAnsi="Times New Roman;serif"/>
          <w:b w:val="false"/>
          <w:sz w:val="20"/>
        </w:rPr>
        <w:t>For a list of the financial statements included herein, see Index to the Consolidated Financial Statements on page 108 of this Annual Report on Form 10-K, incorporated into this Item by reference.</w:t>
      </w:r>
      <w:r>
        <w:rPr>
          <w:rFonts w:ascii="Times New Roman" w:hAnsi="Times New Roman"/>
          <w:sz w:val="20"/>
        </w:rPr>
        <w:t xml:space="preserve"> </w:t>
      </w:r>
    </w:p>
    <w:p>
      <w:pPr>
        <w:pStyle w:val="TextBody"/>
        <w:spacing w:before="240" w:after="0"/>
        <w:jc w:val="left"/>
        <w:rPr>
          <w:rFonts w:ascii="Times New Roman" w:hAnsi="Times New Roman"/>
          <w:b w:val="false"/>
          <w:i/>
          <w:sz w:val="20"/>
        </w:rPr>
      </w:pPr>
      <w:r>
        <w:rPr>
          <w:rFonts w:ascii="Times New Roman" w:hAnsi="Times New Roman"/>
          <w:b w:val="false"/>
          <w:i/>
          <w:sz w:val="20"/>
        </w:rPr>
        <w:t>2.</w:t>
      </w:r>
    </w:p>
    <w:p>
      <w:pPr>
        <w:pStyle w:val="TextBody"/>
        <w:spacing w:before="240" w:after="283"/>
        <w:jc w:val="left"/>
        <w:rPr>
          <w:rFonts w:ascii="Times New Roman;serif" w:hAnsi="Times New Roman;serif"/>
          <w:b w:val="false"/>
          <w:i/>
          <w:sz w:val="20"/>
        </w:rPr>
      </w:pPr>
      <w:r>
        <w:rPr>
          <w:rFonts w:ascii="Times New Roman;serif" w:hAnsi="Times New Roman;serif"/>
          <w:b w:val="false"/>
          <w:i/>
          <w:sz w:val="20"/>
        </w:rPr>
        <w:t xml:space="preserve">Financial Statement Schedules </w:t>
      </w:r>
    </w:p>
    <w:p>
      <w:pPr>
        <w:pStyle w:val="TextBody"/>
        <w:spacing w:before="120" w:after="0"/>
        <w:jc w:val="left"/>
        <w:rPr>
          <w:rFonts w:ascii="Times New Roman" w:hAnsi="Times New Roman"/>
          <w:sz w:val="20"/>
        </w:rPr>
      </w:pPr>
      <w:r>
        <w:rPr>
          <w:rFonts w:ascii="Times New Roman;serif" w:hAnsi="Times New Roman;serif"/>
          <w:b w:val="false"/>
          <w:sz w:val="20"/>
        </w:rPr>
        <w:t>Financial statement schedules have been omitted because they are either not required or not applicable or the information is included in the consolidated financial statements or the notes thereto.</w:t>
      </w:r>
      <w:r>
        <w:rPr>
          <w:rFonts w:ascii="Times New Roman" w:hAnsi="Times New Roman"/>
          <w:sz w:val="20"/>
        </w:rPr>
        <w:t xml:space="preserve"> </w:t>
      </w:r>
    </w:p>
    <w:p>
      <w:pPr>
        <w:pStyle w:val="TextBody"/>
        <w:spacing w:before="240" w:after="0"/>
        <w:jc w:val="left"/>
        <w:rPr>
          <w:rFonts w:ascii="Times New Roman" w:hAnsi="Times New Roman"/>
          <w:b w:val="false"/>
          <w:i/>
          <w:sz w:val="20"/>
        </w:rPr>
      </w:pPr>
      <w:r>
        <w:rPr>
          <w:rFonts w:ascii="Times New Roman" w:hAnsi="Times New Roman"/>
          <w:b w:val="false"/>
          <w:i/>
          <w:sz w:val="20"/>
        </w:rPr>
        <w:t>3.</w:t>
      </w:r>
    </w:p>
    <w:p>
      <w:pPr>
        <w:pStyle w:val="TextBody"/>
        <w:spacing w:before="240" w:after="283"/>
        <w:jc w:val="left"/>
        <w:rPr>
          <w:rFonts w:ascii="Times New Roman;serif" w:hAnsi="Times New Roman;serif"/>
          <w:b w:val="false"/>
          <w:i/>
          <w:sz w:val="20"/>
        </w:rPr>
      </w:pPr>
      <w:r>
        <w:rPr>
          <w:rFonts w:ascii="Times New Roman;serif" w:hAnsi="Times New Roman;serif"/>
          <w:b w:val="false"/>
          <w:i/>
          <w:sz w:val="20"/>
        </w:rPr>
        <w:t xml:space="preserve">Exhibits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153</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0"/>
        </w:rPr>
        <w:t>Exhibit Index</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72"/>
        <w:gridCol w:w="9433"/>
      </w:tblGrid>
      <w:tr>
        <w:trPr/>
        <w:tc>
          <w:tcPr>
            <w:tcW w:w="772" w:type="dxa"/>
            <w:tcBorders/>
            <w:shd w:fill="FFFFFF" w:val="clear"/>
            <w:vAlign w:val="center"/>
          </w:tcPr>
          <w:p>
            <w:pPr>
              <w:pStyle w:val="TableContents"/>
              <w:spacing w:before="0" w:after="283"/>
              <w:rPr>
                <w:sz w:val="4"/>
                <w:szCs w:val="4"/>
              </w:rPr>
            </w:pPr>
            <w:r>
              <w:rPr>
                <w:sz w:val="4"/>
                <w:szCs w:val="4"/>
              </w:rPr>
            </w:r>
          </w:p>
        </w:tc>
        <w:tc>
          <w:tcPr>
            <w:tcW w:w="9433" w:type="dxa"/>
            <w:tcBorders/>
            <w:shd w:fill="FFFFFF" w:val="clear"/>
            <w:vAlign w:val="center"/>
          </w:tcPr>
          <w:p>
            <w:pPr>
              <w:pStyle w:val="TableContents"/>
              <w:spacing w:before="0" w:after="283"/>
              <w:rPr>
                <w:sz w:val="4"/>
                <w:szCs w:val="4"/>
              </w:rPr>
            </w:pPr>
            <w:r>
              <w:rPr>
                <w:sz w:val="4"/>
                <w:szCs w:val="4"/>
              </w:rPr>
            </w:r>
          </w:p>
        </w:tc>
      </w:tr>
      <w:tr>
        <w:trPr/>
        <w:tc>
          <w:tcPr>
            <w:tcW w:w="772" w:type="dxa"/>
            <w:tcBorders/>
            <w:shd w:fill="auto" w:val="clear"/>
            <w:vAlign w:val="center"/>
          </w:tcPr>
          <w:p>
            <w:pPr>
              <w:pStyle w:val="TableContents"/>
              <w:spacing w:before="0" w:after="0"/>
              <w:ind w:left="0" w:right="0" w:hanging="0"/>
              <w:jc w:val="left"/>
              <w:rPr/>
            </w:pPr>
            <w:r>
              <w:rPr/>
              <w:t> </w:t>
            </w:r>
          </w:p>
        </w:tc>
        <w:tc>
          <w:tcPr>
            <w:tcW w:w="9433" w:type="dxa"/>
            <w:tcBorders/>
            <w:shd w:fill="auto" w:val="clear"/>
            <w:vAlign w:val="center"/>
          </w:tcPr>
          <w:p>
            <w:pPr>
              <w:pStyle w:val="TableContents"/>
              <w:spacing w:before="0" w:after="0"/>
              <w:ind w:left="0" w:right="0" w:hanging="0"/>
              <w:jc w:val="left"/>
              <w:rPr/>
            </w:pPr>
            <w:r>
              <w:rPr/>
              <w:t> </w:t>
            </w:r>
          </w:p>
        </w:tc>
      </w:tr>
      <w:tr>
        <w:trPr/>
        <w:tc>
          <w:tcPr>
            <w:tcW w:w="772"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p>
            <w:pPr>
              <w:pStyle w:val="TableContents"/>
              <w:pBdr>
                <w:top w:val="single" w:sz="8" w:space="1" w:color="000000"/>
              </w:pBdr>
              <w:spacing w:before="20" w:after="0"/>
              <w:ind w:left="0" w:right="0" w:hanging="0"/>
              <w:jc w:val="left"/>
              <w:rPr/>
            </w:pPr>
            <w:r>
              <w:rPr/>
              <w:t> </w:t>
            </w:r>
          </w:p>
        </w:tc>
        <w:tc>
          <w:tcPr>
            <w:tcW w:w="9433"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p>
            <w:pPr>
              <w:pStyle w:val="TableContents"/>
              <w:pBdr>
                <w:top w:val="single" w:sz="8" w:space="1" w:color="000000"/>
              </w:pBdr>
              <w:spacing w:before="0" w:after="0"/>
              <w:ind w:left="0" w:right="0" w:hanging="0"/>
              <w:jc w:val="left"/>
              <w:rPr/>
            </w:pPr>
            <w:r>
              <w:rPr/>
              <w:t> </w:t>
            </w:r>
          </w:p>
        </w:tc>
      </w:tr>
      <w:tr>
        <w:trPr/>
        <w:tc>
          <w:tcPr>
            <w:tcW w:w="772" w:type="dxa"/>
            <w:tcBorders/>
            <w:shd w:fill="auto" w:val="clear"/>
            <w:vAlign w:val="center"/>
          </w:tcPr>
          <w:p>
            <w:pPr>
              <w:pStyle w:val="TableContents"/>
              <w:spacing w:before="0" w:after="0"/>
              <w:ind w:left="0" w:right="0" w:hanging="0"/>
              <w:jc w:val="left"/>
              <w:rPr/>
            </w:pPr>
            <w:r>
              <w:rPr/>
              <w:t> </w:t>
            </w:r>
          </w:p>
        </w:tc>
        <w:tc>
          <w:tcPr>
            <w:tcW w:w="9433" w:type="dxa"/>
            <w:tcBorders/>
            <w:shd w:fill="auto" w:val="clear"/>
            <w:vAlign w:val="center"/>
          </w:tcPr>
          <w:p>
            <w:pPr>
              <w:pStyle w:val="TableContents"/>
              <w:spacing w:before="0" w:after="0"/>
              <w:ind w:left="0"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serif" w:hAnsi="Times New Roman;serif"/>
                <w:b w:val="false"/>
                <w:sz w:val="20"/>
              </w:rPr>
            </w:pPr>
            <w:r>
              <w:rPr>
                <w:rFonts w:ascii="Times New Roman;serif" w:hAnsi="Times New Roman;serif"/>
                <w:b w:val="false"/>
                <w:sz w:val="20"/>
              </w:rPr>
              <w:t>2.1</w:t>
            </w:r>
          </w:p>
        </w:tc>
        <w:tc>
          <w:tcPr>
            <w:tcW w:w="9433" w:type="dxa"/>
            <w:tcBorders/>
            <w:shd w:fill="auto" w:val="clear"/>
            <w:vAlign w:val="center"/>
          </w:tcPr>
          <w:p>
            <w:pPr>
              <w:pStyle w:val="TableContents"/>
              <w:spacing w:before="0" w:after="0"/>
              <w:ind w:left="153" w:right="0" w:hanging="0"/>
              <w:jc w:val="left"/>
              <w:rPr/>
            </w:pPr>
            <w:r>
              <w:fldChar w:fldCharType="begin"/>
            </w:r>
            <w:r>
              <w:rPr>
                <w:rStyle w:val="InternetLink"/>
                <w:sz w:val="20"/>
                <w:u w:val="single"/>
                <w:b w:val="false"/>
                <w:rFonts w:ascii="Times New Roman;serif" w:hAnsi="Times New Roman;serif"/>
              </w:rPr>
              <w:instrText> HYPERLINK "https://www.sec.gov/Archives/edgar/data/1816736/000114036122032239/ny20005172x1_s4.htm" \l "tANNEXA"</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Agreement and Plan of Merger and reorganization, dated as of August 9, 2022, by and among Gemini Therapeutics, Inc. Gemstone Merger Sub, Inc. and Disc Medicine, Inc. (incorporated by reference to Exhibit 2.1 to the Registrant’s Proxy Statement/Prospectus on Form S-4 filed on September 2, 2022).</w:t>
            </w:r>
            <w:r>
              <w:rPr>
                <w:rStyle w:val="InternetLink"/>
                <w:sz w:val="20"/>
                <w:u w:val="single"/>
                <w:b w:val="false"/>
                <w:rFonts w:ascii="Times New Roman;serif" w:hAnsi="Times New Roman;serif"/>
              </w:rPr>
              <w:fldChar w:fldCharType="end"/>
            </w:r>
            <w:r>
              <w:fldChar w:fldCharType="begin"/>
            </w:r>
            <w:r>
              <w:rPr>
                <w:rStyle w:val="InternetLink"/>
                <w:sz w:val="20"/>
                <w:rFonts w:ascii="Times New Roman" w:hAnsi="Times New Roman"/>
              </w:rPr>
              <w:instrText> HYPERLINK "https://www.sec.gov/Archives/edgar/data/1816736/000114036122032239/ny20005172x1_s4.htm" \l "tANNEXA"</w:instrText>
            </w:r>
            <w:r>
              <w:rPr>
                <w:rStyle w:val="InternetLink"/>
                <w:sz w:val="20"/>
                <w:rFonts w:ascii="Times New Roman" w:hAnsi="Times New Roman"/>
              </w:rPr>
              <w:fldChar w:fldCharType="separate"/>
            </w:r>
            <w:r>
              <w:rPr>
                <w:rStyle w:val="InternetLink"/>
                <w:rFonts w:ascii="Times New Roman" w:hAnsi="Times New Roman"/>
                <w:sz w:val="20"/>
              </w:rPr>
              <w:t xml:space="preserve"> </w:t>
            </w:r>
            <w:r>
              <w:rPr>
                <w:rStyle w:val="InternetLink"/>
                <w:sz w:val="20"/>
                <w:rFonts w:ascii="Times New Roman" w:hAnsi="Times New Roman"/>
              </w:rPr>
              <w:fldChar w:fldCharType="end"/>
            </w:r>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serif" w:hAnsi="Times New Roman;serif"/>
                <w:b w:val="false"/>
                <w:sz w:val="20"/>
              </w:rPr>
            </w:pPr>
            <w:r>
              <w:rPr>
                <w:rFonts w:ascii="Times New Roman;serif" w:hAnsi="Times New Roman;serif"/>
                <w:b w:val="false"/>
                <w:sz w:val="20"/>
              </w:rPr>
              <w:t>3.1</w:t>
            </w:r>
          </w:p>
        </w:tc>
        <w:tc>
          <w:tcPr>
            <w:tcW w:w="9433" w:type="dxa"/>
            <w:tcBorders/>
            <w:shd w:fill="auto" w:val="clear"/>
            <w:vAlign w:val="center"/>
          </w:tcPr>
          <w:p>
            <w:pPr>
              <w:pStyle w:val="TableContents"/>
              <w:spacing w:before="0" w:after="0"/>
              <w:ind w:left="153" w:right="0" w:hanging="0"/>
              <w:jc w:val="left"/>
              <w:rPr/>
            </w:pPr>
            <w:hyperlink r:id="rId33">
              <w:r>
                <w:rPr>
                  <w:rStyle w:val="InternetLink"/>
                  <w:rFonts w:ascii="Times New Roman;serif" w:hAnsi="Times New Roman;serif"/>
                  <w:b w:val="false"/>
                  <w:sz w:val="20"/>
                  <w:u w:val="single"/>
                </w:rPr>
                <w:t>Amended and Restated Certificate of Incorporation of Disc Medicine, Inc. (incorporated by reference to Annex B to Gemini Therapeutics, Inc.’s Proxy Statement/Prospectus on Form S-4/A (Registration No. 333-249785)).</w:t>
              </w:r>
            </w:hyperlink>
            <w:hyperlink r:id="rId34">
              <w:r>
                <w:rPr>
                  <w:rStyle w:val="InternetLink"/>
                  <w:rFonts w:ascii="Times New Roman" w:hAnsi="Times New Roman"/>
                  <w:sz w:val="20"/>
                </w:rPr>
                <w:t xml:space="preserve"> </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serif" w:hAnsi="Times New Roman;serif"/>
                <w:b w:val="false"/>
                <w:sz w:val="20"/>
              </w:rPr>
            </w:pPr>
            <w:r>
              <w:rPr>
                <w:rFonts w:ascii="Times New Roman;serif" w:hAnsi="Times New Roman;serif"/>
                <w:b w:val="false"/>
                <w:sz w:val="20"/>
              </w:rPr>
              <w:t>3.2</w:t>
            </w:r>
          </w:p>
        </w:tc>
        <w:tc>
          <w:tcPr>
            <w:tcW w:w="9433" w:type="dxa"/>
            <w:tcBorders/>
            <w:shd w:fill="auto" w:val="clear"/>
            <w:vAlign w:val="center"/>
          </w:tcPr>
          <w:p>
            <w:pPr>
              <w:pStyle w:val="TableContents"/>
              <w:spacing w:before="0" w:after="0"/>
              <w:ind w:left="153" w:right="0" w:hanging="0"/>
              <w:jc w:val="left"/>
              <w:rPr/>
            </w:pPr>
            <w:hyperlink r:id="rId35">
              <w:r>
                <w:rPr>
                  <w:rStyle w:val="InternetLink"/>
                  <w:rFonts w:ascii="Times New Roman;serif" w:hAnsi="Times New Roman;serif"/>
                  <w:b w:val="false"/>
                  <w:sz w:val="20"/>
                  <w:u w:val="single"/>
                </w:rPr>
                <w:t>Certificate of Amendment to the Amended and Restated Certificate of Incorporation of Disc Medicine, Inc., dated December 28, 2022 (incorporated by reference to Exhibit 3.1 to the Registrant’s Current Report on Form 8-K filed on December 29, 2022).</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 w:hAnsi="Times New Roman"/>
                <w:sz w:val="20"/>
              </w:rPr>
            </w:pPr>
            <w:r>
              <w:rPr>
                <w:rFonts w:ascii="Times New Roman;serif" w:hAnsi="Times New Roman;serif"/>
                <w:b w:val="false"/>
                <w:sz w:val="20"/>
              </w:rPr>
              <w:t>3.3</w:t>
            </w:r>
            <w:r>
              <w:rPr>
                <w:rFonts w:ascii="Times New Roman" w:hAnsi="Times New Roman"/>
                <w:sz w:val="20"/>
              </w:rPr>
              <w:t xml:space="preserve"> </w:t>
            </w:r>
          </w:p>
        </w:tc>
        <w:tc>
          <w:tcPr>
            <w:tcW w:w="9433" w:type="dxa"/>
            <w:tcBorders/>
            <w:shd w:fill="auto" w:val="clear"/>
            <w:vAlign w:val="center"/>
          </w:tcPr>
          <w:p>
            <w:pPr>
              <w:pStyle w:val="TableContents"/>
              <w:spacing w:before="0" w:after="0"/>
              <w:ind w:left="153" w:right="0" w:hanging="0"/>
              <w:jc w:val="left"/>
              <w:rPr/>
            </w:pPr>
            <w:hyperlink r:id="rId36">
              <w:r>
                <w:rPr>
                  <w:rStyle w:val="InternetLink"/>
                  <w:rFonts w:ascii="Times New Roman;serif" w:hAnsi="Times New Roman;serif"/>
                  <w:b w:val="false"/>
                  <w:sz w:val="20"/>
                  <w:u w:val="single"/>
                </w:rPr>
                <w:t>Certificate of Amendment to the Amended and Restated Certificate of Incorporation of Disc Medicine, Inc., dated December 29, 2022 (incorporated by reference to Exhibit 3.2 to the Registrant’s Current Report on Form 8-K filed on December 29, 2022).</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 w:hAnsi="Times New Roman"/>
                <w:sz w:val="20"/>
              </w:rPr>
            </w:pPr>
            <w:r>
              <w:rPr>
                <w:rFonts w:ascii="Times New Roman;serif" w:hAnsi="Times New Roman;serif"/>
                <w:b w:val="false"/>
                <w:sz w:val="20"/>
              </w:rPr>
              <w:t>3.4</w:t>
            </w:r>
            <w:r>
              <w:rPr>
                <w:rFonts w:ascii="Times New Roman" w:hAnsi="Times New Roman"/>
                <w:sz w:val="20"/>
              </w:rPr>
              <w:t xml:space="preserve"> </w:t>
            </w:r>
          </w:p>
        </w:tc>
        <w:tc>
          <w:tcPr>
            <w:tcW w:w="9433" w:type="dxa"/>
            <w:tcBorders/>
            <w:shd w:fill="auto" w:val="clear"/>
            <w:vAlign w:val="center"/>
          </w:tcPr>
          <w:p>
            <w:pPr>
              <w:pStyle w:val="TableContents"/>
              <w:spacing w:before="0" w:after="0"/>
              <w:ind w:left="153" w:right="0" w:hanging="0"/>
              <w:jc w:val="left"/>
              <w:rPr/>
            </w:pPr>
            <w:hyperlink r:id="rId37">
              <w:r>
                <w:rPr>
                  <w:rStyle w:val="InternetLink"/>
                  <w:rFonts w:ascii="Times New Roman;serif" w:hAnsi="Times New Roman;serif"/>
                  <w:b w:val="false"/>
                  <w:sz w:val="20"/>
                  <w:u w:val="single"/>
                </w:rPr>
                <w:t>Amended and Restated By-laws of Disc Medicine, Inc. (incorporated by reference to Annex C to Gemini Therapeutics, Inc.’s Proxy Statement/Prospectus on Form S-4/A (Registration No. 333-249785)).</w:t>
              </w:r>
            </w:hyperlink>
            <w:hyperlink r:id="rId38">
              <w:r>
                <w:rPr>
                  <w:rStyle w:val="InternetLink"/>
                  <w:rFonts w:ascii="Times New Roman" w:hAnsi="Times New Roman"/>
                  <w:sz w:val="20"/>
                </w:rPr>
                <w:t xml:space="preserve"> </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serif" w:hAnsi="Times New Roman;serif"/>
                <w:b w:val="false"/>
                <w:sz w:val="20"/>
              </w:rPr>
            </w:pPr>
            <w:r>
              <w:rPr>
                <w:rFonts w:ascii="Times New Roman;serif" w:hAnsi="Times New Roman;serif"/>
                <w:b w:val="false"/>
                <w:sz w:val="20"/>
              </w:rPr>
              <w:t>4.1</w:t>
            </w:r>
          </w:p>
        </w:tc>
        <w:tc>
          <w:tcPr>
            <w:tcW w:w="9433" w:type="dxa"/>
            <w:tcBorders/>
            <w:shd w:fill="auto" w:val="clear"/>
            <w:vAlign w:val="center"/>
          </w:tcPr>
          <w:p>
            <w:pPr>
              <w:pStyle w:val="TableContents"/>
              <w:spacing w:before="0" w:after="0"/>
              <w:ind w:left="153" w:right="0" w:hanging="0"/>
              <w:jc w:val="left"/>
              <w:rPr/>
            </w:pPr>
            <w:hyperlink r:id="rId39">
              <w:r>
                <w:rPr>
                  <w:rStyle w:val="InternetLink"/>
                  <w:rFonts w:ascii="Times New Roman;serif" w:hAnsi="Times New Roman;serif"/>
                  <w:b w:val="false"/>
                  <w:sz w:val="20"/>
                  <w:u w:val="single"/>
                </w:rPr>
                <w:t>Description of the Registrant’s Securities Registered Pursuant to Section 12 of the Exchange Act (incorporated by reference to Exhibit 4.4 to Gemini Therapeutics, Inc.’s Annual Report on Form 10-K filed on March 10, 2022).</w:t>
              </w:r>
            </w:hyperlink>
            <w:hyperlink r:id="rId40">
              <w:r>
                <w:rPr>
                  <w:rStyle w:val="InternetLink"/>
                  <w:rFonts w:ascii="Times New Roman" w:hAnsi="Times New Roman"/>
                  <w:sz w:val="20"/>
                </w:rPr>
                <w:t xml:space="preserve"> </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 w:hAnsi="Times New Roman"/>
                <w:sz w:val="20"/>
              </w:rPr>
            </w:pPr>
            <w:r>
              <w:rPr>
                <w:rFonts w:ascii="Times New Roman;serif" w:hAnsi="Times New Roman;serif"/>
                <w:b w:val="false"/>
                <w:sz w:val="20"/>
              </w:rPr>
              <w:t>4.2</w:t>
            </w:r>
            <w:r>
              <w:rPr>
                <w:rFonts w:ascii="Times New Roman" w:hAnsi="Times New Roman"/>
                <w:sz w:val="20"/>
              </w:rPr>
              <w:t xml:space="preserve"> </w:t>
            </w:r>
          </w:p>
        </w:tc>
        <w:tc>
          <w:tcPr>
            <w:tcW w:w="9433" w:type="dxa"/>
            <w:tcBorders/>
            <w:shd w:fill="auto" w:val="clear"/>
            <w:vAlign w:val="center"/>
          </w:tcPr>
          <w:p>
            <w:pPr>
              <w:pStyle w:val="TableContents"/>
              <w:spacing w:before="0" w:after="0"/>
              <w:ind w:left="153" w:right="0" w:hanging="0"/>
              <w:jc w:val="left"/>
              <w:rPr/>
            </w:pPr>
            <w:hyperlink r:id="rId41">
              <w:r>
                <w:rPr>
                  <w:rStyle w:val="InternetLink"/>
                  <w:rFonts w:ascii="Times New Roman;serif" w:hAnsi="Times New Roman;serif"/>
                  <w:b w:val="false"/>
                  <w:sz w:val="20"/>
                  <w:u w:val="single"/>
                </w:rPr>
                <w:t>Registration Rights Agreement, among Disc Medicine, Inc. and certain of its stockholders, dated December 28, 2022 (incorporated by reference to Exhibit 10.1 to the Registrant’s Current Report on Form 8-K filed on December 29, 2022).</w:t>
              </w:r>
            </w:hyperlink>
            <w:hyperlink r:id="rId42">
              <w:r>
                <w:rPr>
                  <w:rStyle w:val="InternetLink"/>
                  <w:rFonts w:ascii="Times New Roman" w:hAnsi="Times New Roman"/>
                  <w:sz w:val="20"/>
                </w:rPr>
                <w:t xml:space="preserve"> </w:t>
              </w:r>
            </w:hyperlink>
          </w:p>
        </w:tc>
      </w:tr>
      <w:tr>
        <w:trPr/>
        <w:tc>
          <w:tcPr>
            <w:tcW w:w="772" w:type="dxa"/>
            <w:tcBorders/>
            <w:shd w:fill="auto" w:val="clear"/>
            <w:vAlign w:val="center"/>
          </w:tcPr>
          <w:p>
            <w:pPr>
              <w:pStyle w:val="TableContents"/>
              <w:spacing w:before="0" w:after="0"/>
              <w:ind w:left="0" w:right="0" w:firstLine="153"/>
              <w:jc w:val="left"/>
              <w:rPr/>
            </w:pPr>
            <w:r>
              <w:rPr/>
              <w:t> </w:t>
            </w:r>
          </w:p>
        </w:tc>
        <w:tc>
          <w:tcPr>
            <w:tcW w:w="9433" w:type="dxa"/>
            <w:tcBorders/>
            <w:shd w:fill="auto" w:val="clear"/>
            <w:vAlign w:val="center"/>
          </w:tcPr>
          <w:p>
            <w:pPr>
              <w:pStyle w:val="TableContents"/>
              <w:spacing w:before="0" w:after="0"/>
              <w:ind w:left="153"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53"/>
              <w:jc w:val="left"/>
              <w:rPr>
                <w:rFonts w:ascii="Times New Roman;serif" w:hAnsi="Times New Roman;serif"/>
                <w:b w:val="false"/>
                <w:sz w:val="20"/>
              </w:rPr>
            </w:pPr>
            <w:r>
              <w:rPr>
                <w:rFonts w:ascii="Times New Roman;serif" w:hAnsi="Times New Roman;serif"/>
                <w:b w:val="false"/>
                <w:sz w:val="20"/>
              </w:rPr>
              <w:t>4.3</w:t>
            </w:r>
          </w:p>
        </w:tc>
        <w:tc>
          <w:tcPr>
            <w:tcW w:w="9433" w:type="dxa"/>
            <w:tcBorders/>
            <w:shd w:fill="auto" w:val="clear"/>
            <w:vAlign w:val="center"/>
          </w:tcPr>
          <w:p>
            <w:pPr>
              <w:pStyle w:val="TableContents"/>
              <w:spacing w:before="0" w:after="0"/>
              <w:ind w:left="153" w:right="0" w:hanging="0"/>
              <w:jc w:val="left"/>
              <w:rPr/>
            </w:pPr>
            <w:hyperlink r:id="rId43">
              <w:r>
                <w:rPr>
                  <w:rStyle w:val="InternetLink"/>
                  <w:rFonts w:ascii="Times New Roman;serif" w:hAnsi="Times New Roman;serif"/>
                  <w:b w:val="false"/>
                  <w:sz w:val="20"/>
                  <w:u w:val="single"/>
                </w:rPr>
                <w:t>Registration Rights Agreement, dated February 5, 2021, by and among Gemini Therapeutics, Inc. and the stockholder parties thereto (incorporated by reference to Exhibit 10.1 on Form 8-A12B/A filed on February 5, 2021).</w:t>
              </w:r>
            </w:hyperlink>
            <w:hyperlink r:id="rId44">
              <w:r>
                <w:rPr>
                  <w:rStyle w:val="InternetLink"/>
                  <w:rFonts w:ascii="Times New Roman" w:hAnsi="Times New Roman"/>
                  <w:sz w:val="20"/>
                </w:rPr>
                <w:t xml:space="preserve"> </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w:t>
            </w:r>
          </w:p>
        </w:tc>
        <w:tc>
          <w:tcPr>
            <w:tcW w:w="9433" w:type="dxa"/>
            <w:tcBorders/>
            <w:shd w:fill="auto" w:val="clear"/>
            <w:vAlign w:val="center"/>
          </w:tcPr>
          <w:p>
            <w:pPr>
              <w:pStyle w:val="TableContents"/>
              <w:spacing w:before="0" w:after="0"/>
              <w:ind w:left="117" w:right="0" w:hanging="0"/>
              <w:jc w:val="left"/>
              <w:rPr/>
            </w:pPr>
            <w:hyperlink r:id="rId45">
              <w:r>
                <w:rPr>
                  <w:rStyle w:val="InternetLink"/>
                  <w:rFonts w:ascii="Times New Roman;serif" w:hAnsi="Times New Roman;serif"/>
                  <w:b w:val="false"/>
                  <w:sz w:val="20"/>
                  <w:u w:val="single"/>
                </w:rPr>
                <w:t>License Agreement by and among Disc Medicine, Inc., F. Hoffmann-La Roche Ltd and Hoffmann-La Roche Inc., dated May 7, 2021 (incorporated by reference to Exhibit 10.2 to the Registrant’s Proxy Statement/Prospectus on Form S-4 filed on September 2, 2022).</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10.2</w:t>
            </w:r>
          </w:p>
        </w:tc>
        <w:tc>
          <w:tcPr>
            <w:tcW w:w="9433" w:type="dxa"/>
            <w:tcBorders/>
            <w:shd w:fill="auto" w:val="clear"/>
            <w:vAlign w:val="center"/>
          </w:tcPr>
          <w:p>
            <w:pPr>
              <w:pStyle w:val="TableContents"/>
              <w:spacing w:before="0" w:after="0"/>
              <w:ind w:left="117" w:right="0" w:hanging="0"/>
              <w:jc w:val="left"/>
              <w:rPr/>
            </w:pPr>
            <w:hyperlink r:id="rId46">
              <w:r>
                <w:rPr>
                  <w:rStyle w:val="InternetLink"/>
                  <w:rFonts w:ascii="Times New Roman;serif" w:hAnsi="Times New Roman;serif"/>
                  <w:b w:val="false"/>
                  <w:sz w:val="20"/>
                  <w:u w:val="single"/>
                </w:rPr>
                <w:t>License Agreement by and between Disc Medicine, Inc. and AbbVie Deutschland GmbH &amp; Co, KG, dated September 13, 2019 (incorporated by reference to Exhibit 10.3 to the Registrant’s Proxy Statement/Prospectus on Form S-4 filed on November 23, 2022).</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10.3</w:t>
            </w:r>
          </w:p>
        </w:tc>
        <w:tc>
          <w:tcPr>
            <w:tcW w:w="9433" w:type="dxa"/>
            <w:tcBorders/>
            <w:shd w:fill="auto" w:val="clear"/>
            <w:vAlign w:val="center"/>
          </w:tcPr>
          <w:p>
            <w:pPr>
              <w:pStyle w:val="TableContents"/>
              <w:spacing w:before="0" w:after="0"/>
              <w:ind w:left="117" w:right="0" w:hanging="0"/>
              <w:jc w:val="left"/>
              <w:rPr/>
            </w:pPr>
            <w:hyperlink r:id="rId47">
              <w:r>
                <w:rPr>
                  <w:rStyle w:val="InternetLink"/>
                  <w:rFonts w:ascii="Times New Roman;serif" w:hAnsi="Times New Roman;serif"/>
                  <w:b w:val="false"/>
                  <w:sz w:val="20"/>
                  <w:u w:val="single"/>
                </w:rPr>
                <w:t>Lease by and between Disc Medicine, Inc. and ARE-MA Region No. 75, LLC, dated October 29, 2021 (incorporated by reference to Exhibit 10.4 to the Registrant’s Proxy Statement/Prospectus on Form S-4 filed on September 2, 2022).</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10.4</w:t>
            </w:r>
          </w:p>
        </w:tc>
        <w:tc>
          <w:tcPr>
            <w:tcW w:w="9433" w:type="dxa"/>
            <w:tcBorders/>
            <w:shd w:fill="auto" w:val="clear"/>
            <w:vAlign w:val="center"/>
          </w:tcPr>
          <w:p>
            <w:pPr>
              <w:pStyle w:val="TableContents"/>
              <w:spacing w:before="0" w:after="0"/>
              <w:ind w:left="117" w:right="0" w:hanging="0"/>
              <w:jc w:val="left"/>
              <w:rPr/>
            </w:pPr>
            <w:hyperlink r:id="rId48">
              <w:r>
                <w:rPr>
                  <w:rStyle w:val="InternetLink"/>
                  <w:rFonts w:ascii="Times New Roman;serif" w:hAnsi="Times New Roman;serif"/>
                  <w:b w:val="false"/>
                  <w:sz w:val="20"/>
                  <w:u w:val="single"/>
                </w:rPr>
                <w:t>Addendum to License Agreement by and among Disc Medicine, Inc., F. Hoffmann-La Roche Ltd and Hoffmann-La Roche Inc., dated December 7, 2021 (incorporated by reference to Exhibit 10.5 to the Registrant’s Proxy Statement/Prospectus on Form S-4 filed on September 2, 2022).</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10.5</w:t>
            </w:r>
          </w:p>
        </w:tc>
        <w:tc>
          <w:tcPr>
            <w:tcW w:w="9433" w:type="dxa"/>
            <w:tcBorders/>
            <w:shd w:fill="auto" w:val="clear"/>
            <w:vAlign w:val="center"/>
          </w:tcPr>
          <w:p>
            <w:pPr>
              <w:pStyle w:val="TableContents"/>
              <w:spacing w:before="0" w:after="0"/>
              <w:ind w:left="117" w:right="0" w:hanging="0"/>
              <w:jc w:val="left"/>
              <w:rPr/>
            </w:pPr>
            <w:hyperlink r:id="rId49">
              <w:r>
                <w:rPr>
                  <w:rStyle w:val="InternetLink"/>
                  <w:rFonts w:ascii="Times New Roman;serif" w:hAnsi="Times New Roman;serif"/>
                  <w:b w:val="false"/>
                  <w:sz w:val="20"/>
                  <w:u w:val="single"/>
                </w:rPr>
                <w:t>Amendment to Addendum to License Agreement by and among Disc Medicine, Inc., F. Hoffmann-La Roche Ltd and Hoffmann-La Roche Inc., dated February 28, 2022 (incorporated by reference to Exhibit 10.6 to the Registrant’s Proxy Statement/Prospectus on Form S-4 filed on September 2, 2022).</w:t>
              </w:r>
            </w:hyperlink>
          </w:p>
        </w:tc>
      </w:tr>
      <w:tr>
        <w:trPr/>
        <w:tc>
          <w:tcPr>
            <w:tcW w:w="772" w:type="dxa"/>
            <w:tcBorders/>
            <w:shd w:fill="auto" w:val="clear"/>
            <w:vAlign w:val="center"/>
          </w:tcPr>
          <w:p>
            <w:pPr>
              <w:pStyle w:val="TableContents"/>
              <w:spacing w:before="0" w:after="0"/>
              <w:ind w:left="0" w:right="0" w:firstLine="117"/>
              <w:jc w:val="left"/>
              <w:rPr/>
            </w:pPr>
            <w:r>
              <w:rPr/>
              <w:t> </w:t>
            </w:r>
          </w:p>
        </w:tc>
        <w:tc>
          <w:tcPr>
            <w:tcW w:w="9433" w:type="dxa"/>
            <w:tcBorders/>
            <w:shd w:fill="auto" w:val="clear"/>
            <w:vAlign w:val="center"/>
          </w:tcPr>
          <w:p>
            <w:pPr>
              <w:pStyle w:val="TableContents"/>
              <w:spacing w:before="0" w:after="0"/>
              <w:ind w:left="117" w:right="0" w:hanging="0"/>
              <w:jc w:val="left"/>
              <w:rPr/>
            </w:pPr>
            <w:r>
              <w:rPr/>
              <w:t> </w:t>
            </w:r>
          </w:p>
        </w:tc>
      </w:tr>
      <w:tr>
        <w:trPr/>
        <w:tc>
          <w:tcPr>
            <w:tcW w:w="772"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10.6</w:t>
            </w:r>
          </w:p>
        </w:tc>
        <w:tc>
          <w:tcPr>
            <w:tcW w:w="9433" w:type="dxa"/>
            <w:tcBorders/>
            <w:shd w:fill="auto" w:val="clear"/>
            <w:vAlign w:val="center"/>
          </w:tcPr>
          <w:p>
            <w:pPr>
              <w:pStyle w:val="TableContents"/>
              <w:spacing w:before="0" w:after="0"/>
              <w:ind w:left="117" w:right="0" w:hanging="0"/>
              <w:jc w:val="left"/>
              <w:rPr/>
            </w:pPr>
            <w:hyperlink r:id="rId50">
              <w:r>
                <w:rPr>
                  <w:rStyle w:val="InternetLink"/>
                  <w:rFonts w:ascii="Times New Roman;serif" w:hAnsi="Times New Roman;serif"/>
                  <w:b w:val="false"/>
                  <w:sz w:val="20"/>
                  <w:u w:val="single"/>
                </w:rPr>
                <w:t>Second Amendment to Addendum to License Agreement by and among Disc Medicine, Inc., F. Hoffmann-La Roche Ltd and Hoffmann-La Roche Inc., dated May 31, 2022 (incorporated by reference to Exhibit 10.7 to the Registrant’s Proxy Statement/Prospectus on Form S-4 filed on September 2, 2022).</w:t>
              </w:r>
            </w:hyperlink>
          </w:p>
          <w:p>
            <w:pPr>
              <w:pStyle w:val="TableContents"/>
              <w:spacing w:before="0" w:after="0"/>
              <w:ind w:left="117"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154</w:t>
      </w:r>
    </w:p>
    <w:p>
      <w:pPr>
        <w:pStyle w:val="HorizontalLine"/>
        <w:rPr/>
      </w:pPr>
      <w:r>
        <w:rPr/>
      </w:r>
    </w:p>
    <w:tbl>
      <w:tblPr>
        <w:tblW w:w="10205" w:type="dxa"/>
        <w:jc w:val="left"/>
        <w:tblInd w:w="0" w:type="dxa"/>
        <w:tblCellMar>
          <w:top w:w="28" w:type="dxa"/>
          <w:left w:w="28" w:type="dxa"/>
          <w:bottom w:w="28" w:type="dxa"/>
          <w:right w:w="28" w:type="dxa"/>
        </w:tblCellMar>
      </w:tblPr>
      <w:tblGrid>
        <w:gridCol w:w="771"/>
        <w:gridCol w:w="9434"/>
      </w:tblGrid>
      <w:tr>
        <w:trPr/>
        <w:tc>
          <w:tcPr>
            <w:tcW w:w="771" w:type="dxa"/>
            <w:tcBorders/>
            <w:shd w:fill="FFFFFF" w:val="clear"/>
            <w:vAlign w:val="center"/>
          </w:tcPr>
          <w:p>
            <w:pPr>
              <w:pStyle w:val="TableContents"/>
              <w:spacing w:before="0" w:after="283"/>
              <w:rPr>
                <w:sz w:val="4"/>
                <w:szCs w:val="4"/>
              </w:rPr>
            </w:pPr>
            <w:r>
              <w:rPr>
                <w:sz w:val="4"/>
                <w:szCs w:val="4"/>
              </w:rPr>
            </w:r>
          </w:p>
        </w:tc>
        <w:tc>
          <w:tcPr>
            <w:tcW w:w="9434" w:type="dxa"/>
            <w:tcBorders/>
            <w:shd w:fill="FFFFFF" w:val="clear"/>
            <w:vAlign w:val="center"/>
          </w:tcPr>
          <w:p>
            <w:pPr>
              <w:pStyle w:val="TableContents"/>
              <w:spacing w:before="0" w:after="283"/>
              <w:rPr>
                <w:sz w:val="4"/>
                <w:szCs w:val="4"/>
              </w:rPr>
            </w:pPr>
            <w:r>
              <w:rPr>
                <w:sz w:val="4"/>
                <w:szCs w:val="4"/>
              </w:rPr>
            </w:r>
          </w:p>
        </w:tc>
      </w:tr>
      <w:tr>
        <w:trPr/>
        <w:tc>
          <w:tcPr>
            <w:tcW w:w="771" w:type="dxa"/>
            <w:tcBorders/>
            <w:shd w:fill="auto" w:val="clear"/>
            <w:vAlign w:val="center"/>
          </w:tcPr>
          <w:p>
            <w:pPr>
              <w:pStyle w:val="TableContents"/>
              <w:spacing w:before="0" w:after="0"/>
              <w:ind w:left="0" w:right="0" w:hanging="0"/>
              <w:jc w:val="left"/>
              <w:rPr/>
            </w:pPr>
            <w:r>
              <w:rPr/>
              <w:t> </w:t>
            </w:r>
          </w:p>
        </w:tc>
        <w:tc>
          <w:tcPr>
            <w:tcW w:w="9434" w:type="dxa"/>
            <w:tcBorders/>
            <w:shd w:fill="auto" w:val="clear"/>
            <w:vAlign w:val="center"/>
          </w:tcPr>
          <w:p>
            <w:pPr>
              <w:pStyle w:val="TableContents"/>
              <w:spacing w:before="0" w:after="0"/>
              <w:ind w:left="0" w:right="0" w:hanging="0"/>
              <w:jc w:val="left"/>
              <w:rPr/>
            </w:pPr>
            <w:r>
              <w:rPr/>
              <w:t> </w:t>
            </w:r>
          </w:p>
        </w:tc>
      </w:tr>
      <w:tr>
        <w:trPr/>
        <w:tc>
          <w:tcPr>
            <w:tcW w:w="7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p>
            <w:pPr>
              <w:pStyle w:val="TableContents"/>
              <w:pBdr>
                <w:top w:val="single" w:sz="8" w:space="1" w:color="000000"/>
              </w:pBdr>
              <w:spacing w:before="20" w:after="0"/>
              <w:ind w:left="0" w:right="0" w:hanging="0"/>
              <w:jc w:val="left"/>
              <w:rPr/>
            </w:pPr>
            <w:r>
              <w:rPr/>
              <w:t> </w:t>
            </w:r>
          </w:p>
        </w:tc>
        <w:tc>
          <w:tcPr>
            <w:tcW w:w="943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p>
            <w:pPr>
              <w:pStyle w:val="TableContents"/>
              <w:pBdr>
                <w:top w:val="single" w:sz="8" w:space="1" w:color="000000"/>
              </w:pBdr>
              <w:spacing w:before="0" w:after="0"/>
              <w:ind w:left="0"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10.7</w:t>
            </w:r>
          </w:p>
        </w:tc>
        <w:tc>
          <w:tcPr>
            <w:tcW w:w="9434" w:type="dxa"/>
            <w:tcBorders/>
            <w:shd w:fill="auto" w:val="clear"/>
            <w:vAlign w:val="center"/>
          </w:tcPr>
          <w:p>
            <w:pPr>
              <w:pStyle w:val="TableContents"/>
              <w:spacing w:before="0" w:after="0"/>
              <w:ind w:left="117" w:right="0" w:hanging="0"/>
              <w:jc w:val="left"/>
              <w:rPr/>
            </w:pPr>
            <w:hyperlink r:id="rId51">
              <w:r>
                <w:rPr>
                  <w:rStyle w:val="InternetLink"/>
                  <w:rFonts w:ascii="Times New Roman;serif" w:hAnsi="Times New Roman;serif"/>
                  <w:b w:val="false"/>
                  <w:sz w:val="20"/>
                  <w:u w:val="single"/>
                </w:rPr>
                <w:t>Third Amendment to Addendum to License Agreement by and among Disc Medicine, Inc., F. Hoffmann-La Roche Ltd and Hoffmann-La Roche Inc., dated October 19, 2022 (incorporated by reference to Exhibit 10.21 to the Registrant’s Proxy Statement/Prospectus on Form S-4 filed on November 3, 2022).</w:t>
              </w:r>
            </w:hyperlink>
          </w:p>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10.8</w:t>
            </w:r>
          </w:p>
        </w:tc>
        <w:tc>
          <w:tcPr>
            <w:tcW w:w="9434" w:type="dxa"/>
            <w:tcBorders/>
            <w:shd w:fill="auto" w:val="clear"/>
            <w:vAlign w:val="center"/>
          </w:tcPr>
          <w:p>
            <w:pPr>
              <w:pStyle w:val="TableContents"/>
              <w:spacing w:before="0" w:after="0"/>
              <w:ind w:left="117" w:right="0" w:hanging="0"/>
              <w:jc w:val="left"/>
              <w:rPr/>
            </w:pPr>
            <w:hyperlink r:id="rId52">
              <w:r>
                <w:rPr>
                  <w:rStyle w:val="InternetLink"/>
                  <w:rFonts w:ascii="Times New Roman;serif" w:hAnsi="Times New Roman;serif"/>
                  <w:b w:val="false"/>
                  <w:sz w:val="20"/>
                  <w:u w:val="single"/>
                </w:rPr>
                <w:t>Common Stock Issuance Agreement, dated as of December 29, 2022, by and between Disc Medicine Opco, Inc., F. Hoffmann-La Roche Ltd. and Hoffmann-La Roche Inc. (incorporated by reference to Exhibit 10.5 to the Registrant’s Current Report on Form 8-K filed on December 29, 2022)</w:t>
              </w:r>
            </w:hyperlink>
          </w:p>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10.9</w:t>
            </w:r>
          </w:p>
        </w:tc>
        <w:tc>
          <w:tcPr>
            <w:tcW w:w="9434" w:type="dxa"/>
            <w:tcBorders/>
            <w:shd w:fill="auto" w:val="clear"/>
            <w:vAlign w:val="center"/>
          </w:tcPr>
          <w:p>
            <w:pPr>
              <w:pStyle w:val="TableContents"/>
              <w:spacing w:before="0" w:after="0"/>
              <w:ind w:left="117" w:right="0" w:hanging="0"/>
              <w:jc w:val="left"/>
              <w:rPr/>
            </w:pPr>
            <w:hyperlink r:id="rId53">
              <w:r>
                <w:rPr>
                  <w:rStyle w:val="InternetLink"/>
                  <w:rFonts w:ascii="Times New Roman;serif" w:hAnsi="Times New Roman;serif"/>
                  <w:b w:val="false"/>
                  <w:sz w:val="20"/>
                  <w:u w:val="single"/>
                </w:rPr>
                <w:t>Stock Purchase and Restriction Agreement, dated September 13, 2019, by and between Disc Medicine, Inc. and AbbVie Deutschland GmbH &amp; Co. KG (incorporated by reference to Exhibit 10.22 to the Registrant’s Proxy Statement/Prospectus on Form S-4 filed on November 23, 2022).</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10.10#</w:t>
            </w:r>
          </w:p>
        </w:tc>
        <w:tc>
          <w:tcPr>
            <w:tcW w:w="9434" w:type="dxa"/>
            <w:tcBorders/>
            <w:shd w:fill="auto" w:val="clear"/>
            <w:vAlign w:val="center"/>
          </w:tcPr>
          <w:p>
            <w:pPr>
              <w:pStyle w:val="TableContents"/>
              <w:spacing w:before="0" w:after="0"/>
              <w:ind w:left="117" w:right="0" w:hanging="0"/>
              <w:jc w:val="left"/>
              <w:rPr/>
            </w:pPr>
            <w:hyperlink r:id="rId54">
              <w:r>
                <w:rPr>
                  <w:rStyle w:val="InternetLink"/>
                  <w:rFonts w:ascii="Times New Roman;serif" w:hAnsi="Times New Roman;serif"/>
                  <w:b w:val="false"/>
                  <w:sz w:val="20"/>
                  <w:u w:val="single"/>
                </w:rPr>
                <w:t>Disc Medicine, Inc. Amended and Restated 2021 Stock Option and Incentive Plan (incorporated by reference to Exhibit 99.1 of Disc Medicine, Inc.’s Form S-8 filed on January 18, 2023 (Registration No. 333-269271)).</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10.11#</w:t>
            </w:r>
          </w:p>
        </w:tc>
        <w:tc>
          <w:tcPr>
            <w:tcW w:w="9434" w:type="dxa"/>
            <w:tcBorders/>
            <w:shd w:fill="auto" w:val="clear"/>
            <w:vAlign w:val="center"/>
          </w:tcPr>
          <w:p>
            <w:pPr>
              <w:pStyle w:val="TableContents"/>
              <w:spacing w:before="0" w:after="0"/>
              <w:ind w:left="117" w:right="0" w:hanging="0"/>
              <w:jc w:val="left"/>
              <w:rPr/>
            </w:pPr>
            <w:hyperlink r:id="rId55">
              <w:r>
                <w:rPr>
                  <w:rStyle w:val="InternetLink"/>
                  <w:rFonts w:ascii="Times New Roman;serif" w:hAnsi="Times New Roman;serif"/>
                  <w:b w:val="false"/>
                  <w:sz w:val="20"/>
                  <w:u w:val="single"/>
                </w:rPr>
                <w:t>Forms of Award Agreements under the Disc Medicine, Inc. Amended and Restated 2021 Stock Option and Incentive Plan (incorporated by reference to Exhibit 99.2 of Disc Medicine, Inc.’s Form S-8 filed on January 18, 2023 (Registration No. 333-269271)).</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10.12#</w:t>
            </w:r>
          </w:p>
        </w:tc>
        <w:tc>
          <w:tcPr>
            <w:tcW w:w="9434" w:type="dxa"/>
            <w:tcBorders/>
            <w:shd w:fill="auto" w:val="clear"/>
            <w:vAlign w:val="center"/>
          </w:tcPr>
          <w:p>
            <w:pPr>
              <w:pStyle w:val="TableContents"/>
              <w:spacing w:before="0" w:after="0"/>
              <w:ind w:left="117" w:right="0" w:hanging="0"/>
              <w:jc w:val="left"/>
              <w:rPr/>
            </w:pPr>
            <w:hyperlink r:id="rId56">
              <w:r>
                <w:rPr>
                  <w:rStyle w:val="InternetLink"/>
                  <w:rFonts w:ascii="Times New Roman;serif" w:hAnsi="Times New Roman;serif"/>
                  <w:b w:val="false"/>
                  <w:sz w:val="20"/>
                  <w:u w:val="single"/>
                </w:rPr>
                <w:t>Disc Medicine, Inc. Amended and Restated 2021 Employee Stock Purchase Plan (incorporated by reference to Exhibit 99.3 of Disc Medicine, Inc.’s Form S-8 filed on January 18, 2023 (Registration No. 333-269271)).</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10.13#</w:t>
            </w:r>
          </w:p>
        </w:tc>
        <w:tc>
          <w:tcPr>
            <w:tcW w:w="9434" w:type="dxa"/>
            <w:tcBorders/>
            <w:shd w:fill="auto" w:val="clear"/>
            <w:vAlign w:val="center"/>
          </w:tcPr>
          <w:p>
            <w:pPr>
              <w:pStyle w:val="TableContents"/>
              <w:spacing w:before="0" w:after="0"/>
              <w:ind w:left="117" w:right="0" w:hanging="0"/>
              <w:jc w:val="left"/>
              <w:rPr/>
            </w:pPr>
            <w:hyperlink r:id="rId57">
              <w:r>
                <w:rPr>
                  <w:rStyle w:val="InternetLink"/>
                  <w:rFonts w:ascii="Times New Roman;serif" w:hAnsi="Times New Roman;serif"/>
                  <w:b w:val="false"/>
                  <w:sz w:val="20"/>
                  <w:u w:val="single"/>
                </w:rPr>
                <w:t>2017 Stock Option and Grant Plan of Disc Medicine, Inc., and form of award agreements thereunder (incorporated by reference to Exhibit 10.9 to the Registrant’s Current Report on Form 8-K filed on December 29, 2022).</w:t>
              </w:r>
            </w:hyperlink>
          </w:p>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10.14#</w:t>
            </w:r>
          </w:p>
        </w:tc>
        <w:tc>
          <w:tcPr>
            <w:tcW w:w="9434" w:type="dxa"/>
            <w:tcBorders/>
            <w:shd w:fill="auto" w:val="clear"/>
            <w:vAlign w:val="center"/>
          </w:tcPr>
          <w:p>
            <w:pPr>
              <w:pStyle w:val="TableContents"/>
              <w:spacing w:before="0" w:after="0"/>
              <w:ind w:left="117" w:right="0" w:hanging="0"/>
              <w:jc w:val="left"/>
              <w:rPr/>
            </w:pPr>
            <w:hyperlink r:id="rId58">
              <w:r>
                <w:rPr>
                  <w:rStyle w:val="InternetLink"/>
                  <w:rFonts w:ascii="Times New Roman;serif" w:hAnsi="Times New Roman;serif"/>
                  <w:b w:val="false"/>
                  <w:sz w:val="20"/>
                  <w:u w:val="single"/>
                </w:rPr>
                <w:t>2021 Inducement Plan (incorporated by reference to Exhibit 99.3 of Gemini Therapeutics, Inc.’s Form S-8 filed on April 13, 2021 (Registration No. 333-255194)).</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10.15#</w:t>
            </w:r>
          </w:p>
        </w:tc>
        <w:tc>
          <w:tcPr>
            <w:tcW w:w="9434" w:type="dxa"/>
            <w:tcBorders/>
            <w:shd w:fill="auto" w:val="clear"/>
            <w:vAlign w:val="center"/>
          </w:tcPr>
          <w:p>
            <w:pPr>
              <w:pStyle w:val="TableContents"/>
              <w:spacing w:before="0" w:after="0"/>
              <w:ind w:left="117" w:right="0" w:hanging="0"/>
              <w:jc w:val="left"/>
              <w:rPr/>
            </w:pPr>
            <w:hyperlink r:id="rId59">
              <w:r>
                <w:rPr>
                  <w:rStyle w:val="InternetLink"/>
                  <w:rFonts w:ascii="Times New Roman;serif" w:hAnsi="Times New Roman;serif"/>
                  <w:b w:val="false"/>
                  <w:sz w:val="20"/>
                  <w:u w:val="single"/>
                </w:rPr>
                <w:t>Form of Indemnification Agreement for Directors of Disc Medicine, Inc. (incorporated by reference to Exhibit 10.3 to the Registrant’s Current Report on Form 8-K filed on December 29, 2022).</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10.16#</w:t>
            </w:r>
          </w:p>
        </w:tc>
        <w:tc>
          <w:tcPr>
            <w:tcW w:w="9434" w:type="dxa"/>
            <w:tcBorders/>
            <w:shd w:fill="auto" w:val="clear"/>
            <w:vAlign w:val="center"/>
          </w:tcPr>
          <w:p>
            <w:pPr>
              <w:pStyle w:val="TableContents"/>
              <w:spacing w:before="0" w:after="0"/>
              <w:ind w:left="117" w:right="0" w:hanging="0"/>
              <w:jc w:val="left"/>
              <w:rPr/>
            </w:pPr>
            <w:hyperlink r:id="rId60">
              <w:r>
                <w:rPr>
                  <w:rStyle w:val="InternetLink"/>
                  <w:rFonts w:ascii="Times New Roman;serif" w:hAnsi="Times New Roman;serif"/>
                  <w:b w:val="false"/>
                  <w:sz w:val="20"/>
                  <w:u w:val="single"/>
                </w:rPr>
                <w:t>Form of Indemnification Agreement for Officers of Disc Medicine, Inc. (incorporated by reference to Exhibit 10.4 to the Registrant’s Current Report on Form 8-K filed on December 29, 2022).</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rFonts w:ascii="Times New Roman;serif" w:hAnsi="Times New Roman;serif"/>
                <w:b w:val="false"/>
                <w:sz w:val="20"/>
              </w:rPr>
            </w:pPr>
            <w:r>
              <w:rPr>
                <w:rFonts w:ascii="Times New Roman;serif" w:hAnsi="Times New Roman;serif"/>
                <w:b w:val="false"/>
                <w:sz w:val="20"/>
              </w:rPr>
              <w:t>10.17#</w:t>
            </w:r>
          </w:p>
        </w:tc>
        <w:tc>
          <w:tcPr>
            <w:tcW w:w="9434" w:type="dxa"/>
            <w:tcBorders/>
            <w:shd w:fill="auto" w:val="clear"/>
            <w:vAlign w:val="center"/>
          </w:tcPr>
          <w:p>
            <w:pPr>
              <w:pStyle w:val="TableContents"/>
              <w:spacing w:before="0" w:after="0"/>
              <w:ind w:left="117" w:right="0" w:hanging="0"/>
              <w:jc w:val="left"/>
              <w:rPr/>
            </w:pPr>
            <w:hyperlink r:id="rId61">
              <w:r>
                <w:rPr>
                  <w:rStyle w:val="InternetLink"/>
                  <w:rFonts w:ascii="Times New Roman;serif" w:hAnsi="Times New Roman;serif"/>
                  <w:b w:val="false"/>
                  <w:sz w:val="20"/>
                  <w:u w:val="single"/>
                </w:rPr>
                <w:t>Employment Agreement, dated as of December 29, 2022, by and between Disc Medicine, Inc. and John Quisel, J.D. Ph.D. (incorporated by reference to Exhibit 10.6 to the Registrant’s Current Report on Form 8-K filed on December 29, 2022).</w:t>
              </w:r>
            </w:hyperlink>
          </w:p>
        </w:tc>
      </w:tr>
      <w:tr>
        <w:trPr/>
        <w:tc>
          <w:tcPr>
            <w:tcW w:w="771" w:type="dxa"/>
            <w:tcBorders/>
            <w:shd w:fill="auto" w:val="cle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9434" w:type="dxa"/>
            <w:tcBorders/>
            <w:shd w:fill="auto" w:val="clear"/>
            <w:vAlign w:val="center"/>
          </w:tcPr>
          <w:p>
            <w:pPr>
              <w:pStyle w:val="TableContents"/>
              <w:spacing w:before="0" w:after="0"/>
              <w:ind w:left="0" w:right="0" w:hanging="0"/>
              <w:jc w:val="left"/>
              <w:rPr/>
            </w:pPr>
            <w:hyperlink w:anchor="iron-ex10_18.htm">
              <w:r>
                <w:rPr>
                  <w:rStyle w:val="InternetLink"/>
                  <w:rFonts w:ascii="Times New Roman;serif" w:hAnsi="Times New Roman;serif"/>
                  <w:b w:val="false"/>
                  <w:sz w:val="20"/>
                  <w:u w:val="single"/>
                </w:rPr>
                <w:t>Employment Agreement, dated as of December 29, 2022, by and between Disc Medicine, Inc. and Joanne Bryce.</w:t>
              </w:r>
            </w:hyperlink>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9434" w:type="dxa"/>
            <w:tcBorders/>
            <w:shd w:fill="auto" w:val="clear"/>
            <w:vAlign w:val="center"/>
          </w:tcPr>
          <w:p>
            <w:pPr>
              <w:pStyle w:val="TableContents"/>
              <w:spacing w:before="0" w:after="0"/>
              <w:ind w:left="0" w:right="0" w:hanging="0"/>
              <w:jc w:val="left"/>
              <w:rPr/>
            </w:pPr>
            <w:hyperlink w:anchor="iron-ex10_19.htm">
              <w:r>
                <w:rPr>
                  <w:rStyle w:val="InternetLink"/>
                  <w:rFonts w:ascii="Times New Roman;serif" w:hAnsi="Times New Roman;serif"/>
                  <w:b w:val="false"/>
                  <w:sz w:val="20"/>
                  <w:u w:val="single"/>
                </w:rPr>
                <w:t>Employment Agreement, dated as of December 29, 2022, by and between Disc Medicine, Inc. and William Savage, MD, Ph.D.</w:t>
              </w:r>
            </w:hyperlink>
          </w:p>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9434" w:type="dxa"/>
            <w:tcBorders/>
            <w:shd w:fill="auto" w:val="clear"/>
            <w:vAlign w:val="center"/>
          </w:tcPr>
          <w:p>
            <w:pPr>
              <w:pStyle w:val="TableContents"/>
              <w:spacing w:before="0" w:after="0"/>
              <w:ind w:left="0" w:right="0" w:hanging="0"/>
              <w:jc w:val="left"/>
              <w:rPr/>
            </w:pPr>
            <w:hyperlink w:anchor="iron-ex10_20.htm">
              <w:r>
                <w:rPr>
                  <w:rStyle w:val="InternetLink"/>
                  <w:rFonts w:ascii="Times New Roman;serif" w:hAnsi="Times New Roman;serif"/>
                  <w:b w:val="false"/>
                  <w:sz w:val="20"/>
                  <w:u w:val="single"/>
                </w:rPr>
                <w:t>Employment Agreement, dated as of December 29, 2022, by and between Disc Medicine, Inc. and Jonathan Yu</w:t>
              </w:r>
            </w:hyperlink>
          </w:p>
          <w:p>
            <w:pPr>
              <w:pStyle w:val="TableContents"/>
              <w:spacing w:before="0" w:after="0"/>
              <w:ind w:left="0"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9434" w:type="dxa"/>
            <w:tcBorders/>
            <w:shd w:fill="auto" w:val="clear"/>
            <w:vAlign w:val="center"/>
          </w:tcPr>
          <w:p>
            <w:pPr>
              <w:pStyle w:val="TableContents"/>
              <w:spacing w:before="0" w:after="0"/>
              <w:ind w:left="0" w:right="0" w:hanging="0"/>
              <w:jc w:val="left"/>
              <w:rPr/>
            </w:pPr>
            <w:hyperlink r:id="rId62">
              <w:r>
                <w:rPr>
                  <w:rStyle w:val="InternetLink"/>
                  <w:rFonts w:ascii="Times New Roman;serif" w:hAnsi="Times New Roman;serif"/>
                  <w:b w:val="false"/>
                  <w:sz w:val="20"/>
                  <w:u w:val="single"/>
                </w:rPr>
                <w:t>Notice of Termination, Separation Agreement and Release, dated as of December 29, 2022, by and between Gemini Therapeutics, Inc. and Brian Piekos (incorporated by reference to Exhibit 10.10 to the Registrant’s Current Report on Form 8-K filed on December 29, 2022).</w:t>
              </w:r>
            </w:hyperlink>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14.1</w:t>
            </w:r>
          </w:p>
        </w:tc>
        <w:tc>
          <w:tcPr>
            <w:tcW w:w="9434" w:type="dxa"/>
            <w:tcBorders/>
            <w:shd w:fill="auto" w:val="clear"/>
            <w:vAlign w:val="center"/>
          </w:tcPr>
          <w:p>
            <w:pPr>
              <w:pStyle w:val="TableContents"/>
              <w:spacing w:before="0" w:after="0"/>
              <w:ind w:left="0" w:right="0" w:hanging="0"/>
              <w:jc w:val="left"/>
              <w:rPr/>
            </w:pPr>
            <w:hyperlink r:id="rId63">
              <w:r>
                <w:rPr>
                  <w:rStyle w:val="InternetLink"/>
                  <w:rFonts w:ascii="Times New Roman;serif" w:hAnsi="Times New Roman;serif"/>
                  <w:b w:val="false"/>
                  <w:sz w:val="20"/>
                  <w:u w:val="single"/>
                </w:rPr>
                <w:t>Code of Business Conduct and Ethics of Disc Medicine, Inc. (incorporated by reference to Exhibit 14.1 to the Registrant’s Current Report on Form 8-K filed on December 29, 2022).</w:t>
              </w:r>
            </w:hyperlink>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firstLine="117"/>
              <w:jc w:val="left"/>
              <w:rPr/>
            </w:pPr>
            <w:r>
              <w:rPr/>
              <w:t> </w:t>
            </w:r>
          </w:p>
        </w:tc>
        <w:tc>
          <w:tcPr>
            <w:tcW w:w="9434" w:type="dxa"/>
            <w:tcBorders/>
            <w:shd w:fill="auto" w:val="clear"/>
            <w:vAlign w:val="center"/>
          </w:tcPr>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21.1*</w:t>
            </w:r>
          </w:p>
        </w:tc>
        <w:tc>
          <w:tcPr>
            <w:tcW w:w="9434" w:type="dxa"/>
            <w:tcBorders/>
            <w:shd w:fill="auto" w:val="clear"/>
            <w:vAlign w:val="center"/>
          </w:tcPr>
          <w:p>
            <w:pPr>
              <w:pStyle w:val="TableContents"/>
              <w:spacing w:before="0" w:after="0"/>
              <w:ind w:left="0" w:right="0" w:hanging="0"/>
              <w:jc w:val="left"/>
              <w:rPr/>
            </w:pPr>
            <w:hyperlink w:anchor="iron-ex21_1.htm">
              <w:r>
                <w:rPr>
                  <w:rStyle w:val="InternetLink"/>
                  <w:rFonts w:ascii="Times New Roman;serif" w:hAnsi="Times New Roman;serif"/>
                  <w:b w:val="false"/>
                  <w:sz w:val="20"/>
                  <w:u w:val="single"/>
                </w:rPr>
                <w:t>List of Subsidiaries of Disc Medicine, Inc.</w:t>
              </w:r>
            </w:hyperlink>
          </w:p>
          <w:p>
            <w:pPr>
              <w:pStyle w:val="TableContents"/>
              <w:spacing w:before="0" w:after="0"/>
              <w:ind w:left="117"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9434" w:type="dxa"/>
            <w:tcBorders/>
            <w:shd w:fill="auto" w:val="clear"/>
            <w:vAlign w:val="center"/>
          </w:tcPr>
          <w:p>
            <w:pPr>
              <w:pStyle w:val="TableContents"/>
              <w:spacing w:before="0" w:after="0"/>
              <w:ind w:left="0" w:right="0" w:hanging="0"/>
              <w:jc w:val="left"/>
              <w:rPr/>
            </w:pPr>
            <w:hyperlink w:anchor="iron-ex23_1.htm">
              <w:r>
                <w:rPr>
                  <w:rStyle w:val="InternetLink"/>
                  <w:rFonts w:ascii="Times New Roman;serif" w:hAnsi="Times New Roman;serif"/>
                  <w:b w:val="false"/>
                  <w:sz w:val="20"/>
                  <w:u w:val="single"/>
                </w:rPr>
                <w:t>Consent of Ernst &amp; Young LLP, independent registered accounting firm.</w:t>
              </w:r>
            </w:hyperlink>
            <w:hyperlink w:anchor="iron-ex23_1.htm">
              <w:r>
                <w:rPr>
                  <w:rStyle w:val="InternetLink"/>
                  <w:rFonts w:ascii="Times New Roman" w:hAnsi="Times New Roman"/>
                  <w:sz w:val="20"/>
                </w:rPr>
                <w:t xml:space="preserve"> </w:t>
              </w:r>
            </w:hyperlink>
          </w:p>
          <w:p>
            <w:pPr>
              <w:pStyle w:val="TableContents"/>
              <w:spacing w:before="0" w:after="0"/>
              <w:ind w:left="0" w:right="0" w:hanging="0"/>
              <w:jc w:val="left"/>
              <w:rPr/>
            </w:pPr>
            <w:r>
              <w:rPr/>
              <w:t> </w:t>
            </w:r>
          </w:p>
        </w:tc>
      </w:tr>
      <w:tr>
        <w:trPr/>
        <w:tc>
          <w:tcPr>
            <w:tcW w:w="7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9434" w:type="dxa"/>
            <w:tcBorders/>
            <w:shd w:fill="auto" w:val="clear"/>
            <w:vAlign w:val="center"/>
          </w:tcPr>
          <w:p>
            <w:pPr>
              <w:pStyle w:val="TableContents"/>
              <w:spacing w:before="0" w:after="0"/>
              <w:ind w:left="0" w:right="0" w:hanging="0"/>
              <w:jc w:val="left"/>
              <w:rPr/>
            </w:pPr>
            <w:hyperlink w:anchor="iron-ex31_1.htm">
              <w:r>
                <w:rPr>
                  <w:rStyle w:val="InternetLink"/>
                  <w:rFonts w:ascii="Times New Roman;serif" w:hAnsi="Times New Roman;serif"/>
                  <w:b w:val="false"/>
                  <w:sz w:val="20"/>
                  <w:u w:val="single"/>
                </w:rPr>
                <w:t>Certification of Principal Executive Officer pursuant to Section 302 of the Sarbanes-Oxley Act of 2002</w:t>
              </w:r>
            </w:hyperlink>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155</w:t>
      </w:r>
    </w:p>
    <w:p>
      <w:pPr>
        <w:pStyle w:val="HorizontalLine"/>
        <w:rPr/>
      </w:pPr>
      <w:r>
        <w:rPr/>
      </w:r>
    </w:p>
    <w:tbl>
      <w:tblPr>
        <w:tblW w:w="10205" w:type="dxa"/>
        <w:jc w:val="left"/>
        <w:tblInd w:w="0" w:type="dxa"/>
        <w:tblCellMar>
          <w:top w:w="28" w:type="dxa"/>
          <w:left w:w="28" w:type="dxa"/>
          <w:bottom w:w="28" w:type="dxa"/>
          <w:right w:w="28" w:type="dxa"/>
        </w:tblCellMar>
      </w:tblPr>
      <w:tblGrid>
        <w:gridCol w:w="860"/>
        <w:gridCol w:w="9345"/>
      </w:tblGrid>
      <w:tr>
        <w:trPr/>
        <w:tc>
          <w:tcPr>
            <w:tcW w:w="860" w:type="dxa"/>
            <w:tcBorders/>
            <w:shd w:fill="FFFFFF" w:val="clear"/>
            <w:vAlign w:val="center"/>
          </w:tcPr>
          <w:p>
            <w:pPr>
              <w:pStyle w:val="TableContents"/>
              <w:spacing w:before="0" w:after="283"/>
              <w:rPr>
                <w:sz w:val="4"/>
                <w:szCs w:val="4"/>
              </w:rPr>
            </w:pPr>
            <w:r>
              <w:rPr>
                <w:sz w:val="4"/>
                <w:szCs w:val="4"/>
              </w:rPr>
            </w:r>
          </w:p>
        </w:tc>
        <w:tc>
          <w:tcPr>
            <w:tcW w:w="9345" w:type="dxa"/>
            <w:tcBorders/>
            <w:shd w:fill="FFFFFF"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0"/>
              <w:ind w:left="0" w:right="0" w:hanging="0"/>
              <w:jc w:val="left"/>
              <w:rPr/>
            </w:pPr>
            <w:r>
              <w:rPr/>
              <w:t> </w:t>
            </w:r>
          </w:p>
        </w:tc>
        <w:tc>
          <w:tcPr>
            <w:tcW w:w="9345" w:type="dxa"/>
            <w:tcBorders/>
            <w:shd w:fill="auto" w:val="clear"/>
            <w:vAlign w:val="center"/>
          </w:tcPr>
          <w:p>
            <w:pPr>
              <w:pStyle w:val="TableContents"/>
              <w:spacing w:before="0" w:after="0"/>
              <w:ind w:left="0" w:right="0" w:hanging="0"/>
              <w:jc w:val="left"/>
              <w:rPr/>
            </w:pPr>
            <w:r>
              <w:rPr/>
              <w:t> </w:t>
            </w:r>
          </w:p>
        </w:tc>
      </w:tr>
      <w:tr>
        <w:trPr/>
        <w:tc>
          <w:tcPr>
            <w:tcW w:w="860"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br/>
              <w:t>Number</w:t>
            </w:r>
          </w:p>
          <w:p>
            <w:pPr>
              <w:pStyle w:val="TableContents"/>
              <w:pBdr>
                <w:top w:val="single" w:sz="8" w:space="1" w:color="000000"/>
              </w:pBdr>
              <w:spacing w:before="20" w:after="0"/>
              <w:ind w:left="0" w:right="0" w:hanging="0"/>
              <w:jc w:val="left"/>
              <w:rPr/>
            </w:pPr>
            <w:r>
              <w:rPr/>
              <w:t> </w:t>
            </w:r>
          </w:p>
        </w:tc>
        <w:tc>
          <w:tcPr>
            <w:tcW w:w="934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p>
            <w:pPr>
              <w:pStyle w:val="TableContents"/>
              <w:pBdr>
                <w:top w:val="single" w:sz="8" w:space="1" w:color="000000"/>
              </w:pBdr>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345" w:type="dxa"/>
            <w:tcBorders/>
            <w:shd w:fill="auto" w:val="clear"/>
            <w:vAlign w:val="center"/>
          </w:tcPr>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9345" w:type="dxa"/>
            <w:tcBorders/>
            <w:shd w:fill="auto" w:val="clear"/>
            <w:vAlign w:val="center"/>
          </w:tcPr>
          <w:p>
            <w:pPr>
              <w:pStyle w:val="TableContents"/>
              <w:spacing w:before="0" w:after="0"/>
              <w:ind w:left="0" w:right="0" w:hanging="0"/>
              <w:jc w:val="left"/>
              <w:rPr/>
            </w:pPr>
            <w:hyperlink w:anchor="iron-ex31_2.htm">
              <w:r>
                <w:rPr>
                  <w:rStyle w:val="InternetLink"/>
                  <w:rFonts w:ascii="Times New Roman;serif" w:hAnsi="Times New Roman;serif"/>
                  <w:b w:val="false"/>
                  <w:sz w:val="20"/>
                  <w:u w:val="single"/>
                </w:rPr>
                <w:t>Certification of Principal Financial Officer pursuant to Section 302 of the Sarbanes-Oxley Act of 2002</w:t>
              </w:r>
            </w:hyperlink>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9345" w:type="dxa"/>
            <w:tcBorders/>
            <w:shd w:fill="auto" w:val="clear"/>
            <w:vAlign w:val="center"/>
          </w:tcPr>
          <w:p>
            <w:pPr>
              <w:pStyle w:val="TableContents"/>
              <w:spacing w:before="0" w:after="0"/>
              <w:ind w:left="0" w:right="0" w:hanging="0"/>
              <w:jc w:val="left"/>
              <w:rPr/>
            </w:pPr>
            <w:hyperlink w:anchor="iron-ex32_1.htm">
              <w:r>
                <w:rPr>
                  <w:rStyle w:val="InternetLink"/>
                  <w:rFonts w:ascii="Times New Roman;serif" w:hAnsi="Times New Roman;serif"/>
                  <w:b w:val="false"/>
                  <w:sz w:val="20"/>
                  <w:u w:val="single"/>
                </w:rPr>
                <w:t>Certification pursuant to 18 U.S.C. Section 1350, as adopted pursuant to Section 906 of the Sarbanes-Oxley Act of 2002</w:t>
              </w:r>
            </w:hyperlink>
          </w:p>
          <w:p>
            <w:pPr>
              <w:pStyle w:val="TableContents"/>
              <w:spacing w:before="0" w:after="0"/>
              <w:ind w:left="117"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p>
            <w:pPr>
              <w:pStyle w:val="TableContents"/>
              <w:spacing w:before="0" w:after="0"/>
              <w:ind w:left="0" w:right="0" w:hanging="0"/>
              <w:jc w:val="left"/>
              <w:rPr/>
            </w:pPr>
            <w:r>
              <w:rPr/>
              <w:t> </w:t>
            </w:r>
          </w:p>
        </w:tc>
      </w:tr>
      <w:tr>
        <w:trPr/>
        <w:tc>
          <w:tcPr>
            <w:tcW w:w="86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 Filed herewith.</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 Furnished herewith.</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 Indicates a management contract or compensatory plan.</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The annexes, schedules, and certain exhibits to the Merger Agreement have been omitted pursuant to Item 601(b)(2) of Regulation S-K. Gemini hereby agrees to furnish supplementally a copy of any omitted annex, schedule or exhibit to the Commission upon request.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Portions of this exhibit (indicated by asterisks) have been omitted in accordance with the rules of the Securities and Exchange Commission.</w:t>
      </w:r>
    </w:p>
    <w:p>
      <w:pPr>
        <w:pStyle w:val="TextBody"/>
        <w:spacing w:before="240" w:after="0"/>
        <w:jc w:val="left"/>
        <w:rPr>
          <w:rFonts w:ascii="Times New Roman" w:hAnsi="Times New Roman"/>
          <w:sz w:val="20"/>
        </w:rPr>
      </w:pPr>
      <w:bookmarkStart w:id="38" w:name="item_16_10k_summary"/>
      <w:bookmarkEnd w:id="38"/>
      <w:r>
        <w:rPr>
          <w:rFonts w:ascii="Times New Roman;serif" w:hAnsi="Times New Roman;serif"/>
          <w:b/>
          <w:sz w:val="20"/>
        </w:rPr>
        <w:t>ITEM 16.</w:t>
      </w:r>
      <w:r>
        <w:rPr>
          <w:rFonts w:ascii="Times New Roman" w:hAnsi="Times New Roman"/>
          <w:sz w:val="20"/>
        </w:rPr>
        <w:t xml:space="preserve"> </w:t>
      </w:r>
      <w:r>
        <w:rPr>
          <w:rFonts w:ascii="Times New Roman;serif" w:hAnsi="Times New Roman;serif"/>
          <w:b/>
          <w:sz w:val="20"/>
        </w:rPr>
        <w:t>FORM 10-K SUMMARY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156</w:t>
      </w:r>
    </w:p>
    <w:p>
      <w:pPr>
        <w:pStyle w:val="HorizontalLine"/>
        <w:rPr/>
      </w:pPr>
      <w:r>
        <w:rPr/>
      </w:r>
    </w:p>
    <w:p>
      <w:pPr>
        <w:pStyle w:val="TextBody"/>
        <w:spacing w:before="0" w:after="0"/>
        <w:jc w:val="center"/>
        <w:rPr>
          <w:rFonts w:ascii="Times New Roman" w:hAnsi="Times New Roman"/>
          <w:sz w:val="20"/>
        </w:rPr>
      </w:pPr>
      <w:bookmarkStart w:id="39" w:name="signatures"/>
      <w:bookmarkEnd w:id="39"/>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spacing w:before="0" w:after="0"/>
        <w:jc w:val="left"/>
        <w:rPr/>
      </w:pPr>
      <w:r>
        <w:rPr/>
        <w:t> </w:t>
      </w:r>
    </w:p>
    <w:tbl>
      <w:tblPr>
        <w:tblW w:w="6209" w:type="dxa"/>
        <w:jc w:val="left"/>
        <w:tblInd w:w="0" w:type="dxa"/>
        <w:tblCellMar>
          <w:top w:w="28" w:type="dxa"/>
          <w:left w:w="28" w:type="dxa"/>
          <w:bottom w:w="28" w:type="dxa"/>
          <w:right w:w="28" w:type="dxa"/>
        </w:tblCellMar>
      </w:tblPr>
      <w:tblGrid>
        <w:gridCol w:w="1891"/>
        <w:gridCol w:w="146"/>
        <w:gridCol w:w="406"/>
        <w:gridCol w:w="376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pPr>
            <w:r>
              <w:rPr/>
              <w:t> </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72"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DISC MEDICINE, INC.</w:t>
            </w:r>
          </w:p>
        </w:tc>
      </w:tr>
      <w:tr>
        <w:trPr/>
        <w:tc>
          <w:tcPr>
            <w:tcW w:w="18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pPr>
            <w:r>
              <w:rPr/>
              <w:t> </w:t>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31,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Joanne Bryce</w:t>
            </w:r>
          </w:p>
          <w:p>
            <w:pPr>
              <w:pStyle w:val="TableContents"/>
              <w:pBdr>
                <w:top w:val="single" w:sz="8" w:space="1" w:color="000000"/>
              </w:pBdr>
              <w:spacing w:before="20" w:after="0"/>
              <w:ind w:left="0" w:right="0" w:hanging="0"/>
              <w:jc w:val="left"/>
              <w:rPr/>
            </w:pPr>
            <w:r>
              <w:rPr/>
              <w:t> </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2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157</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POWER OF ATTORNEY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sz w:val="20"/>
        </w:rPr>
        <w:t xml:space="preserve"> </w:t>
      </w:r>
    </w:p>
    <w:p>
      <w:pPr>
        <w:pStyle w:val="TextBody"/>
        <w:spacing w:before="0" w:after="0"/>
        <w:jc w:val="left"/>
        <w:rPr/>
      </w:pPr>
      <w:r>
        <w:rPr/>
        <w:t> </w:t>
      </w:r>
    </w:p>
    <w:tbl>
      <w:tblPr>
        <w:tblW w:w="7803" w:type="dxa"/>
        <w:jc w:val="left"/>
        <w:tblInd w:w="0" w:type="dxa"/>
        <w:tblCellMar>
          <w:top w:w="28" w:type="dxa"/>
          <w:left w:w="28" w:type="dxa"/>
          <w:bottom w:w="28" w:type="dxa"/>
          <w:right w:w="28" w:type="dxa"/>
        </w:tblCellMar>
      </w:tblPr>
      <w:tblGrid>
        <w:gridCol w:w="2446"/>
        <w:gridCol w:w="3916"/>
        <w:gridCol w:w="1441"/>
      </w:tblGrid>
      <w:tr>
        <w:trPr/>
        <w:tc>
          <w:tcPr>
            <w:tcW w:w="2446" w:type="dxa"/>
            <w:tcBorders/>
            <w:shd w:fill="FFFFFF" w:val="clear"/>
            <w:vAlign w:val="center"/>
          </w:tcPr>
          <w:p>
            <w:pPr>
              <w:pStyle w:val="TableContents"/>
              <w:spacing w:before="0" w:after="283"/>
              <w:rPr>
                <w:sz w:val="4"/>
                <w:szCs w:val="4"/>
              </w:rPr>
            </w:pPr>
            <w:r>
              <w:rPr>
                <w:sz w:val="4"/>
                <w:szCs w:val="4"/>
              </w:rPr>
            </w:r>
          </w:p>
        </w:tc>
        <w:tc>
          <w:tcPr>
            <w:tcW w:w="3916"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pPr>
            <w:r>
              <w:rPr/>
              <w:t> </w:t>
            </w:r>
          </w:p>
        </w:tc>
        <w:tc>
          <w:tcPr>
            <w:tcW w:w="391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Signature</w:t>
            </w:r>
          </w:p>
          <w:p>
            <w:pPr>
              <w:pStyle w:val="TableContents"/>
              <w:pBdr>
                <w:top w:val="single" w:sz="8" w:space="1" w:color="000000"/>
              </w:pBdr>
              <w:spacing w:before="20" w:after="0"/>
              <w:ind w:left="0" w:right="0" w:hanging="0"/>
              <w:jc w:val="left"/>
              <w:rPr/>
            </w:pPr>
            <w:r>
              <w:rPr/>
              <w:t> </w:t>
            </w:r>
          </w:p>
        </w:tc>
        <w:tc>
          <w:tcPr>
            <w:tcW w:w="39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p>
            <w:pPr>
              <w:pStyle w:val="TableContents"/>
              <w:pBdr>
                <w:top w:val="single" w:sz="8" w:space="1" w:color="000000"/>
              </w:pBdr>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p>
            <w:pPr>
              <w:pStyle w:val="TableContents"/>
              <w:pBdr>
                <w:top w:val="single" w:sz="8" w:space="1" w:color="000000"/>
              </w:pBdr>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391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Quisel</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President, Chief Executive Officer and Director</w:t>
            </w:r>
          </w:p>
          <w:p>
            <w:pPr>
              <w:pStyle w:val="TableContents"/>
              <w:spacing w:before="0" w:after="20"/>
              <w:ind w:left="135" w:right="0" w:hanging="0"/>
              <w:jc w:val="left"/>
              <w:rPr>
                <w:rFonts w:ascii="Times New Roman;serif" w:hAnsi="Times New Roman;serif"/>
                <w:b w:val="false"/>
                <w:sz w:val="20"/>
              </w:rPr>
            </w:pPr>
            <w:r>
              <w:rPr>
                <w:rFonts w:ascii="Times New Roman;serif" w:hAnsi="Times New Roman;serif"/>
                <w:b w:val="false"/>
                <w:sz w:val="20"/>
              </w:rPr>
              <w:t>(Principal Executive Officer)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Quisel, J.D.,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Joanne Bryce</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20"/>
              <w:ind w:left="135"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Donald Nicholson</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Donald Nicholson,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 Kevin Bitterman</w:t>
            </w:r>
            <w:r>
              <w:rPr>
                <w:rFonts w:ascii="Times New Roman" w:hAnsi="Times New Roman"/>
                <w:sz w:val="20"/>
              </w:rPr>
              <w:t xml:space="preserve"> </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Kevin Bitterman,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Liam Ratcliffe</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Liam Ratcliffe, M.D.,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William White</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White MPP, J.D.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Mona Ashiya</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Mona Ashiya,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Mark Chin</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Chin, MS, MBA</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Georges Gemayel</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Georges Gemayel, Ph.D.</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firstLine="135"/>
              <w:jc w:val="left"/>
              <w:rPr/>
            </w:pPr>
            <w:r>
              <w:rPr/>
              <w:t> </w:t>
            </w:r>
          </w:p>
        </w:tc>
        <w:tc>
          <w:tcPr>
            <w:tcW w:w="3916" w:type="dxa"/>
            <w:tcBorders/>
            <w:shd w:fill="auto" w:val="clear"/>
            <w:vAlign w:val="center"/>
          </w:tcPr>
          <w:p>
            <w:pPr>
              <w:pStyle w:val="TableContents"/>
              <w:spacing w:before="0" w:after="0"/>
              <w:ind w:left="135"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Jay Backstrom</w:t>
            </w:r>
          </w:p>
          <w:p>
            <w:pPr>
              <w:pStyle w:val="TableContents"/>
              <w:pBdr>
                <w:top w:val="single" w:sz="8" w:space="1" w:color="000000"/>
              </w:pBdr>
              <w:spacing w:before="20" w:after="0"/>
              <w:ind w:left="0" w:right="0" w:firstLine="135"/>
              <w:jc w:val="left"/>
              <w:rPr/>
            </w:pPr>
            <w:r>
              <w:rPr/>
              <w:t> </w:t>
            </w:r>
          </w:p>
        </w:tc>
        <w:tc>
          <w:tcPr>
            <w:tcW w:w="3916" w:type="dxa"/>
            <w:vMerge w:val="restart"/>
            <w:tcBorders/>
            <w:shd w:fill="auto" w:val="clear"/>
            <w:vAlign w:val="center"/>
          </w:tcPr>
          <w:p>
            <w:pPr>
              <w:pStyle w:val="TableContents"/>
              <w:spacing w:before="0" w:after="0"/>
              <w:ind w:left="135" w:right="0" w:hanging="0"/>
              <w:jc w:val="left"/>
              <w:rPr>
                <w:rFonts w:ascii="Times New Roman;serif" w:hAnsi="Times New Roman;serif"/>
                <w:b w:val="false"/>
                <w:sz w:val="20"/>
              </w:rPr>
            </w:pPr>
            <w:r>
              <w:rPr>
                <w:rFonts w:ascii="Times New Roman;serif" w:hAnsi="Times New Roman;serif"/>
                <w:b w:val="false"/>
                <w:sz w:val="20"/>
              </w:rPr>
              <w:t>Director</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Backstrom, M.D., M.P.H.</w:t>
            </w:r>
          </w:p>
        </w:tc>
        <w:tc>
          <w:tcPr>
            <w:tcW w:w="3916" w:type="dxa"/>
            <w:vMerge w:val="continue"/>
            <w:tcBorders/>
            <w:shd w:fill="auto" w:val="clear"/>
            <w:vAlign w:val="center"/>
          </w:tcPr>
          <w:p>
            <w:pPr>
              <w:pStyle w:val="Normal"/>
              <w:rPr/>
            </w:pPr>
            <w:r>
              <w:rPr/>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3916" w:type="dxa"/>
            <w:tcBorders/>
            <w:shd w:fill="auto" w:val="clear"/>
            <w:vAlign w:val="center"/>
          </w:tcPr>
          <w:p>
            <w:pPr>
              <w:pStyle w:val="TableContents"/>
              <w:spacing w:before="0" w:after="0"/>
              <w:ind w:left="0" w:right="0" w:hanging="0"/>
              <w:jc w:val="left"/>
              <w:rPr/>
            </w:pPr>
            <w:r>
              <w:rPr/>
              <w:t> </w:t>
            </w:r>
          </w:p>
        </w:tc>
        <w:tc>
          <w:tcPr>
            <w:tcW w:w="14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righ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158</w:t>
      </w:r>
    </w:p>
    <w:p>
      <w:pPr>
        <w:pStyle w:val="HorizontalLine"/>
        <w:rPr/>
      </w:pPr>
      <w:r>
        <w:rPr/>
      </w:r>
      <w:r>
        <w:br w:type="page"/>
      </w:r>
    </w:p>
    <w:p>
      <w:pPr>
        <w:pStyle w:val="TextBody"/>
        <w:spacing w:before="0" w:after="0"/>
        <w:jc w:val="right"/>
        <w:rPr/>
      </w:pPr>
      <w:bookmarkStart w:id="40" w:name="iron-ex10_18.htm"/>
      <w:bookmarkStart w:id="41" w:name="ksironex10_18"/>
      <w:bookmarkEnd w:id="40"/>
      <w:bookmarkEnd w:id="4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10.18</w:t>
      </w:r>
    </w:p>
    <w:p>
      <w:pPr>
        <w:pStyle w:val="TextBody"/>
        <w:spacing w:before="0" w:after="360"/>
        <w:jc w:val="center"/>
        <w:rPr>
          <w:rFonts w:ascii="Times New Roman;serif" w:hAnsi="Times New Roman;serif"/>
          <w:b/>
          <w:caps/>
          <w:sz w:val="20"/>
        </w:rPr>
      </w:pPr>
      <w:r>
        <w:rPr>
          <w:rFonts w:ascii="Times New Roman;serif" w:hAnsi="Times New Roman;serif"/>
          <w:b/>
          <w:caps/>
          <w:sz w:val="20"/>
        </w:rPr>
        <w:t>DISC MEDICINE, INC.</w:t>
      </w:r>
    </w:p>
    <w:p>
      <w:pPr>
        <w:pStyle w:val="TextBody"/>
        <w:spacing w:before="0" w:after="360"/>
        <w:jc w:val="center"/>
        <w:rPr>
          <w:rFonts w:ascii="Times New Roman;serif" w:hAnsi="Times New Roman;serif"/>
          <w:b/>
          <w:caps/>
          <w:sz w:val="20"/>
        </w:rPr>
      </w:pPr>
      <w:r>
        <w:rPr>
          <w:rFonts w:ascii="Times New Roman;serif" w:hAnsi="Times New Roman;serif"/>
          <w:b/>
          <w:caps/>
          <w:sz w:val="20"/>
        </w:rPr>
        <w:t>EMPLOYMENT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This Employment Agreement (“Agreement”) is made between Disc Medicine, Inc. (formerly Gemini Therapeutics, Inc.), (the “Company”), and Joanne Bryce, CPA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 and the Equity Documents (each as defined below), this Agreement supersedes in all respects all prior agreements between you and Disc Medicine, Inc., predecessor in interest to the Company, regarding the subject matter herein, including without limitation the offer letter between you and Disc Medicine, Inc. dated September 14, 2021 (the “Prior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WHEREAS, the Company desires to continue to employ you and you desire to continue to be employed by the Company on the new terms and conditions contained herein.</w:t>
      </w:r>
    </w:p>
    <w:p>
      <w:pPr>
        <w:pStyle w:val="TextBody"/>
        <w:spacing w:before="0" w:after="240"/>
        <w:jc w:val="left"/>
        <w:rPr>
          <w:rFonts w:ascii="Times New Roman" w:hAnsi="Times New Roman"/>
          <w:sz w:val="20"/>
        </w:rPr>
      </w:pPr>
      <w:r>
        <w:rPr>
          <w:rFonts w:ascii="Times New Roman;serif" w:hAnsi="Times New Roman;serif"/>
          <w:b w:val="false"/>
          <w:sz w:val="20"/>
        </w:rPr>
        <w:t>NOW, THEREFORE,</w:t>
      </w:r>
      <w:r>
        <w:rPr>
          <w:rFonts w:ascii="Times New Roman" w:hAnsi="Times New Roman"/>
          <w:sz w:val="20"/>
        </w:rPr>
        <w:t xml:space="preserve"> </w:t>
      </w:r>
      <w:r>
        <w:rPr>
          <w:rFonts w:ascii="Times New Roman;serif" w:hAnsi="Times New Roman;serif"/>
          <w:b w:val="false"/>
          <w:sz w:val="20"/>
        </w:rPr>
        <w:t>in consideration of the mutual covenants and agreements herein contained and other good and valuable consideration, the receipt and sufficiency of which is hereby acknowledged, the parties agree as follows:</w:t>
      </w:r>
    </w:p>
    <w:p>
      <w:pPr>
        <w:pStyle w:val="TextBody"/>
        <w:spacing w:before="0" w:after="240"/>
        <w:jc w:val="left"/>
        <w:rPr>
          <w:rFonts w:ascii="Times New Roman" w:hAnsi="Times New Roman"/>
          <w:b w:val="false"/>
          <w:sz w:val="20"/>
        </w:rPr>
      </w:pPr>
      <w:r>
        <w:rPr>
          <w:rFonts w:ascii="Times New Roman" w:hAnsi="Times New Roman"/>
          <w:b w:val="false"/>
          <w:sz w:val="20"/>
        </w:rPr>
        <w:t>1.</w:t>
      </w:r>
    </w:p>
    <w:p>
      <w:pPr>
        <w:pStyle w:val="TextBody"/>
        <w:spacing w:before="0" w:after="240"/>
        <w:jc w:val="left"/>
        <w:rPr/>
      </w:pPr>
      <w:r>
        <w:rPr>
          <w:rFonts w:ascii="Times New Roman;serif" w:hAnsi="Times New Roman;serif"/>
          <w:b w:val="false"/>
          <w:sz w:val="20"/>
          <w:u w:val="single"/>
        </w:rPr>
        <w:t>Employment</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Term</w:t>
      </w:r>
      <w:r>
        <w:rPr>
          <w:rFonts w:ascii="Times New Roman;serif" w:hAnsi="Times New Roman;serif"/>
          <w:b w:val="false"/>
          <w:sz w:val="20"/>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Position and Duties</w:t>
      </w:r>
      <w:r>
        <w:rPr>
          <w:rFonts w:ascii="Times New Roman;serif" w:hAnsi="Times New Roman;serif"/>
          <w:b w:val="false"/>
          <w:sz w:val="20"/>
        </w:rPr>
        <w:t>. You shall serve as the Chief Financial Officer of the Company and shall report directly to the Chief Executive Officer (“CEO”). You shall have such powers and duties as may from time to time be prescribed by the CEO or other duly authorized executive which are consistent with your position as Chief Financial Officer.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pStyle w:val="TextBody"/>
        <w:spacing w:before="0" w:after="240"/>
        <w:jc w:val="left"/>
        <w:rPr>
          <w:rFonts w:ascii="Times New Roman" w:hAnsi="Times New Roman"/>
          <w:b w:val="false"/>
          <w:sz w:val="20"/>
        </w:rPr>
      </w:pPr>
      <w:r>
        <w:rPr>
          <w:rFonts w:ascii="Times New Roman" w:hAnsi="Times New Roman"/>
          <w:b w:val="false"/>
          <w:sz w:val="20"/>
        </w:rPr>
        <w:t>2.</w:t>
      </w:r>
    </w:p>
    <w:p>
      <w:pPr>
        <w:pStyle w:val="TextBody"/>
        <w:spacing w:before="0" w:after="240"/>
        <w:jc w:val="left"/>
        <w:rPr/>
      </w:pPr>
      <w:r>
        <w:rPr>
          <w:rFonts w:ascii="Times New Roman;serif" w:hAnsi="Times New Roman;serif"/>
          <w:b w:val="false"/>
          <w:sz w:val="20"/>
          <w:u w:val="single"/>
        </w:rPr>
        <w:t>Compensation and Related Matters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Base Salary</w:t>
      </w:r>
      <w:r>
        <w:rPr>
          <w:rFonts w:ascii="Times New Roman;serif" w:hAnsi="Times New Roman;serif"/>
          <w:b w:val="false"/>
          <w:sz w:val="20"/>
        </w:rPr>
        <w:t>. Your initial base salary shall be paid at the rate of $419,000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w:t>
      </w:r>
      <w:r>
        <w:rPr/>
        <w:t xml:space="preserve"> </w:t>
      </w:r>
      <w:r>
        <w:rPr>
          <w:rFonts w:ascii="Times New Roman;serif" w:hAnsi="Times New Roman;serif"/>
          <w:b w:val="false"/>
          <w:sz w:val="20"/>
        </w:rPr>
        <w:t>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Incentive Compensation</w:t>
      </w:r>
      <w:r>
        <w:rPr>
          <w:rFonts w:ascii="Times New Roman;serif" w:hAnsi="Times New Roman;serif"/>
          <w:b w:val="false"/>
          <w:sz w:val="20"/>
        </w:rPr>
        <w:t xml:space="preserve">. You shall be eligible to receive cash incentive compensation as determined by the Board or the Compensation Committee from time to time. Your target annual incentive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pPr>
      <w:r>
        <w:rPr>
          <w:rFonts w:ascii="Times New Roman;serif" w:hAnsi="Times New Roman;serif"/>
          <w:b w:val="false"/>
          <w:sz w:val="20"/>
        </w:rPr>
        <w:t>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Expenses</w:t>
      </w:r>
      <w:r>
        <w:rPr>
          <w:rFonts w:ascii="Times New Roman;serif" w:hAnsi="Times New Roman;serif"/>
          <w:b w:val="false"/>
          <w:sz w:val="20"/>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Other Benefits</w:t>
      </w:r>
      <w:r>
        <w:rPr>
          <w:rFonts w:ascii="Times New Roman;serif" w:hAnsi="Times New Roman;serif"/>
          <w:b w:val="false"/>
          <w:sz w:val="20"/>
        </w:rPr>
        <w:t>. You shall be eligible to participate in or receive benefits under the Company’s employee benefit plans in effect from time to time, subject to the terms of such plans.</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Paid Time Off</w:t>
      </w:r>
      <w:r>
        <w:rPr>
          <w:rFonts w:ascii="Times New Roman;serif" w:hAnsi="Times New Roman;serif"/>
          <w:b w:val="false"/>
          <w:sz w:val="20"/>
        </w:rPr>
        <w:t xml:space="preserve">. You shall be entitled to take paid time off in accordance with the Company’s applicable paid time off policy for executives, as may be in effect from time to time. You shall also be entitled to all paid holidays given by the Company to its employees. </w:t>
      </w:r>
    </w:p>
    <w:p>
      <w:pPr>
        <w:pStyle w:val="TextBody"/>
        <w:spacing w:before="0" w:after="240"/>
        <w:jc w:val="left"/>
        <w:rPr>
          <w:rFonts w:ascii="Times New Roman" w:hAnsi="Times New Roman"/>
          <w:b w:val="false"/>
          <w:sz w:val="20"/>
        </w:rPr>
      </w:pPr>
      <w:r>
        <w:rPr>
          <w:rFonts w:ascii="Times New Roman" w:hAnsi="Times New Roman"/>
          <w:b w:val="false"/>
          <w:sz w:val="20"/>
        </w:rPr>
        <w:t>(f)</w:t>
      </w:r>
    </w:p>
    <w:p>
      <w:pPr>
        <w:pStyle w:val="TextBody"/>
        <w:spacing w:before="0" w:after="240"/>
        <w:jc w:val="left"/>
        <w:rPr/>
      </w:pPr>
      <w:r>
        <w:rPr>
          <w:rFonts w:ascii="Times New Roman;serif" w:hAnsi="Times New Roman;serif"/>
          <w:b w:val="false"/>
          <w:sz w:val="20"/>
          <w:u w:val="single"/>
        </w:rPr>
        <w:t>Equity</w:t>
      </w:r>
      <w:r>
        <w:rPr>
          <w:rFonts w:ascii="Times New Roman;serif" w:hAnsi="Times New Roman;serif"/>
          <w:b w:val="false"/>
          <w:sz w:val="20"/>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pStyle w:val="TextBody"/>
        <w:spacing w:before="0" w:after="240"/>
        <w:jc w:val="left"/>
        <w:rPr>
          <w:rFonts w:ascii="Times New Roman" w:hAnsi="Times New Roman"/>
          <w:b w:val="false"/>
          <w:sz w:val="20"/>
        </w:rPr>
      </w:pPr>
      <w:r>
        <w:rPr>
          <w:rFonts w:ascii="Times New Roman" w:hAnsi="Times New Roman"/>
          <w:b w:val="false"/>
          <w:sz w:val="20"/>
        </w:rPr>
        <w:t>3.</w:t>
      </w:r>
    </w:p>
    <w:p>
      <w:pPr>
        <w:pStyle w:val="TextBody"/>
        <w:spacing w:before="0" w:after="240"/>
        <w:jc w:val="left"/>
        <w:rPr/>
      </w:pPr>
      <w:r>
        <w:rPr>
          <w:rFonts w:ascii="Times New Roman;serif" w:hAnsi="Times New Roman;serif"/>
          <w:b w:val="false"/>
          <w:sz w:val="20"/>
          <w:u w:val="single"/>
        </w:rPr>
        <w:t>Termination</w:t>
      </w:r>
      <w:r>
        <w:rPr>
          <w:rFonts w:ascii="Times New Roman;serif" w:hAnsi="Times New Roman;serif"/>
          <w:b w:val="false"/>
          <w:sz w:val="20"/>
        </w:rPr>
        <w:t>. Your employment hereunder may be terminated without any breach of this Agreement under the following circumstances:</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Death</w:t>
      </w:r>
      <w:r>
        <w:rPr>
          <w:rFonts w:ascii="Times New Roman;serif" w:hAnsi="Times New Roman;serif"/>
          <w:b w:val="false"/>
          <w:sz w:val="20"/>
        </w:rPr>
        <w:t>. Your employment hereunder shall terminate upon your death.</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Disability</w:t>
      </w:r>
      <w:r>
        <w:rPr>
          <w:rFonts w:ascii="Times New Roman;serif" w:hAnsi="Times New Roman;serif"/>
          <w:b w:val="false"/>
          <w:sz w:val="20"/>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serif" w:hAnsi="Times New Roman;serif"/>
          <w:b w:val="false"/>
          <w:i/>
          <w:sz w:val="20"/>
        </w:rPr>
        <w:t>et seq</w:t>
      </w:r>
      <w:r>
        <w:rPr>
          <w:rFonts w:ascii="Times New Roman;serif" w:hAnsi="Times New Roman;serif"/>
          <w:b w:val="false"/>
          <w:sz w:val="20"/>
        </w:rPr>
        <w:t xml:space="preserve">. and the Americans with Disabilities Act, 42 U.S.C. §12101 </w:t>
      </w:r>
      <w:r>
        <w:rPr>
          <w:rFonts w:ascii="Times New Roman;serif" w:hAnsi="Times New Roman;serif"/>
          <w:b w:val="false"/>
          <w:i/>
          <w:sz w:val="20"/>
        </w:rPr>
        <w:t>et seq.</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spacing w:before="0" w:after="0"/>
        <w:jc w:val="left"/>
        <w:rPr/>
      </w:pPr>
      <w:r>
        <w:rPr>
          <w:rFonts w:ascii="Times New Roman;serif" w:hAnsi="Times New Roman;serif"/>
          <w:b w:val="false"/>
          <w:sz w:val="20"/>
          <w:u w:val="single"/>
        </w:rPr>
        <w:t>Termination by Company for Cause</w:t>
      </w:r>
      <w:r>
        <w:rPr>
          <w:rFonts w:ascii="Times New Roman;serif" w:hAnsi="Times New Roman;serif"/>
          <w:b w:val="false"/>
          <w:sz w:val="20"/>
        </w:rPr>
        <w:t xml:space="preserve">. The Company may terminate your employment hereunder for Cause. For purposes of this Agreement, “Cause” shall mean any of the following: </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283"/>
        <w:jc w:val="left"/>
        <w:rPr/>
      </w:pPr>
      <w:r>
        <w:rPr>
          <w:rFonts w:ascii="Times New Roman;serif" w:hAnsi="Times New Roman;serif"/>
          <w:b w:val="false"/>
          <w:sz w:val="20"/>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serif" w:hAnsi="Times New Roman;serif"/>
          <w:b w:val="false"/>
          <w:i/>
          <w:sz w:val="20"/>
        </w:rPr>
        <w:t>de minimis</w:t>
      </w:r>
      <w:r>
        <w:rPr/>
        <w:t xml:space="preserve"> </w:t>
      </w:r>
      <w:r>
        <w:rPr>
          <w:rFonts w:ascii="Times New Roman;serif" w:hAnsi="Times New Roman;serif"/>
          <w:b w:val="false"/>
          <w:sz w:val="20"/>
        </w:rPr>
        <w:t xml:space="preserve">use of Company property for personal purposes;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commission by you of (A) any felony or (B) a misdemeanor involving moral turpitude, deceit, dishonesty or fraud; </w:t>
      </w:r>
    </w:p>
    <w:p>
      <w:pPr>
        <w:pStyle w:val="TextBody"/>
        <w:spacing w:before="240" w:after="0"/>
        <w:jc w:val="left"/>
        <w:rPr>
          <w:rFonts w:ascii="Times New Roman" w:hAnsi="Times New Roman"/>
          <w:b w:val="false"/>
          <w:sz w:val="20"/>
        </w:rPr>
      </w:pPr>
      <w:r>
        <w:rPr>
          <w:rFonts w:ascii="Times New Roman" w:hAnsi="Times New Roman"/>
          <w:b w:val="false"/>
          <w:sz w:val="20"/>
        </w:rPr>
        <w:t>(iii)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any intentional misconduct by you, regardless of whether or not in the course of your employment, that results in material injury or material reputational harm to the Company or any of its subsidiaries or affiliates if you were to continue to be employed in the same position; </w:t>
      </w:r>
    </w:p>
    <w:p>
      <w:pPr>
        <w:pStyle w:val="TextBody"/>
        <w:spacing w:before="240" w:after="0"/>
        <w:jc w:val="left"/>
        <w:rPr>
          <w:rFonts w:ascii="Times New Roman" w:hAnsi="Times New Roman"/>
          <w:b w:val="false"/>
          <w:sz w:val="20"/>
        </w:rPr>
      </w:pPr>
      <w:r>
        <w:rPr>
          <w:rFonts w:ascii="Times New Roman" w:hAnsi="Times New Roman"/>
          <w:b w:val="false"/>
          <w:sz w:val="20"/>
        </w:rPr>
        <w:t>(iv)</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your continued willful non-performance by you of your duties hereunder (other than by reason of your physical or mental illness, incapacity or Disability) which has continued for more than 30 days following written notice of such non-performance from the CEO; </w:t>
      </w:r>
    </w:p>
    <w:p>
      <w:pPr>
        <w:pStyle w:val="TextBody"/>
        <w:spacing w:before="240" w:after="0"/>
        <w:jc w:val="left"/>
        <w:rPr>
          <w:rFonts w:ascii="Times New Roman" w:hAnsi="Times New Roman"/>
          <w:b w:val="false"/>
          <w:sz w:val="20"/>
        </w:rPr>
      </w:pPr>
      <w:r>
        <w:rPr>
          <w:rFonts w:ascii="Times New Roman" w:hAnsi="Times New Roman"/>
          <w:b w:val="false"/>
          <w:sz w:val="20"/>
        </w:rPr>
        <w:t>(v)</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pStyle w:val="TextBody"/>
        <w:spacing w:before="240" w:after="0"/>
        <w:jc w:val="left"/>
        <w:rPr>
          <w:rFonts w:ascii="Times New Roman" w:hAnsi="Times New Roman"/>
          <w:b w:val="false"/>
          <w:sz w:val="20"/>
        </w:rPr>
      </w:pPr>
      <w:r>
        <w:rPr>
          <w:rFonts w:ascii="Times New Roman" w:hAnsi="Times New Roman"/>
          <w:b w:val="false"/>
          <w:sz w:val="20"/>
        </w:rPr>
        <w:t>(vi)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pPr>
      <w:r>
        <w:rPr>
          <w:rFonts w:ascii="Times New Roman;serif" w:hAnsi="Times New Roman;serif"/>
          <w:b w:val="false"/>
          <w:sz w:val="20"/>
          <w:u w:val="single"/>
        </w:rPr>
        <w:t>Termination by the Company without Cause</w:t>
      </w:r>
      <w:r>
        <w:rPr>
          <w:rFonts w:ascii="Times New Roman;serif" w:hAnsi="Times New Roman;serif"/>
          <w:b w:val="false"/>
          <w:sz w:val="20"/>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pStyle w:val="TextBody"/>
        <w:spacing w:before="240" w:after="0"/>
        <w:jc w:val="left"/>
        <w:rPr>
          <w:rFonts w:ascii="Times New Roman" w:hAnsi="Times New Roman"/>
          <w:b w:val="false"/>
          <w:sz w:val="20"/>
        </w:rPr>
      </w:pPr>
      <w:r>
        <w:rPr>
          <w:rFonts w:ascii="Times New Roman" w:hAnsi="Times New Roman"/>
          <w:b w:val="false"/>
          <w:sz w:val="20"/>
        </w:rPr>
        <w:t>(e)</w:t>
      </w:r>
    </w:p>
    <w:p>
      <w:pPr>
        <w:pStyle w:val="TextBody"/>
        <w:spacing w:before="240" w:after="0"/>
        <w:jc w:val="left"/>
        <w:rPr/>
      </w:pPr>
      <w:r>
        <w:rPr>
          <w:rFonts w:ascii="Times New Roman;serif" w:hAnsi="Times New Roman;serif"/>
          <w:b w:val="false"/>
          <w:sz w:val="20"/>
          <w:u w:val="single"/>
        </w:rPr>
        <w:t>Termination by You</w:t>
      </w:r>
      <w:r>
        <w:rPr>
          <w:rFonts w:ascii="Times New Roman;serif" w:hAnsi="Times New Roman;serif"/>
          <w:b w:val="false"/>
          <w:sz w:val="20"/>
        </w:rPr>
        <w:t xml:space="preserve">.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 </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material diminution in your responsibilities, authority or duties</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a material diminution in your Base Salary except for across-the-board salary reductions of no greater than 10% based on the Company’s financial performance similarly affecting all or substantially all senior management employees of the Company; </w:t>
      </w:r>
    </w:p>
    <w:p>
      <w:pPr>
        <w:pStyle w:val="TextBody"/>
        <w:spacing w:before="240" w:after="0"/>
        <w:jc w:val="left"/>
        <w:rPr>
          <w:rFonts w:ascii="Times New Roman" w:hAnsi="Times New Roman"/>
          <w:b w:val="false"/>
          <w:sz w:val="20"/>
        </w:rPr>
      </w:pPr>
      <w:r>
        <w:rPr>
          <w:rFonts w:ascii="Times New Roman" w:hAnsi="Times New Roman"/>
          <w:b w:val="false"/>
          <w:sz w:val="20"/>
        </w:rPr>
        <w:t>(iii)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material change of at least thirty (30) miles of the location of the physical Company office to which you report (which to avoid doubt does not include any home office you may have); or</w:t>
      </w:r>
    </w:p>
    <w:p>
      <w:pPr>
        <w:pStyle w:val="TextBody"/>
        <w:spacing w:before="240" w:after="0"/>
        <w:jc w:val="left"/>
        <w:rPr>
          <w:rFonts w:ascii="Times New Roman" w:hAnsi="Times New Roman"/>
          <w:b w:val="false"/>
          <w:sz w:val="20"/>
        </w:rPr>
      </w:pPr>
      <w:r>
        <w:rPr>
          <w:rFonts w:ascii="Times New Roman" w:hAnsi="Times New Roman"/>
          <w:b w:val="false"/>
          <w:sz w:val="20"/>
        </w:rPr>
        <w:t>(iv)</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a breach by the Company of the material terms of this Agreement or any other written agreement between the Company and you. </w:t>
      </w:r>
    </w:p>
    <w:p>
      <w:pPr>
        <w:pStyle w:val="TextBody"/>
        <w:spacing w:before="0" w:after="240"/>
        <w:jc w:val="left"/>
        <w:rPr>
          <w:rFonts w:ascii="Times New Roman" w:hAnsi="Times New Roman"/>
          <w:sz w:val="20"/>
        </w:rPr>
      </w:pPr>
      <w:r>
        <w:rPr>
          <w:rFonts w:ascii="Times New Roman;serif" w:hAnsi="Times New Roman;serif"/>
          <w:b w:val="false"/>
          <w:sz w:val="20"/>
        </w:rPr>
        <w:t>The “Good Reason Process” consists of the following steps:</w:t>
      </w:r>
      <w:r>
        <w:rPr>
          <w:rFonts w:ascii="Times New Roman" w:hAnsi="Times New Roman"/>
          <w:sz w:val="20"/>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reasonably determine in good faith that a Good Reason Condition has occurred; </w:t>
      </w:r>
    </w:p>
    <w:p>
      <w:pPr>
        <w:pStyle w:val="TextBody"/>
        <w:spacing w:before="0" w:after="240"/>
        <w:jc w:val="left"/>
        <w:rPr>
          <w:rFonts w:ascii="Times New Roman" w:hAnsi="Times New Roman"/>
          <w:b w:val="false"/>
          <w:sz w:val="20"/>
        </w:rPr>
      </w:pPr>
      <w:r>
        <w:rPr>
          <w:rFonts w:ascii="Times New Roman" w:hAnsi="Times New Roman"/>
          <w:b w:val="false"/>
          <w:sz w:val="20"/>
        </w:rPr>
        <w:t>(vi)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 notify the Company in writing of the first occurrence of the Good Reason Condition within 60 days of the first occurrence of such condition;</w:t>
      </w:r>
    </w:p>
    <w:p>
      <w:pPr>
        <w:pStyle w:val="TextBody"/>
        <w:spacing w:before="0" w:after="240"/>
        <w:jc w:val="left"/>
        <w:rPr>
          <w:rFonts w:ascii="Times New Roman" w:hAnsi="Times New Roman"/>
          <w:b w:val="false"/>
          <w:sz w:val="20"/>
        </w:rPr>
      </w:pPr>
      <w:r>
        <w:rPr>
          <w:rFonts w:ascii="Times New Roman" w:hAnsi="Times New Roman"/>
          <w:b w:val="false"/>
          <w:sz w:val="20"/>
        </w:rPr>
        <w:t>(vii)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cooperate in good faith with the Company’s efforts, for a period of not less than 30 days following such notice (the “Cure Period”), to remedy the Good Reason Condition; </w:t>
      </w:r>
    </w:p>
    <w:p>
      <w:pPr>
        <w:pStyle w:val="TextBody"/>
        <w:spacing w:before="0" w:after="240"/>
        <w:jc w:val="left"/>
        <w:rPr>
          <w:rFonts w:ascii="Times New Roman" w:hAnsi="Times New Roman"/>
          <w:b w:val="false"/>
          <w:sz w:val="20"/>
        </w:rPr>
      </w:pPr>
      <w:r>
        <w:rPr>
          <w:rFonts w:ascii="Times New Roman" w:hAnsi="Times New Roman"/>
          <w:b w:val="false"/>
          <w:sz w:val="20"/>
        </w:rPr>
        <w:t>(viii)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notwithstanding such Cure Period, the Good Reason Condition continues to exist; and </w:t>
      </w:r>
    </w:p>
    <w:p>
      <w:pPr>
        <w:pStyle w:val="TextBody"/>
        <w:spacing w:before="0" w:after="240"/>
        <w:jc w:val="left"/>
        <w:rPr>
          <w:rFonts w:ascii="Times New Roman" w:hAnsi="Times New Roman"/>
          <w:b w:val="false"/>
          <w:sz w:val="20"/>
        </w:rPr>
      </w:pPr>
      <w:r>
        <w:rPr>
          <w:rFonts w:ascii="Times New Roman" w:hAnsi="Times New Roman"/>
          <w:b w:val="false"/>
          <w:sz w:val="20"/>
        </w:rPr>
        <w:t>(ix)</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terminate employment within 60 days after the end of the Cure Period.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the Company cures the Good Reason Condition during the Cure Period, Good Reason shall be deemed not to have occurred.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4.</w:t>
      </w:r>
    </w:p>
    <w:p>
      <w:pPr>
        <w:pStyle w:val="TextBody"/>
        <w:spacing w:before="0" w:after="240"/>
        <w:jc w:val="left"/>
        <w:rPr/>
      </w:pPr>
      <w:r>
        <w:rPr>
          <w:rFonts w:ascii="Times New Roman;serif" w:hAnsi="Times New Roman;serif"/>
          <w:b w:val="false"/>
          <w:sz w:val="20"/>
          <w:u w:val="single"/>
        </w:rPr>
        <w:t>Notice and Date of Termination</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Notice of Termination</w:t>
      </w:r>
      <w:r>
        <w:rPr>
          <w:rFonts w:ascii="Times New Roman;serif" w:hAnsi="Times New Roman;serif"/>
          <w:b w:val="false"/>
          <w:sz w:val="20"/>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Date of Termination</w:t>
      </w:r>
      <w:r>
        <w:rPr>
          <w:rFonts w:ascii="Times New Roman;serif" w:hAnsi="Times New Roman;serif"/>
          <w:b w:val="false"/>
          <w:sz w:val="20"/>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pStyle w:val="TextBody"/>
        <w:spacing w:before="0" w:after="240"/>
        <w:jc w:val="left"/>
        <w:rPr>
          <w:rFonts w:ascii="Times New Roman" w:hAnsi="Times New Roman"/>
          <w:b w:val="false"/>
          <w:sz w:val="20"/>
        </w:rPr>
      </w:pPr>
      <w:r>
        <w:rPr>
          <w:rFonts w:ascii="Times New Roman" w:hAnsi="Times New Roman"/>
          <w:b w:val="false"/>
          <w:sz w:val="20"/>
        </w:rPr>
        <w:t>5.</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Outside the Change in Control Period</w:t>
      </w:r>
      <w:r>
        <w:rPr>
          <w:rFonts w:ascii="Times New Roman;serif" w:hAnsi="Times New Roman;serif"/>
          <w:b w:val="false"/>
          <w:sz w:val="20"/>
        </w:rPr>
        <w:t>. If your employment is terminated by the Company without Cause as provided in Section 3(d), or you terminate employment for Good Reason as provided in Section 3(e), each outside of the Change in Control Period (as defined below), then, in addition to the</w:t>
      </w:r>
      <w:r>
        <w:rPr/>
        <w:t xml:space="preserve"> </w:t>
      </w:r>
      <w:r>
        <w:rPr>
          <w:rFonts w:ascii="Times New Roman;serif" w:hAnsi="Times New Roman;serif"/>
          <w:b w:val="false"/>
          <w:sz w:val="20"/>
        </w:rPr>
        <w:t>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serif" w:hAnsi="Times New Roman;serif"/>
          <w:b/>
          <w:sz w:val="20"/>
        </w:rPr>
        <w:t>)</w:t>
      </w:r>
      <w:r>
        <w:rPr>
          <w:rFonts w:ascii="Times New Roman;serif" w:hAnsi="Times New Roman;serif"/>
          <w:b w:val="false"/>
          <w:sz w:val="20"/>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rPr>
        <w:t>the Company shall pay you an amount equal to</w:t>
      </w:r>
      <w:r>
        <w:rPr/>
        <w:t xml:space="preserve"> </w:t>
      </w:r>
      <w:r>
        <w:rPr>
          <w:rFonts w:ascii="Times New Roman;serif" w:hAnsi="Times New Roman;serif"/>
          <w:b w:val="false"/>
          <w:sz w:val="20"/>
        </w:rPr>
        <w:t>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pStyle w:val="TextBody"/>
        <w:spacing w:before="0" w:after="240"/>
        <w:jc w:val="left"/>
        <w:rPr>
          <w:rFonts w:ascii="Times New Roman" w:hAnsi="Times New Roman"/>
          <w:sz w:val="20"/>
        </w:rPr>
      </w:pPr>
      <w:r>
        <w:rPr>
          <w:rFonts w:ascii="Times New Roman;serif" w:hAnsi="Times New Roman;serif"/>
          <w:b w:val="false"/>
          <w:sz w:val="20"/>
        </w:rPr>
        <w:t>The amounts payable under Sections 5(a) and (c), to the extent taxable, shall be paid out in substantially equal installments in accordance with the Company’s payroll practice over nine (9) months commencing within 60</w:t>
      </w:r>
      <w:r>
        <w:rPr>
          <w:rFonts w:ascii="Times New Roman" w:hAnsi="Times New Roman"/>
          <w:sz w:val="20"/>
        </w:rPr>
        <w:t xml:space="preserve"> </w:t>
      </w:r>
      <w:r>
        <w:rPr>
          <w:rFonts w:ascii="Times New Roman;serif" w:hAnsi="Times New Roman;serif"/>
          <w:b w:val="false"/>
          <w:sz w:val="20"/>
        </w:rPr>
        <w:t>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pStyle w:val="TextBody"/>
        <w:spacing w:before="0" w:after="240"/>
        <w:jc w:val="left"/>
        <w:rPr>
          <w:rFonts w:ascii="Times New Roman" w:hAnsi="Times New Roman"/>
          <w:b w:val="false"/>
          <w:sz w:val="20"/>
        </w:rPr>
      </w:pPr>
      <w:r>
        <w:rPr>
          <w:rFonts w:ascii="Times New Roman" w:hAnsi="Times New Roman"/>
          <w:b w:val="false"/>
          <w:sz w:val="20"/>
        </w:rPr>
        <w:t>6.</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within the Change in Control Period</w:t>
      </w:r>
      <w:r>
        <w:rPr>
          <w:rFonts w:ascii="Times New Roman;serif" w:hAnsi="Times New Roman;serif"/>
          <w:b w:val="false"/>
          <w:sz w:val="20"/>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0"/>
        <w:jc w:val="left"/>
        <w:rPr/>
      </w:pPr>
      <w:r>
        <w:rPr>
          <w:rFonts w:ascii="Times New Roman;serif" w:hAnsi="Times New Roman;serif"/>
          <w:b w:val="false"/>
          <w:sz w:val="20"/>
        </w:rPr>
        <w:t>the Company shall pay you a lump sum in cash in an amount equal to the sum of</w:t>
      </w:r>
      <w:r>
        <w:rPr/>
        <w:t xml:space="preserve"> </w:t>
      </w:r>
      <w:r>
        <w:rPr>
          <w:rFonts w:ascii="Times New Roman;serif" w:hAnsi="Times New Roman;serif"/>
          <w:b w:val="false"/>
          <w:sz w:val="20"/>
        </w:rPr>
        <w:t>(A)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283"/>
        <w:jc w:val="left"/>
        <w:rPr/>
      </w:pPr>
      <w:r>
        <w:rPr>
          <w:rFonts w:ascii="Times New Roman;serif" w:hAnsi="Times New Roman;serif"/>
          <w:b w:val="false"/>
          <w:sz w:val="20"/>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serif" w:hAnsi="Times New Roman;serif"/>
          <w:b w:val="false"/>
          <w:i/>
          <w:sz w:val="20"/>
        </w:rPr>
        <w:t>provided</w:t>
      </w:r>
      <w:r>
        <w:rPr/>
        <w:t xml:space="preserve"> </w:t>
      </w:r>
      <w:r>
        <w:rPr>
          <w:rFonts w:ascii="Times New Roman;serif" w:hAnsi="Times New Roman;serif"/>
          <w:b w:val="false"/>
          <w:sz w:val="20"/>
        </w:rPr>
        <w:t xml:space="preserve">that any termination or forfeiture of the unvested portion of such Time-Based Equity Awards that would otherwise occur on the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pStyle w:val="TextBody"/>
        <w:spacing w:before="240" w:after="0"/>
        <w:jc w:val="left"/>
        <w:rPr>
          <w:rFonts w:ascii="Times New Roman" w:hAnsi="Times New Roman"/>
          <w:b w:val="false"/>
          <w:sz w:val="20"/>
        </w:rPr>
      </w:pPr>
      <w:r>
        <w:rPr>
          <w:rFonts w:ascii="Times New Roman" w:hAnsi="Times New Roman"/>
          <w:b w:val="false"/>
          <w:sz w:val="20"/>
        </w:rPr>
        <w:t>(iii)</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Additional Limitation</w:t>
      </w:r>
      <w:r>
        <w:rPr>
          <w:rFonts w:ascii="Times New Roman;serif" w:hAnsi="Times New Roman;serif"/>
          <w:b w:val="false"/>
          <w:sz w:val="20"/>
        </w:rPr>
        <w:t>.</w:t>
      </w:r>
    </w:p>
    <w:p>
      <w:pPr>
        <w:pStyle w:val="TextBody"/>
        <w:spacing w:before="240" w:after="0"/>
        <w:jc w:val="left"/>
        <w:rPr>
          <w:rFonts w:ascii="Times New Roman" w:hAnsi="Times New Roman"/>
          <w:b w:val="false"/>
          <w:sz w:val="20"/>
        </w:rPr>
      </w:pPr>
      <w:r>
        <w:rPr>
          <w:rFonts w:ascii="Times New Roman" w:hAnsi="Times New Roman"/>
          <w:b w:val="false"/>
          <w:sz w:val="20"/>
        </w:rPr>
        <w:t>(i)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spacing w:before="240" w:after="0"/>
        <w:jc w:val="left"/>
        <w:rPr>
          <w:rFonts w:ascii="Times New Roman" w:hAnsi="Times New Roman"/>
          <w:b w:val="false"/>
          <w:sz w:val="20"/>
        </w:rPr>
      </w:pPr>
      <w:r>
        <w:rPr>
          <w:rFonts w:ascii="Times New Roman" w:hAnsi="Times New Roman"/>
          <w:b w:val="false"/>
          <w:sz w:val="20"/>
        </w:rPr>
        <w:t>(ii)</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val="false"/>
          <w:sz w:val="20"/>
        </w:rPr>
      </w:pPr>
      <w:r>
        <w:rPr>
          <w:rFonts w:ascii="Times New Roman" w:hAnsi="Times New Roman"/>
          <w:b w:val="false"/>
          <w:sz w:val="20"/>
        </w:rPr>
        <w:t>(iii)</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pStyle w:val="TextBody"/>
        <w:spacing w:before="240" w:after="0"/>
        <w:jc w:val="left"/>
        <w:rPr>
          <w:rFonts w:ascii="Times New Roman" w:hAnsi="Times New Roman"/>
          <w:b w:val="false"/>
          <w:sz w:val="20"/>
        </w:rPr>
      </w:pPr>
      <w:r>
        <w:rPr>
          <w:rFonts w:ascii="Times New Roman" w:hAnsi="Times New Roman"/>
          <w:b w:val="false"/>
          <w:sz w:val="20"/>
        </w:rPr>
        <w:t>(iv)</w:t>
      </w:r>
    </w:p>
    <w:p>
      <w:pPr>
        <w:pStyle w:val="TextBody"/>
        <w:spacing w:before="240" w:after="0"/>
        <w:jc w:val="left"/>
        <w:rPr/>
      </w:pPr>
      <w:r>
        <w:rPr>
          <w:rFonts w:ascii="Times New Roman;serif" w:hAnsi="Times New Roman;serif"/>
          <w:b w:val="false"/>
          <w:sz w:val="20"/>
          <w:u w:val="single"/>
        </w:rPr>
        <w:t>Definitions</w:t>
      </w:r>
      <w:r>
        <w:rPr>
          <w:rFonts w:ascii="Times New Roman;serif" w:hAnsi="Times New Roman;serif"/>
          <w:b w:val="false"/>
          <w:sz w:val="20"/>
        </w:rPr>
        <w:t xml:space="preserve">.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 </w:t>
      </w:r>
    </w:p>
    <w:p>
      <w:pPr>
        <w:pStyle w:val="TextBody"/>
        <w:spacing w:before="240" w:after="240"/>
        <w:jc w:val="left"/>
        <w:rPr>
          <w:rFonts w:ascii="Times New Roman" w:hAnsi="Times New Roman"/>
          <w:b w:val="false"/>
          <w:sz w:val="20"/>
        </w:rPr>
      </w:pPr>
      <w:r>
        <w:rPr>
          <w:rFonts w:ascii="Times New Roman" w:hAnsi="Times New Roman"/>
          <w:b w:val="false"/>
          <w:sz w:val="20"/>
        </w:rPr>
        <w:t>7.</w:t>
      </w:r>
    </w:p>
    <w:p>
      <w:pPr>
        <w:pStyle w:val="TextBody"/>
        <w:spacing w:before="240" w:after="240"/>
        <w:jc w:val="left"/>
        <w:rPr/>
      </w:pPr>
      <w:r>
        <w:rPr>
          <w:rFonts w:ascii="Times New Roman;serif" w:hAnsi="Times New Roman;serif"/>
          <w:b w:val="false"/>
          <w:sz w:val="20"/>
          <w:u w:val="single"/>
        </w:rPr>
        <w:t>Section 409A</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noBreakHyphen/>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spacing w:before="0" w:after="240"/>
        <w:jc w:val="left"/>
        <w:rPr>
          <w:rFonts w:ascii="Times New Roman" w:hAnsi="Times New Roman"/>
          <w:b w:val="false"/>
          <w:sz w:val="20"/>
        </w:rPr>
      </w:pPr>
      <w:r>
        <w:rPr>
          <w:rFonts w:ascii="Times New Roman" w:hAnsi="Times New Roman"/>
          <w:b w:val="false"/>
          <w:sz w:val="20"/>
        </w:rPr>
        <w:t>8.</w:t>
      </w:r>
    </w:p>
    <w:p>
      <w:pPr>
        <w:pStyle w:val="TextBody"/>
        <w:spacing w:before="0" w:after="240"/>
        <w:jc w:val="left"/>
        <w:rPr/>
      </w:pPr>
      <w:r>
        <w:rPr>
          <w:rFonts w:ascii="Times New Roman;serif" w:hAnsi="Times New Roman;serif"/>
          <w:b w:val="false"/>
          <w:sz w:val="20"/>
          <w:u w:val="single"/>
        </w:rPr>
        <w:t>Continuing Obligations</w:t>
      </w:r>
      <w:r>
        <w:rPr>
          <w:rFonts w:ascii="Times New Roman;serif" w:hAnsi="Times New Roman;serif"/>
          <w:b w:val="false"/>
          <w:sz w:val="20"/>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Restrictive Covenants Agreement</w:t>
      </w:r>
      <w:r>
        <w:rPr>
          <w:rFonts w:ascii="Times New Roman;serif" w:hAnsi="Times New Roman;serif"/>
          <w:b w:val="false"/>
          <w:sz w:val="20"/>
        </w:rPr>
        <w:t xml:space="preserve">. The Disc Medicine, Inc. Employee Confidentiality, Assignment, Nonsolicitation and Noncompetition Agreement effective as of September 14, 2021 (the “Restrictive Covenants Agreement”), between Disc Medicine, Inc. and you, attached hereto as </w:t>
      </w:r>
      <w:r>
        <w:rPr>
          <w:rFonts w:ascii="Times New Roman;serif" w:hAnsi="Times New Roman;serif"/>
          <w:b w:val="false"/>
          <w:sz w:val="20"/>
          <w:u w:val="single"/>
        </w:rPr>
        <w:t>Exhibit A</w:t>
      </w:r>
      <w:r>
        <w:rPr>
          <w:rFonts w:ascii="Times New Roman;serif" w:hAnsi="Times New Roman;serif"/>
          <w:b w:val="false"/>
          <w:sz w:val="20"/>
        </w:rPr>
        <w:t xml:space="preserve">, continue to be in full force and effect. For purposes of this Agreement, the obligations in this Section 8 and those that arise in the Restrictive Covenants Agreement shall collectively be referred to as the “Continuing Obligations.”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Third-Party Agreements and Rights</w:t>
      </w:r>
      <w:r>
        <w:rPr>
          <w:rFonts w:ascii="Times New Roman;serif" w:hAnsi="Times New Roman;serif"/>
          <w:b w:val="false"/>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Litigation and Regulatory Cooperation</w:t>
      </w:r>
      <w:r>
        <w:rPr>
          <w:rFonts w:ascii="Times New Roman;serif" w:hAnsi="Times New Roman;serif"/>
          <w:b w:val="false"/>
          <w:sz w:val="20"/>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noBreakHyphen/>
        <w:t>of</w:t>
        <w:noBreakHyphen/>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Relief</w:t>
      </w:r>
      <w:r>
        <w:rPr>
          <w:rFonts w:ascii="Times New Roman;serif" w:hAnsi="Times New Roman;serif"/>
          <w:b w:val="false"/>
          <w:sz w:val="20"/>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serif" w:hAnsi="Times New Roman;serif"/>
          <w:b/>
          <w:sz w:val="20"/>
        </w:rPr>
        <w:t>,</w:t>
      </w:r>
      <w:r>
        <w:rPr/>
        <w:t xml:space="preserve"> </w:t>
      </w:r>
      <w:r>
        <w:rPr>
          <w:rFonts w:ascii="Times New Roman;serif" w:hAnsi="Times New Roman;serif"/>
          <w:b w:val="false"/>
          <w:sz w:val="20"/>
        </w:rPr>
        <w:t>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Protected Disclosures and Other Protected Action</w:t>
      </w:r>
      <w:r>
        <w:rPr>
          <w:rFonts w:ascii="Times New Roman;serif" w:hAnsi="Times New Roman;serif"/>
          <w:b w:val="false"/>
          <w:sz w:val="20"/>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spacing w:before="0" w:after="240"/>
        <w:jc w:val="left"/>
        <w:rPr>
          <w:rFonts w:ascii="Times New Roman" w:hAnsi="Times New Roman"/>
          <w:b w:val="false"/>
          <w:sz w:val="20"/>
        </w:rPr>
      </w:pPr>
      <w:r>
        <w:rPr>
          <w:rFonts w:ascii="Times New Roman" w:hAnsi="Times New Roman"/>
          <w:b w:val="false"/>
          <w:sz w:val="20"/>
        </w:rPr>
        <w:t>9.</w:t>
      </w:r>
    </w:p>
    <w:p>
      <w:pPr>
        <w:pStyle w:val="TextBody"/>
        <w:spacing w:before="0" w:after="240"/>
        <w:jc w:val="left"/>
        <w:rPr/>
      </w:pPr>
      <w:r>
        <w:rPr>
          <w:rFonts w:ascii="Times New Roman;serif" w:hAnsi="Times New Roman;serif"/>
          <w:b w:val="false"/>
          <w:sz w:val="20"/>
          <w:u w:val="single"/>
        </w:rPr>
        <w:t>Arbitration of Disputes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Arbitration Generally</w:t>
      </w:r>
      <w:r>
        <w:rPr>
          <w:rFonts w:ascii="Times New Roman;serif" w:hAnsi="Times New Roman;serif"/>
          <w:b w:val="false"/>
          <w:sz w:val="20"/>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Arbitration Fees and Costs</w:t>
      </w:r>
      <w:r>
        <w:rPr>
          <w:rFonts w:ascii="Times New Roman;serif" w:hAnsi="Times New Roman;serif"/>
          <w:b w:val="false"/>
          <w:sz w:val="20"/>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10.</w:t>
      </w:r>
    </w:p>
    <w:p>
      <w:pPr>
        <w:pStyle w:val="TextBody"/>
        <w:spacing w:before="0" w:after="240"/>
        <w:jc w:val="left"/>
        <w:rPr/>
      </w:pPr>
      <w:r>
        <w:rPr>
          <w:rFonts w:ascii="Times New Roman;serif" w:hAnsi="Times New Roman;serif"/>
          <w:b w:val="false"/>
          <w:sz w:val="20"/>
          <w:u w:val="single"/>
        </w:rPr>
        <w:t>Consent to Jurisdiction</w:t>
      </w:r>
      <w:r>
        <w:rPr>
          <w:rFonts w:ascii="Times New Roman;serif" w:hAnsi="Times New Roman;serif"/>
          <w:b w:val="false"/>
          <w:sz w:val="20"/>
        </w:rPr>
        <w:t>. To the extent that any court action is permitted consistent with or to enforce Section 9 of this Agreement, the parties hereby consent to the jurisdiction of the state and federal courts of the</w:t>
      </w:r>
      <w:r>
        <w:rPr/>
        <w:t xml:space="preserve"> </w:t>
      </w:r>
      <w:r>
        <w:rPr>
          <w:rFonts w:ascii="Times New Roman;serif" w:hAnsi="Times New Roman;serif"/>
          <w:b w:val="false"/>
          <w:sz w:val="20"/>
        </w:rPr>
        <w:t>Commonwealth</w:t>
      </w:r>
      <w:r>
        <w:rPr/>
        <w:t xml:space="preserve"> </w:t>
      </w:r>
      <w:r>
        <w:rPr>
          <w:rFonts w:ascii="Times New Roman;serif" w:hAnsi="Times New Roman;serif"/>
          <w:b w:val="false"/>
          <w:sz w:val="20"/>
        </w:rPr>
        <w:t>of Massachusetts. Accordingly, with respect to any such court action, you (a) submit to the exclusive personal jurisdiction of such courts; (b) consent to service of process; and (c) waive any other requirement (whether imposed by statute, rule of court, or otherwise) with respect to personal jurisdiction or service of process.</w:t>
      </w:r>
    </w:p>
    <w:p>
      <w:pPr>
        <w:pStyle w:val="TextBody"/>
        <w:spacing w:before="0" w:after="240"/>
        <w:jc w:val="left"/>
        <w:rPr>
          <w:rFonts w:ascii="Times New Roman" w:hAnsi="Times New Roman"/>
          <w:b w:val="false"/>
          <w:sz w:val="20"/>
        </w:rPr>
      </w:pPr>
      <w:r>
        <w:rPr>
          <w:rFonts w:ascii="Times New Roman" w:hAnsi="Times New Roman"/>
          <w:b w:val="false"/>
          <w:sz w:val="20"/>
        </w:rPr>
        <w:t>11.</w:t>
      </w:r>
    </w:p>
    <w:p>
      <w:pPr>
        <w:pStyle w:val="TextBody"/>
        <w:spacing w:before="0" w:after="240"/>
        <w:jc w:val="left"/>
        <w:rPr/>
      </w:pPr>
      <w:r>
        <w:rPr>
          <w:rFonts w:ascii="Times New Roman;serif" w:hAnsi="Times New Roman;serif"/>
          <w:b w:val="false"/>
          <w:sz w:val="20"/>
          <w:u w:val="single"/>
        </w:rPr>
        <w:t>Indemnification</w:t>
      </w:r>
      <w:r>
        <w:rPr>
          <w:rFonts w:ascii="Times New Roman;serif" w:hAnsi="Times New Roman;serif"/>
          <w:b w:val="false"/>
          <w:sz w:val="20"/>
        </w:rPr>
        <w:t>. The “Indemnification Agreement” between the Company and you, dated December 29, 2022 (the “Indemnification Agreement”) is hereby incorporated by reference.</w:t>
      </w:r>
    </w:p>
    <w:p>
      <w:pPr>
        <w:pStyle w:val="TextBody"/>
        <w:spacing w:before="0" w:after="240"/>
        <w:jc w:val="left"/>
        <w:rPr>
          <w:rFonts w:ascii="Times New Roman" w:hAnsi="Times New Roman"/>
          <w:b w:val="false"/>
          <w:sz w:val="20"/>
        </w:rPr>
      </w:pPr>
      <w:r>
        <w:rPr>
          <w:rFonts w:ascii="Times New Roman" w:hAnsi="Times New Roman"/>
          <w:b w:val="false"/>
          <w:sz w:val="20"/>
        </w:rPr>
        <w:t>12.</w:t>
      </w:r>
    </w:p>
    <w:p>
      <w:pPr>
        <w:pStyle w:val="TextBody"/>
        <w:spacing w:before="0" w:after="240"/>
        <w:jc w:val="left"/>
        <w:rPr/>
      </w:pPr>
      <w:r>
        <w:rPr>
          <w:rFonts w:ascii="Times New Roman;serif" w:hAnsi="Times New Roman;serif"/>
          <w:b w:val="false"/>
          <w:sz w:val="20"/>
          <w:u w:val="single"/>
        </w:rPr>
        <w:t>No Mitigation</w:t>
      </w:r>
      <w:r>
        <w:rPr>
          <w:rFonts w:ascii="Times New Roman;serif" w:hAnsi="Times New Roman;serif"/>
          <w:b w:val="false"/>
          <w:sz w:val="20"/>
        </w:rPr>
        <w:t xml:space="preserve">. The Company agrees that if your employment by the Company is terminated during the term of this Agreement, you are not required to seek other employment or to attempt in any way to reduce any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amounts payable to you by the Company pursuant to Sections 5 or 6 hereof. Further, the amount of any payment provided for in this Agreement shall not be reduced by any compensation earned by you.</w:t>
      </w:r>
    </w:p>
    <w:p>
      <w:pPr>
        <w:pStyle w:val="TextBody"/>
        <w:spacing w:before="0" w:after="240"/>
        <w:jc w:val="left"/>
        <w:rPr>
          <w:rFonts w:ascii="Times New Roman" w:hAnsi="Times New Roman"/>
          <w:b w:val="false"/>
          <w:sz w:val="20"/>
        </w:rPr>
      </w:pPr>
      <w:r>
        <w:rPr>
          <w:rFonts w:ascii="Times New Roman" w:hAnsi="Times New Roman"/>
          <w:b w:val="false"/>
          <w:sz w:val="20"/>
        </w:rPr>
        <w:t>13.</w:t>
      </w:r>
    </w:p>
    <w:p>
      <w:pPr>
        <w:pStyle w:val="TextBody"/>
        <w:spacing w:before="0" w:after="240"/>
        <w:jc w:val="left"/>
        <w:rPr/>
      </w:pPr>
      <w:r>
        <w:rPr>
          <w:rFonts w:ascii="Times New Roman;serif" w:hAnsi="Times New Roman;serif"/>
          <w:b w:val="false"/>
          <w:sz w:val="20"/>
          <w:u w:val="single"/>
        </w:rPr>
        <w:t>Integration</w:t>
      </w:r>
      <w:r>
        <w:rPr>
          <w:rFonts w:ascii="Times New Roman;serif" w:hAnsi="Times New Roman;serif"/>
          <w:b w:val="false"/>
          <w:sz w:val="20"/>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pStyle w:val="TextBody"/>
        <w:spacing w:before="0" w:after="240"/>
        <w:jc w:val="left"/>
        <w:rPr>
          <w:rFonts w:ascii="Times New Roman" w:hAnsi="Times New Roman"/>
          <w:b w:val="false"/>
          <w:sz w:val="20"/>
        </w:rPr>
      </w:pPr>
      <w:r>
        <w:rPr>
          <w:rFonts w:ascii="Times New Roman" w:hAnsi="Times New Roman"/>
          <w:b w:val="false"/>
          <w:sz w:val="20"/>
        </w:rPr>
        <w:t>14.</w:t>
      </w:r>
    </w:p>
    <w:p>
      <w:pPr>
        <w:pStyle w:val="TextBody"/>
        <w:spacing w:before="0" w:after="240"/>
        <w:jc w:val="left"/>
        <w:rPr/>
      </w:pPr>
      <w:r>
        <w:rPr>
          <w:rFonts w:ascii="Times New Roman;serif" w:hAnsi="Times New Roman;serif"/>
          <w:b w:val="false"/>
          <w:sz w:val="20"/>
          <w:u w:val="single"/>
        </w:rPr>
        <w:t>Withholding; Tax Effect</w:t>
      </w:r>
      <w:r>
        <w:rPr>
          <w:rFonts w:ascii="Times New Roman;serif" w:hAnsi="Times New Roman;serif"/>
          <w:b w:val="false"/>
          <w:sz w:val="20"/>
        </w:rPr>
        <w:t xml:space="preserve">.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 </w:t>
      </w:r>
    </w:p>
    <w:p>
      <w:pPr>
        <w:pStyle w:val="TextBody"/>
        <w:spacing w:before="0" w:after="240"/>
        <w:jc w:val="left"/>
        <w:rPr>
          <w:rFonts w:ascii="Times New Roman" w:hAnsi="Times New Roman"/>
          <w:b w:val="false"/>
          <w:sz w:val="20"/>
        </w:rPr>
      </w:pPr>
      <w:r>
        <w:rPr>
          <w:rFonts w:ascii="Times New Roman" w:hAnsi="Times New Roman"/>
          <w:b w:val="false"/>
          <w:sz w:val="20"/>
        </w:rPr>
        <w:t>15.</w:t>
      </w:r>
    </w:p>
    <w:p>
      <w:pPr>
        <w:pStyle w:val="TextBody"/>
        <w:spacing w:before="0" w:after="240"/>
        <w:jc w:val="left"/>
        <w:rPr/>
      </w:pPr>
      <w:r>
        <w:rPr>
          <w:rFonts w:ascii="Times New Roman;serif" w:hAnsi="Times New Roman;serif"/>
          <w:b w:val="false"/>
          <w:sz w:val="20"/>
          <w:u w:val="single"/>
        </w:rPr>
        <w:t>Assignment</w:t>
      </w:r>
      <w:r>
        <w:rPr>
          <w:rFonts w:ascii="Times New Roman;serif" w:hAnsi="Times New Roman;serif"/>
          <w:b w:val="false"/>
          <w:sz w:val="20"/>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pStyle w:val="TextBody"/>
        <w:spacing w:before="0" w:after="240"/>
        <w:jc w:val="left"/>
        <w:rPr>
          <w:rFonts w:ascii="Times New Roman" w:hAnsi="Times New Roman"/>
          <w:b w:val="false"/>
          <w:sz w:val="20"/>
        </w:rPr>
      </w:pPr>
      <w:r>
        <w:rPr>
          <w:rFonts w:ascii="Times New Roman" w:hAnsi="Times New Roman"/>
          <w:b w:val="false"/>
          <w:sz w:val="20"/>
        </w:rPr>
        <w:t>16.</w:t>
      </w:r>
    </w:p>
    <w:p>
      <w:pPr>
        <w:pStyle w:val="TextBody"/>
        <w:spacing w:before="0" w:after="240"/>
        <w:jc w:val="left"/>
        <w:rPr/>
      </w:pPr>
      <w:r>
        <w:rPr>
          <w:rFonts w:ascii="Times New Roman;serif" w:hAnsi="Times New Roman;serif"/>
          <w:b w:val="false"/>
          <w:sz w:val="20"/>
          <w:u w:val="single"/>
        </w:rPr>
        <w:t>Enforceability</w:t>
      </w:r>
      <w:r>
        <w:rPr>
          <w:rFonts w:ascii="Times New Roman;serif" w:hAnsi="Times New Roman;serif"/>
          <w:b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17.</w:t>
      </w:r>
    </w:p>
    <w:p>
      <w:pPr>
        <w:pStyle w:val="TextBody"/>
        <w:spacing w:before="0" w:after="240"/>
        <w:jc w:val="left"/>
        <w:rPr/>
      </w:pPr>
      <w:r>
        <w:rPr>
          <w:rFonts w:ascii="Times New Roman;serif" w:hAnsi="Times New Roman;serif"/>
          <w:b w:val="false"/>
          <w:sz w:val="20"/>
          <w:u w:val="single"/>
        </w:rPr>
        <w:t>Survival</w:t>
      </w:r>
      <w:r>
        <w:rPr>
          <w:rFonts w:ascii="Times New Roman;serif" w:hAnsi="Times New Roman;serif"/>
          <w:b w:val="false"/>
          <w:sz w:val="20"/>
        </w:rPr>
        <w:t>. The provisions of this Agreement shall survive the termination of this Agreement and/or the termination of your employment to the extent necessary to effectuate the terms contained herein.</w:t>
      </w:r>
    </w:p>
    <w:p>
      <w:pPr>
        <w:pStyle w:val="TextBody"/>
        <w:spacing w:before="0" w:after="240"/>
        <w:jc w:val="left"/>
        <w:rPr>
          <w:rFonts w:ascii="Times New Roman" w:hAnsi="Times New Roman"/>
          <w:b w:val="false"/>
          <w:sz w:val="20"/>
        </w:rPr>
      </w:pPr>
      <w:r>
        <w:rPr>
          <w:rFonts w:ascii="Times New Roman" w:hAnsi="Times New Roman"/>
          <w:b w:val="false"/>
          <w:sz w:val="20"/>
        </w:rPr>
        <w:t>18.</w:t>
      </w:r>
    </w:p>
    <w:p>
      <w:pPr>
        <w:pStyle w:val="TextBody"/>
        <w:spacing w:before="0" w:after="240"/>
        <w:jc w:val="left"/>
        <w:rPr/>
      </w:pPr>
      <w:r>
        <w:rPr>
          <w:rFonts w:ascii="Times New Roman;serif" w:hAnsi="Times New Roman;serif"/>
          <w:b w:val="false"/>
          <w:sz w:val="20"/>
          <w:u w:val="single"/>
        </w:rPr>
        <w:t>Waiver</w:t>
      </w:r>
      <w:r>
        <w:rPr>
          <w:rFonts w:ascii="Times New Roman;serif" w:hAnsi="Times New Roman;serif"/>
          <w:b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spacing w:before="0" w:after="240"/>
        <w:jc w:val="left"/>
        <w:rPr>
          <w:rFonts w:ascii="Times New Roman" w:hAnsi="Times New Roman"/>
          <w:b w:val="false"/>
          <w:sz w:val="20"/>
        </w:rPr>
      </w:pPr>
      <w:r>
        <w:rPr>
          <w:rFonts w:ascii="Times New Roman" w:hAnsi="Times New Roman"/>
          <w:b w:val="false"/>
          <w:sz w:val="20"/>
        </w:rPr>
        <w:t>19.</w:t>
      </w:r>
    </w:p>
    <w:p>
      <w:pPr>
        <w:pStyle w:val="TextBody"/>
        <w:spacing w:before="0" w:after="240"/>
        <w:jc w:val="left"/>
        <w:rPr/>
      </w:pPr>
      <w:r>
        <w:rPr>
          <w:rFonts w:ascii="Times New Roman;serif" w:hAnsi="Times New Roman;serif"/>
          <w:b w:val="false"/>
          <w:sz w:val="20"/>
          <w:u w:val="single"/>
        </w:rPr>
        <w:t>Notices</w:t>
      </w:r>
      <w:r>
        <w:rPr>
          <w:rFonts w:ascii="Times New Roman;serif" w:hAnsi="Times New Roman;serif"/>
          <w:b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pStyle w:val="TextBody"/>
        <w:spacing w:before="0" w:after="240"/>
        <w:jc w:val="left"/>
        <w:rPr>
          <w:rFonts w:ascii="Times New Roman" w:hAnsi="Times New Roman"/>
          <w:b w:val="false"/>
          <w:sz w:val="20"/>
        </w:rPr>
      </w:pPr>
      <w:r>
        <w:rPr>
          <w:rFonts w:ascii="Times New Roman" w:hAnsi="Times New Roman"/>
          <w:b w:val="false"/>
          <w:sz w:val="20"/>
        </w:rPr>
        <w:t>20.</w:t>
      </w:r>
    </w:p>
    <w:p>
      <w:pPr>
        <w:pStyle w:val="TextBody"/>
        <w:spacing w:before="0" w:after="240"/>
        <w:jc w:val="left"/>
        <w:rPr/>
      </w:pPr>
      <w:r>
        <w:rPr>
          <w:rFonts w:ascii="Times New Roman;serif" w:hAnsi="Times New Roman;serif"/>
          <w:b w:val="false"/>
          <w:sz w:val="20"/>
          <w:u w:val="single"/>
        </w:rPr>
        <w:t>Amendment</w:t>
      </w:r>
      <w:r>
        <w:rPr>
          <w:rFonts w:ascii="Times New Roman;serif" w:hAnsi="Times New Roman;serif"/>
          <w:b w:val="false"/>
          <w:sz w:val="20"/>
        </w:rPr>
        <w:t>. This Agreement may be amended or modified only by a written instrument signed by you and by a duly authorized representative of the Company.</w:t>
      </w:r>
    </w:p>
    <w:p>
      <w:pPr>
        <w:pStyle w:val="TextBody"/>
        <w:spacing w:before="0" w:after="240"/>
        <w:jc w:val="left"/>
        <w:rPr>
          <w:rFonts w:ascii="Times New Roman" w:hAnsi="Times New Roman"/>
          <w:b w:val="false"/>
          <w:sz w:val="20"/>
        </w:rPr>
      </w:pPr>
      <w:r>
        <w:rPr>
          <w:rFonts w:ascii="Times New Roman" w:hAnsi="Times New Roman"/>
          <w:b w:val="false"/>
          <w:sz w:val="20"/>
        </w:rPr>
        <w:t>21.</w:t>
      </w:r>
    </w:p>
    <w:p>
      <w:pPr>
        <w:pStyle w:val="TextBody"/>
        <w:spacing w:before="0" w:after="240"/>
        <w:jc w:val="left"/>
        <w:rPr/>
      </w:pPr>
      <w:r>
        <w:rPr>
          <w:rFonts w:ascii="Times New Roman;serif" w:hAnsi="Times New Roman;serif"/>
          <w:b w:val="false"/>
          <w:sz w:val="20"/>
          <w:u w:val="single"/>
        </w:rPr>
        <w:t>Effect on Other Plans and Agreements</w:t>
      </w:r>
      <w:r>
        <w:rPr>
          <w:rFonts w:ascii="Times New Roman;serif" w:hAnsi="Times New Roman;serif"/>
          <w:b w:val="false"/>
          <w:sz w:val="20"/>
        </w:rPr>
        <w:t xml:space="preserve">.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240"/>
        <w:jc w:val="left"/>
        <w:rPr/>
      </w:pPr>
      <w:r>
        <w:rPr>
          <w:rFonts w:ascii="Times New Roman;serif" w:hAnsi="Times New Roman;serif"/>
          <w:b w:val="false"/>
          <w:sz w:val="20"/>
        </w:rPr>
        <w:t>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22.</w:t>
      </w:r>
    </w:p>
    <w:p>
      <w:pPr>
        <w:pStyle w:val="TextBody"/>
        <w:spacing w:before="0" w:after="240"/>
        <w:jc w:val="left"/>
        <w:rPr/>
      </w:pPr>
      <w:r>
        <w:rPr>
          <w:rFonts w:ascii="Times New Roman;serif" w:hAnsi="Times New Roman;serif"/>
          <w:b w:val="false"/>
          <w:sz w:val="20"/>
          <w:u w:val="single"/>
        </w:rPr>
        <w:t>Governing Law</w:t>
      </w:r>
      <w:r>
        <w:rPr>
          <w:rFonts w:ascii="Times New Roman;serif" w:hAnsi="Times New Roman;serif"/>
          <w:b w:val="false"/>
          <w:sz w:val="20"/>
        </w:rPr>
        <w:t>. This is a Massachusetts contract and shall be construed under and be governed in all respects by the laws of the Commonwealth</w:t>
      </w:r>
      <w:r>
        <w:rPr/>
        <w:t xml:space="preserve"> </w:t>
      </w:r>
      <w:r>
        <w:rPr>
          <w:rFonts w:ascii="Times New Roman;serif" w:hAnsi="Times New Roman;serif"/>
          <w:b w:val="false"/>
          <w:sz w:val="20"/>
        </w:rPr>
        <w:t>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spacing w:before="0" w:after="240"/>
        <w:jc w:val="left"/>
        <w:rPr>
          <w:rFonts w:ascii="Times New Roman" w:hAnsi="Times New Roman"/>
          <w:b w:val="false"/>
          <w:sz w:val="20"/>
        </w:rPr>
      </w:pPr>
      <w:r>
        <w:rPr>
          <w:rFonts w:ascii="Times New Roman" w:hAnsi="Times New Roman"/>
          <w:b w:val="false"/>
          <w:sz w:val="20"/>
        </w:rPr>
        <w:t>23.</w:t>
      </w:r>
    </w:p>
    <w:p>
      <w:pPr>
        <w:pStyle w:val="TextBody"/>
        <w:spacing w:before="0" w:after="240"/>
        <w:jc w:val="left"/>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spacing w:before="0" w:after="24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IN WITNESS WHEREOF, the parties have executed this Agreement effective on the Effective Date.</w:t>
      </w:r>
    </w:p>
    <w:p>
      <w:pPr>
        <w:pStyle w:val="TextBody"/>
        <w:spacing w:before="0" w:after="0"/>
        <w:jc w:val="left"/>
        <w:rPr/>
      </w:pPr>
      <w:r>
        <w:rPr/>
        <w:t> </w:t>
      </w:r>
    </w:p>
    <w:tbl>
      <w:tblPr>
        <w:tblW w:w="3778" w:type="dxa"/>
        <w:jc w:val="left"/>
        <w:tblInd w:w="0" w:type="dxa"/>
        <w:tblCellMar>
          <w:top w:w="28" w:type="dxa"/>
          <w:left w:w="28" w:type="dxa"/>
          <w:bottom w:w="28" w:type="dxa"/>
          <w:right w:w="28" w:type="dxa"/>
        </w:tblCellMar>
      </w:tblPr>
      <w:tblGrid>
        <w:gridCol w:w="421"/>
        <w:gridCol w:w="146"/>
        <w:gridCol w:w="3211"/>
      </w:tblGrid>
      <w:tr>
        <w:trPr/>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77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DISC MEDICINE, INC.</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D. Quisel</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0" w:after="0"/>
        <w:jc w:val="left"/>
        <w:rPr/>
      </w:pPr>
      <w:r>
        <w:rPr/>
        <w:t> </w:t>
      </w:r>
    </w:p>
    <w:p>
      <w:pPr>
        <w:pStyle w:val="TextBody"/>
        <w:spacing w:before="0" w:after="0"/>
        <w:jc w:val="left"/>
        <w:rPr/>
      </w:pPr>
      <w:r>
        <w:rPr/>
        <w:t> </w:t>
      </w:r>
    </w:p>
    <w:tbl>
      <w:tblPr>
        <w:tblW w:w="1793" w:type="dxa"/>
        <w:jc w:val="left"/>
        <w:tblInd w:w="0" w:type="dxa"/>
        <w:tblCellMar>
          <w:top w:w="28" w:type="dxa"/>
          <w:left w:w="28" w:type="dxa"/>
          <w:bottom w:w="28" w:type="dxa"/>
          <w:right w:w="28" w:type="dxa"/>
        </w:tblCellMar>
      </w:tblPr>
      <w:tblGrid>
        <w:gridCol w:w="161"/>
        <w:gridCol w:w="146"/>
        <w:gridCol w:w="1486"/>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1793"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EXECUTIVE</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Joanne Bryce</w:t>
            </w:r>
          </w:p>
        </w:tc>
      </w:tr>
      <w:tr>
        <w:trPr/>
        <w:tc>
          <w:tcPr>
            <w:tcW w:w="1793"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793"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Exhibit A</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Restrictive Covenants Agreement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r>
        <w:br w:type="page"/>
      </w:r>
    </w:p>
    <w:p>
      <w:pPr>
        <w:pStyle w:val="TextBody"/>
        <w:spacing w:before="0" w:after="0"/>
        <w:jc w:val="right"/>
        <w:rPr/>
      </w:pPr>
      <w:bookmarkStart w:id="42" w:name="iron-ex10_19.htm"/>
      <w:bookmarkStart w:id="43" w:name="ksironex10_19"/>
      <w:bookmarkEnd w:id="42"/>
      <w:bookmarkEnd w:id="4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10.19</w:t>
      </w:r>
    </w:p>
    <w:p>
      <w:pPr>
        <w:pStyle w:val="TextBody"/>
        <w:spacing w:before="0" w:after="360"/>
        <w:jc w:val="center"/>
        <w:rPr>
          <w:rFonts w:ascii="Times New Roman;serif" w:hAnsi="Times New Roman;serif"/>
          <w:b/>
          <w:smallCaps/>
          <w:sz w:val="20"/>
        </w:rPr>
      </w:pPr>
      <w:r>
        <w:rPr>
          <w:rFonts w:ascii="Times New Roman;serif" w:hAnsi="Times New Roman;serif"/>
          <w:b/>
          <w:smallCaps/>
          <w:sz w:val="20"/>
        </w:rPr>
        <w:t>DISC MEDICINE, INC.</w:t>
      </w:r>
    </w:p>
    <w:p>
      <w:pPr>
        <w:pStyle w:val="TextBody"/>
        <w:spacing w:before="0" w:after="360"/>
        <w:jc w:val="center"/>
        <w:rPr>
          <w:rFonts w:ascii="Times New Roman;serif" w:hAnsi="Times New Roman;serif"/>
          <w:b/>
          <w:smallCaps/>
          <w:sz w:val="20"/>
        </w:rPr>
      </w:pPr>
      <w:r>
        <w:rPr>
          <w:rFonts w:ascii="Times New Roman;serif" w:hAnsi="Times New Roman;serif"/>
          <w:b/>
          <w:smallCaps/>
          <w:sz w:val="20"/>
        </w:rPr>
        <w:t>EMPLOYMENT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This Employment Agreement (“Agreement”) is made between Disc Medicine, Inc. (formerly Gemini Therapeutics, Inc.), (the “Company”), and William Savage, MD, Ph.D.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 and the Equity Documents (each as defined below), this Agreement supersedes in all respects all prior agreements between you and Disc Medicine, Inc., predecessor in interest to the Company, regarding the subject matter herein, including without limitation the offer letter between you and Disc Medicine, Inc. dated June 28, 2020, as amended on July 1, 2021 (the “Prior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WHEREAS, the Company desires to continue to employ you and you desire to continue to be employed by the Company on the new terms and conditions contained herein.</w:t>
      </w:r>
    </w:p>
    <w:p>
      <w:pPr>
        <w:pStyle w:val="TextBody"/>
        <w:spacing w:before="0" w:after="240"/>
        <w:jc w:val="left"/>
        <w:rPr>
          <w:rFonts w:ascii="Times New Roman" w:hAnsi="Times New Roman"/>
          <w:sz w:val="20"/>
        </w:rPr>
      </w:pPr>
      <w:r>
        <w:rPr>
          <w:rFonts w:ascii="Times New Roman;serif" w:hAnsi="Times New Roman;serif"/>
          <w:b w:val="false"/>
          <w:sz w:val="20"/>
        </w:rPr>
        <w:t>NOW, THEREFORE,</w:t>
      </w:r>
      <w:r>
        <w:rPr>
          <w:rFonts w:ascii="Times New Roman" w:hAnsi="Times New Roman"/>
          <w:sz w:val="20"/>
        </w:rPr>
        <w:t xml:space="preserve"> </w:t>
      </w:r>
      <w:r>
        <w:rPr>
          <w:rFonts w:ascii="Times New Roman;serif" w:hAnsi="Times New Roman;serif"/>
          <w:b w:val="false"/>
          <w:sz w:val="20"/>
        </w:rPr>
        <w:t>in consideration of the mutual covenants and agreements herein contained and other good and valuable consideration, the receipt and sufficiency of which is hereby acknowledged, the parties agree as follows:</w:t>
      </w:r>
    </w:p>
    <w:p>
      <w:pPr>
        <w:pStyle w:val="TextBody"/>
        <w:spacing w:before="0" w:after="240"/>
        <w:jc w:val="left"/>
        <w:rPr>
          <w:rFonts w:ascii="Times New Roman" w:hAnsi="Times New Roman"/>
          <w:b w:val="false"/>
          <w:sz w:val="20"/>
        </w:rPr>
      </w:pPr>
      <w:r>
        <w:rPr>
          <w:rFonts w:ascii="Times New Roman" w:hAnsi="Times New Roman"/>
          <w:b w:val="false"/>
          <w:sz w:val="20"/>
        </w:rPr>
        <w:t>1.</w:t>
      </w:r>
    </w:p>
    <w:p>
      <w:pPr>
        <w:pStyle w:val="TextBody"/>
        <w:spacing w:before="0" w:after="240"/>
        <w:jc w:val="left"/>
        <w:rPr/>
      </w:pPr>
      <w:r>
        <w:rPr>
          <w:rFonts w:ascii="Times New Roman;serif" w:hAnsi="Times New Roman;serif"/>
          <w:b w:val="false"/>
          <w:sz w:val="20"/>
          <w:u w:val="single"/>
        </w:rPr>
        <w:t>Employment</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Term</w:t>
      </w:r>
      <w:r>
        <w:rPr>
          <w:rFonts w:ascii="Times New Roman;serif" w:hAnsi="Times New Roman;serif"/>
          <w:b w:val="false"/>
          <w:sz w:val="20"/>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Position and Duties</w:t>
      </w:r>
      <w:r>
        <w:rPr>
          <w:rFonts w:ascii="Times New Roman;serif" w:hAnsi="Times New Roman;serif"/>
          <w:b w:val="false"/>
          <w:sz w:val="20"/>
        </w:rPr>
        <w:t>. You shall serve as the Chief Medical Officer of the Company and shall report directly to the Chief Executive Officer (“CEO”). You shall have such powers and duties as may from time to time be prescribed by the CEO or other duly authorized executive which are consistent with your position as Chief Medical Officer.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pStyle w:val="TextBody"/>
        <w:spacing w:before="0" w:after="240"/>
        <w:jc w:val="left"/>
        <w:rPr>
          <w:rFonts w:ascii="Times New Roman" w:hAnsi="Times New Roman"/>
          <w:b w:val="false"/>
          <w:sz w:val="20"/>
        </w:rPr>
      </w:pPr>
      <w:r>
        <w:rPr>
          <w:rFonts w:ascii="Times New Roman" w:hAnsi="Times New Roman"/>
          <w:b w:val="false"/>
          <w:sz w:val="20"/>
        </w:rPr>
        <w:t>2.</w:t>
      </w:r>
    </w:p>
    <w:p>
      <w:pPr>
        <w:pStyle w:val="TextBody"/>
        <w:spacing w:before="0" w:after="240"/>
        <w:jc w:val="left"/>
        <w:rPr/>
      </w:pPr>
      <w:r>
        <w:rPr>
          <w:rFonts w:ascii="Times New Roman;serif" w:hAnsi="Times New Roman;serif"/>
          <w:b w:val="false"/>
          <w:sz w:val="20"/>
          <w:u w:val="single"/>
        </w:rPr>
        <w:t>Compensation and Related Matters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Base Salary</w:t>
      </w:r>
      <w:r>
        <w:rPr>
          <w:rFonts w:ascii="Times New Roman;serif" w:hAnsi="Times New Roman;serif"/>
          <w:b w:val="false"/>
          <w:sz w:val="20"/>
        </w:rPr>
        <w:t>. Your initial base salary shall be paid at the rate of $458,000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w:t>
      </w:r>
      <w:r>
        <w:rPr/>
        <w:t xml:space="preserve"> </w:t>
      </w:r>
      <w:r>
        <w:rPr>
          <w:rFonts w:ascii="Times New Roman;serif" w:hAnsi="Times New Roman;serif"/>
          <w:b w:val="false"/>
          <w:sz w:val="20"/>
        </w:rPr>
        <w:t>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Incentive Compensation</w:t>
      </w:r>
      <w:r>
        <w:rPr>
          <w:rFonts w:ascii="Times New Roman;serif" w:hAnsi="Times New Roman;serif"/>
          <w:b w:val="false"/>
          <w:sz w:val="20"/>
        </w:rPr>
        <w:t xml:space="preserve">. You shall be eligible to receive cash incentive compensation as determined by the Board or the Compensation Committee from time to time. Your target annual incentive 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Expenses</w:t>
      </w:r>
      <w:r>
        <w:rPr>
          <w:rFonts w:ascii="Times New Roman;serif" w:hAnsi="Times New Roman;serif"/>
          <w:b w:val="false"/>
          <w:sz w:val="20"/>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Other Benefits</w:t>
      </w:r>
      <w:r>
        <w:rPr>
          <w:rFonts w:ascii="Times New Roman;serif" w:hAnsi="Times New Roman;serif"/>
          <w:b w:val="false"/>
          <w:sz w:val="20"/>
        </w:rPr>
        <w:t>. You shall be eligible to participate in or receive benefits under the Company’s employee benefit plans in effect from time to time, subject to the terms of such plans.</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Paid Time Off</w:t>
      </w:r>
      <w:r>
        <w:rPr>
          <w:rFonts w:ascii="Times New Roman;serif" w:hAnsi="Times New Roman;serif"/>
          <w:b w:val="false"/>
          <w:sz w:val="20"/>
        </w:rPr>
        <w:t xml:space="preserve">. You shall be entitled to take paid time off in accordance with the Company’s applicable paid time off policy for executives, as may be in effect from time to time. You shall also be entitled to all paid holidays given by the Company to its employees. </w:t>
      </w:r>
    </w:p>
    <w:p>
      <w:pPr>
        <w:pStyle w:val="TextBody"/>
        <w:spacing w:before="0" w:after="240"/>
        <w:jc w:val="left"/>
        <w:rPr>
          <w:rFonts w:ascii="Times New Roman" w:hAnsi="Times New Roman"/>
          <w:b w:val="false"/>
          <w:sz w:val="20"/>
        </w:rPr>
      </w:pPr>
      <w:r>
        <w:rPr>
          <w:rFonts w:ascii="Times New Roman" w:hAnsi="Times New Roman"/>
          <w:b w:val="false"/>
          <w:sz w:val="20"/>
        </w:rPr>
        <w:t>(f)</w:t>
      </w:r>
    </w:p>
    <w:p>
      <w:pPr>
        <w:pStyle w:val="TextBody"/>
        <w:spacing w:before="0" w:after="240"/>
        <w:jc w:val="left"/>
        <w:rPr/>
      </w:pPr>
      <w:r>
        <w:rPr>
          <w:rFonts w:ascii="Times New Roman;serif" w:hAnsi="Times New Roman;serif"/>
          <w:b w:val="false"/>
          <w:sz w:val="20"/>
          <w:u w:val="single"/>
        </w:rPr>
        <w:t>Equity</w:t>
      </w:r>
      <w:r>
        <w:rPr>
          <w:rFonts w:ascii="Times New Roman;serif" w:hAnsi="Times New Roman;serif"/>
          <w:b w:val="false"/>
          <w:sz w:val="20"/>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pStyle w:val="TextBody"/>
        <w:spacing w:before="0" w:after="240"/>
        <w:jc w:val="left"/>
        <w:rPr>
          <w:rFonts w:ascii="Times New Roman" w:hAnsi="Times New Roman"/>
          <w:b w:val="false"/>
          <w:sz w:val="20"/>
        </w:rPr>
      </w:pPr>
      <w:r>
        <w:rPr>
          <w:rFonts w:ascii="Times New Roman" w:hAnsi="Times New Roman"/>
          <w:b w:val="false"/>
          <w:sz w:val="20"/>
        </w:rPr>
        <w:t>3.</w:t>
      </w:r>
    </w:p>
    <w:p>
      <w:pPr>
        <w:pStyle w:val="TextBody"/>
        <w:spacing w:before="0" w:after="240"/>
        <w:jc w:val="left"/>
        <w:rPr/>
      </w:pPr>
      <w:r>
        <w:rPr>
          <w:rFonts w:ascii="Times New Roman;serif" w:hAnsi="Times New Roman;serif"/>
          <w:b w:val="false"/>
          <w:sz w:val="20"/>
          <w:u w:val="single"/>
        </w:rPr>
        <w:t>Termination</w:t>
      </w:r>
      <w:r>
        <w:rPr>
          <w:rFonts w:ascii="Times New Roman;serif" w:hAnsi="Times New Roman;serif"/>
          <w:b w:val="false"/>
          <w:sz w:val="20"/>
        </w:rPr>
        <w:t>. Your employment hereunder may be terminated without any breach of this Agreement under the following circumstances:</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Death</w:t>
      </w:r>
      <w:r>
        <w:rPr>
          <w:rFonts w:ascii="Times New Roman;serif" w:hAnsi="Times New Roman;serif"/>
          <w:b w:val="false"/>
          <w:sz w:val="20"/>
        </w:rPr>
        <w:t>. Your employment hereunder shall terminate upon your death.</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Disability</w:t>
      </w:r>
      <w:r>
        <w:rPr>
          <w:rFonts w:ascii="Times New Roman;serif" w:hAnsi="Times New Roman;serif"/>
          <w:b w:val="false"/>
          <w:sz w:val="20"/>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serif" w:hAnsi="Times New Roman;serif"/>
          <w:b w:val="false"/>
          <w:i/>
          <w:sz w:val="20"/>
        </w:rPr>
        <w:t>et seq</w:t>
      </w:r>
      <w:r>
        <w:rPr>
          <w:rFonts w:ascii="Times New Roman;serif" w:hAnsi="Times New Roman;serif"/>
          <w:b w:val="false"/>
          <w:sz w:val="20"/>
        </w:rPr>
        <w:t xml:space="preserve">. and the Americans with Disabilities Act, 42 U.S.C. §12101 </w:t>
      </w:r>
      <w:r>
        <w:rPr>
          <w:rFonts w:ascii="Times New Roman;serif" w:hAnsi="Times New Roman;serif"/>
          <w:b w:val="false"/>
          <w:i/>
          <w:sz w:val="20"/>
        </w:rPr>
        <w:t>et seq.</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Termination by Company for Cause</w:t>
      </w:r>
      <w:r>
        <w:rPr>
          <w:rFonts w:ascii="Times New Roman;serif" w:hAnsi="Times New Roman;serif"/>
          <w:b w:val="false"/>
          <w:sz w:val="20"/>
        </w:rPr>
        <w:t xml:space="preserve">. The Company may terminate your employment hereunder for Cause. For purposes of this Agreement, “Cause” shall mean any of the following: </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conduct by you constituting a material act of intentional misconduct in connection with the performance of your duties, including, without limitation, (A) willful failure or willful refusal to perform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240"/>
        <w:jc w:val="left"/>
        <w:rPr/>
      </w:pPr>
      <w:r>
        <w:rPr>
          <w:rFonts w:ascii="Times New Roman;serif" w:hAnsi="Times New Roman;serif"/>
          <w:b w:val="false"/>
          <w:sz w:val="20"/>
        </w:rPr>
        <w:t xml:space="preserve">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serif" w:hAnsi="Times New Roman;serif"/>
          <w:b w:val="false"/>
          <w:i/>
          <w:sz w:val="20"/>
        </w:rPr>
        <w:t>de minimis</w:t>
      </w:r>
      <w:r>
        <w:rPr/>
        <w:t xml:space="preserve"> </w:t>
      </w:r>
      <w:r>
        <w:rPr>
          <w:rFonts w:ascii="Times New Roman;serif" w:hAnsi="Times New Roman;serif"/>
          <w:b w:val="false"/>
          <w:sz w:val="20"/>
        </w:rPr>
        <w:t>use of Company property for personal purposes;</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the commission by you of (A) any felony or (B) a misdemeanor involving moral turpitude, deceit, dishonesty or fraud;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any intentional misconduct by you, regardless of whether or not in the course of your employment, that results in material injury or material reputational harm to the Company or any of its subsidiaries or affiliates if you were to continue to be employed in the same position; </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your continued willful non-performance by you of your duties hereunder (other than by reason of your physical or mental illness, incapacity or Disability) which has continued for more than 30 days following written notice of such non-performance from the CEO; </w:t>
      </w:r>
    </w:p>
    <w:p>
      <w:pPr>
        <w:pStyle w:val="TextBody"/>
        <w:spacing w:before="0" w:after="240"/>
        <w:jc w:val="left"/>
        <w:rPr>
          <w:rFonts w:ascii="Times New Roman" w:hAnsi="Times New Roman"/>
          <w:b w:val="false"/>
          <w:sz w:val="20"/>
        </w:rPr>
      </w:pPr>
      <w:r>
        <w:rPr>
          <w:rFonts w:ascii="Times New Roman" w:hAnsi="Times New Roman"/>
          <w:b w:val="false"/>
          <w:sz w:val="20"/>
        </w:rPr>
        <w:t>(v)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pStyle w:val="TextBody"/>
        <w:spacing w:before="0" w:after="240"/>
        <w:jc w:val="left"/>
        <w:rPr>
          <w:rFonts w:ascii="Times New Roman" w:hAnsi="Times New Roman"/>
          <w:b w:val="false"/>
          <w:sz w:val="20"/>
        </w:rPr>
      </w:pPr>
      <w:r>
        <w:rPr>
          <w:rFonts w:ascii="Times New Roman" w:hAnsi="Times New Roman"/>
          <w:b w:val="false"/>
          <w:sz w:val="20"/>
        </w:rPr>
        <w:t>(vi)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Termination by the Company without Cause</w:t>
      </w:r>
      <w:r>
        <w:rPr>
          <w:rFonts w:ascii="Times New Roman;serif" w:hAnsi="Times New Roman;serif"/>
          <w:b w:val="false"/>
          <w:sz w:val="20"/>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Termination by You</w:t>
      </w:r>
      <w:r>
        <w:rPr>
          <w:rFonts w:ascii="Times New Roman;serif" w:hAnsi="Times New Roman;serif"/>
          <w:b w:val="false"/>
          <w:sz w:val="20"/>
        </w:rPr>
        <w:t xml:space="preserve">.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 </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diminution in your responsibilities, authority or duties</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 material diminution in your Base Salary except for across-the-board salary reductions of no greater than 10% based on the Company’s financial performance similarly affecting all or substantially all senior management employees of the Company;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change of at least thirty (30) miles of the location of the physical Company office to which you report (which to avoid doubt does not include any home office you may have); or</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 breach by the Company of the material terms of this Agreement or any other written agreement between the Company and you. </w:t>
      </w:r>
    </w:p>
    <w:p>
      <w:pPr>
        <w:pStyle w:val="TextBody"/>
        <w:spacing w:before="0" w:after="240"/>
        <w:jc w:val="left"/>
        <w:rPr>
          <w:rFonts w:ascii="Times New Roman" w:hAnsi="Times New Roman"/>
          <w:sz w:val="20"/>
        </w:rPr>
      </w:pPr>
      <w:r>
        <w:rPr>
          <w:rFonts w:ascii="Times New Roman;serif" w:hAnsi="Times New Roman;serif"/>
          <w:b w:val="false"/>
          <w:sz w:val="20"/>
        </w:rPr>
        <w:t>The “Good Reason Process” consists of the following steps:</w:t>
      </w:r>
      <w:r>
        <w:rPr>
          <w:rFonts w:ascii="Times New Roman" w:hAnsi="Times New Roman"/>
          <w:sz w:val="20"/>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reasonably determine in good faith that a Good Reason Condition has occurred; </w:t>
      </w:r>
    </w:p>
    <w:p>
      <w:pPr>
        <w:pStyle w:val="TextBody"/>
        <w:spacing w:before="0" w:after="240"/>
        <w:jc w:val="left"/>
        <w:rPr>
          <w:rFonts w:ascii="Times New Roman" w:hAnsi="Times New Roman"/>
          <w:b w:val="false"/>
          <w:sz w:val="20"/>
        </w:rPr>
      </w:pPr>
      <w:r>
        <w:rPr>
          <w:rFonts w:ascii="Times New Roman" w:hAnsi="Times New Roman"/>
          <w:b w:val="false"/>
          <w:sz w:val="20"/>
        </w:rPr>
        <w:t>(vi)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 notify the Company in writing of the first occurrence of the Good Reason Condition within 60 days of the first occurrence of such condition;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(vii)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cooperate in good faith with the Company’s efforts, for a period of not less than 30 days following such notice (the “Cure Period”), to remedy the Good Reason Condition; </w:t>
      </w:r>
    </w:p>
    <w:p>
      <w:pPr>
        <w:pStyle w:val="TextBody"/>
        <w:spacing w:before="0" w:after="240"/>
        <w:jc w:val="left"/>
        <w:rPr>
          <w:rFonts w:ascii="Times New Roman" w:hAnsi="Times New Roman"/>
          <w:b w:val="false"/>
          <w:sz w:val="20"/>
        </w:rPr>
      </w:pPr>
      <w:r>
        <w:rPr>
          <w:rFonts w:ascii="Times New Roman" w:hAnsi="Times New Roman"/>
          <w:b w:val="false"/>
          <w:sz w:val="20"/>
        </w:rPr>
        <w:t>(viii)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notwithstanding such Cure Period, the Good Reason Condition continues to exist; and </w:t>
      </w:r>
    </w:p>
    <w:p>
      <w:pPr>
        <w:pStyle w:val="TextBody"/>
        <w:spacing w:before="0" w:after="240"/>
        <w:jc w:val="left"/>
        <w:rPr>
          <w:rFonts w:ascii="Times New Roman" w:hAnsi="Times New Roman"/>
          <w:b w:val="false"/>
          <w:sz w:val="20"/>
        </w:rPr>
      </w:pPr>
      <w:r>
        <w:rPr>
          <w:rFonts w:ascii="Times New Roman" w:hAnsi="Times New Roman"/>
          <w:b w:val="false"/>
          <w:sz w:val="20"/>
        </w:rPr>
        <w:t>(ix)</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terminate employment within 60 days after the end of the Cure Period.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the Company cures the Good Reason Condition during the Cure Period, Good Reason shall be deemed not to have occurred.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4.</w:t>
      </w:r>
    </w:p>
    <w:p>
      <w:pPr>
        <w:pStyle w:val="TextBody"/>
        <w:spacing w:before="0" w:after="240"/>
        <w:jc w:val="left"/>
        <w:rPr/>
      </w:pPr>
      <w:r>
        <w:rPr>
          <w:rFonts w:ascii="Times New Roman;serif" w:hAnsi="Times New Roman;serif"/>
          <w:b w:val="false"/>
          <w:sz w:val="20"/>
          <w:u w:val="single"/>
        </w:rPr>
        <w:t>Notice and Date of Termination</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Notice of Termination</w:t>
      </w:r>
      <w:r>
        <w:rPr>
          <w:rFonts w:ascii="Times New Roman;serif" w:hAnsi="Times New Roman;serif"/>
          <w:b w:val="false"/>
          <w:sz w:val="20"/>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Date of Termination</w:t>
      </w:r>
      <w:r>
        <w:rPr>
          <w:rFonts w:ascii="Times New Roman;serif" w:hAnsi="Times New Roman;serif"/>
          <w:b w:val="false"/>
          <w:sz w:val="20"/>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pStyle w:val="TextBody"/>
        <w:spacing w:before="0" w:after="240"/>
        <w:jc w:val="left"/>
        <w:rPr>
          <w:rFonts w:ascii="Times New Roman" w:hAnsi="Times New Roman"/>
          <w:b w:val="false"/>
          <w:sz w:val="20"/>
        </w:rPr>
      </w:pPr>
      <w:r>
        <w:rPr>
          <w:rFonts w:ascii="Times New Roman" w:hAnsi="Times New Roman"/>
          <w:b w:val="false"/>
          <w:sz w:val="20"/>
        </w:rPr>
        <w:t>5.</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Outside the Change in Control Period</w:t>
      </w:r>
      <w:r>
        <w:rPr>
          <w:rFonts w:ascii="Times New Roman;serif" w:hAnsi="Times New Roman;serif"/>
          <w:b w:val="false"/>
          <w:sz w:val="20"/>
        </w:rPr>
        <w:t>. If your employment is terminated by the Company without Cause as provided in Section 3(d), or you terminate employment for Good Reason as provided in Section 3(e), each outside of the Change in Control Period (as defined below), then, in addition to the</w:t>
      </w:r>
      <w:r>
        <w:rPr/>
        <w:t xml:space="preserve"> </w:t>
      </w:r>
      <w:r>
        <w:rPr>
          <w:rFonts w:ascii="Times New Roman;serif" w:hAnsi="Times New Roman;serif"/>
          <w:b w:val="false"/>
          <w:sz w:val="20"/>
        </w:rPr>
        <w:t>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serif" w:hAnsi="Times New Roman;serif"/>
          <w:b/>
          <w:sz w:val="20"/>
        </w:rPr>
        <w:t>)</w:t>
      </w:r>
      <w:r>
        <w:rPr>
          <w:rFonts w:ascii="Times New Roman;serif" w:hAnsi="Times New Roman;serif"/>
          <w:b w:val="false"/>
          <w:sz w:val="20"/>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rPr>
        <w:t>the Company shall pay you an amount equal to</w:t>
      </w:r>
      <w:r>
        <w:rPr/>
        <w:t xml:space="preserve"> </w:t>
      </w:r>
      <w:r>
        <w:rPr>
          <w:rFonts w:ascii="Times New Roman;serif" w:hAnsi="Times New Roman;serif"/>
          <w:b w:val="false"/>
          <w:sz w:val="20"/>
        </w:rPr>
        <w:t>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pStyle w:val="TextBody"/>
        <w:spacing w:before="0" w:after="240"/>
        <w:jc w:val="left"/>
        <w:rPr>
          <w:rFonts w:ascii="Times New Roman" w:hAnsi="Times New Roman"/>
          <w:sz w:val="20"/>
        </w:rPr>
      </w:pPr>
      <w:r>
        <w:rPr>
          <w:rFonts w:ascii="Times New Roman;serif" w:hAnsi="Times New Roman;serif"/>
          <w:b w:val="false"/>
          <w:sz w:val="20"/>
        </w:rPr>
        <w:t>The amounts payable under Sections 5(a) and (c), to the extent taxable, shall be paid out in substantially equal installments in accordance with the Company’s payroll practice over nine (9) months commencing within 60</w:t>
      </w:r>
      <w:r>
        <w:rPr>
          <w:rFonts w:ascii="Times New Roman" w:hAnsi="Times New Roman"/>
          <w:sz w:val="20"/>
        </w:rPr>
        <w:t xml:space="preserve"> </w:t>
      </w:r>
      <w:r>
        <w:rPr>
          <w:rFonts w:ascii="Times New Roman;serif" w:hAnsi="Times New Roman;serif"/>
          <w:b w:val="false"/>
          <w:sz w:val="20"/>
        </w:rPr>
        <w:t>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pStyle w:val="TextBody"/>
        <w:spacing w:before="0" w:after="240"/>
        <w:jc w:val="left"/>
        <w:rPr>
          <w:rFonts w:ascii="Times New Roman" w:hAnsi="Times New Roman"/>
          <w:b w:val="false"/>
          <w:sz w:val="20"/>
        </w:rPr>
      </w:pPr>
      <w:r>
        <w:rPr>
          <w:rFonts w:ascii="Times New Roman" w:hAnsi="Times New Roman"/>
          <w:b w:val="false"/>
          <w:sz w:val="20"/>
        </w:rPr>
        <w:t>6.</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within the Change in Control Period</w:t>
      </w:r>
      <w:r>
        <w:rPr>
          <w:rFonts w:ascii="Times New Roman;serif" w:hAnsi="Times New Roman;serif"/>
          <w:b w:val="false"/>
          <w:sz w:val="20"/>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pPr>
      <w:r>
        <w:rPr>
          <w:rFonts w:ascii="Times New Roman;serif" w:hAnsi="Times New Roman;serif"/>
          <w:b w:val="false"/>
          <w:sz w:val="20"/>
        </w:rPr>
        <w:t>the Company shall pay you a lump sum in cash in an amount equal to the sum of</w:t>
      </w:r>
      <w:r>
        <w:rPr/>
        <w:t xml:space="preserve"> </w:t>
      </w:r>
      <w:r>
        <w:rPr>
          <w:rFonts w:ascii="Times New Roman;serif" w:hAnsi="Times New Roman;serif"/>
          <w:b w:val="false"/>
          <w:sz w:val="20"/>
        </w:rPr>
        <w:t>(A)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pPr>
      <w:r>
        <w:rPr>
          <w:rFonts w:ascii="Times New Roman;serif" w:hAnsi="Times New Roman;serif"/>
          <w:b w:val="false"/>
          <w:sz w:val="20"/>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serif" w:hAnsi="Times New Roman;serif"/>
          <w:b w:val="false"/>
          <w:i/>
          <w:sz w:val="20"/>
        </w:rPr>
        <w:t>provided</w:t>
      </w:r>
      <w:r>
        <w:rPr/>
        <w:t xml:space="preserve"> </w:t>
      </w:r>
      <w:r>
        <w:rPr>
          <w:rFonts w:ascii="Times New Roman;serif" w:hAnsi="Times New Roman;serif"/>
          <w:b w:val="false"/>
          <w:sz w:val="20"/>
        </w:rPr>
        <w:t>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Additional Limitation</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pPr>
      <w:r>
        <w:rPr>
          <w:rFonts w:ascii="Times New Roman;serif" w:hAnsi="Times New Roman;serif"/>
          <w:b w:val="false"/>
          <w:sz w:val="20"/>
          <w:u w:val="single"/>
        </w:rPr>
        <w:t>Definitions</w:t>
      </w:r>
      <w:r>
        <w:rPr>
          <w:rFonts w:ascii="Times New Roman;serif" w:hAnsi="Times New Roman;serif"/>
          <w:b w:val="false"/>
          <w:sz w:val="20"/>
        </w:rPr>
        <w:t xml:space="preserve">.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 </w:t>
      </w:r>
    </w:p>
    <w:p>
      <w:pPr>
        <w:pStyle w:val="TextBody"/>
        <w:spacing w:before="0" w:after="240"/>
        <w:jc w:val="left"/>
        <w:rPr>
          <w:rFonts w:ascii="Times New Roman" w:hAnsi="Times New Roman"/>
          <w:b w:val="false"/>
          <w:sz w:val="20"/>
        </w:rPr>
      </w:pPr>
      <w:r>
        <w:rPr>
          <w:rFonts w:ascii="Times New Roman" w:hAnsi="Times New Roman"/>
          <w:b w:val="false"/>
          <w:sz w:val="20"/>
        </w:rPr>
        <w:t>7.</w:t>
      </w:r>
    </w:p>
    <w:p>
      <w:pPr>
        <w:pStyle w:val="TextBody"/>
        <w:spacing w:before="0" w:after="240"/>
        <w:jc w:val="left"/>
        <w:rPr/>
      </w:pPr>
      <w:r>
        <w:rPr>
          <w:rFonts w:ascii="Times New Roman;serif" w:hAnsi="Times New Roman;serif"/>
          <w:b w:val="false"/>
          <w:sz w:val="20"/>
          <w:u w:val="single"/>
        </w:rPr>
        <w:t>Section 409A</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noBreakHyphen/>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spacing w:before="0" w:after="240"/>
        <w:jc w:val="left"/>
        <w:rPr>
          <w:rFonts w:ascii="Times New Roman" w:hAnsi="Times New Roman"/>
          <w:b w:val="false"/>
          <w:sz w:val="20"/>
        </w:rPr>
      </w:pPr>
      <w:r>
        <w:rPr>
          <w:rFonts w:ascii="Times New Roman" w:hAnsi="Times New Roman"/>
          <w:b w:val="false"/>
          <w:sz w:val="20"/>
        </w:rPr>
        <w:t>8.</w:t>
      </w:r>
    </w:p>
    <w:p>
      <w:pPr>
        <w:pStyle w:val="TextBody"/>
        <w:spacing w:before="0" w:after="240"/>
        <w:jc w:val="left"/>
        <w:rPr/>
      </w:pPr>
      <w:r>
        <w:rPr>
          <w:rFonts w:ascii="Times New Roman;serif" w:hAnsi="Times New Roman;serif"/>
          <w:b w:val="false"/>
          <w:sz w:val="20"/>
          <w:u w:val="single"/>
        </w:rPr>
        <w:t>Continuing Obligations</w:t>
      </w:r>
      <w:r>
        <w:rPr>
          <w:rFonts w:ascii="Times New Roman;serif" w:hAnsi="Times New Roman;serif"/>
          <w:b w:val="false"/>
          <w:sz w:val="20"/>
        </w:rPr>
        <w:t>.</w:t>
      </w:r>
      <w:r>
        <w:rPr>
          <w:u w:val="single"/>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Restrictive Covenants Agreement</w:t>
      </w:r>
      <w:r>
        <w:rPr>
          <w:rFonts w:ascii="Times New Roman;serif" w:hAnsi="Times New Roman;serif"/>
          <w:b w:val="false"/>
          <w:sz w:val="20"/>
        </w:rPr>
        <w:t xml:space="preserve">. The Disc Medicine, Inc. Employee Confidentiality, Assignment, Nonsolicitation and Noncompetition Agreement effective as of June 28, 2020 (the “Restrictive Covenants Agreement”), between Disc Medicine, Inc. and you, attached hereto as </w:t>
      </w:r>
      <w:r>
        <w:rPr>
          <w:rFonts w:ascii="Times New Roman;serif" w:hAnsi="Times New Roman;serif"/>
          <w:b w:val="false"/>
          <w:sz w:val="20"/>
          <w:u w:val="single"/>
        </w:rPr>
        <w:t>Exhibit A</w:t>
      </w:r>
      <w:r>
        <w:rPr>
          <w:rFonts w:ascii="Times New Roman;serif" w:hAnsi="Times New Roman;serif"/>
          <w:b w:val="false"/>
          <w:sz w:val="20"/>
        </w:rPr>
        <w:t xml:space="preserve">, continue to be in full force and effect. For purposes of this Agreement, the obligations in this Section 8 and those that arise in the Restrictive Covenants Agreement shall collectively be referred to as the “Continuing Obligations.”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Third-Party Agreements and Rights</w:t>
      </w:r>
      <w:r>
        <w:rPr>
          <w:rFonts w:ascii="Times New Roman;serif" w:hAnsi="Times New Roman;serif"/>
          <w:b w:val="false"/>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Litigation and Regulatory Cooperation</w:t>
      </w:r>
      <w:r>
        <w:rPr>
          <w:rFonts w:ascii="Times New Roman;serif" w:hAnsi="Times New Roman;serif"/>
          <w:b w:val="false"/>
          <w:sz w:val="20"/>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noBreakHyphen/>
        <w:t>of</w:t>
        <w:noBreakHyphen/>
        <w:t xml:space="preserve">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will pay/reimburse your reasonable out-of-pocket expenses and fees within thirty (30) days of your submission of receipts and invoices to the Company.</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Relief</w:t>
      </w:r>
      <w:r>
        <w:rPr>
          <w:rFonts w:ascii="Times New Roman;serif" w:hAnsi="Times New Roman;serif"/>
          <w:b w:val="false"/>
          <w:sz w:val="20"/>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serif" w:hAnsi="Times New Roman;serif"/>
          <w:b/>
          <w:sz w:val="20"/>
        </w:rPr>
        <w:t>,</w:t>
      </w:r>
      <w:r>
        <w:rPr/>
        <w:t xml:space="preserve"> </w:t>
      </w:r>
      <w:r>
        <w:rPr>
          <w:rFonts w:ascii="Times New Roman;serif" w:hAnsi="Times New Roman;serif"/>
          <w:b w:val="false"/>
          <w:sz w:val="20"/>
        </w:rPr>
        <w:t>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Protected Disclosures and Other Protected Action</w:t>
      </w:r>
      <w:r>
        <w:rPr>
          <w:rFonts w:ascii="Times New Roman;serif" w:hAnsi="Times New Roman;serif"/>
          <w:b w:val="false"/>
          <w:sz w:val="20"/>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spacing w:before="0" w:after="240"/>
        <w:jc w:val="left"/>
        <w:rPr>
          <w:rFonts w:ascii="Times New Roman" w:hAnsi="Times New Roman"/>
          <w:b w:val="false"/>
          <w:sz w:val="20"/>
        </w:rPr>
      </w:pPr>
      <w:r>
        <w:rPr>
          <w:rFonts w:ascii="Times New Roman" w:hAnsi="Times New Roman"/>
          <w:b w:val="false"/>
          <w:sz w:val="20"/>
        </w:rPr>
        <w:t>9.</w:t>
      </w:r>
    </w:p>
    <w:p>
      <w:pPr>
        <w:pStyle w:val="TextBody"/>
        <w:spacing w:before="0" w:after="240"/>
        <w:jc w:val="left"/>
        <w:rPr/>
      </w:pPr>
      <w:r>
        <w:rPr>
          <w:rFonts w:ascii="Times New Roman;serif" w:hAnsi="Times New Roman;serif"/>
          <w:b w:val="false"/>
          <w:sz w:val="20"/>
          <w:u w:val="single"/>
        </w:rPr>
        <w:t>Arbitration of Disputes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Arbitration Generally</w:t>
      </w:r>
      <w:r>
        <w:rPr>
          <w:rFonts w:ascii="Times New Roman;serif" w:hAnsi="Times New Roman;serif"/>
          <w:b w:val="false"/>
          <w:sz w:val="20"/>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Arbitration Fees and Costs</w:t>
      </w:r>
      <w:r>
        <w:rPr>
          <w:rFonts w:ascii="Times New Roman;serif" w:hAnsi="Times New Roman;serif"/>
          <w:b w:val="false"/>
          <w:sz w:val="20"/>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10.</w:t>
      </w:r>
    </w:p>
    <w:p>
      <w:pPr>
        <w:pStyle w:val="TextBody"/>
        <w:spacing w:before="0" w:after="240"/>
        <w:jc w:val="left"/>
        <w:rPr/>
      </w:pPr>
      <w:r>
        <w:rPr>
          <w:rFonts w:ascii="Times New Roman;serif" w:hAnsi="Times New Roman;serif"/>
          <w:b w:val="false"/>
          <w:sz w:val="20"/>
          <w:u w:val="single"/>
        </w:rPr>
        <w:t>Consent to Jurisdiction</w:t>
      </w:r>
      <w:r>
        <w:rPr>
          <w:rFonts w:ascii="Times New Roman;serif" w:hAnsi="Times New Roman;serif"/>
          <w:b w:val="false"/>
          <w:sz w:val="20"/>
        </w:rPr>
        <w:t>. To the extent that any court action is permitted consistent with or to enforce Section 9 of this Agreement, the parties hereby consent to the jurisdiction of the state and federal courts of the</w:t>
      </w:r>
      <w:r>
        <w:rPr/>
        <w:t xml:space="preserve"> </w:t>
      </w:r>
      <w:r>
        <w:rPr>
          <w:rFonts w:ascii="Times New Roman;serif" w:hAnsi="Times New Roman;serif"/>
          <w:b w:val="false"/>
          <w:sz w:val="20"/>
        </w:rPr>
        <w:t>Commonwealth</w:t>
      </w:r>
      <w:r>
        <w:rPr/>
        <w:t xml:space="preserve"> </w:t>
      </w:r>
      <w:r>
        <w:rPr>
          <w:rFonts w:ascii="Times New Roman;serif" w:hAnsi="Times New Roman;serif"/>
          <w:b w:val="false"/>
          <w:sz w:val="20"/>
        </w:rPr>
        <w:t xml:space="preserve">of Massachusetts. Accordingly, with respect to any such court action, you (a) submit to the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exclusive personal jurisdiction of such courts; (b) consent to service of process; and (c) waive any other requirement (whether imposed by statute, rule of court, or otherwise) with respect to personal jurisdiction or service of process.</w:t>
      </w:r>
    </w:p>
    <w:p>
      <w:pPr>
        <w:pStyle w:val="TextBody"/>
        <w:spacing w:before="0" w:after="240"/>
        <w:jc w:val="left"/>
        <w:rPr>
          <w:rFonts w:ascii="Times New Roman" w:hAnsi="Times New Roman"/>
          <w:b w:val="false"/>
          <w:sz w:val="20"/>
        </w:rPr>
      </w:pPr>
      <w:r>
        <w:rPr>
          <w:rFonts w:ascii="Times New Roman" w:hAnsi="Times New Roman"/>
          <w:b w:val="false"/>
          <w:sz w:val="20"/>
        </w:rPr>
        <w:t>11.</w:t>
      </w:r>
    </w:p>
    <w:p>
      <w:pPr>
        <w:pStyle w:val="TextBody"/>
        <w:spacing w:before="0" w:after="240"/>
        <w:jc w:val="left"/>
        <w:rPr/>
      </w:pPr>
      <w:r>
        <w:rPr>
          <w:rFonts w:ascii="Times New Roman;serif" w:hAnsi="Times New Roman;serif"/>
          <w:b w:val="false"/>
          <w:sz w:val="20"/>
          <w:u w:val="single"/>
        </w:rPr>
        <w:t>Indemnification</w:t>
      </w:r>
      <w:r>
        <w:rPr>
          <w:rFonts w:ascii="Times New Roman;serif" w:hAnsi="Times New Roman;serif"/>
          <w:b w:val="false"/>
          <w:sz w:val="20"/>
        </w:rPr>
        <w:t>. The “Indemnification Agreement” between the Company and you, dated December 29, 2022 (the “Indemnification Agreement”) is hereby incorporated by reference.</w:t>
      </w:r>
    </w:p>
    <w:p>
      <w:pPr>
        <w:pStyle w:val="TextBody"/>
        <w:spacing w:before="0" w:after="240"/>
        <w:jc w:val="left"/>
        <w:rPr>
          <w:rFonts w:ascii="Times New Roman" w:hAnsi="Times New Roman"/>
          <w:b w:val="false"/>
          <w:sz w:val="20"/>
        </w:rPr>
      </w:pPr>
      <w:r>
        <w:rPr>
          <w:rFonts w:ascii="Times New Roman" w:hAnsi="Times New Roman"/>
          <w:b w:val="false"/>
          <w:sz w:val="20"/>
        </w:rPr>
        <w:t>12.</w:t>
      </w:r>
    </w:p>
    <w:p>
      <w:pPr>
        <w:pStyle w:val="TextBody"/>
        <w:spacing w:before="0" w:after="240"/>
        <w:jc w:val="left"/>
        <w:rPr/>
      </w:pPr>
      <w:r>
        <w:rPr>
          <w:rFonts w:ascii="Times New Roman;serif" w:hAnsi="Times New Roman;serif"/>
          <w:b w:val="false"/>
          <w:sz w:val="20"/>
          <w:u w:val="single"/>
        </w:rPr>
        <w:t>No Mitigation</w:t>
      </w:r>
      <w:r>
        <w:rPr>
          <w:rFonts w:ascii="Times New Roman;serif" w:hAnsi="Times New Roman;serif"/>
          <w:b w:val="false"/>
          <w:sz w:val="20"/>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pStyle w:val="TextBody"/>
        <w:spacing w:before="0" w:after="240"/>
        <w:jc w:val="left"/>
        <w:rPr>
          <w:rFonts w:ascii="Times New Roman" w:hAnsi="Times New Roman"/>
          <w:b w:val="false"/>
          <w:sz w:val="20"/>
        </w:rPr>
      </w:pPr>
      <w:r>
        <w:rPr>
          <w:rFonts w:ascii="Times New Roman" w:hAnsi="Times New Roman"/>
          <w:b w:val="false"/>
          <w:sz w:val="20"/>
        </w:rPr>
        <w:t>13.</w:t>
      </w:r>
    </w:p>
    <w:p>
      <w:pPr>
        <w:pStyle w:val="TextBody"/>
        <w:spacing w:before="0" w:after="240"/>
        <w:jc w:val="left"/>
        <w:rPr/>
      </w:pPr>
      <w:r>
        <w:rPr>
          <w:rFonts w:ascii="Times New Roman;serif" w:hAnsi="Times New Roman;serif"/>
          <w:b w:val="false"/>
          <w:sz w:val="20"/>
          <w:u w:val="single"/>
        </w:rPr>
        <w:t>Integration</w:t>
      </w:r>
      <w:r>
        <w:rPr>
          <w:rFonts w:ascii="Times New Roman;serif" w:hAnsi="Times New Roman;serif"/>
          <w:b w:val="false"/>
          <w:sz w:val="20"/>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pStyle w:val="TextBody"/>
        <w:spacing w:before="0" w:after="240"/>
        <w:jc w:val="left"/>
        <w:rPr>
          <w:rFonts w:ascii="Times New Roman" w:hAnsi="Times New Roman"/>
          <w:b w:val="false"/>
          <w:sz w:val="20"/>
        </w:rPr>
      </w:pPr>
      <w:r>
        <w:rPr>
          <w:rFonts w:ascii="Times New Roman" w:hAnsi="Times New Roman"/>
          <w:b w:val="false"/>
          <w:sz w:val="20"/>
        </w:rPr>
        <w:t>14.</w:t>
      </w:r>
    </w:p>
    <w:p>
      <w:pPr>
        <w:pStyle w:val="TextBody"/>
        <w:spacing w:before="0" w:after="240"/>
        <w:jc w:val="left"/>
        <w:rPr/>
      </w:pPr>
      <w:r>
        <w:rPr>
          <w:rFonts w:ascii="Times New Roman;serif" w:hAnsi="Times New Roman;serif"/>
          <w:b w:val="false"/>
          <w:sz w:val="20"/>
          <w:u w:val="single"/>
        </w:rPr>
        <w:t>Withholding; Tax Effect</w:t>
      </w:r>
      <w:r>
        <w:rPr>
          <w:rFonts w:ascii="Times New Roman;serif" w:hAnsi="Times New Roman;serif"/>
          <w:b w:val="false"/>
          <w:sz w:val="20"/>
        </w:rPr>
        <w:t xml:space="preserve">.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 </w:t>
      </w:r>
    </w:p>
    <w:p>
      <w:pPr>
        <w:pStyle w:val="TextBody"/>
        <w:spacing w:before="0" w:after="240"/>
        <w:jc w:val="left"/>
        <w:rPr>
          <w:rFonts w:ascii="Times New Roman" w:hAnsi="Times New Roman"/>
          <w:b w:val="false"/>
          <w:sz w:val="20"/>
        </w:rPr>
      </w:pPr>
      <w:r>
        <w:rPr>
          <w:rFonts w:ascii="Times New Roman" w:hAnsi="Times New Roman"/>
          <w:b w:val="false"/>
          <w:sz w:val="20"/>
        </w:rPr>
        <w:t>15.</w:t>
      </w:r>
    </w:p>
    <w:p>
      <w:pPr>
        <w:pStyle w:val="TextBody"/>
        <w:spacing w:before="0" w:after="240"/>
        <w:jc w:val="left"/>
        <w:rPr/>
      </w:pPr>
      <w:r>
        <w:rPr>
          <w:rFonts w:ascii="Times New Roman;serif" w:hAnsi="Times New Roman;serif"/>
          <w:b w:val="false"/>
          <w:sz w:val="20"/>
          <w:u w:val="single"/>
        </w:rPr>
        <w:t>Assignment</w:t>
      </w:r>
      <w:r>
        <w:rPr>
          <w:rFonts w:ascii="Times New Roman;serif" w:hAnsi="Times New Roman;serif"/>
          <w:b w:val="false"/>
          <w:sz w:val="20"/>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pStyle w:val="TextBody"/>
        <w:spacing w:before="0" w:after="240"/>
        <w:jc w:val="left"/>
        <w:rPr>
          <w:rFonts w:ascii="Times New Roman" w:hAnsi="Times New Roman"/>
          <w:b w:val="false"/>
          <w:sz w:val="20"/>
        </w:rPr>
      </w:pPr>
      <w:r>
        <w:rPr>
          <w:rFonts w:ascii="Times New Roman" w:hAnsi="Times New Roman"/>
          <w:b w:val="false"/>
          <w:sz w:val="20"/>
        </w:rPr>
        <w:t>16.</w:t>
      </w:r>
    </w:p>
    <w:p>
      <w:pPr>
        <w:pStyle w:val="TextBody"/>
        <w:spacing w:before="0" w:after="240"/>
        <w:jc w:val="left"/>
        <w:rPr/>
      </w:pPr>
      <w:r>
        <w:rPr>
          <w:rFonts w:ascii="Times New Roman;serif" w:hAnsi="Times New Roman;serif"/>
          <w:b w:val="false"/>
          <w:sz w:val="20"/>
          <w:u w:val="single"/>
        </w:rPr>
        <w:t>Enforceability</w:t>
      </w:r>
      <w:r>
        <w:rPr>
          <w:rFonts w:ascii="Times New Roman;serif" w:hAnsi="Times New Roman;serif"/>
          <w:b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17.</w:t>
      </w:r>
    </w:p>
    <w:p>
      <w:pPr>
        <w:pStyle w:val="TextBody"/>
        <w:spacing w:before="0" w:after="240"/>
        <w:jc w:val="left"/>
        <w:rPr/>
      </w:pPr>
      <w:r>
        <w:rPr>
          <w:rFonts w:ascii="Times New Roman;serif" w:hAnsi="Times New Roman;serif"/>
          <w:b w:val="false"/>
          <w:sz w:val="20"/>
          <w:u w:val="single"/>
        </w:rPr>
        <w:t>Survival</w:t>
      </w:r>
      <w:r>
        <w:rPr>
          <w:rFonts w:ascii="Times New Roman;serif" w:hAnsi="Times New Roman;serif"/>
          <w:b w:val="false"/>
          <w:sz w:val="20"/>
        </w:rPr>
        <w:t>. The provisions of this Agreement shall survive the termination of this Agreement and/or the termination of your employment to the extent necessary to effectuate the terms contained herein.</w:t>
      </w:r>
    </w:p>
    <w:p>
      <w:pPr>
        <w:pStyle w:val="TextBody"/>
        <w:spacing w:before="0" w:after="240"/>
        <w:jc w:val="left"/>
        <w:rPr>
          <w:rFonts w:ascii="Times New Roman" w:hAnsi="Times New Roman"/>
          <w:b w:val="false"/>
          <w:sz w:val="20"/>
        </w:rPr>
      </w:pPr>
      <w:r>
        <w:rPr>
          <w:rFonts w:ascii="Times New Roman" w:hAnsi="Times New Roman"/>
          <w:b w:val="false"/>
          <w:sz w:val="20"/>
        </w:rPr>
        <w:t>18.</w:t>
      </w:r>
    </w:p>
    <w:p>
      <w:pPr>
        <w:pStyle w:val="TextBody"/>
        <w:spacing w:before="0" w:after="240"/>
        <w:jc w:val="left"/>
        <w:rPr/>
      </w:pPr>
      <w:r>
        <w:rPr>
          <w:rFonts w:ascii="Times New Roman;serif" w:hAnsi="Times New Roman;serif"/>
          <w:b w:val="false"/>
          <w:sz w:val="20"/>
          <w:u w:val="single"/>
        </w:rPr>
        <w:t>Waiver</w:t>
      </w:r>
      <w:r>
        <w:rPr>
          <w:rFonts w:ascii="Times New Roman;serif" w:hAnsi="Times New Roman;serif"/>
          <w:b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spacing w:before="0" w:after="240"/>
        <w:jc w:val="left"/>
        <w:rPr>
          <w:rFonts w:ascii="Times New Roman" w:hAnsi="Times New Roman"/>
          <w:b w:val="false"/>
          <w:sz w:val="20"/>
        </w:rPr>
      </w:pPr>
      <w:r>
        <w:rPr>
          <w:rFonts w:ascii="Times New Roman" w:hAnsi="Times New Roman"/>
          <w:b w:val="false"/>
          <w:sz w:val="20"/>
        </w:rPr>
        <w:t>19.</w:t>
      </w:r>
    </w:p>
    <w:p>
      <w:pPr>
        <w:pStyle w:val="TextBody"/>
        <w:spacing w:before="0" w:after="240"/>
        <w:jc w:val="left"/>
        <w:rPr/>
      </w:pPr>
      <w:r>
        <w:rPr>
          <w:rFonts w:ascii="Times New Roman;serif" w:hAnsi="Times New Roman;serif"/>
          <w:b w:val="false"/>
          <w:sz w:val="20"/>
          <w:u w:val="single"/>
        </w:rPr>
        <w:t>Notices</w:t>
      </w:r>
      <w:r>
        <w:rPr>
          <w:rFonts w:ascii="Times New Roman;serif" w:hAnsi="Times New Roman;serif"/>
          <w:b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pStyle w:val="TextBody"/>
        <w:spacing w:before="0" w:after="240"/>
        <w:jc w:val="left"/>
        <w:rPr>
          <w:rFonts w:ascii="Times New Roman" w:hAnsi="Times New Roman"/>
          <w:b w:val="false"/>
          <w:sz w:val="20"/>
        </w:rPr>
      </w:pPr>
      <w:r>
        <w:rPr>
          <w:rFonts w:ascii="Times New Roman" w:hAnsi="Times New Roman"/>
          <w:b w:val="false"/>
          <w:sz w:val="20"/>
        </w:rPr>
        <w:t>20.</w:t>
      </w:r>
    </w:p>
    <w:p>
      <w:pPr>
        <w:pStyle w:val="TextBody"/>
        <w:spacing w:before="0" w:after="240"/>
        <w:jc w:val="left"/>
        <w:rPr/>
      </w:pPr>
      <w:r>
        <w:rPr>
          <w:rFonts w:ascii="Times New Roman;serif" w:hAnsi="Times New Roman;serif"/>
          <w:b w:val="false"/>
          <w:sz w:val="20"/>
          <w:u w:val="single"/>
        </w:rPr>
        <w:t>Amendment</w:t>
      </w:r>
      <w:r>
        <w:rPr>
          <w:rFonts w:ascii="Times New Roman;serif" w:hAnsi="Times New Roman;serif"/>
          <w:b w:val="false"/>
          <w:sz w:val="20"/>
        </w:rPr>
        <w:t>. This Agreement may be amended or modified only by a written instrument signed by you and by a duly authorized representative of the Company.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21.</w:t>
      </w:r>
    </w:p>
    <w:p>
      <w:pPr>
        <w:pStyle w:val="TextBody"/>
        <w:spacing w:before="0" w:after="240"/>
        <w:jc w:val="left"/>
        <w:rPr/>
      </w:pPr>
      <w:r>
        <w:rPr>
          <w:rFonts w:ascii="Times New Roman;serif" w:hAnsi="Times New Roman;serif"/>
          <w:b w:val="false"/>
          <w:sz w:val="20"/>
          <w:u w:val="single"/>
        </w:rPr>
        <w:t>Effect on Other Plans and Agreements</w:t>
      </w:r>
      <w:r>
        <w:rPr>
          <w:rFonts w:ascii="Times New Roman;serif" w:hAnsi="Times New Roman;serif"/>
          <w:b w:val="false"/>
          <w:sz w:val="20"/>
        </w:rPr>
        <w:t xml:space="preserve">.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 </w:t>
      </w:r>
    </w:p>
    <w:p>
      <w:pPr>
        <w:pStyle w:val="TextBody"/>
        <w:spacing w:before="0" w:after="240"/>
        <w:jc w:val="left"/>
        <w:rPr>
          <w:rFonts w:ascii="Times New Roman" w:hAnsi="Times New Roman"/>
          <w:b w:val="false"/>
          <w:sz w:val="20"/>
        </w:rPr>
      </w:pPr>
      <w:r>
        <w:rPr>
          <w:rFonts w:ascii="Times New Roman" w:hAnsi="Times New Roman"/>
          <w:b w:val="false"/>
          <w:sz w:val="20"/>
        </w:rPr>
        <w:t>22.</w:t>
      </w:r>
    </w:p>
    <w:p>
      <w:pPr>
        <w:pStyle w:val="TextBody"/>
        <w:spacing w:before="0" w:after="240"/>
        <w:jc w:val="left"/>
        <w:rPr/>
      </w:pPr>
      <w:r>
        <w:rPr>
          <w:rFonts w:ascii="Times New Roman;serif" w:hAnsi="Times New Roman;serif"/>
          <w:b w:val="false"/>
          <w:sz w:val="20"/>
          <w:u w:val="single"/>
        </w:rPr>
        <w:t>Governing Law</w:t>
      </w:r>
      <w:r>
        <w:rPr>
          <w:rFonts w:ascii="Times New Roman;serif" w:hAnsi="Times New Roman;serif"/>
          <w:b w:val="false"/>
          <w:sz w:val="20"/>
        </w:rPr>
        <w:t>. This is a Massachusetts contract and shall be construed under and be governed in all respects by the laws of the Commonwealth</w:t>
      </w:r>
      <w:r>
        <w:rPr/>
        <w:t xml:space="preserve"> </w:t>
      </w:r>
      <w:r>
        <w:rPr>
          <w:rFonts w:ascii="Times New Roman;serif" w:hAnsi="Times New Roman;serif"/>
          <w:b w:val="false"/>
          <w:sz w:val="20"/>
        </w:rPr>
        <w:t>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spacing w:before="0" w:after="240"/>
        <w:jc w:val="left"/>
        <w:rPr>
          <w:rFonts w:ascii="Times New Roman" w:hAnsi="Times New Roman"/>
          <w:b w:val="false"/>
          <w:sz w:val="20"/>
        </w:rPr>
      </w:pPr>
      <w:r>
        <w:rPr>
          <w:rFonts w:ascii="Times New Roman" w:hAnsi="Times New Roman"/>
          <w:b w:val="false"/>
          <w:sz w:val="20"/>
        </w:rPr>
        <w:t>23.</w:t>
      </w:r>
    </w:p>
    <w:p>
      <w:pPr>
        <w:pStyle w:val="TextBody"/>
        <w:spacing w:before="0" w:after="240"/>
        <w:jc w:val="left"/>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WITNESS WHEREOF, the parties have executed this Agreement effective on the Effective Date.</w:t>
      </w:r>
    </w:p>
    <w:p>
      <w:pPr>
        <w:pStyle w:val="TextBody"/>
        <w:spacing w:before="0" w:after="0"/>
        <w:jc w:val="left"/>
        <w:rPr/>
      </w:pPr>
      <w:r>
        <w:rPr/>
        <w:t> </w:t>
      </w:r>
    </w:p>
    <w:tbl>
      <w:tblPr>
        <w:tblW w:w="3778" w:type="dxa"/>
        <w:jc w:val="left"/>
        <w:tblInd w:w="0" w:type="dxa"/>
        <w:tblCellMar>
          <w:top w:w="28" w:type="dxa"/>
          <w:left w:w="28" w:type="dxa"/>
          <w:bottom w:w="28" w:type="dxa"/>
          <w:right w:w="28" w:type="dxa"/>
        </w:tblCellMar>
      </w:tblPr>
      <w:tblGrid>
        <w:gridCol w:w="421"/>
        <w:gridCol w:w="146"/>
        <w:gridCol w:w="3211"/>
      </w:tblGrid>
      <w:tr>
        <w:trPr/>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77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DISC MEDICINE, INC.</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D. Quisel</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77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EXECUTIVE</w:t>
            </w:r>
          </w:p>
        </w:tc>
      </w:tr>
      <w:tr>
        <w:trPr/>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William Savage</w:t>
            </w:r>
          </w:p>
        </w:tc>
      </w:tr>
      <w:tr>
        <w:trPr/>
        <w:tc>
          <w:tcPr>
            <w:tcW w:w="56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77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Savage, MD, Ph.D.</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Exhibit A</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Restrictive Covenants Agreement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r>
        <w:br w:type="page"/>
      </w:r>
    </w:p>
    <w:p>
      <w:pPr>
        <w:pStyle w:val="TextBody"/>
        <w:spacing w:before="0" w:after="0"/>
        <w:jc w:val="right"/>
        <w:rPr/>
      </w:pPr>
      <w:bookmarkStart w:id="44" w:name="iron-ex10_20.htm"/>
      <w:bookmarkStart w:id="45" w:name="ksironex10_20"/>
      <w:bookmarkEnd w:id="44"/>
      <w:bookmarkEnd w:id="45"/>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10.20</w:t>
      </w:r>
    </w:p>
    <w:p>
      <w:pPr>
        <w:pStyle w:val="TextBody"/>
        <w:spacing w:before="0" w:after="360"/>
        <w:jc w:val="center"/>
        <w:rPr>
          <w:rFonts w:ascii="Times New Roman;serif" w:hAnsi="Times New Roman;serif"/>
          <w:b/>
          <w:caps/>
          <w:sz w:val="20"/>
        </w:rPr>
      </w:pPr>
      <w:r>
        <w:rPr>
          <w:rFonts w:ascii="Times New Roman;serif" w:hAnsi="Times New Roman;serif"/>
          <w:b/>
          <w:caps/>
          <w:sz w:val="20"/>
        </w:rPr>
        <w:t>DISC MEDICINE, INC.</w:t>
      </w:r>
    </w:p>
    <w:p>
      <w:pPr>
        <w:pStyle w:val="TextBody"/>
        <w:spacing w:before="0" w:after="360"/>
        <w:jc w:val="center"/>
        <w:rPr>
          <w:rFonts w:ascii="Times New Roman;serif" w:hAnsi="Times New Roman;serif"/>
          <w:b/>
          <w:caps/>
          <w:sz w:val="20"/>
        </w:rPr>
      </w:pPr>
      <w:r>
        <w:rPr>
          <w:rFonts w:ascii="Times New Roman;serif" w:hAnsi="Times New Roman;serif"/>
          <w:b/>
          <w:caps/>
          <w:sz w:val="20"/>
        </w:rPr>
        <w:t>EMPLOYMENT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This Employment Agreement (“Agreement”) is made between Disc Medicine, Inc. (formerly Gemini Therapeutics, Inc.), (the “Company”), and Jonathan Yu (the “You”) and is effective as of the closing of the proposed business combination among the Company, Disc Medicine Opco, Inc. (formerly Disc Medicine, Inc.) and Gemstone Merger Sub, Inc. pursuant to that certain Agreement and Plan of Merger, dated as of August 9, 2022 (the “Effective Date”). Except with respect to the Restrictive Covenants Agreement and the Equity Documents (each as defined below), this Agreement supersedes in all respects all prior agreements between you and Disc Medicine, Inc., predecessor in interest to the Company, regarding the subject matter herein, including without limitation the offer letter between you and Disc Medicine, Inc. dated May 4, 2020 (the “Prior Agreement”).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WHEREAS, the Company desires to continue to employ you and you desire to continue to be employed by the Company on the new terms and conditions contained herein.</w:t>
      </w:r>
    </w:p>
    <w:p>
      <w:pPr>
        <w:pStyle w:val="TextBody"/>
        <w:spacing w:before="0" w:after="240"/>
        <w:jc w:val="left"/>
        <w:rPr>
          <w:rFonts w:ascii="Times New Roman" w:hAnsi="Times New Roman"/>
          <w:sz w:val="20"/>
        </w:rPr>
      </w:pPr>
      <w:r>
        <w:rPr>
          <w:rFonts w:ascii="Times New Roman;serif" w:hAnsi="Times New Roman;serif"/>
          <w:b w:val="false"/>
          <w:sz w:val="20"/>
        </w:rPr>
        <w:t>NOW, THEREFORE,</w:t>
      </w:r>
      <w:r>
        <w:rPr>
          <w:rFonts w:ascii="Times New Roman" w:hAnsi="Times New Roman"/>
          <w:sz w:val="20"/>
        </w:rPr>
        <w:t xml:space="preserve"> </w:t>
      </w:r>
      <w:r>
        <w:rPr>
          <w:rFonts w:ascii="Times New Roman;serif" w:hAnsi="Times New Roman;serif"/>
          <w:b w:val="false"/>
          <w:sz w:val="20"/>
        </w:rPr>
        <w:t>in consideration of the mutual covenants and agreements herein contained and other good and valuable consideration, the receipt and sufficiency of which is hereby acknowledged, the parties agree as follows:</w:t>
      </w:r>
    </w:p>
    <w:p>
      <w:pPr>
        <w:pStyle w:val="TextBody"/>
        <w:spacing w:before="0" w:after="240"/>
        <w:jc w:val="left"/>
        <w:rPr>
          <w:rFonts w:ascii="Times New Roman" w:hAnsi="Times New Roman"/>
          <w:b w:val="false"/>
          <w:sz w:val="20"/>
        </w:rPr>
      </w:pPr>
      <w:r>
        <w:rPr>
          <w:rFonts w:ascii="Times New Roman" w:hAnsi="Times New Roman"/>
          <w:b w:val="false"/>
          <w:sz w:val="20"/>
        </w:rPr>
        <w:t>1.</w:t>
      </w:r>
    </w:p>
    <w:p>
      <w:pPr>
        <w:pStyle w:val="TextBody"/>
        <w:spacing w:before="0" w:after="240"/>
        <w:jc w:val="left"/>
        <w:rPr/>
      </w:pPr>
      <w:r>
        <w:rPr>
          <w:rFonts w:ascii="Times New Roman;serif" w:hAnsi="Times New Roman;serif"/>
          <w:b w:val="false"/>
          <w:sz w:val="20"/>
          <w:u w:val="single"/>
        </w:rPr>
        <w:t>Employment</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Term</w:t>
      </w:r>
      <w:r>
        <w:rPr>
          <w:rFonts w:ascii="Times New Roman;serif" w:hAnsi="Times New Roman;serif"/>
          <w:b w:val="false"/>
          <w:sz w:val="20"/>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continue to be “at will,” meaning that your employment may be terminated by the Company or you at any time and for any reason subject to the terms of this Agreement.</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Position and Duties</w:t>
      </w:r>
      <w:r>
        <w:rPr>
          <w:rFonts w:ascii="Times New Roman;serif" w:hAnsi="Times New Roman;serif"/>
          <w:b w:val="false"/>
          <w:sz w:val="20"/>
        </w:rPr>
        <w:t>. You shall serve as the Chief Business Officer of the Company and shall report directly to the Chief Executive Officer (“CEO”). You shall have such powers and duties as may from time to time be prescribed by the CEO or other duly authorized executive which are consistent with your position as Chief Business Officer. You shall devote your full working time and efforts to the business and affairs of the Company. Notwithstanding the 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pStyle w:val="TextBody"/>
        <w:spacing w:before="0" w:after="240"/>
        <w:jc w:val="left"/>
        <w:rPr>
          <w:rFonts w:ascii="Times New Roman" w:hAnsi="Times New Roman"/>
          <w:b w:val="false"/>
          <w:sz w:val="20"/>
        </w:rPr>
      </w:pPr>
      <w:r>
        <w:rPr>
          <w:rFonts w:ascii="Times New Roman" w:hAnsi="Times New Roman"/>
          <w:b w:val="false"/>
          <w:sz w:val="20"/>
        </w:rPr>
        <w:t>2.</w:t>
      </w:r>
    </w:p>
    <w:p>
      <w:pPr>
        <w:pStyle w:val="TextBody"/>
        <w:spacing w:before="0" w:after="240"/>
        <w:jc w:val="left"/>
        <w:rPr/>
      </w:pPr>
      <w:r>
        <w:rPr>
          <w:rFonts w:ascii="Times New Roman;serif" w:hAnsi="Times New Roman;serif"/>
          <w:b w:val="false"/>
          <w:sz w:val="20"/>
          <w:u w:val="single"/>
        </w:rPr>
        <w:t>Compensation and Related Matters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Base Salary</w:t>
      </w:r>
      <w:r>
        <w:rPr>
          <w:rFonts w:ascii="Times New Roman;serif" w:hAnsi="Times New Roman;serif"/>
          <w:b w:val="false"/>
          <w:sz w:val="20"/>
        </w:rPr>
        <w:t>. Your initial base salary shall be paid at the rate of $400,000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w:t>
      </w:r>
      <w:r>
        <w:rPr/>
        <w:t xml:space="preserve"> </w:t>
      </w:r>
      <w:r>
        <w:rPr>
          <w:rFonts w:ascii="Times New Roman;serif" w:hAnsi="Times New Roman;serif"/>
          <w:b w:val="false"/>
          <w:sz w:val="20"/>
        </w:rPr>
        <w:t>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Incentive Compensation</w:t>
      </w:r>
      <w:r>
        <w:rPr>
          <w:rFonts w:ascii="Times New Roman;serif" w:hAnsi="Times New Roman;serif"/>
          <w:b w:val="false"/>
          <w:sz w:val="20"/>
        </w:rPr>
        <w:t xml:space="preserve">. You shall be eligible to receive cash incentive compensation as determined by the Board or the Compensation Committee from time to time. Your target annual incentive </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left"/>
        <w:rPr/>
      </w:pPr>
      <w:r>
        <w:rPr>
          <w:rFonts w:ascii="Times New Roman;serif" w:hAnsi="Times New Roman;serif"/>
          <w:b w:val="false"/>
          <w:sz w:val="20"/>
        </w:rPr>
        <w:t>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 “Bonus”).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Expenses</w:t>
      </w:r>
      <w:r>
        <w:rPr>
          <w:rFonts w:ascii="Times New Roman;serif" w:hAnsi="Times New Roman;serif"/>
          <w:b w:val="false"/>
          <w:sz w:val="20"/>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Other Benefits</w:t>
      </w:r>
      <w:r>
        <w:rPr>
          <w:rFonts w:ascii="Times New Roman;serif" w:hAnsi="Times New Roman;serif"/>
          <w:b w:val="false"/>
          <w:sz w:val="20"/>
        </w:rPr>
        <w:t>. You shall be eligible to participate in or receive benefits under the Company’s employee benefit plans in effect from time to time, subject to the terms of such plans.</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Paid Time Off</w:t>
      </w:r>
      <w:r>
        <w:rPr>
          <w:rFonts w:ascii="Times New Roman;serif" w:hAnsi="Times New Roman;serif"/>
          <w:b w:val="false"/>
          <w:sz w:val="20"/>
        </w:rPr>
        <w:t xml:space="preserve">. You shall be entitled to take paid time off in accordance with the Company’s applicable paid time off policy for executives, as may be in effect from time to time. You shall also be entitled to all paid holidays given by the Company to its employees. </w:t>
      </w:r>
    </w:p>
    <w:p>
      <w:pPr>
        <w:pStyle w:val="TextBody"/>
        <w:spacing w:before="0" w:after="240"/>
        <w:jc w:val="left"/>
        <w:rPr>
          <w:rFonts w:ascii="Times New Roman" w:hAnsi="Times New Roman"/>
          <w:b w:val="false"/>
          <w:sz w:val="20"/>
        </w:rPr>
      </w:pPr>
      <w:r>
        <w:rPr>
          <w:rFonts w:ascii="Times New Roman" w:hAnsi="Times New Roman"/>
          <w:b w:val="false"/>
          <w:sz w:val="20"/>
        </w:rPr>
        <w:t>(f)</w:t>
      </w:r>
    </w:p>
    <w:p>
      <w:pPr>
        <w:pStyle w:val="TextBody"/>
        <w:spacing w:before="0" w:after="240"/>
        <w:jc w:val="left"/>
        <w:rPr/>
      </w:pPr>
      <w:r>
        <w:rPr>
          <w:rFonts w:ascii="Times New Roman;serif" w:hAnsi="Times New Roman;serif"/>
          <w:b w:val="false"/>
          <w:sz w:val="20"/>
          <w:u w:val="single"/>
        </w:rPr>
        <w:t>Equity</w:t>
      </w:r>
      <w:r>
        <w:rPr>
          <w:rFonts w:ascii="Times New Roman;serif" w:hAnsi="Times New Roman;serif"/>
          <w:b w:val="false"/>
          <w:sz w:val="20"/>
        </w:rPr>
        <w:t>. The equity awards held by you shall continue to be governed by the terms and conditions of the Company’s applicable equity incentive plan(s) and the applicable award agreement(s) governing the terms of such equity awards held by you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pStyle w:val="TextBody"/>
        <w:spacing w:before="0" w:after="240"/>
        <w:jc w:val="left"/>
        <w:rPr>
          <w:rFonts w:ascii="Times New Roman" w:hAnsi="Times New Roman"/>
          <w:b w:val="false"/>
          <w:sz w:val="20"/>
        </w:rPr>
      </w:pPr>
      <w:r>
        <w:rPr>
          <w:rFonts w:ascii="Times New Roman" w:hAnsi="Times New Roman"/>
          <w:b w:val="false"/>
          <w:sz w:val="20"/>
        </w:rPr>
        <w:t>3.</w:t>
      </w:r>
    </w:p>
    <w:p>
      <w:pPr>
        <w:pStyle w:val="TextBody"/>
        <w:spacing w:before="0" w:after="240"/>
        <w:jc w:val="left"/>
        <w:rPr/>
      </w:pPr>
      <w:r>
        <w:rPr>
          <w:rFonts w:ascii="Times New Roman;serif" w:hAnsi="Times New Roman;serif"/>
          <w:b w:val="false"/>
          <w:sz w:val="20"/>
          <w:u w:val="single"/>
        </w:rPr>
        <w:t>Termination</w:t>
      </w:r>
      <w:r>
        <w:rPr>
          <w:rFonts w:ascii="Times New Roman;serif" w:hAnsi="Times New Roman;serif"/>
          <w:b w:val="false"/>
          <w:sz w:val="20"/>
        </w:rPr>
        <w:t>. Your employment hereunder may be terminated without any breach of this Agreement under the following circumstances:</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Death</w:t>
      </w:r>
      <w:r>
        <w:rPr>
          <w:rFonts w:ascii="Times New Roman;serif" w:hAnsi="Times New Roman;serif"/>
          <w:b w:val="false"/>
          <w:sz w:val="20"/>
        </w:rPr>
        <w:t>. Your employment hereunder shall terminate upon your death.</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Disability</w:t>
      </w:r>
      <w:r>
        <w:rPr>
          <w:rFonts w:ascii="Times New Roman;serif" w:hAnsi="Times New Roman;serif"/>
          <w:b w:val="false"/>
          <w:sz w:val="20"/>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serif" w:hAnsi="Times New Roman;serif"/>
          <w:b w:val="false"/>
          <w:i/>
          <w:sz w:val="20"/>
        </w:rPr>
        <w:t>et seq</w:t>
      </w:r>
      <w:r>
        <w:rPr>
          <w:rFonts w:ascii="Times New Roman;serif" w:hAnsi="Times New Roman;serif"/>
          <w:b w:val="false"/>
          <w:sz w:val="20"/>
        </w:rPr>
        <w:t xml:space="preserve">. and the Americans with Disabilities Act, 42 U.S.C. §12101 </w:t>
      </w:r>
      <w:r>
        <w:rPr>
          <w:rFonts w:ascii="Times New Roman;serif" w:hAnsi="Times New Roman;serif"/>
          <w:b w:val="false"/>
          <w:i/>
          <w:sz w:val="20"/>
        </w:rPr>
        <w:t>et seq.</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Termination by Company for Cause</w:t>
      </w:r>
      <w:r>
        <w:rPr>
          <w:rFonts w:ascii="Times New Roman;serif" w:hAnsi="Times New Roman;serif"/>
          <w:b w:val="false"/>
          <w:sz w:val="20"/>
        </w:rPr>
        <w:t xml:space="preserve">. The Company may terminate your employment hereunder for Cause. For purposes of this Agreement, “Cause” shall mean any of the following: </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pPr>
      <w:r>
        <w:rPr>
          <w:rFonts w:ascii="Times New Roman;serif" w:hAnsi="Times New Roman;serif"/>
          <w:b w:val="false"/>
          <w:sz w:val="20"/>
        </w:rPr>
        <w:t xml:space="preserve">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 or (C) intentional misappropriation of funds or property of the Company or any of its subsidiaries or affiliates other than the occasional, customary and </w:t>
      </w:r>
      <w:r>
        <w:rPr>
          <w:rFonts w:ascii="Times New Roman;serif" w:hAnsi="Times New Roman;serif"/>
          <w:b w:val="false"/>
          <w:i/>
          <w:sz w:val="20"/>
        </w:rPr>
        <w:t>de minimis</w:t>
      </w:r>
      <w:r>
        <w:rPr/>
        <w:t xml:space="preserve"> </w:t>
      </w:r>
      <w:r>
        <w:rPr>
          <w:rFonts w:ascii="Times New Roman;serif" w:hAnsi="Times New Roman;serif"/>
          <w:b w:val="false"/>
          <w:sz w:val="20"/>
        </w:rPr>
        <w:t xml:space="preserve">use of Company property for personal purposes;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the commission by you of (A) any felony or (B) a misdemeanor involving moral turpitude, deceit, dishonesty or fraud;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any intentional misconduct by you, regardless of whether or not in the course of your employment, that results in material injury or material reputational harm to the Company or any of its subsidiaries or affiliates if you were to continue to be employed in the same position; </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your continued willful non-performance by you of your duties hereunder (other than by reason of your physical or mental illness, incapacity or Disability) which has continued for more than 30 days following written notice of such non-performance from the CEO; </w:t>
      </w:r>
    </w:p>
    <w:p>
      <w:pPr>
        <w:pStyle w:val="TextBody"/>
        <w:spacing w:before="0" w:after="240"/>
        <w:jc w:val="left"/>
        <w:rPr>
          <w:rFonts w:ascii="Times New Roman" w:hAnsi="Times New Roman"/>
          <w:b w:val="false"/>
          <w:sz w:val="20"/>
        </w:rPr>
      </w:pPr>
      <w:r>
        <w:rPr>
          <w:rFonts w:ascii="Times New Roman" w:hAnsi="Times New Roman"/>
          <w:b w:val="false"/>
          <w:sz w:val="20"/>
        </w:rPr>
        <w:t>(v)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pStyle w:val="TextBody"/>
        <w:spacing w:before="0" w:after="240"/>
        <w:jc w:val="left"/>
        <w:rPr>
          <w:rFonts w:ascii="Times New Roman" w:hAnsi="Times New Roman"/>
          <w:b w:val="false"/>
          <w:sz w:val="20"/>
        </w:rPr>
      </w:pPr>
      <w:r>
        <w:rPr>
          <w:rFonts w:ascii="Times New Roman" w:hAnsi="Times New Roman"/>
          <w:b w:val="false"/>
          <w:sz w:val="20"/>
        </w:rPr>
        <w:t>(vi)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Termination by the Company without Cause</w:t>
      </w:r>
      <w:r>
        <w:rPr>
          <w:rFonts w:ascii="Times New Roman;serif" w:hAnsi="Times New Roman;serif"/>
          <w:b w:val="false"/>
          <w:sz w:val="20"/>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Termination by You</w:t>
      </w:r>
      <w:r>
        <w:rPr>
          <w:rFonts w:ascii="Times New Roman;serif" w:hAnsi="Times New Roman;serif"/>
          <w:b w:val="false"/>
          <w:sz w:val="20"/>
        </w:rPr>
        <w:t xml:space="preserve">.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 </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diminution in your responsibilities, authority or duties</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 material diminution in your Base Salary except for across-the-board salary reductions of no greater than 10% based on the Company’s financial performance similarly affecting all or substantially all senior management employees of the Company;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material change of at least thirty (30) miles of the location of the physical Company office to which you report (which to avoid doubt does not include any home office you may have); or</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 breach by the Company of the material terms of this Agreement or any other written agreement between the Company and you. </w:t>
      </w:r>
    </w:p>
    <w:p>
      <w:pPr>
        <w:pStyle w:val="TextBody"/>
        <w:spacing w:before="0" w:after="240"/>
        <w:jc w:val="left"/>
        <w:rPr>
          <w:rFonts w:ascii="Times New Roman" w:hAnsi="Times New Roman"/>
          <w:sz w:val="20"/>
        </w:rPr>
      </w:pPr>
      <w:r>
        <w:rPr>
          <w:rFonts w:ascii="Times New Roman;serif" w:hAnsi="Times New Roman;serif"/>
          <w:b w:val="false"/>
          <w:sz w:val="20"/>
        </w:rPr>
        <w:t>The “Good Reason Process” consists of the following steps:</w:t>
      </w:r>
      <w:r>
        <w:rPr>
          <w:rFonts w:ascii="Times New Roman" w:hAnsi="Times New Roman"/>
          <w:sz w:val="20"/>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(v)</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reasonably determine in good faith that a Good Reason Condition has occurred; </w:t>
      </w:r>
    </w:p>
    <w:p>
      <w:pPr>
        <w:pStyle w:val="TextBody"/>
        <w:spacing w:before="0" w:after="240"/>
        <w:jc w:val="left"/>
        <w:rPr>
          <w:rFonts w:ascii="Times New Roman" w:hAnsi="Times New Roman"/>
          <w:b w:val="false"/>
          <w:sz w:val="20"/>
        </w:rPr>
      </w:pPr>
      <w:r>
        <w:rPr>
          <w:rFonts w:ascii="Times New Roman" w:hAnsi="Times New Roman"/>
          <w:b w:val="false"/>
          <w:sz w:val="20"/>
        </w:rPr>
        <w:t>(vi)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 notify the Company in writing of the first occurrence of the Good Reason Condition within 60 days of the first occurrence of such condition;</w:t>
      </w:r>
    </w:p>
    <w:p>
      <w:pPr>
        <w:pStyle w:val="TextBody"/>
        <w:spacing w:before="0" w:after="240"/>
        <w:jc w:val="left"/>
        <w:rPr>
          <w:rFonts w:ascii="Times New Roman" w:hAnsi="Times New Roman"/>
          <w:b w:val="false"/>
          <w:sz w:val="20"/>
        </w:rPr>
      </w:pPr>
      <w:r>
        <w:rPr>
          <w:rFonts w:ascii="Times New Roman" w:hAnsi="Times New Roman"/>
          <w:b w:val="false"/>
          <w:sz w:val="20"/>
        </w:rPr>
        <w:t>(vii)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cooperate in good faith with the Company’s efforts, for a period of not less than 30 days following such notice (the “Cure Period”), to remedy the Good Reason Condition; </w:t>
      </w:r>
    </w:p>
    <w:p>
      <w:pPr>
        <w:pStyle w:val="TextBody"/>
        <w:spacing w:before="0" w:after="240"/>
        <w:jc w:val="left"/>
        <w:rPr>
          <w:rFonts w:ascii="Times New Roman" w:hAnsi="Times New Roman"/>
          <w:b w:val="false"/>
          <w:sz w:val="20"/>
        </w:rPr>
      </w:pPr>
      <w:r>
        <w:rPr>
          <w:rFonts w:ascii="Times New Roman" w:hAnsi="Times New Roman"/>
          <w:b w:val="false"/>
          <w:sz w:val="20"/>
        </w:rPr>
        <w:t>(viii)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notwithstanding such Cure Period, the Good Reason Condition continues to exist; and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(ix)</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you terminate employment within 60 days after the end of the Cure Period.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the Company cures the Good Reason Condition during the Cure Period, Good Reason shall be deemed not to have occurred.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(v) will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4.</w:t>
      </w:r>
    </w:p>
    <w:p>
      <w:pPr>
        <w:pStyle w:val="TextBody"/>
        <w:spacing w:before="0" w:after="240"/>
        <w:jc w:val="left"/>
        <w:rPr/>
      </w:pPr>
      <w:r>
        <w:rPr>
          <w:rFonts w:ascii="Times New Roman;serif" w:hAnsi="Times New Roman;serif"/>
          <w:b w:val="false"/>
          <w:sz w:val="20"/>
          <w:u w:val="single"/>
        </w:rPr>
        <w:t>Notice and Date of Termination</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Notice of Termination</w:t>
      </w:r>
      <w:r>
        <w:rPr>
          <w:rFonts w:ascii="Times New Roman;serif" w:hAnsi="Times New Roman;serif"/>
          <w:b w:val="false"/>
          <w:sz w:val="20"/>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Date of Termination</w:t>
      </w:r>
      <w:r>
        <w:rPr>
          <w:rFonts w:ascii="Times New Roman;serif" w:hAnsi="Times New Roman;serif"/>
          <w:b w:val="false"/>
          <w:sz w:val="20"/>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w:t>
      </w:r>
    </w:p>
    <w:p>
      <w:pPr>
        <w:pStyle w:val="TextBody"/>
        <w:spacing w:before="0" w:after="240"/>
        <w:jc w:val="left"/>
        <w:rPr>
          <w:rFonts w:ascii="Times New Roman" w:hAnsi="Times New Roman"/>
          <w:b w:val="false"/>
          <w:sz w:val="20"/>
        </w:rPr>
      </w:pPr>
      <w:r>
        <w:rPr>
          <w:rFonts w:ascii="Times New Roman" w:hAnsi="Times New Roman"/>
          <w:b w:val="false"/>
          <w:sz w:val="20"/>
        </w:rPr>
        <w:t>5.</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Outside the Change in Control Period</w:t>
      </w:r>
      <w:r>
        <w:rPr>
          <w:rFonts w:ascii="Times New Roman;serif" w:hAnsi="Times New Roman;serif"/>
          <w:b w:val="false"/>
          <w:sz w:val="20"/>
        </w:rPr>
        <w:t>. If your employment is terminated by the Company without Cause as provided in Section 3(d), or you terminate employment for Good Reason as provided in Section 3(e), each outside of the Change in Control Period (as defined below), then, in addition to the</w:t>
      </w:r>
      <w:r>
        <w:rPr/>
        <w:t xml:space="preserve"> </w:t>
      </w:r>
      <w:r>
        <w:rPr>
          <w:rFonts w:ascii="Times New Roman;serif" w:hAnsi="Times New Roman;serif"/>
          <w:b w:val="false"/>
          <w:sz w:val="20"/>
        </w:rPr>
        <w:t>Accrued Obligations, and subject to (i) your signing a separation agreement and release in a form and manner reasonably satisfactory to the Company, which shall include, without limitation, a general release of claims against the Company and all related persons and entities, a reaffirmation of all of your Continuing Obligations (as defined below</w:t>
      </w:r>
      <w:r>
        <w:rPr>
          <w:rFonts w:ascii="Times New Roman;serif" w:hAnsi="Times New Roman;serif"/>
          <w:b/>
          <w:sz w:val="20"/>
        </w:rPr>
        <w:t>)</w:t>
      </w:r>
      <w:r>
        <w:rPr>
          <w:rFonts w:ascii="Times New Roman;serif" w:hAnsi="Times New Roman;serif"/>
          <w:b w:val="false"/>
          <w:sz w:val="20"/>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rPr>
        <w:t>the Company shall pay you an amount equal to</w:t>
      </w:r>
      <w:r>
        <w:rPr/>
        <w:t xml:space="preserve"> </w:t>
      </w:r>
      <w:r>
        <w:rPr>
          <w:rFonts w:ascii="Times New Roman;serif" w:hAnsi="Times New Roman;serif"/>
          <w:b w:val="false"/>
          <w:sz w:val="20"/>
        </w:rPr>
        <w:t>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 lump sum payment of any earned, but unpaid Bonus for the fiscal year prior to the fiscal year of your Date of Termination, to be paid at the same time as the Company pays bonuses to similarly situated executives, but in no event later than the end of the taxable year in which the Date of Termination occurs; and</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pStyle w:val="TextBody"/>
        <w:spacing w:before="0" w:after="240"/>
        <w:jc w:val="left"/>
        <w:rPr>
          <w:rFonts w:ascii="Times New Roman" w:hAnsi="Times New Roman"/>
          <w:sz w:val="20"/>
        </w:rPr>
      </w:pPr>
      <w:r>
        <w:rPr>
          <w:rFonts w:ascii="Times New Roman;serif" w:hAnsi="Times New Roman;serif"/>
          <w:b w:val="false"/>
          <w:sz w:val="20"/>
        </w:rPr>
        <w:t>The amounts payable under Sections 5(a) and (c), to the extent taxable, shall be paid out in substantially equal installments in accordance with the Company’s payroll practice over nine (9) months commencing within 60</w:t>
      </w:r>
      <w:r>
        <w:rPr>
          <w:rFonts w:ascii="Times New Roman" w:hAnsi="Times New Roman"/>
          <w:sz w:val="20"/>
        </w:rPr>
        <w:t xml:space="preserve"> </w:t>
      </w:r>
      <w:r>
        <w:rPr>
          <w:rFonts w:ascii="Times New Roman;serif" w:hAnsi="Times New Roman;serif"/>
          <w:b w:val="false"/>
          <w:sz w:val="20"/>
        </w:rPr>
        <w:t>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pStyle w:val="TextBody"/>
        <w:spacing w:before="0" w:after="240"/>
        <w:jc w:val="left"/>
        <w:rPr>
          <w:rFonts w:ascii="Times New Roman" w:hAnsi="Times New Roman"/>
          <w:b w:val="false"/>
          <w:sz w:val="20"/>
        </w:rPr>
      </w:pPr>
      <w:r>
        <w:rPr>
          <w:rFonts w:ascii="Times New Roman" w:hAnsi="Times New Roman"/>
          <w:b w:val="false"/>
          <w:sz w:val="20"/>
        </w:rPr>
        <w:t>6.</w:t>
      </w:r>
    </w:p>
    <w:p>
      <w:pPr>
        <w:pStyle w:val="TextBody"/>
        <w:spacing w:before="0" w:after="240"/>
        <w:jc w:val="left"/>
        <w:rPr/>
      </w:pPr>
      <w:r>
        <w:rPr>
          <w:rFonts w:ascii="Times New Roman;serif" w:hAnsi="Times New Roman;serif"/>
          <w:b w:val="false"/>
          <w:sz w:val="20"/>
          <w:u w:val="single"/>
        </w:rPr>
        <w:t>Severance Pay and Benefits Upon Termination by the Company without Cause or by You for Good Reason within the Change in Control Period</w:t>
      </w:r>
      <w:r>
        <w:rPr>
          <w:rFonts w:ascii="Times New Roman;serif" w:hAnsi="Times New Roman;serif"/>
          <w:b w:val="false"/>
          <w:sz w:val="20"/>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 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If your employment is terminated by the Company without Cause as provided in Section 3(d) or you terminate employment for Good Reason as provided in Section 3(e) and in each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pStyle w:val="TextBody"/>
        <w:spacing w:before="0" w:after="240"/>
        <w:jc w:val="left"/>
        <w:rPr>
          <w:rFonts w:ascii="Times New Roman" w:hAnsi="Times New Roman"/>
          <w:b w:val="false"/>
          <w:sz w:val="20"/>
        </w:rPr>
      </w:pPr>
      <w:r>
        <w:rPr>
          <w:rFonts w:ascii="Times New Roman" w:hAnsi="Times New Roman"/>
          <w:b w:val="false"/>
          <w:sz w:val="20"/>
        </w:rPr>
        <w:t>(i)</w:t>
      </w:r>
    </w:p>
    <w:p>
      <w:pPr>
        <w:pStyle w:val="TextBody"/>
        <w:spacing w:before="0" w:after="240"/>
        <w:jc w:val="left"/>
        <w:rPr/>
      </w:pPr>
      <w:r>
        <w:rPr>
          <w:rFonts w:ascii="Times New Roman;serif" w:hAnsi="Times New Roman;serif"/>
          <w:b w:val="false"/>
          <w:sz w:val="20"/>
        </w:rPr>
        <w:t>the Company shall pay you a lump sum in cash in an amount equal to the sum of</w:t>
      </w:r>
      <w:r>
        <w:rPr/>
        <w:t xml:space="preserve"> </w:t>
      </w:r>
      <w:r>
        <w:rPr>
          <w:rFonts w:ascii="Times New Roman;serif" w:hAnsi="Times New Roman;serif"/>
          <w:b w:val="false"/>
          <w:sz w:val="20"/>
        </w:rPr>
        <w:t>(A)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pPr>
      <w:r>
        <w:rPr>
          <w:rFonts w:ascii="Times New Roman;serif" w:hAnsi="Times New Roman;serif"/>
          <w:b w:val="false"/>
          <w:sz w:val="20"/>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serif" w:hAnsi="Times New Roman;serif"/>
          <w:b w:val="false"/>
          <w:i/>
          <w:sz w:val="20"/>
        </w:rPr>
        <w:t>provided</w:t>
      </w:r>
      <w:r>
        <w:rPr/>
        <w:t xml:space="preserve"> </w:t>
      </w:r>
      <w:r>
        <w:rPr>
          <w:rFonts w:ascii="Times New Roman;serif" w:hAnsi="Times New Roman;serif"/>
          <w:b w:val="false"/>
          <w:sz w:val="20"/>
        </w:rPr>
        <w:t>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amounts payable under this Section 6(a) (other than 6(a)(i)(C)),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Additional Limitation</w:t>
      </w:r>
      <w:r>
        <w:rPr>
          <w:rFonts w:ascii="Times New Roman;serif" w:hAnsi="Times New Roman;serif"/>
          <w:b w:val="false"/>
          <w:sz w:val="20"/>
        </w:rPr>
        <w:t>.</w:t>
      </w:r>
    </w:p>
    <w:p>
      <w:pPr>
        <w:pStyle w:val="TextBody"/>
        <w:spacing w:before="120" w:after="0"/>
        <w:jc w:val="left"/>
        <w:rPr>
          <w:rFonts w:ascii="Times New Roman" w:hAnsi="Times New Roman"/>
          <w:b w:val="false"/>
          <w:sz w:val="20"/>
        </w:rPr>
      </w:pPr>
      <w:r>
        <w:rPr>
          <w:rFonts w:ascii="Times New Roman" w:hAnsi="Times New Roman"/>
          <w:b w:val="false"/>
          <w:sz w:val="20"/>
        </w:rPr>
        <w:t>(i)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spacing w:before="0" w:after="240"/>
        <w:jc w:val="left"/>
        <w:rPr>
          <w:rFonts w:ascii="Times New Roman" w:hAnsi="Times New Roman"/>
          <w:b w:val="false"/>
          <w:sz w:val="20"/>
        </w:rPr>
      </w:pPr>
      <w:r>
        <w:rPr>
          <w:rFonts w:ascii="Times New Roman" w:hAnsi="Times New Roman"/>
          <w:b w:val="false"/>
          <w:sz w:val="20"/>
        </w:rPr>
        <w:t>(ii)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right"/>
        <w:rPr/>
      </w:pPr>
      <w:r>
        <w:rPr/>
        <w:t> </w:t>
      </w:r>
    </w:p>
    <w:p>
      <w:pPr>
        <w:pStyle w:val="TextBody"/>
        <w:spacing w:before="0" w:after="240"/>
        <w:jc w:val="left"/>
        <w:rPr/>
      </w:pPr>
      <w:r>
        <w:rPr>
          <w:rFonts w:ascii="Times New Roman;serif" w:hAnsi="Times New Roman;serif"/>
          <w:b w:val="false"/>
          <w:sz w:val="20"/>
        </w:rPr>
        <w:t>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(iii)</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pStyle w:val="TextBody"/>
        <w:spacing w:before="0" w:after="240"/>
        <w:jc w:val="left"/>
        <w:rPr>
          <w:rFonts w:ascii="Times New Roman" w:hAnsi="Times New Roman"/>
          <w:b w:val="false"/>
          <w:sz w:val="20"/>
        </w:rPr>
      </w:pPr>
      <w:r>
        <w:rPr>
          <w:rFonts w:ascii="Times New Roman" w:hAnsi="Times New Roman"/>
          <w:b w:val="false"/>
          <w:sz w:val="20"/>
        </w:rPr>
        <w:t>(iv)</w:t>
      </w:r>
    </w:p>
    <w:p>
      <w:pPr>
        <w:pStyle w:val="TextBody"/>
        <w:spacing w:before="0" w:after="240"/>
        <w:jc w:val="left"/>
        <w:rPr/>
      </w:pPr>
      <w:r>
        <w:rPr>
          <w:rFonts w:ascii="Times New Roman;serif" w:hAnsi="Times New Roman;serif"/>
          <w:b w:val="false"/>
          <w:sz w:val="20"/>
          <w:u w:val="single"/>
        </w:rPr>
        <w:t>Definitions</w:t>
      </w:r>
      <w:r>
        <w:rPr>
          <w:rFonts w:ascii="Times New Roman;serif" w:hAnsi="Times New Roman;serif"/>
          <w:b w:val="false"/>
          <w:sz w:val="20"/>
        </w:rPr>
        <w:t xml:space="preserve">.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 </w:t>
      </w:r>
    </w:p>
    <w:p>
      <w:pPr>
        <w:pStyle w:val="TextBody"/>
        <w:spacing w:before="0" w:after="240"/>
        <w:jc w:val="left"/>
        <w:rPr>
          <w:rFonts w:ascii="Times New Roman" w:hAnsi="Times New Roman"/>
          <w:b w:val="false"/>
          <w:sz w:val="20"/>
        </w:rPr>
      </w:pPr>
      <w:r>
        <w:rPr>
          <w:rFonts w:ascii="Times New Roman" w:hAnsi="Times New Roman"/>
          <w:b w:val="false"/>
          <w:sz w:val="20"/>
        </w:rPr>
        <w:t>7.</w:t>
      </w:r>
    </w:p>
    <w:p>
      <w:pPr>
        <w:pStyle w:val="TextBody"/>
        <w:spacing w:before="0" w:after="240"/>
        <w:jc w:val="left"/>
        <w:rPr/>
      </w:pPr>
      <w:r>
        <w:rPr>
          <w:rFonts w:ascii="Times New Roman;serif" w:hAnsi="Times New Roman;serif"/>
          <w:b w:val="false"/>
          <w:sz w:val="20"/>
          <w:u w:val="single"/>
        </w:rPr>
        <w:t>Section 409A</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w:t>
        <w:noBreakHyphen/>
        <w:t>1(h).</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noBreakHyphen/>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spacing w:before="0" w:after="240"/>
        <w:jc w:val="left"/>
        <w:rPr>
          <w:rFonts w:ascii="Times New Roman" w:hAnsi="Times New Roman"/>
          <w:b w:val="false"/>
          <w:sz w:val="20"/>
        </w:rPr>
      </w:pPr>
      <w:r>
        <w:rPr>
          <w:rFonts w:ascii="Times New Roman" w:hAnsi="Times New Roman"/>
          <w:b w:val="false"/>
          <w:sz w:val="20"/>
        </w:rPr>
        <w:t>8.</w:t>
      </w:r>
    </w:p>
    <w:p>
      <w:pPr>
        <w:pStyle w:val="TextBody"/>
        <w:spacing w:before="0" w:after="240"/>
        <w:jc w:val="left"/>
        <w:rPr/>
      </w:pPr>
      <w:r>
        <w:rPr>
          <w:rFonts w:ascii="Times New Roman;serif" w:hAnsi="Times New Roman;serif"/>
          <w:b w:val="false"/>
          <w:sz w:val="20"/>
          <w:u w:val="single"/>
        </w:rPr>
        <w:t>Continuing Obligations</w:t>
      </w:r>
      <w:r>
        <w:rPr>
          <w:rFonts w:ascii="Times New Roman;serif" w:hAnsi="Times New Roman;serif"/>
          <w:b w:val="false"/>
          <w:sz w:val="20"/>
        </w:rPr>
        <w:t>.</w:t>
      </w:r>
      <w:r>
        <w:rPr>
          <w:u w:val="single"/>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Restrictive Covenants Agreement</w:t>
      </w:r>
      <w:r>
        <w:rPr>
          <w:rFonts w:ascii="Times New Roman;serif" w:hAnsi="Times New Roman;serif"/>
          <w:b w:val="false"/>
          <w:sz w:val="20"/>
        </w:rPr>
        <w:t xml:space="preserve">. The Disc Medicine, Inc. Employee Confidentiality, Assignment, Nonsolicitation and Noncompetition Agreement effective as of May 4, 2020 (the “Restrictive Covenants Agreement”), between Disc Medicine, Inc. and you, attached hereto as </w:t>
      </w:r>
      <w:r>
        <w:rPr>
          <w:rFonts w:ascii="Times New Roman;serif" w:hAnsi="Times New Roman;serif"/>
          <w:b w:val="false"/>
          <w:sz w:val="20"/>
          <w:u w:val="single"/>
        </w:rPr>
        <w:t>Exhibit A</w:t>
      </w:r>
      <w:r>
        <w:rPr>
          <w:rFonts w:ascii="Times New Roman;serif" w:hAnsi="Times New Roman;serif"/>
          <w:b w:val="false"/>
          <w:sz w:val="20"/>
        </w:rPr>
        <w:t xml:space="preserve">, continue to be in full force and effect. For purposes of this Agreement, the obligations in this Section 8 and those that arise in the Restrictive Covenants Agreement shall collectively be referred to as the “Continuing Obligations.” </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Third-Party Agreements and Rights</w:t>
      </w:r>
      <w:r>
        <w:rPr>
          <w:rFonts w:ascii="Times New Roman;serif" w:hAnsi="Times New Roman;serif"/>
          <w:b w:val="false"/>
          <w:sz w:val="20"/>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spacing w:before="0" w:after="240"/>
        <w:jc w:val="left"/>
        <w:rPr>
          <w:rFonts w:ascii="Times New Roman" w:hAnsi="Times New Roman"/>
          <w:b w:val="false"/>
          <w:sz w:val="20"/>
        </w:rPr>
      </w:pPr>
      <w:r>
        <w:rPr>
          <w:rFonts w:ascii="Times New Roman" w:hAnsi="Times New Roman"/>
          <w:b w:val="false"/>
          <w:sz w:val="20"/>
        </w:rPr>
        <w:t>(c)</w:t>
      </w:r>
    </w:p>
    <w:p>
      <w:pPr>
        <w:pStyle w:val="TextBody"/>
        <w:spacing w:before="0" w:after="240"/>
        <w:jc w:val="left"/>
        <w:rPr/>
      </w:pPr>
      <w:r>
        <w:rPr>
          <w:rFonts w:ascii="Times New Roman;serif" w:hAnsi="Times New Roman;serif"/>
          <w:b w:val="false"/>
          <w:sz w:val="20"/>
          <w:u w:val="single"/>
        </w:rPr>
        <w:t>Litigation and Regulatory Cooperation</w:t>
      </w:r>
      <w:r>
        <w:rPr>
          <w:rFonts w:ascii="Times New Roman;serif" w:hAnsi="Times New Roman;serif"/>
          <w:b w:val="false"/>
          <w:sz w:val="20"/>
        </w:rPr>
        <w:t>. During and after your employment, you shall reasonably cooperate fully with the Company in (i) 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w:t>
        <w:noBreakHyphen/>
        <w:t>of</w:t>
        <w:noBreakHyphen/>
        <w:t>pocket expenses incurred in connection with your performance of 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(d)</w:t>
      </w:r>
    </w:p>
    <w:p>
      <w:pPr>
        <w:pStyle w:val="TextBody"/>
        <w:spacing w:before="0" w:after="240"/>
        <w:jc w:val="left"/>
        <w:rPr/>
      </w:pPr>
      <w:r>
        <w:rPr>
          <w:rFonts w:ascii="Times New Roman;serif" w:hAnsi="Times New Roman;serif"/>
          <w:b w:val="false"/>
          <w:sz w:val="20"/>
          <w:u w:val="single"/>
        </w:rPr>
        <w:t>Relief</w:t>
      </w:r>
      <w:r>
        <w:rPr>
          <w:rFonts w:ascii="Times New Roman;serif" w:hAnsi="Times New Roman;serif"/>
          <w:b w:val="false"/>
          <w:sz w:val="20"/>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serif" w:hAnsi="Times New Roman;serif"/>
          <w:b/>
          <w:sz w:val="20"/>
        </w:rPr>
        <w:t>,</w:t>
      </w:r>
      <w:r>
        <w:rPr/>
        <w:t xml:space="preserve"> </w:t>
      </w:r>
      <w:r>
        <w:rPr>
          <w:rFonts w:ascii="Times New Roman;serif" w:hAnsi="Times New Roman;serif"/>
          <w:b w:val="false"/>
          <w:sz w:val="20"/>
        </w:rPr>
        <w:t>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pStyle w:val="TextBody"/>
        <w:spacing w:before="0" w:after="240"/>
        <w:jc w:val="left"/>
        <w:rPr>
          <w:rFonts w:ascii="Times New Roman" w:hAnsi="Times New Roman"/>
          <w:b w:val="false"/>
          <w:sz w:val="20"/>
        </w:rPr>
      </w:pPr>
      <w:r>
        <w:rPr>
          <w:rFonts w:ascii="Times New Roman" w:hAnsi="Times New Roman"/>
          <w:b w:val="false"/>
          <w:sz w:val="20"/>
        </w:rPr>
        <w:t>(e)</w:t>
      </w:r>
    </w:p>
    <w:p>
      <w:pPr>
        <w:pStyle w:val="TextBody"/>
        <w:spacing w:before="0" w:after="240"/>
        <w:jc w:val="left"/>
        <w:rPr/>
      </w:pPr>
      <w:r>
        <w:rPr>
          <w:rFonts w:ascii="Times New Roman;serif" w:hAnsi="Times New Roman;serif"/>
          <w:b w:val="false"/>
          <w:sz w:val="20"/>
          <w:u w:val="single"/>
        </w:rPr>
        <w:t>Protected Disclosures and Other Protected Action</w:t>
      </w:r>
      <w:r>
        <w:rPr>
          <w:rFonts w:ascii="Times New Roman;serif" w:hAnsi="Times New Roman;serif"/>
          <w:b w:val="false"/>
          <w:sz w:val="20"/>
        </w:rPr>
        <w:t>. Nothing in this Agreement shall be interpreted or applied to prohibit you from making any good faith report to any governmental agency or other governmental entity (a “Government Agency”) concerning any act or omission that you reasonably believe constitutes a possible violation of federal or state law or making other disclosures that are protected under the anti-retaliation or whistleblower provisions of applicable federal or state law or regulation.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spacing w:before="0" w:after="240"/>
        <w:jc w:val="left"/>
        <w:rPr>
          <w:rFonts w:ascii="Times New Roman" w:hAnsi="Times New Roman"/>
          <w:b w:val="false"/>
          <w:sz w:val="20"/>
        </w:rPr>
      </w:pPr>
      <w:r>
        <w:rPr>
          <w:rFonts w:ascii="Times New Roman" w:hAnsi="Times New Roman"/>
          <w:b w:val="false"/>
          <w:sz w:val="20"/>
        </w:rPr>
        <w:t>9.</w:t>
      </w:r>
    </w:p>
    <w:p>
      <w:pPr>
        <w:pStyle w:val="TextBody"/>
        <w:spacing w:before="0" w:after="240"/>
        <w:jc w:val="left"/>
        <w:rPr/>
      </w:pPr>
      <w:r>
        <w:rPr>
          <w:rFonts w:ascii="Times New Roman;serif" w:hAnsi="Times New Roman;serif"/>
          <w:b w:val="false"/>
          <w:sz w:val="20"/>
          <w:u w:val="single"/>
        </w:rPr>
        <w:t>Arbitration of Disputes</w:t>
      </w:r>
      <w:r>
        <w:rPr>
          <w:rFonts w:ascii="Times New Roman;serif" w:hAnsi="Times New Roman;serif"/>
          <w:b w:val="false"/>
          <w:sz w:val="20"/>
        </w:rPr>
        <w:t>.</w:t>
      </w:r>
    </w:p>
    <w:p>
      <w:pPr>
        <w:pStyle w:val="TextBody"/>
        <w:spacing w:before="0" w:after="240"/>
        <w:jc w:val="left"/>
        <w:rPr>
          <w:rFonts w:ascii="Times New Roman" w:hAnsi="Times New Roman"/>
          <w:b w:val="false"/>
          <w:sz w:val="20"/>
        </w:rPr>
      </w:pPr>
      <w:r>
        <w:rPr>
          <w:rFonts w:ascii="Times New Roman" w:hAnsi="Times New Roman"/>
          <w:b w:val="false"/>
          <w:sz w:val="20"/>
        </w:rPr>
        <w:t>(a)</w:t>
      </w:r>
    </w:p>
    <w:p>
      <w:pPr>
        <w:pStyle w:val="TextBody"/>
        <w:spacing w:before="0" w:after="240"/>
        <w:jc w:val="left"/>
        <w:rPr/>
      </w:pPr>
      <w:r>
        <w:rPr>
          <w:rFonts w:ascii="Times New Roman;serif" w:hAnsi="Times New Roman;serif"/>
          <w:b w:val="false"/>
          <w:sz w:val="20"/>
          <w:u w:val="single"/>
        </w:rPr>
        <w:t>Arbitration Generally</w:t>
      </w:r>
      <w:r>
        <w:rPr>
          <w:rFonts w:ascii="Times New Roman;serif" w:hAnsi="Times New Roman;serif"/>
          <w:b w:val="false"/>
          <w:sz w:val="20"/>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 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pStyle w:val="TextBody"/>
        <w:spacing w:before="0" w:after="240"/>
        <w:jc w:val="left"/>
        <w:rPr>
          <w:rFonts w:ascii="Times New Roman" w:hAnsi="Times New Roman"/>
          <w:b w:val="false"/>
          <w:sz w:val="20"/>
        </w:rPr>
      </w:pPr>
      <w:r>
        <w:rPr>
          <w:rFonts w:ascii="Times New Roman" w:hAnsi="Times New Roman"/>
          <w:b w:val="false"/>
          <w:sz w:val="20"/>
        </w:rPr>
        <w:t>(b)</w:t>
      </w:r>
    </w:p>
    <w:p>
      <w:pPr>
        <w:pStyle w:val="TextBody"/>
        <w:spacing w:before="0" w:after="240"/>
        <w:jc w:val="left"/>
        <w:rPr/>
      </w:pPr>
      <w:r>
        <w:rPr>
          <w:rFonts w:ascii="Times New Roman;serif" w:hAnsi="Times New Roman;serif"/>
          <w:b w:val="false"/>
          <w:sz w:val="20"/>
          <w:u w:val="single"/>
        </w:rPr>
        <w:t>Arbitration Fees and Costs</w:t>
      </w:r>
      <w:r>
        <w:rPr>
          <w:rFonts w:ascii="Times New Roman;serif" w:hAnsi="Times New Roman;serif"/>
          <w:b w:val="false"/>
          <w:sz w:val="20"/>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10.</w:t>
      </w:r>
    </w:p>
    <w:p>
      <w:pPr>
        <w:pStyle w:val="TextBody"/>
        <w:spacing w:before="0" w:after="240"/>
        <w:jc w:val="left"/>
        <w:rPr/>
      </w:pPr>
      <w:r>
        <w:rPr>
          <w:rFonts w:ascii="Times New Roman;serif" w:hAnsi="Times New Roman;serif"/>
          <w:b w:val="false"/>
          <w:sz w:val="20"/>
          <w:u w:val="single"/>
        </w:rPr>
        <w:t>Consent to Jurisdiction</w:t>
      </w:r>
      <w:r>
        <w:rPr>
          <w:rFonts w:ascii="Times New Roman;serif" w:hAnsi="Times New Roman;serif"/>
          <w:b w:val="false"/>
          <w:sz w:val="20"/>
        </w:rPr>
        <w:t>. To the extent that any court action is permitted consistent with or to enforce Section 9 of this Agreement, the parties hereby consent to the jurisdiction of the state and federal courts of the</w:t>
      </w:r>
      <w:r>
        <w:rPr/>
        <w:t xml:space="preserve"> </w:t>
      </w:r>
      <w:r>
        <w:rPr>
          <w:rFonts w:ascii="Times New Roman;serif" w:hAnsi="Times New Roman;serif"/>
          <w:b w:val="false"/>
          <w:sz w:val="20"/>
        </w:rPr>
        <w:t>Commonwealth</w:t>
      </w:r>
      <w:r>
        <w:rPr/>
        <w:t xml:space="preserve"> </w:t>
      </w:r>
      <w:r>
        <w:rPr>
          <w:rFonts w:ascii="Times New Roman;serif" w:hAnsi="Times New Roman;serif"/>
          <w:b w:val="false"/>
          <w:sz w:val="20"/>
        </w:rPr>
        <w:t>of Massachusetts. Accordingly, with respect to any such court action, you (a) submit to the exclusive personal jurisdiction of such courts; (b) consent to service of process; and (c) waive any other requirement (whether imposed by statute, rule of court, or otherwise) with respect to personal jurisdiction or service of process.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val="false"/>
          <w:sz w:val="20"/>
        </w:rPr>
      </w:pPr>
      <w:r>
        <w:rPr>
          <w:rFonts w:ascii="Times New Roman" w:hAnsi="Times New Roman"/>
          <w:b w:val="false"/>
          <w:sz w:val="20"/>
        </w:rPr>
        <w:t>11.</w:t>
      </w:r>
    </w:p>
    <w:p>
      <w:pPr>
        <w:pStyle w:val="TextBody"/>
        <w:spacing w:before="0" w:after="240"/>
        <w:jc w:val="left"/>
        <w:rPr/>
      </w:pPr>
      <w:r>
        <w:rPr>
          <w:rFonts w:ascii="Times New Roman;serif" w:hAnsi="Times New Roman;serif"/>
          <w:b w:val="false"/>
          <w:sz w:val="20"/>
          <w:u w:val="single"/>
        </w:rPr>
        <w:t>Indemnification</w:t>
      </w:r>
      <w:r>
        <w:rPr>
          <w:rFonts w:ascii="Times New Roman;serif" w:hAnsi="Times New Roman;serif"/>
          <w:b w:val="false"/>
          <w:sz w:val="20"/>
        </w:rPr>
        <w:t>. The “Indemnification Agreement” between the Company and you, dated December 29, 2022 (the “Indemnification Agreement”) is hereby incorporated by reference.</w:t>
      </w:r>
    </w:p>
    <w:p>
      <w:pPr>
        <w:pStyle w:val="TextBody"/>
        <w:spacing w:before="0" w:after="240"/>
        <w:jc w:val="left"/>
        <w:rPr>
          <w:rFonts w:ascii="Times New Roman" w:hAnsi="Times New Roman"/>
          <w:b w:val="false"/>
          <w:sz w:val="20"/>
        </w:rPr>
      </w:pPr>
      <w:r>
        <w:rPr>
          <w:rFonts w:ascii="Times New Roman" w:hAnsi="Times New Roman"/>
          <w:b w:val="false"/>
          <w:sz w:val="20"/>
        </w:rPr>
        <w:t>12.</w:t>
      </w:r>
    </w:p>
    <w:p>
      <w:pPr>
        <w:pStyle w:val="TextBody"/>
        <w:spacing w:before="0" w:after="240"/>
        <w:jc w:val="left"/>
        <w:rPr/>
      </w:pPr>
      <w:r>
        <w:rPr>
          <w:rFonts w:ascii="Times New Roman;serif" w:hAnsi="Times New Roman;serif"/>
          <w:b w:val="false"/>
          <w:sz w:val="20"/>
          <w:u w:val="single"/>
        </w:rPr>
        <w:t>No Mitigation</w:t>
      </w:r>
      <w:r>
        <w:rPr>
          <w:rFonts w:ascii="Times New Roman;serif" w:hAnsi="Times New Roman;serif"/>
          <w:b w:val="false"/>
          <w:sz w:val="20"/>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pStyle w:val="TextBody"/>
        <w:spacing w:before="0" w:after="240"/>
        <w:jc w:val="left"/>
        <w:rPr>
          <w:rFonts w:ascii="Times New Roman" w:hAnsi="Times New Roman"/>
          <w:b w:val="false"/>
          <w:sz w:val="20"/>
        </w:rPr>
      </w:pPr>
      <w:r>
        <w:rPr>
          <w:rFonts w:ascii="Times New Roman" w:hAnsi="Times New Roman"/>
          <w:b w:val="false"/>
          <w:sz w:val="20"/>
        </w:rPr>
        <w:t>13.</w:t>
      </w:r>
    </w:p>
    <w:p>
      <w:pPr>
        <w:pStyle w:val="TextBody"/>
        <w:spacing w:before="0" w:after="240"/>
        <w:jc w:val="left"/>
        <w:rPr/>
      </w:pPr>
      <w:r>
        <w:rPr>
          <w:rFonts w:ascii="Times New Roman;serif" w:hAnsi="Times New Roman;serif"/>
          <w:b w:val="false"/>
          <w:sz w:val="20"/>
          <w:u w:val="single"/>
        </w:rPr>
        <w:t>Integration</w:t>
      </w:r>
      <w:r>
        <w:rPr>
          <w:rFonts w:ascii="Times New Roman;serif" w:hAnsi="Times New Roman;serif"/>
          <w:b w:val="false"/>
          <w:sz w:val="20"/>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pStyle w:val="TextBody"/>
        <w:spacing w:before="0" w:after="240"/>
        <w:jc w:val="left"/>
        <w:rPr>
          <w:rFonts w:ascii="Times New Roman" w:hAnsi="Times New Roman"/>
          <w:b w:val="false"/>
          <w:sz w:val="20"/>
        </w:rPr>
      </w:pPr>
      <w:r>
        <w:rPr>
          <w:rFonts w:ascii="Times New Roman" w:hAnsi="Times New Roman"/>
          <w:b w:val="false"/>
          <w:sz w:val="20"/>
        </w:rPr>
        <w:t>14.</w:t>
      </w:r>
    </w:p>
    <w:p>
      <w:pPr>
        <w:pStyle w:val="TextBody"/>
        <w:spacing w:before="0" w:after="240"/>
        <w:jc w:val="left"/>
        <w:rPr/>
      </w:pPr>
      <w:r>
        <w:rPr>
          <w:rFonts w:ascii="Times New Roman;serif" w:hAnsi="Times New Roman;serif"/>
          <w:b w:val="false"/>
          <w:sz w:val="20"/>
          <w:u w:val="single"/>
        </w:rPr>
        <w:t>Withholding; Tax Effect</w:t>
      </w:r>
      <w:r>
        <w:rPr>
          <w:rFonts w:ascii="Times New Roman;serif" w:hAnsi="Times New Roman;serif"/>
          <w:b w:val="false"/>
          <w:sz w:val="20"/>
        </w:rPr>
        <w:t xml:space="preserve">.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 </w:t>
      </w:r>
    </w:p>
    <w:p>
      <w:pPr>
        <w:pStyle w:val="TextBody"/>
        <w:spacing w:before="0" w:after="240"/>
        <w:jc w:val="left"/>
        <w:rPr>
          <w:rFonts w:ascii="Times New Roman" w:hAnsi="Times New Roman"/>
          <w:b w:val="false"/>
          <w:sz w:val="20"/>
        </w:rPr>
      </w:pPr>
      <w:r>
        <w:rPr>
          <w:rFonts w:ascii="Times New Roman" w:hAnsi="Times New Roman"/>
          <w:b w:val="false"/>
          <w:sz w:val="20"/>
        </w:rPr>
        <w:t>15.</w:t>
      </w:r>
    </w:p>
    <w:p>
      <w:pPr>
        <w:pStyle w:val="TextBody"/>
        <w:spacing w:before="0" w:after="240"/>
        <w:jc w:val="left"/>
        <w:rPr/>
      </w:pPr>
      <w:r>
        <w:rPr>
          <w:rFonts w:ascii="Times New Roman;serif" w:hAnsi="Times New Roman;serif"/>
          <w:b w:val="false"/>
          <w:sz w:val="20"/>
          <w:u w:val="single"/>
        </w:rPr>
        <w:t>Assignment</w:t>
      </w:r>
      <w:r>
        <w:rPr>
          <w:rFonts w:ascii="Times New Roman;serif" w:hAnsi="Times New Roman;serif"/>
          <w:b w:val="false"/>
          <w:sz w:val="20"/>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 Agreement, the Company shall continue such payments to the beneficiary you designated in writing to the Company prior to your death, or to your estate, heirs, executors or personal representatives if you failed to make such designation.</w:t>
      </w:r>
    </w:p>
    <w:p>
      <w:pPr>
        <w:pStyle w:val="TextBody"/>
        <w:spacing w:before="0" w:after="240"/>
        <w:jc w:val="left"/>
        <w:rPr>
          <w:rFonts w:ascii="Times New Roman" w:hAnsi="Times New Roman"/>
          <w:b w:val="false"/>
          <w:sz w:val="20"/>
        </w:rPr>
      </w:pPr>
      <w:r>
        <w:rPr>
          <w:rFonts w:ascii="Times New Roman" w:hAnsi="Times New Roman"/>
          <w:b w:val="false"/>
          <w:sz w:val="20"/>
        </w:rPr>
        <w:t>16.</w:t>
      </w:r>
    </w:p>
    <w:p>
      <w:pPr>
        <w:pStyle w:val="TextBody"/>
        <w:spacing w:before="0" w:after="240"/>
        <w:jc w:val="left"/>
        <w:rPr/>
      </w:pPr>
      <w:r>
        <w:rPr>
          <w:rFonts w:ascii="Times New Roman;serif" w:hAnsi="Times New Roman;serif"/>
          <w:b w:val="false"/>
          <w:sz w:val="20"/>
          <w:u w:val="single"/>
        </w:rPr>
        <w:t>Enforceability</w:t>
      </w:r>
      <w:r>
        <w:rPr>
          <w:rFonts w:ascii="Times New Roman;serif" w:hAnsi="Times New Roman;serif"/>
          <w:b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before="0" w:after="240"/>
        <w:jc w:val="left"/>
        <w:rPr>
          <w:rFonts w:ascii="Times New Roman" w:hAnsi="Times New Roman"/>
          <w:b w:val="false"/>
          <w:sz w:val="20"/>
        </w:rPr>
      </w:pPr>
      <w:r>
        <w:rPr>
          <w:rFonts w:ascii="Times New Roman" w:hAnsi="Times New Roman"/>
          <w:b w:val="false"/>
          <w:sz w:val="20"/>
        </w:rPr>
        <w:t>17.</w:t>
      </w:r>
    </w:p>
    <w:p>
      <w:pPr>
        <w:pStyle w:val="TextBody"/>
        <w:spacing w:before="0" w:after="240"/>
        <w:jc w:val="left"/>
        <w:rPr/>
      </w:pPr>
      <w:r>
        <w:rPr>
          <w:rFonts w:ascii="Times New Roman;serif" w:hAnsi="Times New Roman;serif"/>
          <w:b w:val="false"/>
          <w:sz w:val="20"/>
          <w:u w:val="single"/>
        </w:rPr>
        <w:t>Survival</w:t>
      </w:r>
      <w:r>
        <w:rPr>
          <w:rFonts w:ascii="Times New Roman;serif" w:hAnsi="Times New Roman;serif"/>
          <w:b w:val="false"/>
          <w:sz w:val="20"/>
        </w:rPr>
        <w:t>. The provisions of this Agreement shall survive the termination of this Agreement and/or the termination of your employment to the extent necessary to effectuate the terms contained herein.</w:t>
      </w:r>
    </w:p>
    <w:p>
      <w:pPr>
        <w:pStyle w:val="TextBody"/>
        <w:spacing w:before="0" w:after="240"/>
        <w:jc w:val="left"/>
        <w:rPr>
          <w:rFonts w:ascii="Times New Roman" w:hAnsi="Times New Roman"/>
          <w:b w:val="false"/>
          <w:sz w:val="20"/>
        </w:rPr>
      </w:pPr>
      <w:r>
        <w:rPr>
          <w:rFonts w:ascii="Times New Roman" w:hAnsi="Times New Roman"/>
          <w:b w:val="false"/>
          <w:sz w:val="20"/>
        </w:rPr>
        <w:t>18.</w:t>
      </w:r>
    </w:p>
    <w:p>
      <w:pPr>
        <w:pStyle w:val="TextBody"/>
        <w:spacing w:before="0" w:after="240"/>
        <w:jc w:val="left"/>
        <w:rPr/>
      </w:pPr>
      <w:r>
        <w:rPr>
          <w:rFonts w:ascii="Times New Roman;serif" w:hAnsi="Times New Roman;serif"/>
          <w:b w:val="false"/>
          <w:sz w:val="20"/>
          <w:u w:val="single"/>
        </w:rPr>
        <w:t>Waiver</w:t>
      </w:r>
      <w:r>
        <w:rPr>
          <w:rFonts w:ascii="Times New Roman;serif" w:hAnsi="Times New Roman;serif"/>
          <w:b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spacing w:before="0" w:after="240"/>
        <w:jc w:val="left"/>
        <w:rPr>
          <w:rFonts w:ascii="Times New Roman" w:hAnsi="Times New Roman"/>
          <w:b w:val="false"/>
          <w:sz w:val="20"/>
        </w:rPr>
      </w:pPr>
      <w:r>
        <w:rPr>
          <w:rFonts w:ascii="Times New Roman" w:hAnsi="Times New Roman"/>
          <w:b w:val="false"/>
          <w:sz w:val="20"/>
        </w:rPr>
        <w:t>19.</w:t>
      </w:r>
    </w:p>
    <w:p>
      <w:pPr>
        <w:pStyle w:val="TextBody"/>
        <w:spacing w:before="0" w:after="240"/>
        <w:jc w:val="left"/>
        <w:rPr/>
      </w:pPr>
      <w:r>
        <w:rPr>
          <w:rFonts w:ascii="Times New Roman;serif" w:hAnsi="Times New Roman;serif"/>
          <w:b w:val="false"/>
          <w:sz w:val="20"/>
          <w:u w:val="single"/>
        </w:rPr>
        <w:t>Notices</w:t>
      </w:r>
      <w:r>
        <w:rPr>
          <w:rFonts w:ascii="Times New Roman;serif" w:hAnsi="Times New Roman;serif"/>
          <w:b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pStyle w:val="TextBody"/>
        <w:spacing w:before="0" w:after="240"/>
        <w:jc w:val="left"/>
        <w:rPr>
          <w:rFonts w:ascii="Times New Roman" w:hAnsi="Times New Roman"/>
          <w:b w:val="false"/>
          <w:sz w:val="20"/>
        </w:rPr>
      </w:pPr>
      <w:r>
        <w:rPr>
          <w:rFonts w:ascii="Times New Roman" w:hAnsi="Times New Roman"/>
          <w:b w:val="false"/>
          <w:sz w:val="20"/>
        </w:rPr>
        <w:t>20.</w:t>
      </w:r>
    </w:p>
    <w:p>
      <w:pPr>
        <w:pStyle w:val="TextBody"/>
        <w:spacing w:before="0" w:after="240"/>
        <w:jc w:val="left"/>
        <w:rPr/>
      </w:pPr>
      <w:r>
        <w:rPr>
          <w:rFonts w:ascii="Times New Roman;serif" w:hAnsi="Times New Roman;serif"/>
          <w:b w:val="false"/>
          <w:sz w:val="20"/>
          <w:u w:val="single"/>
        </w:rPr>
        <w:t>Amendment</w:t>
      </w:r>
      <w:r>
        <w:rPr>
          <w:rFonts w:ascii="Times New Roman;serif" w:hAnsi="Times New Roman;serif"/>
          <w:b w:val="false"/>
          <w:sz w:val="20"/>
        </w:rPr>
        <w:t>. This Agreement may be amended or modified only by a written instrument signed by you and by a duly authorized representative of the Company.</w:t>
      </w:r>
    </w:p>
    <w:p>
      <w:pPr>
        <w:pStyle w:val="TextBody"/>
        <w:spacing w:before="0" w:after="240"/>
        <w:jc w:val="left"/>
        <w:rPr>
          <w:rFonts w:ascii="Times New Roman" w:hAnsi="Times New Roman"/>
          <w:b w:val="false"/>
          <w:sz w:val="20"/>
        </w:rPr>
      </w:pPr>
      <w:r>
        <w:rPr>
          <w:rFonts w:ascii="Times New Roman" w:hAnsi="Times New Roman"/>
          <w:b w:val="false"/>
          <w:sz w:val="20"/>
        </w:rPr>
        <w:t>21.</w:t>
      </w:r>
    </w:p>
    <w:p>
      <w:pPr>
        <w:pStyle w:val="TextBody"/>
        <w:spacing w:before="0" w:after="240"/>
        <w:jc w:val="left"/>
        <w:rPr/>
      </w:pPr>
      <w:r>
        <w:rPr>
          <w:rFonts w:ascii="Times New Roman;serif" w:hAnsi="Times New Roman;serif"/>
          <w:b w:val="false"/>
          <w:sz w:val="20"/>
          <w:u w:val="single"/>
        </w:rPr>
        <w:t>Effect on Other Plans and Agreements</w:t>
      </w:r>
      <w:r>
        <w:rPr>
          <w:rFonts w:ascii="Times New Roman;serif" w:hAnsi="Times New Roman;serif"/>
          <w:b w:val="false"/>
          <w:sz w:val="20"/>
        </w:rPr>
        <w:t xml:space="preserve">. An election by you to resign for Good Reason under the provisions of this Agreement shall not be deemed a voluntary termination of employment by you for the purpose of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right"/>
        <w:rPr/>
      </w:pPr>
      <w:r>
        <w:rPr/>
        <w:t> </w:t>
      </w:r>
    </w:p>
    <w:p>
      <w:pPr>
        <w:pStyle w:val="TextBody"/>
        <w:spacing w:before="0" w:after="240"/>
        <w:jc w:val="left"/>
        <w:rPr/>
      </w:pPr>
      <w:r>
        <w:rPr>
          <w:rFonts w:ascii="Times New Roman;serif" w:hAnsi="Times New Roman;serif"/>
          <w:b w:val="false"/>
          <w:sz w:val="20"/>
        </w:rPr>
        <w:t>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r>
        <w:rPr/>
        <w:t xml:space="preserve"> </w:t>
      </w:r>
    </w:p>
    <w:p>
      <w:pPr>
        <w:pStyle w:val="TextBody"/>
        <w:spacing w:before="0" w:after="240"/>
        <w:jc w:val="left"/>
        <w:rPr>
          <w:rFonts w:ascii="Times New Roman" w:hAnsi="Times New Roman"/>
          <w:b w:val="false"/>
          <w:sz w:val="20"/>
        </w:rPr>
      </w:pPr>
      <w:r>
        <w:rPr>
          <w:rFonts w:ascii="Times New Roman" w:hAnsi="Times New Roman"/>
          <w:b w:val="false"/>
          <w:sz w:val="20"/>
        </w:rPr>
        <w:t>22.</w:t>
      </w:r>
    </w:p>
    <w:p>
      <w:pPr>
        <w:pStyle w:val="TextBody"/>
        <w:spacing w:before="0" w:after="240"/>
        <w:jc w:val="left"/>
        <w:rPr/>
      </w:pPr>
      <w:r>
        <w:rPr>
          <w:rFonts w:ascii="Times New Roman;serif" w:hAnsi="Times New Roman;serif"/>
          <w:b w:val="false"/>
          <w:sz w:val="20"/>
          <w:u w:val="single"/>
        </w:rPr>
        <w:t>Governing Law</w:t>
      </w:r>
      <w:r>
        <w:rPr>
          <w:rFonts w:ascii="Times New Roman;serif" w:hAnsi="Times New Roman;serif"/>
          <w:b w:val="false"/>
          <w:sz w:val="20"/>
        </w:rPr>
        <w:t>. This is a Massachusetts contract and shall be construed under and be governed in all respects by the laws of the Commonwealth</w:t>
      </w:r>
      <w:r>
        <w:rPr/>
        <w:t xml:space="preserve"> </w:t>
      </w:r>
      <w:r>
        <w:rPr>
          <w:rFonts w:ascii="Times New Roman;serif" w:hAnsi="Times New Roman;serif"/>
          <w:b w:val="false"/>
          <w:sz w:val="20"/>
        </w:rPr>
        <w:t>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spacing w:before="0" w:after="0"/>
        <w:jc w:val="left"/>
        <w:rPr>
          <w:rFonts w:ascii="Times New Roman" w:hAnsi="Times New Roman"/>
          <w:b w:val="false"/>
          <w:sz w:val="20"/>
        </w:rPr>
      </w:pPr>
      <w:r>
        <w:rPr>
          <w:rFonts w:ascii="Times New Roman" w:hAnsi="Times New Roman"/>
          <w:b w:val="false"/>
          <w:sz w:val="20"/>
        </w:rPr>
        <w:t>23.</w:t>
      </w:r>
    </w:p>
    <w:p>
      <w:pPr>
        <w:pStyle w:val="TextBody"/>
        <w:jc w:val="left"/>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IN WITNESS WHEREOF, the parties have executed this Agreement effective on the Effective Date.</w:t>
      </w:r>
    </w:p>
    <w:p>
      <w:pPr>
        <w:pStyle w:val="TextBody"/>
        <w:spacing w:before="0" w:after="0"/>
        <w:jc w:val="left"/>
        <w:rPr/>
      </w:pPr>
      <w:r>
        <w:rPr/>
        <w:t> </w:t>
      </w:r>
    </w:p>
    <w:tbl>
      <w:tblPr>
        <w:tblW w:w="3632" w:type="dxa"/>
        <w:jc w:val="left"/>
        <w:tblInd w:w="0" w:type="dxa"/>
        <w:tblCellMar>
          <w:top w:w="28" w:type="dxa"/>
          <w:left w:w="28" w:type="dxa"/>
          <w:bottom w:w="28" w:type="dxa"/>
          <w:right w:w="28" w:type="dxa"/>
        </w:tblCellMar>
      </w:tblPr>
      <w:tblGrid>
        <w:gridCol w:w="421"/>
        <w:gridCol w:w="3211"/>
      </w:tblGrid>
      <w:tr>
        <w:trPr/>
        <w:tc>
          <w:tcPr>
            <w:tcW w:w="421"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632" w:type="dxa"/>
            <w:gridSpan w:val="2"/>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DISC MEDICINE, INC.</w:t>
            </w:r>
            <w:r>
              <w:rPr>
                <w:rFonts w:ascii="Times New Roman" w:hAnsi="Times New Roman"/>
                <w:sz w:val="20"/>
              </w:rPr>
              <w:t xml:space="preserve"> </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D. Quisel</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Its:</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3632"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EXECUTIVE</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421"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3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Jonathan Yu</w:t>
            </w:r>
          </w:p>
        </w:tc>
      </w:tr>
      <w:tr>
        <w:trPr/>
        <w:tc>
          <w:tcPr>
            <w:tcW w:w="3632" w:type="dxa"/>
            <w:gridSpan w:val="2"/>
            <w:tcBorders/>
            <w:shd w:fill="auto" w:val="clear"/>
            <w:vAlign w:val="center"/>
          </w:tcPr>
          <w:p>
            <w:pPr>
              <w:pStyle w:val="TableContents"/>
              <w:spacing w:before="0" w:after="0"/>
              <w:ind w:left="0" w:right="0" w:hanging="0"/>
              <w:jc w:val="left"/>
              <w:rPr/>
            </w:pPr>
            <w:r>
              <w:rPr/>
              <w:t> </w:t>
            </w:r>
          </w:p>
        </w:tc>
      </w:tr>
      <w:tr>
        <w:trPr/>
        <w:tc>
          <w:tcPr>
            <w:tcW w:w="3632"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Jonathan Yu</w:t>
            </w:r>
          </w:p>
        </w:tc>
      </w:tr>
    </w:tbl>
    <w:p>
      <w:pPr>
        <w:pStyle w:val="TextBody"/>
        <w:spacing w:before="0" w:after="0"/>
        <w:jc w:val="center"/>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right"/>
        <w:rPr/>
      </w:pPr>
      <w:r>
        <w:rPr/>
        <w:t> </w:t>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Exhibit A</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Restrictive Covenants Agreement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r>
        <w:br w:type="page"/>
      </w:r>
    </w:p>
    <w:p>
      <w:pPr>
        <w:pStyle w:val="TextBody"/>
        <w:spacing w:before="0" w:after="0"/>
        <w:jc w:val="right"/>
        <w:rPr>
          <w:rFonts w:ascii="Times New Roman" w:hAnsi="Times New Roman"/>
          <w:sz w:val="20"/>
        </w:rPr>
      </w:pPr>
      <w:bookmarkStart w:id="46" w:name="iron-ex21_1.htm"/>
      <w:bookmarkStart w:id="47" w:name="ksironex21_1"/>
      <w:bookmarkEnd w:id="46"/>
      <w:bookmarkEnd w:id="47"/>
      <w:r>
        <w:rPr>
          <w:rFonts w:ascii="Times New Roman;serif" w:hAnsi="Times New Roman;serif"/>
          <w:b/>
          <w:sz w:val="20"/>
        </w:rPr>
        <w:t>Exhibit 21.1</w:t>
      </w:r>
      <w:r>
        <w:rPr>
          <w:rFonts w:ascii="Times New Roman" w:hAnsi="Times New Roman"/>
          <w:sz w:val="20"/>
        </w:rPr>
        <w:t xml:space="preserve"> </w:t>
      </w:r>
    </w:p>
    <w:p>
      <w:pPr>
        <w:pStyle w:val="TextBody"/>
        <w:spacing w:before="0" w:after="0"/>
        <w:jc w:val="left"/>
        <w:rPr/>
      </w:pPr>
      <w:r>
        <w:rPr/>
        <w:t> </w:t>
      </w:r>
    </w:p>
    <w:tbl>
      <w:tblPr>
        <w:tblW w:w="4573" w:type="dxa"/>
        <w:jc w:val="left"/>
        <w:tblInd w:w="0" w:type="dxa"/>
        <w:tblCellMar>
          <w:top w:w="28" w:type="dxa"/>
          <w:left w:w="28" w:type="dxa"/>
          <w:bottom w:w="28" w:type="dxa"/>
          <w:right w:w="28" w:type="dxa"/>
        </w:tblCellMar>
      </w:tblPr>
      <w:tblGrid>
        <w:gridCol w:w="2641"/>
        <w:gridCol w:w="146"/>
        <w:gridCol w:w="1786"/>
      </w:tblGrid>
      <w:tr>
        <w:trPr/>
        <w:tc>
          <w:tcPr>
            <w:tcW w:w="264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786" w:type="dxa"/>
            <w:tcBorders/>
            <w:shd w:fill="FFFFFF" w:val="clear"/>
            <w:vAlign w:val="center"/>
          </w:tcPr>
          <w:p>
            <w:pPr>
              <w:pStyle w:val="TableContents"/>
              <w:spacing w:before="0" w:after="283"/>
              <w:rPr>
                <w:sz w:val="4"/>
                <w:szCs w:val="4"/>
              </w:rPr>
            </w:pPr>
            <w:r>
              <w:rPr>
                <w:sz w:val="4"/>
                <w:szCs w:val="4"/>
              </w:rPr>
            </w:r>
          </w:p>
        </w:tc>
      </w:tr>
      <w:tr>
        <w:trPr/>
        <w:tc>
          <w:tcPr>
            <w:tcW w:w="2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sz w:val="16"/>
              </w:rPr>
              <w:t>Legal Name</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State of Organization</w:t>
            </w:r>
            <w:r>
              <w:rPr>
                <w:rFonts w:ascii="Times New Roman" w:hAnsi="Times New Roman"/>
                <w:sz w:val="16"/>
              </w:rPr>
              <w:t xml:space="preserve"> </w:t>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 Medicine Opco, Inc.</w:t>
            </w:r>
          </w:p>
        </w:tc>
        <w:tc>
          <w:tcPr>
            <w:tcW w:w="146" w:type="dxa"/>
            <w:tcBorders/>
            <w:shd w:fill="auto" w:val="clear"/>
            <w:tcMar>
              <w:top w:w="0" w:type="dxa"/>
              <w:left w:w="0" w:type="dxa"/>
              <w:bottom w:w="0" w:type="dxa"/>
              <w:right w:w="0" w:type="dxa"/>
            </w:tcMar>
            <w:vAlign w:val="center"/>
          </w:tcPr>
          <w:p>
            <w:pPr>
              <w:pStyle w:val="TableContents"/>
              <w:spacing w:before="0" w:after="20"/>
              <w:ind w:left="0" w:right="0" w:hanging="0"/>
              <w:jc w:val="center"/>
              <w:rPr/>
            </w:pPr>
            <w:r>
              <w:rPr/>
              <w:t> </w:t>
            </w:r>
          </w:p>
        </w:tc>
        <w:tc>
          <w:tcPr>
            <w:tcW w:w="1786" w:type="dxa"/>
            <w:tcBorders/>
            <w:shd w:fill="auto" w:val="clear"/>
            <w:tcMar>
              <w:top w:w="0" w:type="dxa"/>
              <w:left w:w="0" w:type="dxa"/>
              <w:bottom w:w="0" w:type="dxa"/>
              <w:right w:w="0" w:type="dxa"/>
            </w:tcM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Delaware</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 Medicine Securities Corp.</w:t>
            </w:r>
          </w:p>
        </w:tc>
        <w:tc>
          <w:tcPr>
            <w:tcW w:w="146" w:type="dxa"/>
            <w:tcBorders/>
            <w:shd w:fill="auto" w:val="clear"/>
            <w:tcMar>
              <w:top w:w="0" w:type="dxa"/>
              <w:left w:w="0" w:type="dxa"/>
              <w:bottom w:w="0" w:type="dxa"/>
              <w:right w:w="0" w:type="dxa"/>
            </w:tcMar>
            <w:vAlign w:val="center"/>
          </w:tcPr>
          <w:p>
            <w:pPr>
              <w:pStyle w:val="TableContents"/>
              <w:spacing w:before="0" w:after="20"/>
              <w:ind w:left="0" w:right="0" w:hanging="0"/>
              <w:jc w:val="center"/>
              <w:rPr/>
            </w:pPr>
            <w:r>
              <w:rPr/>
              <w:t> </w:t>
            </w:r>
          </w:p>
        </w:tc>
        <w:tc>
          <w:tcPr>
            <w:tcW w:w="1786" w:type="dxa"/>
            <w:tcBorders/>
            <w:shd w:fill="auto" w:val="clear"/>
            <w:tcMar>
              <w:top w:w="0" w:type="dxa"/>
              <w:left w:w="0" w:type="dxa"/>
              <w:bottom w:w="0" w:type="dxa"/>
              <w:right w:w="0" w:type="dxa"/>
            </w:tcM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Massachusetts</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Gemini Therapeutics Sub, Inc..</w:t>
            </w:r>
          </w:p>
        </w:tc>
        <w:tc>
          <w:tcPr>
            <w:tcW w:w="146" w:type="dxa"/>
            <w:tcBorders/>
            <w:shd w:fill="auto" w:val="clear"/>
            <w:tcMar>
              <w:top w:w="0" w:type="dxa"/>
              <w:left w:w="0" w:type="dxa"/>
              <w:bottom w:w="0" w:type="dxa"/>
              <w:right w:w="0" w:type="dxa"/>
            </w:tcMar>
            <w:vAlign w:val="center"/>
          </w:tcPr>
          <w:p>
            <w:pPr>
              <w:pStyle w:val="TableContents"/>
              <w:spacing w:before="0" w:after="20"/>
              <w:ind w:left="0" w:right="0" w:hanging="0"/>
              <w:jc w:val="center"/>
              <w:rPr/>
            </w:pPr>
            <w:r>
              <w:rPr/>
              <w:t> </w:t>
            </w:r>
          </w:p>
        </w:tc>
        <w:tc>
          <w:tcPr>
            <w:tcW w:w="1786" w:type="dxa"/>
            <w:tcBorders/>
            <w:shd w:fill="auto" w:val="clear"/>
            <w:tcMar>
              <w:top w:w="0" w:type="dxa"/>
              <w:left w:w="0" w:type="dxa"/>
              <w:bottom w:w="0" w:type="dxa"/>
              <w:right w:w="0" w:type="dxa"/>
            </w:tcM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Delaware</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48" w:name="iron-ex23_1.htm"/>
      <w:bookmarkStart w:id="49" w:name="ksironex23_1"/>
      <w:bookmarkEnd w:id="48"/>
      <w:bookmarkEnd w:id="49"/>
      <w:r>
        <w:rPr>
          <w:rFonts w:ascii="Times New Roman;serif" w:hAnsi="Times New Roman;serif"/>
          <w:b/>
          <w:sz w:val="20"/>
        </w:rPr>
        <w:t>Exhibit 23.1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Consent of Independent Registered Public Accounting Firm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consent to the incorporation by reference in the following Registration Statements:</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Registration Statement (Form S-3 No. 333-269270) of Disc Medicine,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Registration Statement (Form S-3 No. 333-269272) of Disc Medicine, Inc.</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Registration Statement (Form S-8 No. 333-269271) pertaining to the 2017 Stock Option and Grant Plan, Amended and Restated 2021 Stock Option and Incentive Plan, and Amended and Restated 2021 Employee Stock Purchase Plan, of Disc Medicine, Inc.</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Registration Statement (Form S-8 No. 333-263410) pertaining to the 2021 Stock Option and Incentive Plan of Gemini Therapeutics, Inc.</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Registration Statement (Form S-8 No. 333-255194) pertaining to the 2021 Stock Option and Incentive Plan and the 2021 Inducement Plan of Gemini Therapeutics, Inc., and</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Registration Statement (Form S-8 No. 333-260243) pertaining to the 2021 Employee Stock Purchase Plan of Gemini Therapeutics, Inc.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of our report dated March 31, 2023, with respect to the consolidated financial statements of Disc Medicine, Inc. included in this Annual Report (Form 10-K) of Disc Medicine, Inc. for the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 Ernst &amp; Young LLP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Boston, Massachusetts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left"/>
        <w:rPr/>
      </w:pPr>
      <w:r>
        <w:rPr/>
        <w:t> </w:t>
      </w:r>
    </w:p>
    <w:p>
      <w:pPr>
        <w:pStyle w:val="HorizontalLine"/>
        <w:rPr/>
      </w:pPr>
      <w:r>
        <w:rPr/>
      </w:r>
      <w:r>
        <w:br w:type="page"/>
      </w:r>
    </w:p>
    <w:p>
      <w:pPr>
        <w:pStyle w:val="TextBody"/>
        <w:spacing w:before="180" w:after="0"/>
        <w:jc w:val="left"/>
        <w:rPr/>
      </w:pPr>
      <w:bookmarkStart w:id="50" w:name="iron-ex31_1.htm"/>
      <w:bookmarkStart w:id="51" w:name="ksironex31_1"/>
      <w:bookmarkEnd w:id="50"/>
      <w:bookmarkEnd w:id="51"/>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PRINCIPAL EXECUTIVE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 13A-14( A ) / RULE 15D-14( A ) OF THE SECURITIES EXCHANGE ACT OF 1934, AS AMENDED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John Quisel, J.D., Ph.D.,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Annual Report on Form 10-K of Disc Medicine,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Date: March 31, 2023</w:t>
      </w:r>
      <w:r>
        <w:rPr>
          <w:rFonts w:ascii="Times New Roman" w:hAnsi="Times New Roman"/>
          <w:sz w:val="20"/>
        </w:rPr>
        <w:t xml:space="preserve"> </w:t>
      </w:r>
    </w:p>
    <w:p>
      <w:pPr>
        <w:pStyle w:val="TextBody"/>
        <w:spacing w:before="0" w:after="0"/>
        <w:jc w:val="left"/>
        <w:rPr/>
      </w:pPr>
      <w:r>
        <w:rPr/>
        <w:t> </w:t>
      </w:r>
    </w:p>
    <w:tbl>
      <w:tblPr>
        <w:tblW w:w="2926" w:type="dxa"/>
        <w:jc w:val="left"/>
        <w:tblInd w:w="0" w:type="dxa"/>
        <w:tblCellMar>
          <w:top w:w="28" w:type="dxa"/>
          <w:left w:w="28" w:type="dxa"/>
          <w:bottom w:w="28" w:type="dxa"/>
          <w:right w:w="28" w:type="dxa"/>
        </w:tblCellMar>
      </w:tblPr>
      <w:tblGrid>
        <w:gridCol w:w="2926"/>
      </w:tblGrid>
      <w:tr>
        <w:trPr/>
        <w:tc>
          <w:tcPr>
            <w:tcW w:w="292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Quisel</w:t>
            </w:r>
          </w:p>
          <w:p>
            <w:pPr>
              <w:pStyle w:val="TableContents"/>
              <w:pBdr>
                <w:top w:val="single" w:sz="8" w:space="1" w:color="000000"/>
              </w:pBdr>
              <w:spacing w:before="2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Quisel, J.D., Ph.D.</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180" w:after="0"/>
        <w:jc w:val="left"/>
        <w:rPr/>
      </w:pPr>
      <w:bookmarkStart w:id="52" w:name="iron-ex31_2.htm"/>
      <w:bookmarkStart w:id="53" w:name="ksironex31_2"/>
      <w:bookmarkEnd w:id="52"/>
      <w:bookmarkEnd w:id="53"/>
      <w:r>
        <w:rPr/>
        <w:t> </w:t>
      </w:r>
    </w:p>
    <w:p>
      <w:pPr>
        <w:pStyle w:val="TextBody"/>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CERTIFICATION OF PRINCIPAL FINANCIAL OFFICER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 13A-14(A) / RULE 15D-14(A) OF THE SECURITIES EXCHANGE ACT OF 1934, AS AMENDED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Joanne Bryce, CPA,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Annual Report on Form 10-K of Disc Medicine,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March 31, 2023</w:t>
      </w:r>
    </w:p>
    <w:p>
      <w:pPr>
        <w:pStyle w:val="TextBody"/>
        <w:spacing w:before="0" w:after="0"/>
        <w:jc w:val="left"/>
        <w:rPr/>
      </w:pPr>
      <w:r>
        <w:rPr/>
        <w:t> </w:t>
      </w:r>
    </w:p>
    <w:tbl>
      <w:tblPr>
        <w:tblW w:w="3781" w:type="dxa"/>
        <w:jc w:val="left"/>
        <w:tblInd w:w="0" w:type="dxa"/>
        <w:tblCellMar>
          <w:top w:w="28" w:type="dxa"/>
          <w:left w:w="28" w:type="dxa"/>
          <w:bottom w:w="28" w:type="dxa"/>
          <w:right w:w="28" w:type="dxa"/>
        </w:tblCellMar>
      </w:tblPr>
      <w:tblGrid>
        <w:gridCol w:w="3781"/>
      </w:tblGrid>
      <w:tr>
        <w:trPr/>
        <w:tc>
          <w:tcPr>
            <w:tcW w:w="378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Joanne Bryce</w:t>
            </w:r>
          </w:p>
          <w:p>
            <w:pPr>
              <w:pStyle w:val="TableContents"/>
              <w:pBdr>
                <w:top w:val="single" w:sz="8" w:space="1" w:color="000000"/>
              </w:pBdr>
              <w:spacing w:before="2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54" w:name="iron-ex32_1.htm"/>
      <w:bookmarkStart w:id="55" w:name="ksironex32_1"/>
      <w:bookmarkEnd w:id="54"/>
      <w:bookmarkEnd w:id="55"/>
      <w:r>
        <w:rPr>
          <w:rFonts w:ascii="Times New Roman;serif" w:hAnsi="Times New Roman;serif"/>
          <w:b/>
          <w:sz w:val="20"/>
        </w:rPr>
        <w:t>Exhibit 32.1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CERTIFICATIONS OF PRINCIPAL EXECUTIVE OFFICER AND PRINCIPAL</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FINANCIAL OFFICER PURSUANT TO 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this Annual Report on Form 10-K of Disc Medicine, Inc. (the “Company”) for the fiscal year ended December 31, 2022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Dated: March 31, 2023</w:t>
      </w:r>
    </w:p>
    <w:p>
      <w:pPr>
        <w:pStyle w:val="TextBody"/>
        <w:spacing w:before="0" w:after="0"/>
        <w:jc w:val="left"/>
        <w:rPr/>
      </w:pPr>
      <w:r>
        <w:rPr/>
        <w:t> </w:t>
      </w:r>
    </w:p>
    <w:tbl>
      <w:tblPr>
        <w:tblW w:w="3781" w:type="dxa"/>
        <w:jc w:val="left"/>
        <w:tblInd w:w="0" w:type="dxa"/>
        <w:tblCellMar>
          <w:top w:w="28" w:type="dxa"/>
          <w:left w:w="28" w:type="dxa"/>
          <w:bottom w:w="28" w:type="dxa"/>
          <w:right w:w="28" w:type="dxa"/>
        </w:tblCellMar>
      </w:tblPr>
      <w:tblGrid>
        <w:gridCol w:w="3781"/>
      </w:tblGrid>
      <w:tr>
        <w:trPr/>
        <w:tc>
          <w:tcPr>
            <w:tcW w:w="378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John Quisel</w:t>
            </w:r>
          </w:p>
          <w:p>
            <w:pPr>
              <w:pStyle w:val="TableContents"/>
              <w:pBdr>
                <w:top w:val="single" w:sz="8" w:space="1" w:color="000000"/>
              </w:pBdr>
              <w:spacing w:before="2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Quisel, J.D., Ph.D.</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378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Joanne Bryce</w:t>
            </w:r>
          </w:p>
          <w:p>
            <w:pPr>
              <w:pStyle w:val="TableContents"/>
              <w:pBdr>
                <w:top w:val="single" w:sz="8" w:space="1" w:color="000000"/>
              </w:pBdr>
              <w:spacing w:before="2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Joanne Bryce, CPA</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hyperlink" Target="https://www.sec.gov/Archives/edgar/data/1816736/000114036122032239/ny20005172x1_ex3-1.htm" TargetMode="External"/><Relationship Id="rId34" Type="http://schemas.openxmlformats.org/officeDocument/2006/relationships/hyperlink" Target="https://www.sec.gov/Archives/edgar/data/1816736/000114036122032239/ny20005172x1_ex3-1.htm" TargetMode="External"/><Relationship Id="rId35" Type="http://schemas.openxmlformats.org/officeDocument/2006/relationships/hyperlink" Target="https://www.sec.gov/Archives/edgar/data/1816736/000114036122047453/brhc10045896_ex3-1.htm" TargetMode="External"/><Relationship Id="rId36" Type="http://schemas.openxmlformats.org/officeDocument/2006/relationships/hyperlink" Target="https://www.sec.gov/Archives/edgar/data/1816736/000114036122047453/brhc10045896_ex3-2.htm" TargetMode="External"/><Relationship Id="rId37" Type="http://schemas.openxmlformats.org/officeDocument/2006/relationships/hyperlink" Target="https://www.sec.gov/Archives/edgar/data/1816736/000114036122032239/ny20005172x1_ex3-1.htm" TargetMode="External"/><Relationship Id="rId38" Type="http://schemas.openxmlformats.org/officeDocument/2006/relationships/hyperlink" Target="https://www.sec.gov/Archives/edgar/data/1816736/000114036122032239/ny20005172x1_ex3-1.htm" TargetMode="External"/><Relationship Id="rId39" Type="http://schemas.openxmlformats.org/officeDocument/2006/relationships/hyperlink" Target="https://www.sec.gov/Archives/edgar/data/1816736/000095017022003288/gmtx-ex4_4.htm" TargetMode="External"/><Relationship Id="rId40" Type="http://schemas.openxmlformats.org/officeDocument/2006/relationships/hyperlink" Target="https://www.sec.gov/Archives/edgar/data/1816736/000095017022003288/gmtx-ex4_4.htm" TargetMode="External"/><Relationship Id="rId41" Type="http://schemas.openxmlformats.org/officeDocument/2006/relationships/hyperlink" Target="https://www.sec.gov/Archives/edgar/data/1816736/000114036122047453/brhc10045896_ex10-1.htm" TargetMode="External"/><Relationship Id="rId42" Type="http://schemas.openxmlformats.org/officeDocument/2006/relationships/hyperlink" Target="https://www.sec.gov/Archives/edgar/data/1816736/000114036122047453/brhc10045896_ex10-1.htm" TargetMode="External"/><Relationship Id="rId43" Type="http://schemas.openxmlformats.org/officeDocument/2006/relationships/hyperlink" Target="https://www.sec.gov/Archives/edgar/data/1816736/000121390021007091/ea134758ex10-1_gemini.htm" TargetMode="External"/><Relationship Id="rId44" Type="http://schemas.openxmlformats.org/officeDocument/2006/relationships/hyperlink" Target="https://www.sec.gov/Archives/edgar/data/1816736/000121390021007091/ea134758ex10-1_gemini.htm" TargetMode="External"/><Relationship Id="rId45" Type="http://schemas.openxmlformats.org/officeDocument/2006/relationships/hyperlink" Target="https://www.sec.gov/Archives/edgar/data/1816736/000114036122032239/ny20005172x1_ex10-2.htm" TargetMode="External"/><Relationship Id="rId46" Type="http://schemas.openxmlformats.org/officeDocument/2006/relationships/hyperlink" Target="https://www.sec.gov/Archives/edgar/data/1816736/000114036122032239/ny20005172x1_ex10-3.htm" TargetMode="External"/><Relationship Id="rId47" Type="http://schemas.openxmlformats.org/officeDocument/2006/relationships/hyperlink" Target="https://www.sec.gov/Archives/edgar/data/1816736/000114036122032239/ny20005172x1_ex10-4.htm" TargetMode="External"/><Relationship Id="rId48" Type="http://schemas.openxmlformats.org/officeDocument/2006/relationships/hyperlink" Target="https://www.sec.gov/Archives/edgar/data/1816736/000114036122032239/ny20005172x1_ex10-5.htm" TargetMode="External"/><Relationship Id="rId49" Type="http://schemas.openxmlformats.org/officeDocument/2006/relationships/hyperlink" Target="https://www.sec.gov/Archives/edgar/data/1816736/000114036122032239/ny20005172x1_ex10-6.htm" TargetMode="External"/><Relationship Id="rId50" Type="http://schemas.openxmlformats.org/officeDocument/2006/relationships/hyperlink" Target="https://www.sec.gov/Archives/edgar/data/1816736/000114036122032239/ny20005172x1_ex10-7.htm" TargetMode="External"/><Relationship Id="rId51" Type="http://schemas.openxmlformats.org/officeDocument/2006/relationships/hyperlink" Target="https://www.sec.gov/Archives/edgar/data/1816736/000114036122039701/ny20005172x4_ex10-21.htm" TargetMode="External"/><Relationship Id="rId52" Type="http://schemas.openxmlformats.org/officeDocument/2006/relationships/hyperlink" Target="https://www.sec.gov/Archives/edgar/data/1816736/000114036122047453/brhc10045896_ex10-5.htm" TargetMode="External"/><Relationship Id="rId53" Type="http://schemas.openxmlformats.org/officeDocument/2006/relationships/hyperlink" Target="https://www.sec.gov/Archives/edgar/data/1816736/000114036122043047/ny20005172x6_ex10-22.htm" TargetMode="External"/><Relationship Id="rId54" Type="http://schemas.openxmlformats.org/officeDocument/2006/relationships/hyperlink" Target="https://www.sec.gov/Archives/edgar/data/1816736/000119312523009656/d435326dex991.htm" TargetMode="External"/><Relationship Id="rId55" Type="http://schemas.openxmlformats.org/officeDocument/2006/relationships/hyperlink" Target="https://www.sec.gov/Archives/edgar/data/1816736/000119312523009656/d435326dex992.htm" TargetMode="External"/><Relationship Id="rId56" Type="http://schemas.openxmlformats.org/officeDocument/2006/relationships/hyperlink" Target="https://www.sec.gov/Archives/edgar/data/1816736/000119312523009656/d435326dex993.htm" TargetMode="External"/><Relationship Id="rId57" Type="http://schemas.openxmlformats.org/officeDocument/2006/relationships/hyperlink" Target="https://www.sec.gov/Archives/edgar/data/1816736/000114036122047453/brhc10045896_ex10-9.htm" TargetMode="External"/><Relationship Id="rId58" Type="http://schemas.openxmlformats.org/officeDocument/2006/relationships/hyperlink" Target="https://www.sec.gov/Archives/edgar/data/1816736/000121390021021222/ea139346ex99-3_gemini.htm" TargetMode="External"/><Relationship Id="rId59" Type="http://schemas.openxmlformats.org/officeDocument/2006/relationships/hyperlink" Target="https://www.sec.gov/Archives/edgar/data/1816736/000114036122047453/brhc10045896_ex10-3.htm" TargetMode="External"/><Relationship Id="rId60" Type="http://schemas.openxmlformats.org/officeDocument/2006/relationships/hyperlink" Target="https://www.sec.gov/Archives/edgar/data/1816736/000114036122047453/brhc10045896_ex10-4.htm" TargetMode="External"/><Relationship Id="rId61" Type="http://schemas.openxmlformats.org/officeDocument/2006/relationships/hyperlink" Target="https://www.sec.gov/Archives/edgar/data/1816736/000114036122047453/brhc10045896_ex10-6.htm" TargetMode="External"/><Relationship Id="rId62" Type="http://schemas.openxmlformats.org/officeDocument/2006/relationships/hyperlink" Target="https://www.sec.gov/Archives/edgar/data/1816736/000114036122047453/brhc10045896_ex10-10.htm" TargetMode="External"/><Relationship Id="rId63" Type="http://schemas.openxmlformats.org/officeDocument/2006/relationships/hyperlink" Target="https://www.sec.gov/Archives/edgar/data/1816736/000114036122047453/brhc10045896_ex14-1.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144702</Words>
  <CharactersWithSpaces>938942</CharactersWithSpaces>
  <Paragraphs>8323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