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14, 2024 (June 12,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184785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Disc Medicine,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644" w:type="dxa"/>
        <w:tblCellMar>
          <w:top w:w="0" w:type="dxa"/>
          <w:left w:w="0" w:type="dxa"/>
          <w:bottom w:w="0" w:type="dxa"/>
          <w:right w:w="0" w:type="dxa"/>
        </w:tblCellMar>
      </w:tblPr>
      <w:tr>
        <w:trPr>
          <w:trHeight w:val="214"/>
        </w:trPr>
        <w:tc>
          <w:tcPr>
            <w:tcW w:w="3520" w:type="dxa"/>
            <w:vAlign w:val="bottom"/>
          </w:tcPr>
          <w:p>
            <w:pPr>
              <w:jc w:val="center"/>
              <w:ind w:right="99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0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001-39438</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8"/>
                <w:szCs w:val="18"/>
                <w:b w:val="1"/>
                <w:bCs w:val="1"/>
                <w:color w:val="auto"/>
                <w:w w:val="98"/>
              </w:rPr>
              <w:t>85-1612845</w:t>
            </w:r>
          </w:p>
        </w:tc>
      </w:tr>
      <w:tr>
        <w:trPr>
          <w:trHeight w:val="148"/>
        </w:trPr>
        <w:tc>
          <w:tcPr>
            <w:tcW w:w="3520" w:type="dxa"/>
            <w:vAlign w:val="bottom"/>
          </w:tcPr>
          <w:p>
            <w:pPr>
              <w:jc w:val="center"/>
              <w:ind w:right="97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200" w:type="dxa"/>
            <w:vAlign w:val="bottom"/>
          </w:tcPr>
          <w:p>
            <w:pPr>
              <w:ind w:left="106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20" w:type="dxa"/>
            <w:vAlign w:val="bottom"/>
          </w:tcPr>
          <w:p>
            <w:pPr>
              <w:jc w:val="center"/>
              <w:ind w:right="97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3200" w:type="dxa"/>
            <w:vAlign w:val="bottom"/>
          </w:tcPr>
          <w:p>
            <w:pPr>
              <w:ind w:left="10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39"/>
        </w:trPr>
        <w:tc>
          <w:tcPr>
            <w:tcW w:w="3520" w:type="dxa"/>
            <w:vAlign w:val="bottom"/>
          </w:tcPr>
          <w:p>
            <w:pPr>
              <w:jc w:val="center"/>
              <w:ind w:right="979"/>
              <w:spacing w:after="0"/>
              <w:rPr>
                <w:sz w:val="20"/>
                <w:szCs w:val="20"/>
                <w:color w:val="auto"/>
              </w:rPr>
            </w:pPr>
            <w:r>
              <w:rPr>
                <w:rFonts w:ascii="Times New Roman" w:cs="Times New Roman" w:eastAsia="Times New Roman" w:hAnsi="Times New Roman"/>
                <w:sz w:val="18"/>
                <w:szCs w:val="18"/>
                <w:b w:val="1"/>
                <w:bCs w:val="1"/>
                <w:color w:val="auto"/>
              </w:rPr>
              <w:t>321 Arsenal Street, Suite 101</w:t>
            </w:r>
          </w:p>
        </w:tc>
        <w:tc>
          <w:tcPr>
            <w:tcW w:w="320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27"/>
        </w:trPr>
        <w:tc>
          <w:tcPr>
            <w:tcW w:w="3520" w:type="dxa"/>
            <w:vAlign w:val="bottom"/>
          </w:tcPr>
          <w:p>
            <w:pPr>
              <w:jc w:val="center"/>
              <w:ind w:right="979"/>
              <w:spacing w:after="0"/>
              <w:rPr>
                <w:sz w:val="20"/>
                <w:szCs w:val="20"/>
                <w:color w:val="auto"/>
              </w:rPr>
            </w:pPr>
            <w:r>
              <w:rPr>
                <w:rFonts w:ascii="Times New Roman" w:cs="Times New Roman" w:eastAsia="Times New Roman" w:hAnsi="Times New Roman"/>
                <w:sz w:val="18"/>
                <w:szCs w:val="18"/>
                <w:b w:val="1"/>
                <w:bCs w:val="1"/>
                <w:color w:val="auto"/>
                <w:w w:val="99"/>
              </w:rPr>
              <w:t>Watertown, Massachusetts</w:t>
            </w:r>
          </w:p>
        </w:tc>
        <w:tc>
          <w:tcPr>
            <w:tcW w:w="3200" w:type="dxa"/>
            <w:vAlign w:val="bottom"/>
          </w:tcPr>
          <w:p>
            <w:pPr>
              <w:spacing w:after="0"/>
              <w:rPr>
                <w:sz w:val="19"/>
                <w:szCs w:val="19"/>
                <w:color w:val="auto"/>
              </w:rPr>
            </w:pPr>
          </w:p>
        </w:tc>
        <w:tc>
          <w:tcPr>
            <w:tcW w:w="2460" w:type="dxa"/>
            <w:vAlign w:val="bottom"/>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02472</w:t>
            </w:r>
          </w:p>
        </w:tc>
      </w:tr>
      <w:tr>
        <w:trPr>
          <w:trHeight w:val="190"/>
        </w:trPr>
        <w:tc>
          <w:tcPr>
            <w:tcW w:w="3520" w:type="dxa"/>
            <w:vAlign w:val="bottom"/>
          </w:tcPr>
          <w:p>
            <w:pPr>
              <w:jc w:val="center"/>
              <w:ind w:right="97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200" w:type="dxa"/>
            <w:vAlign w:val="bottom"/>
          </w:tcPr>
          <w:p>
            <w:pPr>
              <w:spacing w:after="0"/>
              <w:rPr>
                <w:sz w:val="16"/>
                <w:szCs w:val="16"/>
                <w:color w:val="auto"/>
              </w:rPr>
            </w:pPr>
          </w:p>
        </w:tc>
        <w:tc>
          <w:tcPr>
            <w:tcW w:w="2460" w:type="dxa"/>
            <w:vAlign w:val="bottom"/>
          </w:tcPr>
          <w:p>
            <w:pPr>
              <w:jc w:val="center"/>
              <w:ind w:left="136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0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674-9274</w:t>
      </w:r>
    </w:p>
    <w:p>
      <w:pPr>
        <w:spacing w:after="0" w:line="1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u w:val="single" w:color="auto"/>
          <w:color w:val="auto"/>
        </w:rPr>
        <w:t>see</w:t>
      </w:r>
      <w:r>
        <w:rPr>
          <w:rFonts w:ascii="Times New Roman" w:cs="Times New Roman" w:eastAsia="Times New Roman" w:hAnsi="Times New Roman"/>
          <w:sz w:val="18"/>
          <w:szCs w:val="18"/>
          <w:color w:val="auto"/>
        </w:rPr>
        <w:t xml:space="preserv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40" w:lineRule="exact"/>
        <w:rPr>
          <w:rFonts w:ascii="MS PGothic" w:cs="MS PGothic" w:eastAsia="MS PGothic" w:hAnsi="MS PGothic"/>
          <w:sz w:val="18"/>
          <w:szCs w:val="18"/>
          <w:color w:val="auto"/>
        </w:rPr>
      </w:pPr>
    </w:p>
    <w:p>
      <w:pPr>
        <w:ind w:left="3304"/>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4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IRON</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Market</w:t>
            </w:r>
          </w:p>
        </w:tc>
        <w:tc>
          <w:tcPr>
            <w:tcW w:w="0" w:type="dxa"/>
            <w:vAlign w:val="bottom"/>
          </w:tcPr>
          <w:p>
            <w:pPr>
              <w:spacing w:after="0"/>
              <w:rPr>
                <w:sz w:val="1"/>
                <w:szCs w:val="1"/>
                <w:color w:val="auto"/>
              </w:rPr>
            </w:pPr>
          </w:p>
        </w:tc>
      </w:tr>
    </w:tbl>
    <w:p>
      <w:pPr>
        <w:spacing w:after="0" w:line="112"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53"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5"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5.07</w:t>
      </w:r>
      <w:r>
        <w:rPr>
          <w:sz w:val="20"/>
          <w:szCs w:val="20"/>
          <w:color w:val="auto"/>
        </w:rPr>
        <w:tab/>
      </w:r>
      <w:r>
        <w:rPr>
          <w:rFonts w:ascii="Times New Roman" w:cs="Times New Roman" w:eastAsia="Times New Roman" w:hAnsi="Times New Roman"/>
          <w:sz w:val="18"/>
          <w:szCs w:val="18"/>
          <w:b w:val="1"/>
          <w:bCs w:val="1"/>
          <w:color w:val="auto"/>
        </w:rPr>
        <w:t>Submission of Matters to a Vote of Security Holders.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June 12, 2024, Disc Medicine, Inc. (the “Company”) held its 2024 Annual Meeting of Stockholders (the “Annual Meeting”). At the Annual Meeting, the Company’s stockholders considered and voted on the two proposals set forth below, each of which is described in greater detail in the Company’s Definitive Proxy Statement on Schedule 14A, which was filed with the Securities and Exchange Commission on May 1, 2024. The final voting results are set forth below.</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Proposal 1 - Election of Class I Director Nominees</w:t>
      </w:r>
    </w:p>
    <w:p>
      <w:pPr>
        <w:spacing w:after="0" w:line="117"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stockholders of the Company elected Mona Ashiya, Ph.D. and Kevin Bitterman, Ph.D. as Class I directors of the Company, for a three-year term ending at the annual meeting of stockholders to be held in 2027 and until their successors have been duly elected and qualified, or until their earlier death, resignation or removal. The results of the stockholders’ vote with respect to the election of the Class I directors were as follows:</w:t>
      </w:r>
    </w:p>
    <w:p>
      <w:pPr>
        <w:spacing w:after="0" w:line="196" w:lineRule="exact"/>
        <w:rPr>
          <w:sz w:val="20"/>
          <w:szCs w:val="20"/>
          <w:color w:val="auto"/>
        </w:rPr>
      </w:pPr>
    </w:p>
    <w:tbl>
      <w:tblPr>
        <w:tblLayout w:type="fixed"/>
        <w:tblInd w:w="880" w:type="dxa"/>
        <w:tblCellMar>
          <w:top w:w="0" w:type="dxa"/>
          <w:left w:w="0" w:type="dxa"/>
          <w:bottom w:w="0" w:type="dxa"/>
          <w:right w:w="0" w:type="dxa"/>
        </w:tblCellMar>
      </w:tblPr>
      <w:tr>
        <w:trPr>
          <w:trHeight w:val="193"/>
        </w:trPr>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960" w:type="dxa"/>
            <w:vAlign w:val="bottom"/>
          </w:tcPr>
          <w:p>
            <w:pPr>
              <w:spacing w:after="0"/>
              <w:rPr>
                <w:sz w:val="16"/>
                <w:szCs w:val="16"/>
                <w:color w:val="auto"/>
              </w:rPr>
            </w:pPr>
          </w:p>
        </w:tc>
        <w:tc>
          <w:tcPr>
            <w:tcW w:w="86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Votes Withheld</w:t>
            </w:r>
          </w:p>
        </w:tc>
        <w:tc>
          <w:tcPr>
            <w:tcW w:w="16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03"/>
        </w:trPr>
        <w:tc>
          <w:tcPr>
            <w:tcW w:w="53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Mona Ashiya, Ph.D.</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21,799,456</w:t>
            </w:r>
          </w:p>
        </w:tc>
        <w:tc>
          <w:tcPr>
            <w:tcW w:w="4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149,253</w:t>
            </w:r>
          </w:p>
        </w:tc>
        <w:tc>
          <w:tcPr>
            <w:tcW w:w="4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885,757</w:t>
            </w:r>
          </w:p>
        </w:tc>
        <w:tc>
          <w:tcPr>
            <w:tcW w:w="60" w:type="dxa"/>
            <w:vAlign w:val="bottom"/>
            <w:tcBorders>
              <w:top w:val="single" w:sz="8" w:color="CCEEFF"/>
            </w:tcBorders>
            <w:shd w:val="clear" w:color="auto" w:fill="CCEEFF"/>
          </w:tcPr>
          <w:p>
            <w:pPr>
              <w:spacing w:after="0"/>
              <w:rPr>
                <w:sz w:val="17"/>
                <w:szCs w:val="17"/>
                <w:color w:val="auto"/>
              </w:rPr>
            </w:pPr>
          </w:p>
        </w:tc>
      </w:tr>
      <w:tr>
        <w:trPr>
          <w:trHeight w:val="234"/>
        </w:trPr>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Kevin Bitterman, Ph.D.</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16,982,922</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4,965,787</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885,757</w:t>
            </w:r>
          </w:p>
        </w:tc>
        <w:tc>
          <w:tcPr>
            <w:tcW w:w="60" w:type="dxa"/>
            <w:vAlign w:val="bottom"/>
          </w:tcPr>
          <w:p>
            <w:pPr>
              <w:spacing w:after="0"/>
              <w:rPr>
                <w:sz w:val="20"/>
                <w:szCs w:val="20"/>
                <w:color w:val="auto"/>
              </w:rPr>
            </w:pPr>
          </w:p>
        </w:tc>
      </w:tr>
    </w:tbl>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Proposal 2 – Ratification of Appointment of the Company’s Independent Registered Public Accounting Firm</w:t>
      </w:r>
    </w:p>
    <w:p>
      <w:pPr>
        <w:spacing w:after="0" w:line="11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stockholders of the Company ratified the appointment of Ernst &amp; Young LLP as the Company’s independent registered public accounting firm for the fiscal year ending December 31, 2024. The results of the stockholders’ vote with respect to such ratification were as follows:</w:t>
      </w:r>
    </w:p>
    <w:p>
      <w:pPr>
        <w:spacing w:after="0" w:line="182" w:lineRule="exact"/>
        <w:rPr>
          <w:sz w:val="20"/>
          <w:szCs w:val="20"/>
          <w:color w:val="auto"/>
        </w:rPr>
      </w:pPr>
    </w:p>
    <w:tbl>
      <w:tblPr>
        <w:tblLayout w:type="fixed"/>
        <w:tblInd w:w="1320" w:type="dxa"/>
        <w:tblCellMar>
          <w:top w:w="0" w:type="dxa"/>
          <w:left w:w="0" w:type="dxa"/>
          <w:bottom w:w="0" w:type="dxa"/>
          <w:right w:w="0" w:type="dxa"/>
        </w:tblCellMar>
      </w:tblPr>
      <w:tr>
        <w:trPr>
          <w:trHeight w:val="173"/>
        </w:trPr>
        <w:tc>
          <w:tcPr>
            <w:tcW w:w="1120" w:type="dxa"/>
            <w:vAlign w:val="bottom"/>
          </w:tcPr>
          <w:p>
            <w:pPr>
              <w:spacing w:after="0"/>
              <w:rPr>
                <w:sz w:val="15"/>
                <w:szCs w:val="15"/>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2140" w:type="dxa"/>
            <w:vAlign w:val="bottom"/>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2080" w:type="dxa"/>
            <w:vAlign w:val="bottom"/>
          </w:tcPr>
          <w:p>
            <w:pPr>
              <w:spacing w:after="0"/>
              <w:rPr>
                <w:sz w:val="15"/>
                <w:szCs w:val="15"/>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1080" w:type="dxa"/>
            <w:vAlign w:val="bottom"/>
          </w:tcPr>
          <w:p>
            <w:pPr>
              <w:spacing w:after="0"/>
              <w:rPr>
                <w:sz w:val="15"/>
                <w:szCs w:val="15"/>
                <w:color w:val="auto"/>
              </w:rPr>
            </w:pPr>
          </w:p>
        </w:tc>
      </w:tr>
      <w:tr>
        <w:trPr>
          <w:trHeight w:val="209"/>
        </w:trPr>
        <w:tc>
          <w:tcPr>
            <w:tcW w:w="3860" w:type="dxa"/>
            <w:vAlign w:val="bottom"/>
            <w:gridSpan w:val="3"/>
            <w:shd w:val="clear" w:color="auto" w:fill="CCEEFF"/>
          </w:tcPr>
          <w:p>
            <w:pPr>
              <w:jc w:val="right"/>
              <w:ind w:right="2040"/>
              <w:spacing w:after="0"/>
              <w:rPr>
                <w:sz w:val="20"/>
                <w:szCs w:val="20"/>
                <w:color w:val="auto"/>
              </w:rPr>
            </w:pPr>
            <w:r>
              <w:rPr>
                <w:rFonts w:ascii="Times New Roman" w:cs="Times New Roman" w:eastAsia="Times New Roman" w:hAnsi="Times New Roman"/>
                <w:sz w:val="18"/>
                <w:szCs w:val="18"/>
                <w:color w:val="auto"/>
              </w:rPr>
              <w:t>22,832,763</w:t>
            </w:r>
          </w:p>
        </w:tc>
        <w:tc>
          <w:tcPr>
            <w:tcW w:w="8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1,152</w:t>
            </w:r>
          </w:p>
        </w:tc>
        <w:tc>
          <w:tcPr>
            <w:tcW w:w="258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551</w:t>
            </w:r>
          </w:p>
        </w:tc>
        <w:tc>
          <w:tcPr>
            <w:tcW w:w="108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other matters were submitted to or voted on by the Company’s stockholders at the Annual Meeting.</w:t>
      </w:r>
    </w:p>
    <w:p>
      <w:pPr>
        <w:sectPr>
          <w:pgSz w:w="11900" w:h="16838" w:orient="portrait"/>
          <w:cols w:equalWidth="0" w:num="1">
            <w:col w:w="11000"/>
          </w:cols>
          <w:pgMar w:left="440" w:top="293" w:right="459" w:bottom="1440" w:gutter="0" w:footer="0" w:header="0"/>
        </w:sectPr>
      </w:pPr>
    </w:p>
    <w:bookmarkStart w:id="2" w:name="page3"/>
    <w:bookmarkEnd w:id="2"/>
    <w:p>
      <w:pPr>
        <w:ind w:left="49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DISC MEDICINE, INC.</w:t>
      </w:r>
    </w:p>
    <w:p>
      <w:pPr>
        <w:spacing w:after="0" w:line="225" w:lineRule="exact"/>
        <w:rPr>
          <w:sz w:val="20"/>
          <w:szCs w:val="20"/>
          <w:color w:val="auto"/>
        </w:rPr>
      </w:pPr>
    </w:p>
    <w:p>
      <w:pPr>
        <w:spacing w:after="0"/>
        <w:tabs>
          <w:tab w:leader="none" w:pos="5500" w:val="left"/>
          <w:tab w:leader="none" w:pos="6140" w:val="left"/>
        </w:tabs>
        <w:rPr>
          <w:sz w:val="20"/>
          <w:szCs w:val="20"/>
          <w:color w:val="auto"/>
        </w:rPr>
      </w:pPr>
      <w:r>
        <w:rPr>
          <w:rFonts w:ascii="Times New Roman" w:cs="Times New Roman" w:eastAsia="Times New Roman" w:hAnsi="Times New Roman"/>
          <w:sz w:val="18"/>
          <w:szCs w:val="18"/>
          <w:color w:val="auto"/>
        </w:rPr>
        <w:t>Date: June 14,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John Quisel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17145</wp:posOffset>
            </wp:positionV>
            <wp:extent cx="30772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34" w:lineRule="exact"/>
        <w:rPr>
          <w:sz w:val="20"/>
          <w:szCs w:val="20"/>
          <w:color w:val="auto"/>
        </w:rPr>
      </w:pPr>
    </w:p>
    <w:p>
      <w:pPr>
        <w:ind w:left="5520"/>
        <w:spacing w:after="0"/>
        <w:tabs>
          <w:tab w:leader="none" w:pos="6140" w:val="left"/>
        </w:tabs>
        <w:rPr>
          <w:sz w:val="20"/>
          <w:szCs w:val="20"/>
          <w:color w:val="auto"/>
        </w:rPr>
      </w:pPr>
      <w:r>
        <w:rPr>
          <w:rFonts w:ascii="Times New Roman" w:cs="Times New Roman" w:eastAsia="Times New Roman" w:hAnsi="Times New Roman"/>
          <w:sz w:val="18"/>
          <w:szCs w:val="18"/>
          <w:color w:val="auto"/>
        </w:rPr>
        <w:t>Name:</w:t>
        <w:tab/>
        <w:t>John Quisel, J.D., Ph.D.</w:t>
      </w:r>
    </w:p>
    <w:p>
      <w:pPr>
        <w:spacing w:after="0" w:line="9" w:lineRule="exact"/>
        <w:rPr>
          <w:sz w:val="20"/>
          <w:szCs w:val="20"/>
          <w:color w:val="auto"/>
        </w:rPr>
      </w:pPr>
    </w:p>
    <w:p>
      <w:pPr>
        <w:ind w:left="5520"/>
        <w:spacing w:after="0"/>
        <w:tabs>
          <w:tab w:leader="none" w:pos="6140" w:val="left"/>
        </w:tabs>
        <w:rPr>
          <w:sz w:val="20"/>
          <w:szCs w:val="20"/>
          <w:color w:val="auto"/>
        </w:rPr>
      </w:pPr>
      <w:r>
        <w:rPr>
          <w:rFonts w:ascii="Times New Roman" w:cs="Times New Roman" w:eastAsia="Times New Roman" w:hAnsi="Times New Roman"/>
          <w:sz w:val="18"/>
          <w:szCs w:val="18"/>
          <w:color w:val="auto"/>
        </w:rPr>
        <w:t>Title:</w:t>
        <w:tab/>
        <w:t>Chief Executive Officer</w:t>
      </w:r>
    </w:p>
    <w:sectPr>
      <w:pgSz w:w="11900" w:h="16838" w:orient="portrait"/>
      <w:cols w:equalWidth="0" w:num="1">
        <w:col w:w="10260"/>
      </w:cols>
      <w:pgMar w:left="440" w:top="297"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2024-06-14T15:19:51Z</dcterms:created>
  <dcterms:modified xsi:type="dcterms:W3CDTF">2024-06-14T15:19:51Z</dcterms:modified>
</cp:coreProperties>
</file>