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3" w:lineRule="auto"/>
        <w:rPr>
          <w:rFonts w:ascii="Arial" w:cs="Arial" w:eastAsia="Arial" w:hAnsi="Arial"/>
          <w:sz w:val="22"/>
          <w:szCs w:val="22"/>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36870G105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191770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60" w:top="388" w:right="91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1.</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NAMES OF REPORTING PERSONS</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Hawkes Bay Master Investors (Cayman) L.P.</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2.</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w w:val="97"/>
              </w:rPr>
              <w:t>(a) [ ]</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00" w:type="dxa"/>
            <w:vAlign w:val="bottom"/>
          </w:tcPr>
          <w:p>
            <w:pPr>
              <w:spacing w:after="0"/>
              <w:rPr>
                <w:sz w:val="23"/>
                <w:szCs w:val="23"/>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w w:val="97"/>
              </w:rPr>
              <w:t>(b) [ ]</w:t>
            </w:r>
          </w:p>
        </w:tc>
        <w:tc>
          <w:tcPr>
            <w:tcW w:w="7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3.</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4.</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459"/>
        </w:trPr>
        <w:tc>
          <w:tcPr>
            <w:tcW w:w="160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62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Arial" w:cs="Arial" w:eastAsia="Arial" w:hAnsi="Arial"/>
                <w:sz w:val="22"/>
                <w:szCs w:val="22"/>
                <w:color w:val="auto"/>
              </w:rPr>
              <w:t>5. SOLE VOTING POWER</w:t>
            </w:r>
          </w:p>
        </w:tc>
        <w:tc>
          <w:tcPr>
            <w:tcW w:w="0" w:type="dxa"/>
            <w:vAlign w:val="bottom"/>
          </w:tcPr>
          <w:p>
            <w:pPr>
              <w:spacing w:after="0"/>
              <w:rPr>
                <w:sz w:val="1"/>
                <w:szCs w:val="1"/>
                <w:color w:val="auto"/>
              </w:rPr>
            </w:pPr>
          </w:p>
        </w:tc>
      </w:tr>
      <w:tr>
        <w:trPr>
          <w:trHeight w:val="50"/>
        </w:trPr>
        <w:tc>
          <w:tcPr>
            <w:tcW w:w="1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620" w:type="dxa"/>
            <w:vAlign w:val="bottom"/>
          </w:tcPr>
          <w:p>
            <w:pPr>
              <w:spacing w:after="0"/>
              <w:rPr>
                <w:sz w:val="21"/>
                <w:szCs w:val="21"/>
                <w:color w:val="auto"/>
              </w:rPr>
            </w:pPr>
          </w:p>
        </w:tc>
        <w:tc>
          <w:tcPr>
            <w:tcW w:w="7460" w:type="dxa"/>
            <w:vAlign w:val="bottom"/>
            <w:vMerge w:val="restart"/>
          </w:tcPr>
          <w:p>
            <w:pPr>
              <w:ind w:left="40"/>
              <w:spacing w:after="0"/>
              <w:rPr>
                <w:sz w:val="20"/>
                <w:szCs w:val="20"/>
                <w:color w:val="auto"/>
              </w:rPr>
            </w:pPr>
            <w:r>
              <w:rPr>
                <w:rFonts w:ascii="Arial" w:cs="Arial" w:eastAsia="Arial" w:hAnsi="Arial"/>
                <w:sz w:val="22"/>
                <w:szCs w:val="22"/>
                <w:color w:val="auto"/>
              </w:rPr>
              <w:t>6. SHARED VOTING POWER</w:t>
            </w:r>
          </w:p>
        </w:tc>
        <w:tc>
          <w:tcPr>
            <w:tcW w:w="0" w:type="dxa"/>
            <w:vAlign w:val="bottom"/>
          </w:tcPr>
          <w:p>
            <w:pPr>
              <w:spacing w:after="0"/>
              <w:rPr>
                <w:sz w:val="1"/>
                <w:szCs w:val="1"/>
                <w:color w:val="auto"/>
              </w:rPr>
            </w:pPr>
          </w:p>
        </w:tc>
      </w:tr>
      <w:tr>
        <w:trPr>
          <w:trHeight w:val="166"/>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620" w:type="dxa"/>
            <w:vAlign w:val="bottom"/>
          </w:tcPr>
          <w:p>
            <w:pPr>
              <w:spacing w:after="0"/>
              <w:rPr>
                <w:sz w:val="14"/>
                <w:szCs w:val="14"/>
                <w:color w:val="auto"/>
              </w:rPr>
            </w:pPr>
          </w:p>
        </w:tc>
        <w:tc>
          <w:tcPr>
            <w:tcW w:w="7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7460" w:type="dxa"/>
            <w:vAlign w:val="bottom"/>
            <w:vMerge w:val="restart"/>
          </w:tcPr>
          <w:p>
            <w:pPr>
              <w:ind w:left="40"/>
              <w:spacing w:after="0"/>
              <w:rPr>
                <w:sz w:val="20"/>
                <w:szCs w:val="20"/>
                <w:color w:val="auto"/>
              </w:rPr>
            </w:pPr>
            <w:r>
              <w:rPr>
                <w:rFonts w:ascii="Arial" w:cs="Arial" w:eastAsia="Arial" w:hAnsi="Arial"/>
                <w:sz w:val="22"/>
                <w:szCs w:val="22"/>
                <w:color w:val="auto"/>
              </w:rPr>
              <w:t>7. SOLE DISPOSITIVE POWER</w:t>
            </w:r>
          </w:p>
        </w:tc>
        <w:tc>
          <w:tcPr>
            <w:tcW w:w="0" w:type="dxa"/>
            <w:vAlign w:val="bottom"/>
          </w:tcPr>
          <w:p>
            <w:pPr>
              <w:spacing w:after="0"/>
              <w:rPr>
                <w:sz w:val="1"/>
                <w:szCs w:val="1"/>
                <w:color w:val="auto"/>
              </w:rPr>
            </w:pPr>
          </w:p>
        </w:tc>
      </w:tr>
      <w:tr>
        <w:trPr>
          <w:trHeight w:val="139"/>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620" w:type="dxa"/>
            <w:vAlign w:val="bottom"/>
          </w:tcPr>
          <w:p>
            <w:pPr>
              <w:spacing w:after="0"/>
              <w:rPr>
                <w:sz w:val="12"/>
                <w:szCs w:val="12"/>
                <w:color w:val="auto"/>
              </w:rPr>
            </w:pPr>
          </w:p>
        </w:tc>
        <w:tc>
          <w:tcPr>
            <w:tcW w:w="7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PERSON WITH</w:t>
            </w:r>
          </w:p>
        </w:tc>
        <w:tc>
          <w:tcPr>
            <w:tcW w:w="620" w:type="dxa"/>
            <w:vAlign w:val="bottom"/>
          </w:tcPr>
          <w:p>
            <w:pPr>
              <w:spacing w:after="0"/>
              <w:rPr>
                <w:sz w:val="23"/>
                <w:szCs w:val="23"/>
                <w:color w:val="auto"/>
              </w:rPr>
            </w:pPr>
          </w:p>
        </w:tc>
        <w:tc>
          <w:tcPr>
            <w:tcW w:w="7460" w:type="dxa"/>
            <w:vAlign w:val="bottom"/>
            <w:vMerge w:val="restart"/>
          </w:tcPr>
          <w:p>
            <w:pPr>
              <w:ind w:left="40"/>
              <w:spacing w:after="0"/>
              <w:rPr>
                <w:sz w:val="20"/>
                <w:szCs w:val="20"/>
                <w:color w:val="auto"/>
              </w:rPr>
            </w:pPr>
            <w:r>
              <w:rPr>
                <w:rFonts w:ascii="Arial" w:cs="Arial" w:eastAsia="Arial" w:hAnsi="Arial"/>
                <w:sz w:val="22"/>
                <w:szCs w:val="22"/>
                <w:color w:val="auto"/>
              </w:rPr>
              <w:t>8. SHARED DISPOSITIVE POWER</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9.</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w w:val="95"/>
              </w:rPr>
              <w:t>AGGREGATE AMOUNT BENEFICIALLY OWNED BY EACH REPORTING PERSON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rPr>
              <w:t>0</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10.</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w w:val="94"/>
              </w:rPr>
              <w:t>CHECK IF THE AGGREGATE AMOUNT IN ROW (9) EXCLUDES CERTAIN SHARES</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rPr>
              <w:t>[ ]</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11.</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0.00%</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12.</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rPr>
              <w:t>PN</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ectPr>
          <w:pgSz w:w="11900" w:h="16838" w:orient="portrait"/>
          <w:cols w:equalWidth="0" w:num="2">
            <w:col w:w="9800" w:space="720"/>
            <w:col w:w="100"/>
          </w:cols>
          <w:pgMar w:left="360" w:top="388" w:right="9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Gemini Therapeutics, Inc.</w:t>
      </w:r>
    </w:p>
    <w:p>
      <w:pPr>
        <w:spacing w:after="0" w:line="101" w:lineRule="exact"/>
        <w:rPr>
          <w:rFonts w:ascii="Arial" w:cs="Arial" w:eastAsia="Arial" w:hAnsi="Arial"/>
          <w:sz w:val="22"/>
          <w:szCs w:val="22"/>
          <w:b w:val="1"/>
          <w:bCs w:val="1"/>
          <w:color w:val="auto"/>
        </w:rPr>
      </w:pPr>
    </w:p>
    <w:p>
      <w:pPr>
        <w:ind w:left="1760" w:right="4960" w:hanging="401"/>
        <w:spacing w:after="0" w:line="243"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300 One Kendall Square, 3rd Floor Cambridge, MA 02139</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Hawkes Bay Master Investors (Cayman) L.P.</w:t>
      </w:r>
    </w:p>
    <w:p>
      <w:pPr>
        <w:spacing w:after="0" w:line="10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Group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right="79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Cayman Islands</w:t>
      </w:r>
    </w:p>
    <w:p>
      <w:pPr>
        <w:spacing w:after="0" w:line="12" w:lineRule="exact"/>
        <w:rPr>
          <w:rFonts w:ascii="Arial" w:cs="Arial" w:eastAsia="Arial" w:hAnsi="Arial"/>
          <w:sz w:val="19"/>
          <w:szCs w:val="19"/>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36870G105</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right="6720" w:hanging="401"/>
        <w:spacing w:after="0" w:line="358" w:lineRule="auto"/>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0</w:t>
      </w:r>
    </w:p>
    <w:p>
      <w:pPr>
        <w:spacing w:after="0" w:line="1"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0.00%</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274"/>
        </w:trPr>
        <w:tc>
          <w:tcPr>
            <w:tcW w:w="400" w:type="dxa"/>
            <w:vAlign w:val="bottom"/>
          </w:tcPr>
          <w:p>
            <w:pPr>
              <w:spacing w:after="0"/>
              <w:rPr>
                <w:sz w:val="20"/>
                <w:szCs w:val="20"/>
                <w:color w:val="auto"/>
              </w:rPr>
            </w:pPr>
            <w:r>
              <w:rPr>
                <w:rFonts w:ascii="Arial" w:cs="Arial" w:eastAsia="Arial" w:hAnsi="Arial"/>
                <w:sz w:val="22"/>
                <w:szCs w:val="22"/>
                <w:color w:val="auto"/>
              </w:rPr>
              <w:t>(i)</w:t>
            </w:r>
          </w:p>
        </w:tc>
        <w:tc>
          <w:tcPr>
            <w:tcW w:w="6660" w:type="dxa"/>
            <w:vAlign w:val="bottom"/>
          </w:tcPr>
          <w:p>
            <w:pPr>
              <w:ind w:left="60"/>
              <w:spacing w:after="0"/>
              <w:rPr>
                <w:sz w:val="20"/>
                <w:szCs w:val="20"/>
                <w:color w:val="auto"/>
              </w:rPr>
            </w:pPr>
            <w:r>
              <w:rPr>
                <w:rFonts w:ascii="Arial" w:cs="Arial" w:eastAsia="Arial" w:hAnsi="Arial"/>
                <w:sz w:val="22"/>
                <w:szCs w:val="22"/>
                <w:color w:val="auto"/>
              </w:rPr>
              <w:t>sole power to vote or to direct the vote</w:t>
            </w:r>
          </w:p>
        </w:tc>
        <w:tc>
          <w:tcPr>
            <w:tcW w:w="20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400" w:type="dxa"/>
            <w:vAlign w:val="bottom"/>
          </w:tcPr>
          <w:p>
            <w:pPr>
              <w:spacing w:after="0"/>
              <w:rPr>
                <w:sz w:val="20"/>
                <w:szCs w:val="20"/>
                <w:color w:val="auto"/>
              </w:rPr>
            </w:pPr>
            <w:r>
              <w:rPr>
                <w:rFonts w:ascii="Arial" w:cs="Arial" w:eastAsia="Arial" w:hAnsi="Arial"/>
                <w:sz w:val="22"/>
                <w:szCs w:val="22"/>
                <w:color w:val="auto"/>
              </w:rPr>
              <w:t>(ii)</w:t>
            </w:r>
          </w:p>
        </w:tc>
        <w:tc>
          <w:tcPr>
            <w:tcW w:w="6660" w:type="dxa"/>
            <w:vAlign w:val="bottom"/>
          </w:tcPr>
          <w:p>
            <w:pPr>
              <w:ind w:left="60"/>
              <w:spacing w:after="0"/>
              <w:rPr>
                <w:sz w:val="20"/>
                <w:szCs w:val="20"/>
                <w:color w:val="auto"/>
              </w:rPr>
            </w:pPr>
            <w:r>
              <w:rPr>
                <w:rFonts w:ascii="Arial" w:cs="Arial" w:eastAsia="Arial" w:hAnsi="Arial"/>
                <w:sz w:val="22"/>
                <w:szCs w:val="22"/>
                <w:color w:val="auto"/>
              </w:rPr>
              <w:t>shared power to vote or to direct the vote</w:t>
            </w:r>
          </w:p>
        </w:tc>
        <w:tc>
          <w:tcPr>
            <w:tcW w:w="20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400" w:type="dxa"/>
            <w:vAlign w:val="bottom"/>
          </w:tcPr>
          <w:p>
            <w:pPr>
              <w:spacing w:after="0"/>
              <w:rPr>
                <w:sz w:val="20"/>
                <w:szCs w:val="20"/>
                <w:color w:val="auto"/>
              </w:rPr>
            </w:pPr>
            <w:r>
              <w:rPr>
                <w:rFonts w:ascii="Arial" w:cs="Arial" w:eastAsia="Arial" w:hAnsi="Arial"/>
                <w:sz w:val="22"/>
                <w:szCs w:val="22"/>
                <w:color w:val="auto"/>
              </w:rPr>
              <w:t>(iii)</w:t>
            </w:r>
          </w:p>
        </w:tc>
        <w:tc>
          <w:tcPr>
            <w:tcW w:w="6660" w:type="dxa"/>
            <w:vAlign w:val="bottom"/>
          </w:tcPr>
          <w:p>
            <w:pPr>
              <w:ind w:left="60"/>
              <w:spacing w:after="0"/>
              <w:rPr>
                <w:sz w:val="20"/>
                <w:szCs w:val="20"/>
                <w:color w:val="auto"/>
              </w:rPr>
            </w:pPr>
            <w:r>
              <w:rPr>
                <w:rFonts w:ascii="Arial" w:cs="Arial" w:eastAsia="Arial" w:hAnsi="Arial"/>
                <w:sz w:val="22"/>
                <w:szCs w:val="22"/>
                <w:color w:val="auto"/>
              </w:rPr>
              <w:t>sole power to dispose or to direct the disposition of</w:t>
            </w:r>
          </w:p>
        </w:tc>
        <w:tc>
          <w:tcPr>
            <w:tcW w:w="20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400" w:type="dxa"/>
            <w:vAlign w:val="bottom"/>
          </w:tcPr>
          <w:p>
            <w:pPr>
              <w:spacing w:after="0"/>
              <w:rPr>
                <w:sz w:val="20"/>
                <w:szCs w:val="20"/>
                <w:color w:val="auto"/>
              </w:rPr>
            </w:pPr>
            <w:r>
              <w:rPr>
                <w:rFonts w:ascii="Arial" w:cs="Arial" w:eastAsia="Arial" w:hAnsi="Arial"/>
                <w:sz w:val="22"/>
                <w:szCs w:val="22"/>
                <w:color w:val="auto"/>
              </w:rPr>
              <w:t>(iv)</w:t>
            </w:r>
          </w:p>
        </w:tc>
        <w:tc>
          <w:tcPr>
            <w:tcW w:w="6660" w:type="dxa"/>
            <w:vAlign w:val="bottom"/>
          </w:tcPr>
          <w:p>
            <w:pPr>
              <w:ind w:left="60"/>
              <w:spacing w:after="0"/>
              <w:rPr>
                <w:sz w:val="20"/>
                <w:szCs w:val="20"/>
                <w:color w:val="auto"/>
              </w:rPr>
            </w:pPr>
            <w:r>
              <w:rPr>
                <w:rFonts w:ascii="Arial" w:cs="Arial" w:eastAsia="Arial" w:hAnsi="Arial"/>
                <w:sz w:val="22"/>
                <w:szCs w:val="22"/>
                <w:color w:val="auto"/>
              </w:rPr>
              <w:t>shared power to dispose or to direct the disposition of</w:t>
            </w:r>
          </w:p>
        </w:tc>
        <w:tc>
          <w:tcPr>
            <w:tcW w:w="208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040"/>
          </w:cols>
          <w:pgMar w:left="400" w:top="409" w:right="4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w w:val="91"/>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w w:val="89"/>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acquired and are not held for the purpose of or with the effect of changing or influencing the control of the</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3"/>
              </w:rPr>
              <w:t>issuer of the securities and were not acquired and are not held in connection with or as a participant in any</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transaction having that purpose or effect.</w:t>
            </w:r>
          </w:p>
        </w:tc>
      </w:tr>
      <w:tr>
        <w:trPr>
          <w:trHeight w:val="608"/>
        </w:trPr>
        <w:tc>
          <w:tcPr>
            <w:tcW w:w="940" w:type="dxa"/>
            <w:vAlign w:val="bottom"/>
          </w:tcPr>
          <w:p>
            <w:pPr>
              <w:spacing w:after="0"/>
              <w:rPr>
                <w:sz w:val="24"/>
                <w:szCs w:val="24"/>
                <w:color w:val="auto"/>
              </w:rPr>
            </w:pPr>
          </w:p>
        </w:tc>
        <w:tc>
          <w:tcPr>
            <w:tcW w:w="10120" w:type="dxa"/>
            <w:vAlign w:val="bottom"/>
            <w:gridSpan w:val="3"/>
          </w:tcPr>
          <w:p>
            <w:pPr>
              <w:ind w:left="39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Arial" w:cs="Arial" w:eastAsia="Arial" w:hAnsi="Arial"/>
                <w:sz w:val="22"/>
                <w:szCs w:val="22"/>
                <w:color w:val="auto"/>
                <w:w w:val="96"/>
              </w:rPr>
              <w:t>By: Hawkes Bay Master Investors (Cayman) L.P.</w:t>
            </w:r>
          </w:p>
        </w:tc>
      </w:tr>
      <w:tr>
        <w:trPr>
          <w:trHeight w:val="563"/>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Arial" w:cs="Arial" w:eastAsia="Arial" w:hAnsi="Arial"/>
                <w:sz w:val="22"/>
                <w:szCs w:val="22"/>
                <w:color w:val="auto"/>
              </w:rPr>
              <w:t>By: Wellington Alternative Investments LLC</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5500"/>
              <w:spacing w:after="0"/>
              <w:rPr>
                <w:sz w:val="20"/>
                <w:szCs w:val="20"/>
                <w:color w:val="auto"/>
              </w:rPr>
            </w:pPr>
            <w:r>
              <w:rPr>
                <w:rFonts w:ascii="Arial" w:cs="Arial" w:eastAsia="Arial" w:hAnsi="Arial"/>
                <w:sz w:val="22"/>
                <w:szCs w:val="22"/>
                <w:color w:val="auto"/>
              </w:rPr>
              <w:t>Its General Partner</w:t>
            </w:r>
          </w:p>
        </w:tc>
      </w:tr>
      <w:tr>
        <w:trPr>
          <w:trHeight w:val="246"/>
        </w:trPr>
        <w:tc>
          <w:tcPr>
            <w:tcW w:w="940" w:type="dxa"/>
            <w:vAlign w:val="bottom"/>
          </w:tcPr>
          <w:p>
            <w:pPr>
              <w:spacing w:after="0"/>
              <w:rPr>
                <w:sz w:val="21"/>
                <w:szCs w:val="21"/>
                <w:color w:val="auto"/>
              </w:rPr>
            </w:pPr>
          </w:p>
        </w:tc>
        <w:tc>
          <w:tcPr>
            <w:tcW w:w="10120" w:type="dxa"/>
            <w:vAlign w:val="bottom"/>
            <w:gridSpan w:val="3"/>
          </w:tcPr>
          <w:p>
            <w:pPr>
              <w:ind w:left="5500"/>
              <w:spacing w:after="0" w:line="246" w:lineRule="exact"/>
              <w:rPr>
                <w:sz w:val="20"/>
                <w:szCs w:val="20"/>
                <w:color w:val="auto"/>
              </w:rPr>
            </w:pPr>
            <w:r>
              <w:rPr>
                <w:rFonts w:ascii="Arial" w:cs="Arial" w:eastAsia="Arial" w:hAnsi="Arial"/>
                <w:sz w:val="22"/>
                <w:szCs w:val="22"/>
                <w:color w:val="auto"/>
              </w:rPr>
              <w:t>By: /s/ Matthew N. Shea</w:t>
            </w:r>
          </w:p>
        </w:tc>
      </w:tr>
      <w:tr>
        <w:trPr>
          <w:trHeight w:val="20"/>
        </w:trPr>
        <w:tc>
          <w:tcPr>
            <w:tcW w:w="9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Arial" w:cs="Arial" w:eastAsia="Arial" w:hAnsi="Arial"/>
                <w:sz w:val="22"/>
                <w:szCs w:val="22"/>
                <w:color w:val="auto"/>
              </w:rPr>
              <w:t>Name: Matthew N. Shea</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Arial" w:cs="Arial" w:eastAsia="Arial" w:hAnsi="Arial"/>
                <w:sz w:val="22"/>
                <w:szCs w:val="22"/>
                <w:color w:val="auto"/>
              </w:rPr>
              <w:t>Date: February 14, 2022</w:t>
            </w:r>
          </w:p>
        </w:tc>
      </w:tr>
    </w:tbl>
    <w:p>
      <w:pPr>
        <w:spacing w:after="0" w:line="1" w:lineRule="exact"/>
        <w:rPr>
          <w:sz w:val="20"/>
          <w:szCs w:val="20"/>
          <w:color w:val="auto"/>
        </w:rPr>
      </w:pPr>
    </w:p>
    <w:sectPr>
      <w:pgSz w:w="11900" w:h="16838" w:orient="portrait"/>
      <w:cols w:equalWidth="0" w:num="1">
        <w:col w:w="11060"/>
      </w:cols>
      <w:pgMar w:left="400" w:top="1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2022-02-04T07:03:38Z</dcterms:created>
  <dcterms:modified xsi:type="dcterms:W3CDTF">2022-02-04T07:03:38Z</dcterms:modified>
</cp:coreProperties>
</file>