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12, 2021</w:t>
      </w:r>
    </w:p>
    <w:p>
      <w:pPr>
        <w:spacing w:after="0" w:line="27" w:lineRule="exact"/>
        <w:rPr>
          <w:sz w:val="24"/>
          <w:szCs w:val="24"/>
          <w:color w:val="auto"/>
        </w:rPr>
      </w:pPr>
    </w:p>
    <w:p>
      <w:pPr>
        <w:ind w:left="91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GEMINI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020" w:type="dxa"/>
            <w:vAlign w:val="bottom"/>
          </w:tcPr>
          <w:p>
            <w:pPr>
              <w:jc w:val="center"/>
              <w:ind w:left="1410"/>
              <w:spacing w:after="0"/>
              <w:rPr>
                <w:sz w:val="20"/>
                <w:szCs w:val="20"/>
                <w:color w:val="auto"/>
              </w:rPr>
            </w:pPr>
            <w:r>
              <w:rPr>
                <w:rFonts w:ascii="Arial" w:cs="Arial" w:eastAsia="Arial" w:hAnsi="Arial"/>
                <w:sz w:val="18"/>
                <w:szCs w:val="18"/>
                <w:b w:val="1"/>
                <w:bCs w:val="1"/>
                <w:color w:val="auto"/>
                <w:w w:val="91"/>
              </w:rPr>
              <w:t>Delaware</w:t>
            </w:r>
          </w:p>
        </w:tc>
        <w:tc>
          <w:tcPr>
            <w:tcW w:w="7220" w:type="dxa"/>
            <w:vAlign w:val="bottom"/>
            <w:gridSpan w:val="3"/>
          </w:tcPr>
          <w:p>
            <w:pPr>
              <w:jc w:val="center"/>
              <w:ind w:left="1630"/>
              <w:spacing w:after="0"/>
              <w:rPr>
                <w:sz w:val="20"/>
                <w:szCs w:val="20"/>
                <w:color w:val="auto"/>
              </w:rPr>
            </w:pPr>
            <w:r>
              <w:rPr>
                <w:rFonts w:ascii="Arial" w:cs="Arial" w:eastAsia="Arial" w:hAnsi="Arial"/>
                <w:sz w:val="18"/>
                <w:szCs w:val="18"/>
                <w:b w:val="1"/>
                <w:bCs w:val="1"/>
                <w:color w:val="auto"/>
                <w:w w:val="89"/>
              </w:rPr>
              <w:t>85-1612845</w:t>
            </w:r>
          </w:p>
        </w:tc>
      </w:tr>
      <w:tr>
        <w:trPr>
          <w:trHeight w:val="198"/>
        </w:trPr>
        <w:tc>
          <w:tcPr>
            <w:tcW w:w="4020" w:type="dxa"/>
            <w:vAlign w:val="bottom"/>
            <w:tcBorders>
              <w:top w:val="single" w:sz="8" w:color="auto"/>
            </w:tcBorders>
          </w:tcPr>
          <w:p>
            <w:pPr>
              <w:jc w:val="center"/>
              <w:ind w:left="1410"/>
              <w:spacing w:after="0" w:line="198" w:lineRule="exact"/>
              <w:rPr>
                <w:sz w:val="20"/>
                <w:szCs w:val="20"/>
                <w:color w:val="auto"/>
              </w:rPr>
            </w:pPr>
            <w:r>
              <w:rPr>
                <w:rFonts w:ascii="Arial" w:cs="Arial" w:eastAsia="Arial" w:hAnsi="Arial"/>
                <w:sz w:val="18"/>
                <w:szCs w:val="18"/>
                <w:b w:val="1"/>
                <w:bCs w:val="1"/>
                <w:color w:val="auto"/>
                <w:w w:val="90"/>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020" w:type="dxa"/>
            <w:vAlign w:val="bottom"/>
          </w:tcPr>
          <w:p>
            <w:pPr>
              <w:jc w:val="center"/>
              <w:ind w:left="1410"/>
              <w:spacing w:after="0"/>
              <w:rPr>
                <w:sz w:val="20"/>
                <w:szCs w:val="20"/>
                <w:color w:val="auto"/>
              </w:rPr>
            </w:pPr>
            <w:r>
              <w:rPr>
                <w:rFonts w:ascii="Arial" w:cs="Arial" w:eastAsia="Arial" w:hAnsi="Arial"/>
                <w:sz w:val="18"/>
                <w:szCs w:val="18"/>
                <w:b w:val="1"/>
                <w:bCs w:val="1"/>
                <w:color w:val="auto"/>
                <w:w w:val="91"/>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54"/>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0"/>
              </w:rPr>
              <w:t>300 One Kendall Square, 3</w:t>
            </w:r>
            <w:r>
              <w:rPr>
                <w:rFonts w:ascii="Arial" w:cs="Arial" w:eastAsia="Arial" w:hAnsi="Arial"/>
                <w:sz w:val="29"/>
                <w:szCs w:val="29"/>
                <w:b w:val="1"/>
                <w:bCs w:val="1"/>
                <w:color w:val="auto"/>
                <w:w w:val="90"/>
                <w:vertAlign w:val="superscript"/>
              </w:rPr>
              <w:t>rd</w:t>
            </w:r>
            <w:r>
              <w:rPr>
                <w:rFonts w:ascii="Arial" w:cs="Arial" w:eastAsia="Arial" w:hAnsi="Arial"/>
                <w:sz w:val="18"/>
                <w:szCs w:val="18"/>
                <w:b w:val="1"/>
                <w:bCs w:val="1"/>
                <w:color w:val="auto"/>
                <w:w w:val="90"/>
              </w:rPr>
              <w:t xml:space="preserve"> Floor</w:t>
            </w:r>
          </w:p>
        </w:tc>
      </w:tr>
      <w:tr>
        <w:trPr>
          <w:trHeight w:val="216"/>
        </w:trPr>
        <w:tc>
          <w:tcPr>
            <w:tcW w:w="4020" w:type="dxa"/>
            <w:vAlign w:val="bottom"/>
          </w:tcPr>
          <w:p>
            <w:pPr>
              <w:spacing w:after="0"/>
              <w:rPr>
                <w:sz w:val="18"/>
                <w:szCs w:val="18"/>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4"/>
              </w:rPr>
              <w:t>Cambridge, MA 02139</w:t>
            </w:r>
          </w:p>
        </w:tc>
      </w:tr>
      <w:tr>
        <w:trPr>
          <w:trHeight w:val="216"/>
        </w:trPr>
        <w:tc>
          <w:tcPr>
            <w:tcW w:w="4020" w:type="dxa"/>
            <w:vAlign w:val="bottom"/>
          </w:tcPr>
          <w:p>
            <w:pPr>
              <w:spacing w:after="0"/>
              <w:rPr>
                <w:sz w:val="18"/>
                <w:szCs w:val="18"/>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0"/>
              </w:rPr>
              <w:t>(617) 401-4400</w:t>
            </w:r>
          </w:p>
        </w:tc>
      </w:tr>
      <w:tr>
        <w:trPr>
          <w:trHeight w:val="234"/>
        </w:trPr>
        <w:tc>
          <w:tcPr>
            <w:tcW w:w="4020" w:type="dxa"/>
            <w:vAlign w:val="bottom"/>
          </w:tcPr>
          <w:p>
            <w:pPr>
              <w:spacing w:after="0"/>
              <w:rPr>
                <w:sz w:val="20"/>
                <w:szCs w:val="20"/>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0"/>
              </w:rPr>
              <w:t>(Address of Principal Executive Offices)</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Gemini Therapeutics, Inc. 2021 Stock Option and Incentive Plan (the “2021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Gemini Therapeutics, Inc. 2021 Inducement Plan (the “2021 Inducement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Jason Meyenburg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jc w:val="center"/>
        <w:spacing w:after="0" w:line="192" w:lineRule="auto"/>
        <w:rPr>
          <w:sz w:val="20"/>
          <w:szCs w:val="20"/>
          <w:color w:val="auto"/>
        </w:rPr>
      </w:pPr>
      <w:r>
        <w:rPr>
          <w:rFonts w:ascii="Arial" w:cs="Arial" w:eastAsia="Arial" w:hAnsi="Arial"/>
          <w:sz w:val="18"/>
          <w:szCs w:val="18"/>
          <w:b w:val="1"/>
          <w:bCs w:val="1"/>
          <w:color w:val="auto"/>
        </w:rPr>
        <w:t>300 One Kendall Square, 3</w:t>
      </w:r>
      <w:r>
        <w:rPr>
          <w:rFonts w:ascii="Arial" w:cs="Arial" w:eastAsia="Arial" w:hAnsi="Arial"/>
          <w:sz w:val="29"/>
          <w:szCs w:val="29"/>
          <w:b w:val="1"/>
          <w:bCs w:val="1"/>
          <w:color w:val="auto"/>
          <w:vertAlign w:val="superscript"/>
        </w:rPr>
        <w:t>rd</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Cambridge, MA 02139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401-4400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Mitchell S. Bloom,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Laurie A. Burlingame,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Massachusetts 02210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0"/>
              <w:spacing w:after="0"/>
              <w:rPr>
                <w:sz w:val="20"/>
                <w:szCs w:val="20"/>
                <w:color w:val="auto"/>
              </w:rPr>
            </w:pPr>
            <w:r>
              <w:rPr>
                <w:rFonts w:ascii="Arial" w:cs="Arial" w:eastAsia="Arial" w:hAnsi="Arial"/>
                <w:sz w:val="18"/>
                <w:szCs w:val="18"/>
                <w:color w:val="auto"/>
                <w:w w:val="96"/>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600"/>
              <w:spacing w:after="0"/>
              <w:rPr>
                <w:sz w:val="20"/>
                <w:szCs w:val="20"/>
                <w:color w:val="auto"/>
              </w:rPr>
            </w:pPr>
            <w:r>
              <w:rPr>
                <w:rFonts w:ascii="Arial" w:cs="Arial" w:eastAsia="Arial" w:hAnsi="Arial"/>
                <w:sz w:val="18"/>
                <w:szCs w:val="18"/>
                <w:color w:val="auto"/>
                <w:w w:val="97"/>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840" w:type="dxa"/>
            <w:vAlign w:val="bottom"/>
            <w:gridSpan w:val="5"/>
          </w:tcPr>
          <w:p>
            <w:pPr>
              <w:jc w:val="right"/>
              <w:spacing w:after="0"/>
              <w:rPr>
                <w:sz w:val="20"/>
                <w:szCs w:val="20"/>
                <w:color w:val="auto"/>
              </w:rPr>
            </w:pPr>
            <w:r>
              <w:rPr>
                <w:rFonts w:ascii="Arial" w:cs="Arial" w:eastAsia="Arial" w:hAnsi="Arial"/>
                <w:sz w:val="18"/>
                <w:szCs w:val="18"/>
                <w:b w:val="1"/>
                <w:bCs w:val="1"/>
                <w:color w:val="auto"/>
              </w:rPr>
              <w:t>CALCULATION OF REGISTRATION FEE</w:t>
            </w: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Proposed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Maximum</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8"/>
                <w:szCs w:val="18"/>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Offering</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Amount of</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to be</w:t>
            </w:r>
          </w:p>
        </w:tc>
        <w:tc>
          <w:tcPr>
            <w:tcW w:w="140" w:type="dxa"/>
            <w:vAlign w:val="bottom"/>
          </w:tcPr>
          <w:p>
            <w:pPr>
              <w:spacing w:after="0"/>
              <w:rPr>
                <w:sz w:val="18"/>
                <w:szCs w:val="18"/>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Registration</w:t>
            </w:r>
          </w:p>
        </w:tc>
        <w:tc>
          <w:tcPr>
            <w:tcW w:w="0" w:type="dxa"/>
            <w:vAlign w:val="bottom"/>
          </w:tcPr>
          <w:p>
            <w:pPr>
              <w:spacing w:after="0"/>
              <w:rPr>
                <w:sz w:val="1"/>
                <w:szCs w:val="1"/>
                <w:color w:val="auto"/>
              </w:rPr>
            </w:pPr>
          </w:p>
        </w:tc>
      </w:tr>
      <w:tr>
        <w:trPr>
          <w:trHeight w:val="241"/>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Securities to be Registered</w:t>
            </w:r>
          </w:p>
        </w:tc>
        <w:tc>
          <w:tcPr>
            <w:tcW w:w="19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Registered(1)</w:t>
            </w:r>
          </w:p>
        </w:tc>
        <w:tc>
          <w:tcPr>
            <w:tcW w:w="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per Share</w:t>
            </w:r>
          </w:p>
        </w:tc>
        <w:tc>
          <w:tcPr>
            <w:tcW w:w="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Fee(6)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9"/>
              </w:rPr>
              <w:t>Common stock, par value $0.0001 per share</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4,264,341 shares(2)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13.565(3)</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86"/>
              </w:rPr>
              <w:t>$ 57,845,785.70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w w:val="99"/>
              </w:rPr>
              <w:t>Common stock, par value $0.0001 per share</w:t>
            </w:r>
          </w:p>
        </w:tc>
        <w:tc>
          <w:tcPr>
            <w:tcW w:w="2060" w:type="dxa"/>
            <w:vAlign w:val="bottom"/>
            <w:gridSpan w:val="2"/>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1,616,895(4)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13.565(5)</w:t>
            </w:r>
          </w:p>
        </w:tc>
        <w:tc>
          <w:tcPr>
            <w:tcW w:w="136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21,933,180.70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2,392.91</w:t>
            </w:r>
          </w:p>
        </w:tc>
        <w:tc>
          <w:tcPr>
            <w:tcW w:w="0" w:type="dxa"/>
            <w:vAlign w:val="bottom"/>
          </w:tcPr>
          <w:p>
            <w:pPr>
              <w:spacing w:after="0"/>
              <w:rPr>
                <w:sz w:val="1"/>
                <w:szCs w:val="1"/>
                <w:color w:val="auto"/>
              </w:rPr>
            </w:pPr>
          </w:p>
        </w:tc>
      </w:tr>
      <w:tr>
        <w:trPr>
          <w:trHeight w:val="27"/>
        </w:trPr>
        <w:tc>
          <w:tcPr>
            <w:tcW w:w="3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vMerge w:val="continue"/>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5,881,236 shares</w:t>
            </w:r>
          </w:p>
        </w:tc>
        <w:tc>
          <w:tcPr>
            <w:tcW w:w="14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79,778,966.40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8,703.89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0" w:hanging="332"/>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(this “Registration Statement”) shall also cover any additional shares of common stock, par value $0.0001 per share (the “common stock”) of Gemini Therapeutics, Inc. (the “Registrant”) which become issuable under the above-named plans by reason of any stock dividend, stock split, recapitalization or any other similar transaction effected without the receipt of consideration which results in an increase in the number of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219" w:lineRule="exact"/>
        <w:rPr>
          <w:rFonts w:ascii="Arial" w:cs="Arial" w:eastAsia="Arial" w:hAnsi="Arial"/>
          <w:sz w:val="18"/>
          <w:szCs w:val="18"/>
          <w:color w:val="auto"/>
        </w:rPr>
      </w:pPr>
    </w:p>
    <w:p>
      <w:pPr>
        <w:ind w:left="340" w:right="140" w:hanging="319"/>
        <w:spacing w:after="0" w:line="273" w:lineRule="auto"/>
        <w:tabs>
          <w:tab w:leader="none" w:pos="340" w:val="left"/>
        </w:tabs>
        <w:numPr>
          <w:ilvl w:val="1"/>
          <w:numId w:val="1"/>
        </w:numPr>
        <w:rPr>
          <w:rFonts w:ascii="Arial" w:cs="Arial" w:eastAsia="Arial" w:hAnsi="Arial"/>
          <w:sz w:val="17"/>
          <w:szCs w:val="17"/>
          <w:color w:val="auto"/>
        </w:rPr>
      </w:pPr>
      <w:r>
        <w:rPr>
          <w:rFonts w:ascii="Arial" w:cs="Arial" w:eastAsia="Arial" w:hAnsi="Arial"/>
          <w:sz w:val="17"/>
          <w:szCs w:val="17"/>
          <w:color w:val="auto"/>
        </w:rPr>
        <w:t>Represents 4,264,341 shares of common stock initially reserved for future issuance under the 2021 Plan. The 2021 Plan provides that the number of shares of common stock reserved and available for issuance under the 2021 Plan shall be cumulatively increased on January 1 of each year. The number of shares of common stock increased each year will be equal to the lesser of: (i) 4% of the number of shares of common stock issued and outstanding on the immediately preceding December 31 or (ii) such lesser amount as determined by the Registrant’s Board of Directors or the compensation committee of the Board or a similar committee performing the functions of the compensation committee and which is comprised of not less than two Non-Employee Directors who are independent. (the “Administrator”).</w:t>
      </w:r>
    </w:p>
    <w:p>
      <w:pPr>
        <w:spacing w:after="0" w:line="204" w:lineRule="exact"/>
        <w:rPr>
          <w:rFonts w:ascii="Arial" w:cs="Arial" w:eastAsia="Arial" w:hAnsi="Arial"/>
          <w:sz w:val="17"/>
          <w:szCs w:val="17"/>
          <w:color w:val="auto"/>
        </w:rPr>
      </w:pPr>
    </w:p>
    <w:p>
      <w:pPr>
        <w:ind w:left="340" w:right="120" w:hanging="319"/>
        <w:spacing w:after="0" w:line="259" w:lineRule="auto"/>
        <w:tabs>
          <w:tab w:leader="none" w:pos="340" w:val="left"/>
        </w:tabs>
        <w:numPr>
          <w:ilvl w:val="1"/>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and (h) of the Securities Act, and based on $13.565, the average of the high and low sale prices of the common stock as reported on The Nasdaq Capital Market (“Nasdaq”) on April 9, 2021 (such date being within five business days of the date that this Registration Statement was filed with the U.S. Securities and Exchange Commission (the “Commission”)).</w:t>
      </w:r>
    </w:p>
    <w:p>
      <w:pPr>
        <w:spacing w:after="0" w:line="213" w:lineRule="exact"/>
        <w:rPr>
          <w:rFonts w:ascii="Arial" w:cs="Arial" w:eastAsia="Arial" w:hAnsi="Arial"/>
          <w:sz w:val="18"/>
          <w:szCs w:val="18"/>
          <w:color w:val="auto"/>
        </w:rPr>
      </w:pPr>
    </w:p>
    <w:p>
      <w:pPr>
        <w:ind w:left="340" w:hanging="319"/>
        <w:spacing w:after="0"/>
        <w:tabs>
          <w:tab w:leader="none" w:pos="34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Represents 1,616,895 shares of common stock initially reserved for future issuance under the 2021 Inducement Plan.</w:t>
      </w:r>
    </w:p>
    <w:p>
      <w:pPr>
        <w:spacing w:after="0" w:line="252" w:lineRule="exact"/>
        <w:rPr>
          <w:rFonts w:ascii="Arial" w:cs="Arial" w:eastAsia="Arial" w:hAnsi="Arial"/>
          <w:sz w:val="18"/>
          <w:szCs w:val="18"/>
          <w:color w:val="auto"/>
        </w:rPr>
      </w:pPr>
    </w:p>
    <w:p>
      <w:pPr>
        <w:ind w:left="340" w:right="120" w:hanging="319"/>
        <w:spacing w:after="0" w:line="263" w:lineRule="auto"/>
        <w:tabs>
          <w:tab w:leader="none" w:pos="340" w:val="left"/>
        </w:tabs>
        <w:numPr>
          <w:ilvl w:val="1"/>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457(a) of the Securities Act, and based on $13.565, the average of the high and low sale prices of the common stock as reported on Nasdaq on April 9, 2021 (such date being within five business days of the date that this Registration Statement was filed with the Commission).</w:t>
      </w:r>
    </w:p>
    <w:p>
      <w:pPr>
        <w:spacing w:after="0" w:line="210" w:lineRule="exact"/>
        <w:rPr>
          <w:rFonts w:ascii="Arial" w:cs="Arial" w:eastAsia="Arial" w:hAnsi="Arial"/>
          <w:sz w:val="18"/>
          <w:szCs w:val="18"/>
          <w:color w:val="auto"/>
        </w:rPr>
      </w:pPr>
    </w:p>
    <w:p>
      <w:pPr>
        <w:ind w:left="340" w:hanging="319"/>
        <w:spacing w:after="0"/>
        <w:tabs>
          <w:tab w:leader="none" w:pos="340" w:val="left"/>
        </w:tabs>
        <w:numPr>
          <w:ilvl w:val="1"/>
          <w:numId w:val="1"/>
        </w:numPr>
        <w:rPr>
          <w:rFonts w:ascii="Arial" w:cs="Arial" w:eastAsia="Arial" w:hAnsi="Arial"/>
          <w:sz w:val="18"/>
          <w:szCs w:val="18"/>
          <w:color w:val="auto"/>
        </w:rPr>
      </w:pPr>
      <w:r>
        <w:rPr>
          <w:rFonts w:ascii="Arial" w:cs="Arial" w:eastAsia="Arial" w:hAnsi="Arial"/>
          <w:sz w:val="18"/>
          <w:szCs w:val="18"/>
          <w:color w:val="auto"/>
        </w:rPr>
        <w:t>Calculated by multiplying the proposed maximum aggregate offering price of securities to be registered by 0.0001091.</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Proposed sales to take place as soon after the effective date of the Registration Statement as awards are granted, exercised or distributed under the above-named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2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documents containing the information specified in this Item 1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2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documents containing the information specified in this Item 2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35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incorporates by reference into this Registration Statement the following documents filed with the Commission:</w:t>
      </w:r>
    </w:p>
    <w:p>
      <w:pPr>
        <w:spacing w:after="0" w:line="225" w:lineRule="exact"/>
        <w:rPr>
          <w:sz w:val="20"/>
          <w:szCs w:val="20"/>
          <w:color w:val="auto"/>
        </w:rPr>
      </w:pPr>
    </w:p>
    <w:p>
      <w:pPr>
        <w:ind w:left="660" w:right="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w:t>
      </w:r>
      <w:hyperlink r:id="rId21">
        <w:r>
          <w:rPr>
            <w:rFonts w:ascii="Arial" w:cs="Arial" w:eastAsia="Arial" w:hAnsi="Arial"/>
            <w:sz w:val="18"/>
            <w:szCs w:val="18"/>
            <w:u w:val="single" w:color="auto"/>
            <w:color w:val="0000EE"/>
          </w:rPr>
          <w:t>prospectus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by the Registrant with the Commission pursuant to Rule 424(b) under the Securities Act, on January 19, 2021, relating to the Registration Statement on </w:t>
      </w:r>
      <w:hyperlink r:id="rId22">
        <w:r>
          <w:rPr>
            <w:rFonts w:ascii="Arial" w:cs="Arial" w:eastAsia="Arial" w:hAnsi="Arial"/>
            <w:sz w:val="18"/>
            <w:szCs w:val="18"/>
            <w:u w:val="single" w:color="auto"/>
            <w:color w:val="0000EE"/>
          </w:rPr>
          <w:t>Form S-4</w:t>
        </w:r>
      </w:hyperlink>
      <w:r>
        <w:rPr>
          <w:rFonts w:ascii="Arial" w:cs="Arial" w:eastAsia="Arial" w:hAnsi="Arial"/>
          <w:sz w:val="18"/>
          <w:szCs w:val="18"/>
          <w:color w:val="auto"/>
        </w:rPr>
        <w:t>, as amended (File No. 333- 249785);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Registrant’s Annual Report on </w:t>
      </w:r>
      <w:hyperlink r:id="rId23">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December 31, 2020 (as filed with the Commission on March 29, 2021);</w:t>
      </w:r>
    </w:p>
    <w:p>
      <w:pPr>
        <w:spacing w:after="0" w:line="248" w:lineRule="exact"/>
        <w:rPr>
          <w:rFonts w:ascii="Arial" w:cs="Arial" w:eastAsia="Arial" w:hAnsi="Arial"/>
          <w:sz w:val="16"/>
          <w:szCs w:val="16"/>
          <w:color w:val="auto"/>
        </w:rPr>
      </w:pPr>
    </w:p>
    <w:p>
      <w:pPr>
        <w:jc w:val="both"/>
        <w:ind w:left="660" w:right="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Registrant’s registration statement on </w:t>
      </w:r>
      <w:hyperlink r:id="rId24">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001-39438), filed by the Registrant with the Commission under Section 12(b) of the Securities Exchange Act of 1934, as amended (the “Exchange Act”), on February 5, 2021, including any amendments or reports filed for the purpose of updating such description;</w:t>
      </w:r>
    </w:p>
    <w:p>
      <w:pPr>
        <w:spacing w:after="0" w:line="183"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registration statement on </w:t>
      </w:r>
      <w:hyperlink r:id="rId25">
        <w:r>
          <w:rPr>
            <w:rFonts w:ascii="Arial" w:cs="Arial" w:eastAsia="Arial" w:hAnsi="Arial"/>
            <w:sz w:val="18"/>
            <w:szCs w:val="18"/>
            <w:u w:val="single" w:color="auto"/>
            <w:color w:val="0000EE"/>
          </w:rPr>
          <w:t>Form S-1/A</w:t>
        </w:r>
      </w:hyperlink>
      <w:r>
        <w:rPr>
          <w:rFonts w:ascii="Arial" w:cs="Arial" w:eastAsia="Arial" w:hAnsi="Arial"/>
          <w:sz w:val="18"/>
          <w:szCs w:val="18"/>
          <w:color w:val="auto"/>
        </w:rPr>
        <w:t>, as amended, filed by the Registrant with the Commission under the Securities Act, on March 29, 2021 (File No. 333-253175); and</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
        </w:numPr>
        <w:rPr>
          <w:rFonts w:ascii="Arial" w:cs="Arial" w:eastAsia="Arial" w:hAnsi="Arial"/>
          <w:sz w:val="18"/>
          <w:szCs w:val="18"/>
          <w:color w:val="0000EE"/>
        </w:rPr>
      </w:pPr>
      <w:hyperlink r:id="rId26">
        <w:r>
          <w:rPr>
            <w:rFonts w:ascii="Arial" w:cs="Arial" w:eastAsia="Arial" w:hAnsi="Arial"/>
            <w:sz w:val="18"/>
            <w:szCs w:val="18"/>
            <w:color w:val="auto"/>
          </w:rPr>
          <w:t xml:space="preserve">The Registrant’s Current Reports on Form 8-K filed with the Commission on </w:t>
        </w:r>
        <w:r>
          <w:rPr>
            <w:rFonts w:ascii="Arial" w:cs="Arial" w:eastAsia="Arial" w:hAnsi="Arial"/>
            <w:sz w:val="18"/>
            <w:szCs w:val="18"/>
            <w:u w:val="single" w:color="auto"/>
            <w:color w:val="0000EE"/>
          </w:rPr>
          <w:t>January 19,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28,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3,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5,</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7">
        <w:r>
          <w:rPr>
            <w:rFonts w:ascii="Arial" w:cs="Arial" w:eastAsia="Arial" w:hAnsi="Arial"/>
            <w:sz w:val="18"/>
            <w:szCs w:val="18"/>
            <w:u w:val="single" w:color="auto"/>
            <w:color w:val="0000EE"/>
          </w:rPr>
          <w:t xml:space="preserve">February 11, 2021 </w:t>
        </w:r>
      </w:hyperlink>
      <w:hyperlink r:id="rId26">
        <w:r>
          <w:rPr>
            <w:rFonts w:ascii="Arial" w:cs="Arial" w:eastAsia="Arial" w:hAnsi="Arial"/>
            <w:sz w:val="18"/>
            <w:szCs w:val="18"/>
            <w:color w:val="000000"/>
          </w:rPr>
          <w:t>(as amended on</w:t>
        </w:r>
        <w:r>
          <w:rPr>
            <w:rFonts w:ascii="Arial" w:cs="Arial" w:eastAsia="Arial" w:hAnsi="Arial"/>
            <w:sz w:val="18"/>
            <w:szCs w:val="18"/>
            <w:color w:val="0000EE"/>
          </w:rPr>
          <w:t xml:space="preserve"> </w:t>
        </w:r>
      </w:hyperlink>
      <w:hyperlink r:id="rId28">
        <w:r>
          <w:rPr>
            <w:rFonts w:ascii="Arial" w:cs="Arial" w:eastAsia="Arial" w:hAnsi="Arial"/>
            <w:sz w:val="18"/>
            <w:szCs w:val="18"/>
            <w:u w:val="single" w:color="auto"/>
            <w:color w:val="0000EE"/>
          </w:rPr>
          <w:t>March 29, 2021</w:t>
        </w:r>
      </w:hyperlink>
      <w:hyperlink r:id="rId2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9">
        <w:r>
          <w:rPr>
            <w:rFonts w:ascii="Arial" w:cs="Arial" w:eastAsia="Arial" w:hAnsi="Arial"/>
            <w:sz w:val="18"/>
            <w:szCs w:val="18"/>
            <w:u w:val="single" w:color="auto"/>
            <w:color w:val="0000EE"/>
          </w:rPr>
          <w:t xml:space="preserve">February 23, 2021 </w:t>
        </w:r>
      </w:hyperlink>
      <w:hyperlink r:id="rId26">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30">
        <w:r>
          <w:rPr>
            <w:rFonts w:ascii="Arial" w:cs="Arial" w:eastAsia="Arial" w:hAnsi="Arial"/>
            <w:sz w:val="18"/>
            <w:szCs w:val="18"/>
            <w:u w:val="single" w:color="auto"/>
            <w:color w:val="0000EE"/>
          </w:rPr>
          <w:t>March 29, 2021</w:t>
        </w:r>
      </w:hyperlink>
      <w:hyperlink r:id="rId26">
        <w:r>
          <w:rPr>
            <w:rFonts w:ascii="Arial" w:cs="Arial" w:eastAsia="Arial" w:hAnsi="Arial"/>
            <w:sz w:val="18"/>
            <w:szCs w:val="18"/>
            <w:color w:val="000000"/>
          </w:rPr>
          <w:t>.</w:t>
        </w:r>
      </w:hyperlink>
    </w:p>
    <w:p>
      <w:pPr>
        <w:spacing w:after="0" w:line="170" w:lineRule="exact"/>
        <w:rPr>
          <w:rFonts w:ascii="Arial" w:cs="Arial" w:eastAsia="Arial" w:hAnsi="Arial"/>
          <w:sz w:val="18"/>
          <w:szCs w:val="18"/>
          <w:color w:val="0000EE"/>
        </w:rPr>
      </w:pPr>
    </w:p>
    <w:p>
      <w:pPr>
        <w:ind w:right="140"/>
        <w:spacing w:after="0" w:line="259" w:lineRule="auto"/>
        <w:rPr>
          <w:sz w:val="20"/>
          <w:szCs w:val="20"/>
          <w:color w:val="auto"/>
        </w:rPr>
      </w:pPr>
      <w:r>
        <w:rPr>
          <w:rFonts w:ascii="Arial" w:cs="Arial" w:eastAsia="Arial" w:hAnsi="Arial"/>
          <w:sz w:val="18"/>
          <w:szCs w:val="18"/>
          <w:color w:val="auto"/>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spacing w:after="0" w:line="187" w:lineRule="exact"/>
        <w:rPr>
          <w:rFonts w:ascii="Arial" w:cs="Arial" w:eastAsia="Arial" w:hAnsi="Arial"/>
          <w:sz w:val="18"/>
          <w:szCs w:val="18"/>
          <w:color w:val="0000EE"/>
        </w:rPr>
      </w:pPr>
    </w:p>
    <w:p>
      <w:pPr>
        <w:ind w:right="20"/>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7" w:lineRule="exact"/>
        <w:rPr>
          <w:rFonts w:ascii="Arial" w:cs="Arial" w:eastAsia="Arial" w:hAnsi="Arial"/>
          <w:sz w:val="18"/>
          <w:szCs w:val="18"/>
          <w:color w:val="0000EE"/>
        </w:rPr>
      </w:pPr>
    </w:p>
    <w:p>
      <w:pPr>
        <w:ind w:right="160"/>
        <w:spacing w:after="0" w:line="277" w:lineRule="auto"/>
        <w:rPr>
          <w:sz w:val="20"/>
          <w:szCs w:val="20"/>
          <w:color w:val="auto"/>
        </w:rPr>
      </w:pPr>
      <w:r>
        <w:rPr>
          <w:rFonts w:ascii="Arial" w:cs="Arial" w:eastAsia="Arial" w:hAnsi="Arial"/>
          <w:sz w:val="18"/>
          <w:szCs w:val="18"/>
          <w:color w:val="auto"/>
        </w:rPr>
        <w:t>Under no circumstances will any information filed under current items 2.02 or 7.01 of Form 8-K be deemed incorporated herein by reference unless such Form 8-K expressly provides to the contrary.</w:t>
      </w:r>
    </w:p>
    <w:p>
      <w:pPr>
        <w:spacing w:after="0" w:line="166"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rFonts w:ascii="Arial" w:cs="Arial" w:eastAsia="Arial" w:hAnsi="Arial"/>
          <w:sz w:val="18"/>
          <w:szCs w:val="18"/>
          <w:color w:val="0000EE"/>
        </w:rPr>
      </w:pPr>
    </w:p>
    <w:p>
      <w:pPr>
        <w:spacing w:after="0" w:line="271" w:lineRule="auto"/>
        <w:rPr>
          <w:sz w:val="20"/>
          <w:szCs w:val="20"/>
          <w:color w:val="auto"/>
        </w:rPr>
      </w:pPr>
      <w:r>
        <w:rPr>
          <w:rFonts w:ascii="Arial" w:cs="Arial" w:eastAsia="Arial" w:hAnsi="Arial"/>
          <w:sz w:val="17"/>
          <w:szCs w:val="17"/>
          <w:color w:val="auto"/>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387"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 w:name="page5"/>
    <w:bookmarkEnd w:id="4"/>
    <w:p>
      <w:pPr>
        <w:ind w:right="260"/>
        <w:spacing w:after="0" w:line="279" w:lineRule="auto"/>
        <w:rPr>
          <w:sz w:val="20"/>
          <w:szCs w:val="20"/>
          <w:color w:val="auto"/>
        </w:rPr>
      </w:pPr>
      <w:r>
        <w:rPr>
          <w:rFonts w:ascii="Arial" w:cs="Arial" w:eastAsia="Arial" w:hAnsi="Arial"/>
          <w:sz w:val="17"/>
          <w:szCs w:val="17"/>
          <w:color w:val="auto"/>
        </w:rPr>
        <w:t>The Registrant has adopted provisions in the Registrant’s certificate of incorporation and bylaws, which became effective in connection with the completion of the Registrant’s business combination on February 5, 2021, that limit or eliminate the personal liability of the Registrant’s directors to the fullest extent permitted by the DGCL, as it now exists or may in the future be amended. Consequently, a director will not be personally liable to the Registrant or its stockholders for monetary damages or breach of fiduciary duty as a director, except for liability for:</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purchases, redemptions or other distributions;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Registrant’s bylaws provide that:</w:t>
      </w:r>
    </w:p>
    <w:p>
      <w:pPr>
        <w:spacing w:after="0" w:line="225" w:lineRule="exact"/>
        <w:rPr>
          <w:sz w:val="20"/>
          <w:szCs w:val="20"/>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will indemnify its directors, officers and, in the discretion of its board of directors, certain employees to the fullest extent permitted by the DGCL, as it now exists or may in the future be amended; and</w:t>
      </w:r>
    </w:p>
    <w:p>
      <w:pPr>
        <w:spacing w:after="0" w:line="170" w:lineRule="exact"/>
        <w:rPr>
          <w:rFonts w:ascii="Arial" w:cs="Arial" w:eastAsia="Arial" w:hAnsi="Arial"/>
          <w:sz w:val="18"/>
          <w:szCs w:val="18"/>
          <w:color w:val="auto"/>
        </w:rPr>
      </w:pPr>
    </w:p>
    <w:p>
      <w:pPr>
        <w:jc w:val="both"/>
        <w:ind w:left="660" w:right="28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 will advance expenses, including attorneys’ fees, to its directors and, in the discretion of its board of directors, to its officers and certain employees, in connection with legal proceedings relating to their service for or on behalf of the registrant, subject to limited exceptions</w:t>
      </w:r>
    </w:p>
    <w:p>
      <w:pPr>
        <w:spacing w:after="0" w:line="1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Registrant has entered into indemnification agreements with several of its directors and executive officers. These agreements provide that the registrant will indemnify each of its directors and executive officers to the fullest extent permitted by Delaware law. The registrant will advance expenses, including attorneys’ fees (but excluding judgments, fines and settlement amounts), to each indemnified director or executive officer in connection with any proceeding in which indemnification is available and the registrant will indemnify its directors and officers for any action or proceeding arising out of that person’s services as a director or officer brought on behalf of the registrant or in furtherance of the Registrant’s rights. Additionally, certain of the Registrant’s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the Registrant has agreed in the indemnification agreements that the Registrant’s obligations to those same directors are primary and any obligation of such affiliates or other third parties to advance expenses or to provide indemnification for the expenses or liabilities incurred by those directors are secondary.</w:t>
      </w:r>
    </w:p>
    <w:p>
      <w:pPr>
        <w:spacing w:after="0" w:line="1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registrant also maintains general liability insurance which covers certain liabilities of its directors and officers arising out of claims based on acts or omissions in their capacities as directors or officers, including liabilities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w w:val="97"/>
              </w:rPr>
              <w:t>Item 8. Exhibits.</w:t>
            </w: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20" w:type="dxa"/>
            <w:vAlign w:val="bottom"/>
            <w:gridSpan w:val="11"/>
          </w:tcPr>
          <w:p>
            <w:pPr>
              <w:ind w:left="1100"/>
              <w:spacing w:after="0"/>
              <w:rPr>
                <w:sz w:val="20"/>
                <w:szCs w:val="20"/>
                <w:color w:val="auto"/>
              </w:rPr>
            </w:pPr>
            <w:r>
              <w:rPr>
                <w:rFonts w:ascii="Arial" w:cs="Arial" w:eastAsia="Arial" w:hAnsi="Arial"/>
                <w:sz w:val="18"/>
                <w:szCs w:val="18"/>
                <w:b w:val="1"/>
                <w:bCs w:val="1"/>
                <w:color w:val="auto"/>
              </w:rPr>
              <w:t>EXHIBIT INDEX</w:t>
            </w:r>
          </w:p>
        </w:tc>
      </w:tr>
      <w:tr>
        <w:trPr>
          <w:trHeight w:val="452"/>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15"/>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7"/>
                <w:szCs w:val="17"/>
                <w:color w:val="auto"/>
              </w:rPr>
            </w:pPr>
          </w:p>
        </w:tc>
        <w:tc>
          <w:tcPr>
            <w:tcW w:w="9880" w:type="dxa"/>
            <w:vAlign w:val="bottom"/>
            <w:gridSpan w:val="15"/>
            <w:shd w:val="clear" w:color="auto" w:fill="CCEEFF"/>
          </w:tcPr>
          <w:p>
            <w:pPr>
              <w:spacing w:after="0" w:line="176" w:lineRule="exact"/>
              <w:rPr>
                <w:rFonts w:ascii="Arial" w:cs="Arial" w:eastAsia="Arial" w:hAnsi="Arial"/>
                <w:sz w:val="18"/>
                <w:szCs w:val="18"/>
                <w:color w:val="0000EE"/>
                <w:w w:val="96"/>
              </w:rPr>
            </w:pPr>
            <w:hyperlink r:id="rId33">
              <w:r>
                <w:rPr>
                  <w:rFonts w:ascii="Arial" w:cs="Arial" w:eastAsia="Arial" w:hAnsi="Arial"/>
                  <w:sz w:val="18"/>
                  <w:szCs w:val="18"/>
                  <w:color w:val="0000EE"/>
                  <w:w w:val="96"/>
                </w:rPr>
                <w:t>Form of Specimen Common Stock Certificate (incorporated by reference to Exhibit 4.1 to Form S-4/A filed on January 19,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shd w:val="clear" w:color="auto" w:fill="CCEEFF"/>
          </w:tcPr>
          <w:p>
            <w:pPr>
              <w:spacing w:after="0"/>
              <w:rPr>
                <w:sz w:val="15"/>
                <w:szCs w:val="15"/>
                <w:color w:val="auto"/>
              </w:rPr>
            </w:pPr>
          </w:p>
        </w:tc>
        <w:tc>
          <w:tcPr>
            <w:tcW w:w="964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1"/>
              </w:rPr>
            </w:pPr>
            <w:hyperlink r:id="rId34">
              <w:r>
                <w:rPr>
                  <w:rFonts w:ascii="Arial" w:cs="Arial" w:eastAsia="Arial" w:hAnsi="Arial"/>
                  <w:sz w:val="18"/>
                  <w:szCs w:val="18"/>
                  <w:color w:val="0000EE"/>
                  <w:w w:val="91"/>
                </w:rPr>
                <w:t>Amended and Restated Articles of Incorporation of Gemini Therapeutics, Inc. (incorporated by reference to Exhibit 3.1 to Form 10-K</w:t>
              </w:r>
            </w:hyperlink>
          </w:p>
        </w:tc>
        <w:tc>
          <w:tcPr>
            <w:tcW w:w="240" w:type="dxa"/>
            <w:vAlign w:val="bottom"/>
            <w:tcBorders>
              <w:bottom w:val="single" w:sz="8" w:color="CCEEFF"/>
            </w:tcBorders>
            <w:gridSpan w:val="2"/>
            <w:shd w:val="clear" w:color="auto" w:fill="CCEEFF"/>
          </w:tcPr>
          <w:p>
            <w:pPr>
              <w:spacing w:after="0"/>
              <w:rPr>
                <w:sz w:val="15"/>
                <w:szCs w:val="15"/>
                <w:color w:val="auto"/>
              </w:rPr>
            </w:pPr>
          </w:p>
        </w:tc>
      </w:tr>
      <w:tr>
        <w:trPr>
          <w:trHeight w:val="216"/>
        </w:trPr>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gridSpan w:val="15"/>
            <w:shd w:val="clear" w:color="auto" w:fill="CCEEFF"/>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filed on March 29,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5"/>
                <w:szCs w:val="15"/>
                <w:color w:val="auto"/>
              </w:rPr>
            </w:pPr>
          </w:p>
        </w:tc>
        <w:tc>
          <w:tcPr>
            <w:tcW w:w="9880" w:type="dxa"/>
            <w:vAlign w:val="bottom"/>
            <w:gridSpan w:val="15"/>
            <w:shd w:val="clear" w:color="auto" w:fill="CCEEFF"/>
          </w:tcPr>
          <w:p>
            <w:pPr>
              <w:spacing w:after="0" w:line="176" w:lineRule="exact"/>
              <w:rPr>
                <w:rFonts w:ascii="Arial" w:cs="Arial" w:eastAsia="Arial" w:hAnsi="Arial"/>
                <w:sz w:val="18"/>
                <w:szCs w:val="18"/>
                <w:color w:val="0000EE"/>
                <w:w w:val="92"/>
              </w:rPr>
            </w:pPr>
            <w:hyperlink r:id="rId35">
              <w:r>
                <w:rPr>
                  <w:rFonts w:ascii="Arial" w:cs="Arial" w:eastAsia="Arial" w:hAnsi="Arial"/>
                  <w:sz w:val="18"/>
                  <w:szCs w:val="18"/>
                  <w:color w:val="0000EE"/>
                  <w:w w:val="92"/>
                </w:rPr>
                <w:t>Amended and Restated By-laws of Gemini Therapeutics, Inc. (incorporated by reference to Exhibit 3.2 to Form 10-K filed on March 29,</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2021).</w:t>
              </w:r>
            </w:hyperlink>
          </w:p>
        </w:tc>
        <w:tc>
          <w:tcPr>
            <w:tcW w:w="180" w:type="dxa"/>
            <w:vAlign w:val="bottom"/>
            <w:tcBorders>
              <w:top w:val="single" w:sz="8" w:color="0000EE"/>
            </w:tcBorders>
            <w:shd w:val="clear" w:color="auto" w:fill="CCEEFF"/>
          </w:tcPr>
          <w:p>
            <w:pPr>
              <w:spacing w:after="0"/>
              <w:rPr>
                <w:sz w:val="18"/>
                <w:szCs w:val="18"/>
                <w:color w:val="auto"/>
              </w:rPr>
            </w:pPr>
          </w:p>
        </w:tc>
        <w:tc>
          <w:tcPr>
            <w:tcW w:w="620" w:type="dxa"/>
            <w:vAlign w:val="bottom"/>
            <w:tcBorders>
              <w:top w:val="single" w:sz="8" w:color="0000EE"/>
            </w:tcBorders>
            <w:shd w:val="clear" w:color="auto" w:fill="CCEEFF"/>
          </w:tcPr>
          <w:p>
            <w:pPr>
              <w:spacing w:after="0"/>
              <w:rPr>
                <w:sz w:val="18"/>
                <w:szCs w:val="18"/>
                <w:color w:val="auto"/>
              </w:rPr>
            </w:pPr>
          </w:p>
        </w:tc>
        <w:tc>
          <w:tcPr>
            <w:tcW w:w="232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580" w:type="dxa"/>
            <w:vAlign w:val="bottom"/>
            <w:tcBorders>
              <w:top w:val="single" w:sz="8" w:color="0000EE"/>
            </w:tcBorders>
            <w:shd w:val="clear" w:color="auto" w:fill="CCEEFF"/>
          </w:tcPr>
          <w:p>
            <w:pPr>
              <w:spacing w:after="0"/>
              <w:rPr>
                <w:sz w:val="18"/>
                <w:szCs w:val="18"/>
                <w:color w:val="auto"/>
              </w:rPr>
            </w:pPr>
          </w:p>
        </w:tc>
        <w:tc>
          <w:tcPr>
            <w:tcW w:w="172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150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7"/>
                <w:szCs w:val="17"/>
                <w:color w:val="auto"/>
              </w:rPr>
            </w:pPr>
          </w:p>
        </w:tc>
        <w:tc>
          <w:tcPr>
            <w:tcW w:w="9880" w:type="dxa"/>
            <w:vAlign w:val="bottom"/>
            <w:gridSpan w:val="15"/>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Opinion of Goodwin Procter LLP.</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220" w:type="dxa"/>
            <w:vAlign w:val="bottom"/>
            <w:shd w:val="clear" w:color="auto" w:fill="CCEEFF"/>
          </w:tcPr>
          <w:p>
            <w:pPr>
              <w:spacing w:after="0"/>
              <w:rPr>
                <w:sz w:val="17"/>
                <w:szCs w:val="17"/>
                <w:color w:val="auto"/>
              </w:rPr>
            </w:pPr>
          </w:p>
        </w:tc>
        <w:tc>
          <w:tcPr>
            <w:tcW w:w="9880" w:type="dxa"/>
            <w:vAlign w:val="bottom"/>
            <w:gridSpan w:val="15"/>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Consent of Ernst &amp; Young LLP, independent registered accounting firm for Gemini Therapeutics, Inc.</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spacing w:after="0"/>
              <w:rPr>
                <w:sz w:val="17"/>
                <w:szCs w:val="17"/>
                <w:color w:val="auto"/>
              </w:rPr>
            </w:pPr>
          </w:p>
        </w:tc>
        <w:tc>
          <w:tcPr>
            <w:tcW w:w="9880" w:type="dxa"/>
            <w:vAlign w:val="bottom"/>
            <w:gridSpan w:val="15"/>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Consent of Goodwin Procter LLP (included as part of Exhibit 5.1)</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7"/>
                <w:szCs w:val="17"/>
                <w:color w:val="auto"/>
              </w:rPr>
            </w:pPr>
          </w:p>
        </w:tc>
        <w:tc>
          <w:tcPr>
            <w:tcW w:w="9880" w:type="dxa"/>
            <w:vAlign w:val="bottom"/>
            <w:gridSpan w:val="15"/>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Consent of WithumSmith+Brown, PC, independent registered accounting firm for FS Development Corp.</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220" w:type="dxa"/>
            <w:vAlign w:val="bottom"/>
            <w:shd w:val="clear" w:color="auto" w:fill="CCEEFF"/>
          </w:tcPr>
          <w:p>
            <w:pPr>
              <w:spacing w:after="0"/>
              <w:rPr>
                <w:sz w:val="17"/>
                <w:szCs w:val="17"/>
                <w:color w:val="auto"/>
              </w:rPr>
            </w:pPr>
          </w:p>
        </w:tc>
        <w:tc>
          <w:tcPr>
            <w:tcW w:w="9880" w:type="dxa"/>
            <w:vAlign w:val="bottom"/>
            <w:gridSpan w:val="15"/>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Power of Attorney (included on signature page of the Registration Statement).</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220" w:type="dxa"/>
            <w:vAlign w:val="bottom"/>
            <w:shd w:val="clear" w:color="auto" w:fill="CCEEFF"/>
          </w:tcPr>
          <w:p>
            <w:pPr>
              <w:spacing w:after="0"/>
              <w:rPr>
                <w:sz w:val="15"/>
                <w:szCs w:val="15"/>
                <w:color w:val="auto"/>
              </w:rPr>
            </w:pPr>
          </w:p>
        </w:tc>
        <w:tc>
          <w:tcPr>
            <w:tcW w:w="9880" w:type="dxa"/>
            <w:vAlign w:val="bottom"/>
            <w:gridSpan w:val="15"/>
            <w:shd w:val="clear" w:color="auto" w:fill="CCEEFF"/>
          </w:tcPr>
          <w:p>
            <w:pPr>
              <w:spacing w:after="0" w:line="176" w:lineRule="exact"/>
              <w:rPr>
                <w:rFonts w:ascii="Arial" w:cs="Arial" w:eastAsia="Arial" w:hAnsi="Arial"/>
                <w:sz w:val="18"/>
                <w:szCs w:val="18"/>
                <w:color w:val="0000EE"/>
                <w:w w:val="93"/>
              </w:rPr>
            </w:pPr>
            <w:hyperlink r:id="rId36">
              <w:r>
                <w:rPr>
                  <w:rFonts w:ascii="Arial" w:cs="Arial" w:eastAsia="Arial" w:hAnsi="Arial"/>
                  <w:sz w:val="18"/>
                  <w:szCs w:val="18"/>
                  <w:color w:val="0000EE"/>
                  <w:w w:val="93"/>
                </w:rPr>
                <w:t>2021 Stock Option and Incentive Plan (incorporated by reference to Annex D to the Proxy Statement/Prospectus filed on January 19,</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2021).</w:t>
              </w:r>
            </w:hyperlink>
          </w:p>
        </w:tc>
        <w:tc>
          <w:tcPr>
            <w:tcW w:w="180" w:type="dxa"/>
            <w:vAlign w:val="bottom"/>
            <w:tcBorders>
              <w:top w:val="single" w:sz="8" w:color="0000EE"/>
            </w:tcBorders>
            <w:shd w:val="clear" w:color="auto" w:fill="CCEEFF"/>
          </w:tcPr>
          <w:p>
            <w:pPr>
              <w:spacing w:after="0"/>
              <w:rPr>
                <w:sz w:val="18"/>
                <w:szCs w:val="18"/>
                <w:color w:val="auto"/>
              </w:rPr>
            </w:pPr>
          </w:p>
        </w:tc>
        <w:tc>
          <w:tcPr>
            <w:tcW w:w="620" w:type="dxa"/>
            <w:vAlign w:val="bottom"/>
            <w:tcBorders>
              <w:top w:val="single" w:sz="8" w:color="0000EE"/>
            </w:tcBorders>
            <w:shd w:val="clear" w:color="auto" w:fill="CCEEFF"/>
          </w:tcPr>
          <w:p>
            <w:pPr>
              <w:spacing w:after="0"/>
              <w:rPr>
                <w:sz w:val="18"/>
                <w:szCs w:val="18"/>
                <w:color w:val="auto"/>
              </w:rPr>
            </w:pPr>
          </w:p>
        </w:tc>
        <w:tc>
          <w:tcPr>
            <w:tcW w:w="232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580" w:type="dxa"/>
            <w:vAlign w:val="bottom"/>
            <w:tcBorders>
              <w:top w:val="single" w:sz="8" w:color="0000EE"/>
            </w:tcBorders>
            <w:shd w:val="clear" w:color="auto" w:fill="CCEEFF"/>
          </w:tcPr>
          <w:p>
            <w:pPr>
              <w:spacing w:after="0"/>
              <w:rPr>
                <w:sz w:val="18"/>
                <w:szCs w:val="18"/>
                <w:color w:val="auto"/>
              </w:rPr>
            </w:pPr>
          </w:p>
        </w:tc>
        <w:tc>
          <w:tcPr>
            <w:tcW w:w="172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150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220" w:type="dxa"/>
            <w:vAlign w:val="bottom"/>
            <w:tcBorders>
              <w:bottom w:val="single" w:sz="8" w:color="CCEEFF"/>
            </w:tcBorders>
            <w:shd w:val="clear" w:color="auto" w:fill="CCEEFF"/>
          </w:tcPr>
          <w:p>
            <w:pPr>
              <w:spacing w:after="0"/>
              <w:rPr>
                <w:sz w:val="15"/>
                <w:szCs w:val="15"/>
                <w:color w:val="auto"/>
              </w:rPr>
            </w:pPr>
          </w:p>
        </w:tc>
        <w:tc>
          <w:tcPr>
            <w:tcW w:w="91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0"/>
              </w:rPr>
            </w:pPr>
            <w:hyperlink r:id="rId37">
              <w:r>
                <w:rPr>
                  <w:rFonts w:ascii="Arial" w:cs="Arial" w:eastAsia="Arial" w:hAnsi="Arial"/>
                  <w:sz w:val="18"/>
                  <w:szCs w:val="18"/>
                  <w:color w:val="0000EE"/>
                  <w:w w:val="90"/>
                </w:rPr>
                <w:t>Forms of Award Agreements under the 2021 Stock Option and Incentive Plan (incorporated by reference to Exhibit 10.5 to the</w:t>
              </w:r>
            </w:hyperlink>
          </w:p>
        </w:tc>
        <w:tc>
          <w:tcPr>
            <w:tcW w:w="760" w:type="dxa"/>
            <w:vAlign w:val="bottom"/>
            <w:tcBorders>
              <w:bottom w:val="single" w:sz="8" w:color="CCEEFF"/>
            </w:tcBorders>
            <w:gridSpan w:val="5"/>
            <w:shd w:val="clear" w:color="auto" w:fill="CCEEFF"/>
          </w:tcPr>
          <w:p>
            <w:pPr>
              <w:spacing w:after="0"/>
              <w:rPr>
                <w:sz w:val="15"/>
                <w:szCs w:val="15"/>
                <w:color w:val="auto"/>
              </w:rPr>
            </w:pPr>
          </w:p>
        </w:tc>
      </w:tr>
      <w:tr>
        <w:trPr>
          <w:trHeight w:val="217"/>
        </w:trPr>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gridSpan w:val="15"/>
            <w:shd w:val="clear" w:color="auto" w:fill="CCEEFF"/>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Registrant’s Current Report on Form 8-K filed on February 11,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99.3*</w:t>
            </w:r>
          </w:p>
        </w:tc>
        <w:tc>
          <w:tcPr>
            <w:tcW w:w="220" w:type="dxa"/>
            <w:vAlign w:val="bottom"/>
            <w:shd w:val="clear" w:color="auto" w:fill="CCEEFF"/>
          </w:tcPr>
          <w:p>
            <w:pPr>
              <w:spacing w:after="0"/>
              <w:rPr>
                <w:sz w:val="15"/>
                <w:szCs w:val="15"/>
                <w:color w:val="auto"/>
              </w:rPr>
            </w:pPr>
          </w:p>
        </w:tc>
        <w:tc>
          <w:tcPr>
            <w:tcW w:w="9880" w:type="dxa"/>
            <w:vAlign w:val="bottom"/>
            <w:gridSpan w:val="15"/>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2021 Inducement Plan.</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Registrant hereby undertakes:</w:t>
      </w:r>
    </w:p>
    <w:p>
      <w:pPr>
        <w:spacing w:after="0" w:line="225"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25" w:lineRule="exact"/>
        <w:rPr>
          <w:sz w:val="20"/>
          <w:szCs w:val="20"/>
          <w:color w:val="auto"/>
        </w:rPr>
      </w:pPr>
    </w:p>
    <w:p>
      <w:pPr>
        <w:ind w:right="80" w:firstLine="8"/>
        <w:spacing w:after="0" w:line="293" w:lineRule="auto"/>
        <w:tabs>
          <w:tab w:leader="none" w:pos="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right="440" w:firstLine="8"/>
        <w:spacing w:after="0" w:line="277"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herein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Section 15(d) of the Exchange Act (15 U.S.C. 78m or 78o(d)) that are incorporated by reference in the Registration Statement.</w:t>
      </w:r>
    </w:p>
    <w:p>
      <w:pPr>
        <w:spacing w:after="0" w:line="184" w:lineRule="exact"/>
        <w:rPr>
          <w:sz w:val="20"/>
          <w:szCs w:val="20"/>
          <w:color w:val="auto"/>
        </w:rPr>
      </w:pPr>
    </w:p>
    <w:p>
      <w:pPr>
        <w:jc w:val="both"/>
        <w:ind w:firstLine="8"/>
        <w:spacing w:after="0" w:line="342"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3" w:lineRule="exact"/>
        <w:rPr>
          <w:rFonts w:ascii="Arial" w:cs="Arial" w:eastAsia="Arial" w:hAnsi="Arial"/>
          <w:sz w:val="16"/>
          <w:szCs w:val="16"/>
          <w:color w:val="auto"/>
        </w:rPr>
      </w:pPr>
    </w:p>
    <w:p>
      <w:pPr>
        <w:ind w:right="220" w:firstLine="8"/>
        <w:spacing w:after="0" w:line="277"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right="340" w:firstLine="8"/>
        <w:spacing w:after="0" w:line="257"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right="80" w:firstLine="8"/>
        <w:spacing w:after="0" w:line="291" w:lineRule="auto"/>
        <w:tabs>
          <w:tab w:leader="none" w:pos="2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Cambridge, Massachusetts, on April 12, 2021.</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Meyenburg</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Jason Meyenburg,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or substitute, may lawfully do or cause to be done by virtue hereof.</w:t>
      </w:r>
    </w:p>
    <w:p>
      <w:pPr>
        <w:spacing w:after="0" w:line="17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2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Meyenburg</w:t>
            </w:r>
          </w:p>
        </w:tc>
        <w:tc>
          <w:tcPr>
            <w:tcW w:w="240" w:type="dxa"/>
            <w:vAlign w:val="bottom"/>
          </w:tcPr>
          <w:p>
            <w:pPr>
              <w:spacing w:after="0"/>
              <w:rPr>
                <w:sz w:val="24"/>
                <w:szCs w:val="24"/>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Chief Executive Officer and 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Dated: April 12, 2021</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Jason Meyenburg</w:t>
            </w:r>
          </w:p>
        </w:tc>
        <w:tc>
          <w:tcPr>
            <w:tcW w:w="240" w:type="dxa"/>
            <w:vAlign w:val="bottom"/>
          </w:tcPr>
          <w:p>
            <w:pPr>
              <w:spacing w:after="0"/>
              <w:rPr>
                <w:sz w:val="20"/>
                <w:szCs w:val="20"/>
                <w:color w:val="auto"/>
              </w:rPr>
            </w:pPr>
          </w:p>
        </w:tc>
        <w:tc>
          <w:tcPr>
            <w:tcW w:w="3920" w:type="dxa"/>
            <w:vAlign w:val="bottom"/>
            <w:gridSpan w:val="2"/>
          </w:tcPr>
          <w:p>
            <w:pPr>
              <w:jc w:val="center"/>
              <w:ind w:right="220"/>
              <w:spacing w:after="0" w:line="203" w:lineRule="exact"/>
              <w:rPr>
                <w:sz w:val="20"/>
                <w:szCs w:val="20"/>
                <w:color w:val="auto"/>
              </w:rPr>
            </w:pPr>
            <w:r>
              <w:rPr>
                <w:rFonts w:ascii="Arial" w:cs="Arial" w:eastAsia="Arial" w:hAnsi="Arial"/>
                <w:sz w:val="18"/>
                <w:szCs w:val="18"/>
                <w:color w:val="auto"/>
                <w:w w:val="94"/>
              </w:rPr>
              <w:t>(Principal Executive Officer)</w:t>
            </w:r>
          </w:p>
        </w:tc>
        <w:tc>
          <w:tcPr>
            <w:tcW w:w="2800" w:type="dxa"/>
            <w:vAlign w:val="bottom"/>
          </w:tcPr>
          <w:p>
            <w:pPr>
              <w:spacing w:after="0"/>
              <w:rPr>
                <w:sz w:val="20"/>
                <w:szCs w:val="20"/>
                <w:color w:val="auto"/>
              </w:rPr>
            </w:pPr>
          </w:p>
        </w:tc>
      </w:tr>
      <w:tr>
        <w:trPr>
          <w:trHeight w:val="4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Piekos</w:t>
            </w:r>
          </w:p>
        </w:tc>
        <w:tc>
          <w:tcPr>
            <w:tcW w:w="240" w:type="dxa"/>
            <w:vAlign w:val="bottom"/>
          </w:tcPr>
          <w:p>
            <w:pPr>
              <w:spacing w:after="0"/>
              <w:rPr>
                <w:sz w:val="24"/>
                <w:szCs w:val="24"/>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Principal Financial and Principal</w:t>
            </w: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Dated: April 12, 2021</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Brian Piekos</w:t>
            </w:r>
          </w:p>
        </w:tc>
        <w:tc>
          <w:tcPr>
            <w:tcW w:w="240" w:type="dxa"/>
            <w:vAlign w:val="bottom"/>
          </w:tcPr>
          <w:p>
            <w:pPr>
              <w:spacing w:after="0"/>
              <w:rPr>
                <w:sz w:val="20"/>
                <w:szCs w:val="20"/>
                <w:color w:val="auto"/>
              </w:rPr>
            </w:pPr>
          </w:p>
        </w:tc>
        <w:tc>
          <w:tcPr>
            <w:tcW w:w="3920" w:type="dxa"/>
            <w:vAlign w:val="bottom"/>
            <w:gridSpan w:val="2"/>
          </w:tcPr>
          <w:p>
            <w:pPr>
              <w:jc w:val="center"/>
              <w:ind w:right="240"/>
              <w:spacing w:after="0" w:line="203" w:lineRule="exact"/>
              <w:rPr>
                <w:sz w:val="20"/>
                <w:szCs w:val="20"/>
                <w:color w:val="auto"/>
              </w:rPr>
            </w:pPr>
            <w:r>
              <w:rPr>
                <w:rFonts w:ascii="Arial" w:cs="Arial" w:eastAsia="Arial" w:hAnsi="Arial"/>
                <w:sz w:val="18"/>
                <w:szCs w:val="18"/>
                <w:color w:val="auto"/>
                <w:w w:val="95"/>
              </w:rPr>
              <w:t>Accounting Officer</w:t>
            </w:r>
          </w:p>
        </w:tc>
        <w:tc>
          <w:tcPr>
            <w:tcW w:w="2800" w:type="dxa"/>
            <w:vAlign w:val="bottom"/>
          </w:tcPr>
          <w:p>
            <w:pPr>
              <w:spacing w:after="0"/>
              <w:rPr>
                <w:sz w:val="20"/>
                <w:szCs w:val="20"/>
                <w:color w:val="auto"/>
              </w:rPr>
            </w:pPr>
          </w:p>
        </w:tc>
      </w:tr>
      <w:tr>
        <w:trPr>
          <w:trHeight w:val="4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Jim Tananbaum</w:t>
            </w:r>
          </w:p>
        </w:tc>
        <w:tc>
          <w:tcPr>
            <w:tcW w:w="240" w:type="dxa"/>
            <w:vAlign w:val="bottom"/>
          </w:tcPr>
          <w:p>
            <w:pPr>
              <w:spacing w:after="0"/>
              <w:rPr>
                <w:sz w:val="24"/>
                <w:szCs w:val="24"/>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Dated: April 12, 2021</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Dr. Jim Tananbaum</w:t>
            </w:r>
          </w:p>
        </w:tc>
        <w:tc>
          <w:tcPr>
            <w:tcW w:w="2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Gordon</w:t>
            </w:r>
          </w:p>
        </w:tc>
        <w:tc>
          <w:tcPr>
            <w:tcW w:w="240" w:type="dxa"/>
            <w:vAlign w:val="bottom"/>
          </w:tcPr>
          <w:p>
            <w:pPr>
              <w:spacing w:after="0"/>
              <w:rPr>
                <w:sz w:val="24"/>
                <w:szCs w:val="24"/>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Dated: April 12, 2021</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Dr. Carl Gordon</w:t>
            </w:r>
          </w:p>
        </w:tc>
        <w:tc>
          <w:tcPr>
            <w:tcW w:w="2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 George</w:t>
            </w:r>
          </w:p>
        </w:tc>
        <w:tc>
          <w:tcPr>
            <w:tcW w:w="240" w:type="dxa"/>
            <w:vAlign w:val="bottom"/>
          </w:tcPr>
          <w:p>
            <w:pPr>
              <w:spacing w:after="0"/>
              <w:rPr>
                <w:sz w:val="24"/>
                <w:szCs w:val="24"/>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Dated: April 12, 2021</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Jean George</w:t>
            </w:r>
          </w:p>
        </w:tc>
        <w:tc>
          <w:tcPr>
            <w:tcW w:w="2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Lubner</w:t>
            </w:r>
          </w:p>
        </w:tc>
        <w:tc>
          <w:tcPr>
            <w:tcW w:w="240" w:type="dxa"/>
            <w:vAlign w:val="bottom"/>
          </w:tcPr>
          <w:p>
            <w:pPr>
              <w:spacing w:after="0"/>
              <w:rPr>
                <w:sz w:val="24"/>
                <w:szCs w:val="24"/>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Dated: April 12, 2021</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David Lubner</w:t>
            </w:r>
          </w:p>
        </w:tc>
        <w:tc>
          <w:tcPr>
            <w:tcW w:w="2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Tuyen Ong</w:t>
            </w:r>
          </w:p>
        </w:tc>
        <w:tc>
          <w:tcPr>
            <w:tcW w:w="240" w:type="dxa"/>
            <w:vAlign w:val="bottom"/>
          </w:tcPr>
          <w:p>
            <w:pPr>
              <w:spacing w:after="0"/>
              <w:rPr>
                <w:sz w:val="24"/>
                <w:szCs w:val="24"/>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Dated: April 12, 2021</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Dr. Tuyen Ong</w:t>
            </w:r>
          </w:p>
        </w:tc>
        <w:tc>
          <w:tcPr>
            <w:tcW w:w="2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Rhodes</w:t>
            </w:r>
          </w:p>
        </w:tc>
        <w:tc>
          <w:tcPr>
            <w:tcW w:w="240" w:type="dxa"/>
            <w:vAlign w:val="bottom"/>
          </w:tcPr>
          <w:p>
            <w:pPr>
              <w:spacing w:after="0"/>
              <w:rPr>
                <w:sz w:val="24"/>
                <w:szCs w:val="24"/>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Dated: April 12, 2021</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Jason Rhodes</w:t>
            </w:r>
          </w:p>
        </w:tc>
        <w:tc>
          <w:tcPr>
            <w:tcW w:w="2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Gemini Therapeutics, Inc.</w:t>
      </w:r>
    </w:p>
    <w:p>
      <w:pPr>
        <w:spacing w:after="0" w:line="202" w:lineRule="auto"/>
        <w:rPr>
          <w:sz w:val="20"/>
          <w:szCs w:val="20"/>
          <w:color w:val="auto"/>
        </w:rPr>
      </w:pPr>
      <w:r>
        <w:rPr>
          <w:rFonts w:ascii="Arial" w:cs="Arial" w:eastAsia="Arial" w:hAnsi="Arial"/>
          <w:sz w:val="18"/>
          <w:szCs w:val="18"/>
          <w:color w:val="auto"/>
        </w:rPr>
        <w:t>300 One Kendall Square,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Securities Being Registered under Registration Statement on Form S-8</w:t>
      </w:r>
    </w:p>
    <w:p>
      <w:pPr>
        <w:spacing w:after="0" w:line="225"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We have acted as counsel to you in connection with your filing of a Registration Statement on Form S-8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pursuant to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on or about the date hereof relating to an aggregate of 5,881,236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Common Stock, $0.0001 par value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of Gemini Therapeutics,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that may be issued pursuant to the Company’s 2021 Stock Option and Incentive Plan and the Company’s 2021 Inducement Plan (collectively, the “</w:t>
      </w:r>
      <w:r>
        <w:rPr>
          <w:rFonts w:ascii="Arial" w:cs="Arial" w:eastAsia="Arial" w:hAnsi="Arial"/>
          <w:sz w:val="16"/>
          <w:szCs w:val="16"/>
          <w:u w:val="single" w:color="auto"/>
          <w:color w:val="auto"/>
        </w:rPr>
        <w:t>Plans</w:t>
      </w:r>
      <w:r>
        <w:rPr>
          <w:rFonts w:ascii="Arial" w:cs="Arial" w:eastAsia="Arial" w:hAnsi="Arial"/>
          <w:sz w:val="16"/>
          <w:szCs w:val="16"/>
          <w:color w:val="auto"/>
        </w:rPr>
        <w:t>”).</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7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4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GOODWIN PROCTER LLP</w:t>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2021 Stock Option and Incentive Plan and 2021 Inducement Plan of Gemini Therapeutics, Inc. (f/k/a FS Development Corp.) of our reports (a) dated March 29, 2021, with respect to the financial statements of Gemini Therapeutics, Inc., included in amendment No.1 to the Registration Statement (Form S-1 333-253175) and in amendment No.1 to the Current Report (Form 8-K 001-39438), both for the year ended December 31, 2020 and (b) dated October 30, 2020, with respect to the financial statements of Gemini Therapeutics, Inc., included in the Registration Statement, as amended (Form S-4 333-249785) for the year ended December 31, 2019, filed with the Securities and Exchange Commission.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12, 2021</w:t>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23.3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hereby consent to the incorporation by reference in the Registration Statement of our report dated March 29, 2021, relating to the financial statements FS Development Corp. appearing in the entity’s Annual Report on Form 10-K for the period from June 25, 2020 (inception) through December 31,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12, 2021</w:t>
      </w:r>
    </w:p>
    <w:p>
      <w:pPr>
        <w:sectPr>
          <w:pgSz w:w="11900" w:h="16838" w:orient="portrait"/>
          <w:cols w:equalWidth="0" w:num="1">
            <w:col w:w="11240"/>
          </w:cols>
          <w:pgMar w:left="320" w:top="112"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b w:val="1"/>
          <w:bCs w:val="1"/>
          <w:color w:val="auto"/>
        </w:rPr>
        <w:t>Exhibit 99.3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2021 INDUCEMENT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PURPOSE OF THE PLAN; DEFINITIONS</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name of the plan is the Gemini Therapeutics, Inc. 2021 Inducement Plan (the “Plan”). The purpose of the Plan is to enable Gemini Therapeutics, Inc. (the “Company”) to grant equity awards to induce highly-qualified prospective officers and employees who are not currently employed by the Company and its Affiliates to accept employment and provide them with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 The Company intends that the Plan be reserved for persons to whom the Company may issue securities without stockholder approval as an inducement pursuant to Rule 5635(c)(4) of the Marketplace Rules of the NASDAQ Stock Market, Inc.</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shall be defined as set forth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“Act” </w:t>
      </w:r>
      <w:r>
        <w:rPr>
          <w:rFonts w:ascii="Arial" w:cs="Arial" w:eastAsia="Arial" w:hAnsi="Arial"/>
          <w:sz w:val="18"/>
          <w:szCs w:val="18"/>
          <w:color w:val="auto"/>
        </w:rPr>
        <w:t>means the Securities Act of 1933, as amended, and the rules and regulations thereunder.</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either the Board or the compensation committee of the Board or a similar committee performing the functions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and which is comprised of not less than two Non-Employee Directors who are independent.</w:t>
      </w:r>
    </w:p>
    <w:p>
      <w:pPr>
        <w:spacing w:after="0" w:line="170"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46"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i w:val="1"/>
          <w:iCs w:val="1"/>
          <w:color w:val="auto"/>
        </w:rPr>
        <w:t xml:space="preserve">“Award” </w:t>
      </w:r>
      <w:r>
        <w:rPr>
          <w:rFonts w:ascii="Arial" w:cs="Arial" w:eastAsia="Arial" w:hAnsi="Arial"/>
          <w:sz w:val="17"/>
          <w:szCs w:val="17"/>
          <w:color w:val="auto"/>
        </w:rPr>
        <w:t>or</w:t>
      </w:r>
      <w:r>
        <w:rPr>
          <w:rFonts w:ascii="Arial" w:cs="Arial" w:eastAsia="Arial" w:hAnsi="Arial"/>
          <w:sz w:val="17"/>
          <w:szCs w:val="17"/>
          <w:i w:val="1"/>
          <w:iCs w:val="1"/>
          <w:color w:val="auto"/>
        </w:rPr>
        <w:t xml:space="preserve"> “Awards,” </w:t>
      </w:r>
      <w:r>
        <w:rPr>
          <w:rFonts w:ascii="Arial" w:cs="Arial" w:eastAsia="Arial" w:hAnsi="Arial"/>
          <w:sz w:val="17"/>
          <w:szCs w:val="17"/>
          <w:color w:val="auto"/>
        </w:rPr>
        <w:t>except where referring to a particular category of grant under the Plan, shall include Non-Qualified Stock Options,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Restricted Stock Units, Restricted Stock Awards, Unrestricted Stock Awards, and Dividend Equivalent Rights.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“Award Certificate” </w:t>
      </w:r>
      <w:r>
        <w:rPr>
          <w:rFonts w:ascii="Arial" w:cs="Arial" w:eastAsia="Arial" w:hAnsi="Arial"/>
          <w:sz w:val="16"/>
          <w:szCs w:val="16"/>
          <w:color w:val="auto"/>
        </w:rPr>
        <w:t>means a written or electronic document setting forth the terms and provisions applicable to an Award granted under the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Award Certificate is subject to the terms and conditions of the Plan.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“Code” </w:t>
      </w:r>
      <w:r>
        <w:rPr>
          <w:rFonts w:ascii="Arial" w:cs="Arial" w:eastAsia="Arial" w:hAnsi="Arial"/>
          <w:sz w:val="17"/>
          <w:szCs w:val="17"/>
          <w:color w:val="auto"/>
        </w:rPr>
        <w:t>means the Internal Revenue Code of 1986, as amended, and any successor Code, and related rules, regulations and interpretations.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ind w:firstLine="648"/>
        <w:spacing w:after="0" w:line="277" w:lineRule="auto"/>
        <w:rPr>
          <w:sz w:val="20"/>
          <w:szCs w:val="20"/>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 consultant or adviser who provides bona fide services to the Company or an Affiliate as an independent contractor and who</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qualifies as a consultant or advisor under Instruction A.1.(a)(1) of Form S-8 under the Act.</w:t>
      </w:r>
    </w:p>
    <w:p>
      <w:pPr>
        <w:spacing w:after="0" w:line="170" w:lineRule="exact"/>
        <w:rPr>
          <w:sz w:val="20"/>
          <w:szCs w:val="20"/>
          <w:color w:val="auto"/>
        </w:rPr>
      </w:pPr>
    </w:p>
    <w:p>
      <w:pPr>
        <w:jc w:val="both"/>
        <w:ind w:right="220" w:firstLine="648"/>
        <w:spacing w:after="0" w:line="342" w:lineRule="auto"/>
        <w:rPr>
          <w:sz w:val="20"/>
          <w:szCs w:val="20"/>
          <w:color w:val="auto"/>
        </w:rPr>
      </w:pPr>
      <w:r>
        <w:rPr>
          <w:rFonts w:ascii="Arial" w:cs="Arial" w:eastAsia="Arial" w:hAnsi="Arial"/>
          <w:sz w:val="16"/>
          <w:szCs w:val="16"/>
          <w:i w:val="1"/>
          <w:iCs w:val="1"/>
          <w:color w:val="auto"/>
        </w:rPr>
        <w:t xml:space="preserve">“Dividend Equivalent Right” </w:t>
      </w:r>
      <w:r>
        <w:rPr>
          <w:rFonts w:ascii="Arial" w:cs="Arial" w:eastAsia="Arial" w:hAnsi="Arial"/>
          <w:sz w:val="16"/>
          <w:szCs w:val="16"/>
          <w:color w:val="auto"/>
        </w:rPr>
        <w:t>means an Award entitling the grantee to receive credits based on cash dividends that would have been paid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Stock specified in the Dividend Equivalent Right (or other award to which it relates) if such shares had been issued to and held by the grantee.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on which the Plan is approved by the Board as set forth in Section 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 thereunder.</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the Stock on any given date means the fair market value of the Stock determined in good faith by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 any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 under Section 422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“Stock Option” </w:t>
      </w:r>
      <w:r>
        <w:rPr>
          <w:rFonts w:ascii="Arial" w:cs="Arial" w:eastAsia="Arial" w:hAnsi="Arial"/>
          <w:sz w:val="18"/>
          <w:szCs w:val="18"/>
          <w:color w:val="auto"/>
        </w:rPr>
        <w:t>means any option to purchase shares of Stock granted pursuant to Section 5.</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means the shares of Stock underlying a Restricted Stock Award that remain subject to a risk of forfeiture or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right of repurchase.</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Restricted Shares subject to such restrictions and conditions as the Administrator may determine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grant.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means an Award of stock units subject to such restrictions and conditions as the Administrator may determine at the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grant.</w:t>
      </w:r>
    </w:p>
    <w:p>
      <w:pPr>
        <w:spacing w:after="0" w:line="21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“Sale Event” </w:t>
      </w:r>
      <w:r>
        <w:rPr>
          <w:rFonts w:ascii="Arial" w:cs="Arial" w:eastAsia="Arial" w:hAnsi="Arial"/>
          <w:sz w:val="17"/>
          <w:szCs w:val="17"/>
          <w:color w:val="auto"/>
        </w:rPr>
        <w:t>means (i) the sale of all or substantially all of the assets of the Company on a consolidated basis to an unrelated person or entity, (ii)</w:t>
      </w:r>
      <w:r>
        <w:rPr>
          <w:rFonts w:ascii="Arial" w:cs="Arial" w:eastAsia="Arial" w:hAnsi="Arial"/>
          <w:sz w:val="17"/>
          <w:szCs w:val="17"/>
          <w:i w:val="1"/>
          <w:iCs w:val="1"/>
          <w:color w:val="auto"/>
        </w:rPr>
        <w:t xml:space="preserve"> </w:t>
      </w:r>
      <w:r>
        <w:rPr>
          <w:rFonts w:ascii="Arial" w:cs="Arial" w:eastAsia="Arial" w:hAnsi="Arial"/>
          <w:sz w:val="17"/>
          <w:szCs w:val="17"/>
          <w:color w:val="auto"/>
        </w:rPr>
        <w:t>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3" w:name="page14"/>
    <w:bookmarkEnd w:id="13"/>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 stockholders, per share of Stock pursuant to a Sale Event.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 thereunder.</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 xml:space="preserve">“Service Relationship” </w:t>
      </w:r>
      <w:r>
        <w:rPr>
          <w:rFonts w:ascii="Arial" w:cs="Arial" w:eastAsia="Arial" w:hAnsi="Arial"/>
          <w:sz w:val="18"/>
          <w:szCs w:val="18"/>
          <w:color w:val="auto"/>
        </w:rPr>
        <w:t>means any relationship as an employee, director or Consultant of the Company or any Affiliate (e.g., a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shall be deemed to continue without interruption in the event an individual’s status changes from full-time employee to part-time employee or Consultant).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$0.001 per share, of the Company, subject to adjustments pursuant to Section 3.</w:t>
      </w:r>
    </w:p>
    <w:p>
      <w:pPr>
        <w:spacing w:after="0" w:line="225"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i w:val="1"/>
          <w:iCs w:val="1"/>
          <w:color w:val="auto"/>
        </w:rPr>
        <w:t xml:space="preserve">“Stock Appreciation Right” </w:t>
      </w:r>
      <w:r>
        <w:rPr>
          <w:rFonts w:ascii="Arial" w:cs="Arial" w:eastAsia="Arial" w:hAnsi="Arial"/>
          <w:sz w:val="16"/>
          <w:szCs w:val="16"/>
          <w:color w:val="auto"/>
        </w:rPr>
        <w:t>means an Award entitling the recipient to receive shares of Stock (or cash, to the extent explicitly provided for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4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 at least a 50 percent interest,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ADMINISTRATION OF PLAN; ADMINISTRATOR AUTHORITY TO SELECT GRANTEES AND DETERMINE AWARDS</w:t>
      </w:r>
    </w:p>
    <w:p>
      <w:pPr>
        <w:spacing w:after="0" w:line="225"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Administrator.</w:t>
      </w:r>
    </w:p>
    <w:p>
      <w:pPr>
        <w:spacing w:after="0" w:line="225" w:lineRule="exact"/>
        <w:rPr>
          <w:rFonts w:ascii="Arial" w:cs="Arial" w:eastAsia="Arial" w:hAnsi="Arial"/>
          <w:sz w:val="18"/>
          <w:szCs w:val="18"/>
          <w:color w:val="auto"/>
        </w:rPr>
      </w:pPr>
    </w:p>
    <w:p>
      <w:pPr>
        <w:ind w:right="640" w:firstLine="656"/>
        <w:spacing w:after="0" w:line="277" w:lineRule="auto"/>
        <w:tabs>
          <w:tab w:leader="none" w:pos="90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Powers of Administrator</w:t>
      </w:r>
      <w:r>
        <w:rPr>
          <w:rFonts w:ascii="Arial" w:cs="Arial" w:eastAsia="Arial" w:hAnsi="Arial"/>
          <w:sz w:val="18"/>
          <w:szCs w:val="18"/>
          <w:color w:val="auto"/>
        </w:rPr>
        <w:t>. The Administrator shall have the power and authority to grant Awards consistent with the terms of the Plan, including the power and authority:</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225" w:lineRule="exact"/>
        <w:rPr>
          <w:rFonts w:ascii="Arial" w:cs="Arial" w:eastAsia="Arial" w:hAnsi="Arial"/>
          <w:sz w:val="18"/>
          <w:szCs w:val="18"/>
          <w:color w:val="auto"/>
        </w:rPr>
      </w:pPr>
    </w:p>
    <w:p>
      <w:pPr>
        <w:ind w:right="20" w:firstLine="1304"/>
        <w:spacing w:after="0" w:line="263" w:lineRule="auto"/>
        <w:tabs>
          <w:tab w:leader="none" w:pos="15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Non-Qualified Stock Options, Stock Appreciation Rights, Restricted Stock Awards, Restricted Stock Units, Unrestricted Stock Awards, and Dividend Equivalent Rights, or any combination of the foregoing, granted to any one or more grantees;</w:t>
      </w:r>
    </w:p>
    <w:p>
      <w:pPr>
        <w:spacing w:after="0" w:line="183" w:lineRule="exact"/>
        <w:rPr>
          <w:rFonts w:ascii="Arial" w:cs="Arial" w:eastAsia="Arial" w:hAnsi="Arial"/>
          <w:sz w:val="18"/>
          <w:szCs w:val="18"/>
          <w:color w:val="auto"/>
        </w:rPr>
      </w:pPr>
    </w:p>
    <w:p>
      <w:pPr>
        <w:ind w:left="1620" w:hanging="316"/>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4" w:name="page15"/>
    <w:bookmarkEnd w:id="14"/>
    <w:p>
      <w:pPr>
        <w:ind w:left="-20" w:right="360" w:firstLine="1304"/>
        <w:spacing w:after="0" w:line="342" w:lineRule="auto"/>
        <w:tabs>
          <w:tab w:leader="none" w:pos="158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23" w:lineRule="exact"/>
        <w:rPr>
          <w:rFonts w:ascii="Arial" w:cs="Arial" w:eastAsia="Arial" w:hAnsi="Arial"/>
          <w:sz w:val="16"/>
          <w:szCs w:val="16"/>
          <w:color w:val="auto"/>
        </w:rPr>
      </w:pPr>
    </w:p>
    <w:p>
      <w:pPr>
        <w:ind w:left="1540" w:hanging="256"/>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w:t>
      </w:r>
    </w:p>
    <w:p>
      <w:pPr>
        <w:spacing w:after="0" w:line="225" w:lineRule="exact"/>
        <w:rPr>
          <w:rFonts w:ascii="Arial" w:cs="Arial" w:eastAsia="Arial" w:hAnsi="Arial"/>
          <w:sz w:val="18"/>
          <w:szCs w:val="18"/>
          <w:color w:val="auto"/>
        </w:rPr>
      </w:pPr>
    </w:p>
    <w:p>
      <w:pPr>
        <w:ind w:left="1580" w:hanging="296"/>
        <w:spacing w:after="0"/>
        <w:tabs>
          <w:tab w:leader="none" w:pos="1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the provisions of Section 5(c), to extend at any time the period in which Stock Options may be exercised; and</w:t>
      </w:r>
    </w:p>
    <w:p>
      <w:pPr>
        <w:spacing w:after="0" w:line="225" w:lineRule="exact"/>
        <w:rPr>
          <w:rFonts w:ascii="Arial" w:cs="Arial" w:eastAsia="Arial" w:hAnsi="Arial"/>
          <w:sz w:val="18"/>
          <w:szCs w:val="18"/>
          <w:color w:val="auto"/>
        </w:rPr>
      </w:pPr>
    </w:p>
    <w:p>
      <w:pPr>
        <w:ind w:left="-20" w:right="120" w:firstLine="1304"/>
        <w:spacing w:after="0" w:line="259" w:lineRule="auto"/>
        <w:tabs>
          <w:tab w:leader="none" w:pos="163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225" w:lineRule="exact"/>
        <w:rPr>
          <w:sz w:val="20"/>
          <w:szCs w:val="20"/>
          <w:color w:val="auto"/>
        </w:rPr>
      </w:pPr>
    </w:p>
    <w:p>
      <w:pPr>
        <w:ind w:left="880" w:hanging="24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00" w:firstLine="656"/>
        <w:spacing w:after="0" w:line="342" w:lineRule="auto"/>
        <w:tabs>
          <w:tab w:leader="none" w:pos="883"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Award Certificate</w:t>
      </w:r>
      <w:r>
        <w:rPr>
          <w:rFonts w:ascii="Arial" w:cs="Arial" w:eastAsia="Arial" w:hAnsi="Arial"/>
          <w:sz w:val="16"/>
          <w:szCs w:val="16"/>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23" w:lineRule="exact"/>
        <w:rPr>
          <w:rFonts w:ascii="Arial" w:cs="Arial" w:eastAsia="Arial" w:hAnsi="Arial"/>
          <w:sz w:val="16"/>
          <w:szCs w:val="16"/>
          <w:color w:val="auto"/>
        </w:rPr>
      </w:pPr>
    </w:p>
    <w:p>
      <w:pPr>
        <w:ind w:left="-20" w:firstLine="656"/>
        <w:spacing w:after="0" w:line="255" w:lineRule="auto"/>
        <w:tabs>
          <w:tab w:leader="none" w:pos="87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92" w:lineRule="exact"/>
        <w:rPr>
          <w:rFonts w:ascii="Arial" w:cs="Arial" w:eastAsia="Arial" w:hAnsi="Arial"/>
          <w:sz w:val="18"/>
          <w:szCs w:val="18"/>
          <w:color w:val="auto"/>
        </w:rPr>
      </w:pPr>
    </w:p>
    <w:p>
      <w:pPr>
        <w:ind w:left="-20" w:right="60" w:firstLine="656"/>
        <w:spacing w:after="0" w:line="288" w:lineRule="auto"/>
        <w:tabs>
          <w:tab w:leader="none" w:pos="853"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STOCK ISSUABLE UNDER THE PLAN; MERGERS; SUBSTITUTION</w:t>
      </w:r>
    </w:p>
    <w:p>
      <w:pPr>
        <w:spacing w:after="0" w:line="225" w:lineRule="exact"/>
        <w:rPr>
          <w:sz w:val="20"/>
          <w:szCs w:val="20"/>
          <w:color w:val="auto"/>
        </w:rPr>
      </w:pPr>
    </w:p>
    <w:p>
      <w:pPr>
        <w:ind w:right="100" w:firstLine="656"/>
        <w:spacing w:after="0" w:line="254" w:lineRule="auto"/>
        <w:tabs>
          <w:tab w:leader="none" w:pos="89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Stock Issuable</w:t>
      </w:r>
      <w:r>
        <w:rPr>
          <w:rFonts w:ascii="Arial" w:cs="Arial" w:eastAsia="Arial" w:hAnsi="Arial"/>
          <w:sz w:val="18"/>
          <w:szCs w:val="18"/>
          <w:color w:val="auto"/>
        </w:rPr>
        <w:t>. The maximum number of shares of Stock reserved and available for issuance under the Plan shall be 1,616,895 shares, subject to adjustment as provided in this Section 3.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91" w:lineRule="exact"/>
        <w:rPr>
          <w:rFonts w:ascii="Arial" w:cs="Arial" w:eastAsia="Arial" w:hAnsi="Arial"/>
          <w:sz w:val="18"/>
          <w:szCs w:val="18"/>
          <w:color w:val="auto"/>
        </w:rPr>
      </w:pPr>
    </w:p>
    <w:p>
      <w:pPr>
        <w:ind w:firstLine="656"/>
        <w:spacing w:after="0" w:line="286" w:lineRule="auto"/>
        <w:tabs>
          <w:tab w:leader="none" w:pos="903"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Changes in Stock</w:t>
      </w:r>
      <w:r>
        <w:rPr>
          <w:rFonts w:ascii="Arial" w:cs="Arial" w:eastAsia="Arial" w:hAnsi="Arial"/>
          <w:sz w:val="16"/>
          <w:szCs w:val="16"/>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 w:name="page17"/>
    <w:bookmarkEnd w:id="16"/>
    <w:p>
      <w:pPr>
        <w:ind w:right="20" w:firstLine="656"/>
        <w:spacing w:after="0" w:line="285" w:lineRule="auto"/>
        <w:tabs>
          <w:tab w:leader="none" w:pos="89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Mergers and Other Transactions</w:t>
      </w:r>
      <w:r>
        <w:rPr>
          <w:rFonts w:ascii="Arial" w:cs="Arial" w:eastAsia="Arial" w:hAnsi="Arial"/>
          <w:sz w:val="16"/>
          <w:szCs w:val="16"/>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ELIGIBILITY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Grantees under the Plan will be such employees of the Company and its Affiliates as to whom the Company may issue securities without stockholder approval in accordance with Rule 5635(c)(4) of the Marketplace Rules of the NASDAQ Stock Market, Inc. as selected from time to time by the Administrator in its sole discretion; provided that Awards may not be granted to employees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right="40" w:firstLine="656"/>
        <w:spacing w:after="0" w:line="277" w:lineRule="auto"/>
        <w:tabs>
          <w:tab w:leader="none" w:pos="89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Award of Stock Options</w:t>
      </w:r>
      <w:r>
        <w:rPr>
          <w:rFonts w:ascii="Arial" w:cs="Arial" w:eastAsia="Arial" w:hAnsi="Arial"/>
          <w:sz w:val="18"/>
          <w:szCs w:val="18"/>
          <w:color w:val="auto"/>
        </w:rPr>
        <w:t>. The Administrator may grant Stock Options under the Plan. Any Stock Option granted under the Plan shall be a Non-Qualified Stock Option, and shall be in such form as the Administrator may from time to time approve.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right="40" w:firstLine="648"/>
        <w:spacing w:after="0" w:line="277" w:lineRule="auto"/>
        <w:rPr>
          <w:sz w:val="20"/>
          <w:szCs w:val="20"/>
          <w:color w:val="auto"/>
        </w:rPr>
      </w:pPr>
      <w:r>
        <w:rPr>
          <w:rFonts w:ascii="Arial" w:cs="Arial" w:eastAsia="Arial" w:hAnsi="Arial"/>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w:t>
      </w:r>
    </w:p>
    <w:p>
      <w:pPr>
        <w:spacing w:after="0" w:line="170" w:lineRule="exact"/>
        <w:rPr>
          <w:sz w:val="20"/>
          <w:szCs w:val="20"/>
          <w:color w:val="auto"/>
        </w:rPr>
      </w:pPr>
    </w:p>
    <w:p>
      <w:pPr>
        <w:ind w:right="100" w:firstLine="656"/>
        <w:spacing w:after="0" w:line="301" w:lineRule="auto"/>
        <w:tabs>
          <w:tab w:leader="none" w:pos="90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for the Stock covered by a Stock Option granted pursuant to this Section 5 shall be determined by the Administrator at the time of grant but shall not be less than 100 percent of the Fair Market Value on the date of grant. Notwithstanding the foregoing, Stock Options may be granted with an exercise price per share that is less than 100 percent of the Fair Market Value on the date of grant (i) to individuals who are not subject to U.S. income tax on the date of grant, or (ii) if the Stock Option is otherwise compliant with Section 409A.</w:t>
      </w:r>
    </w:p>
    <w:p>
      <w:pPr>
        <w:spacing w:after="0" w:line="157" w:lineRule="exact"/>
        <w:rPr>
          <w:rFonts w:ascii="Arial" w:cs="Arial" w:eastAsia="Arial" w:hAnsi="Arial"/>
          <w:sz w:val="16"/>
          <w:szCs w:val="16"/>
          <w:color w:val="auto"/>
        </w:rPr>
      </w:pPr>
    </w:p>
    <w:p>
      <w:pPr>
        <w:ind w:right="80" w:firstLine="656"/>
        <w:spacing w:after="0" w:line="277" w:lineRule="auto"/>
        <w:tabs>
          <w:tab w:leader="none" w:pos="89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w:t>
      </w:r>
    </w:p>
    <w:p>
      <w:pPr>
        <w:spacing w:after="0" w:line="170" w:lineRule="exact"/>
        <w:rPr>
          <w:rFonts w:ascii="Arial" w:cs="Arial" w:eastAsia="Arial" w:hAnsi="Arial"/>
          <w:sz w:val="18"/>
          <w:szCs w:val="18"/>
          <w:color w:val="auto"/>
        </w:rPr>
      </w:pPr>
    </w:p>
    <w:p>
      <w:pPr>
        <w:ind w:right="140" w:firstLine="656"/>
        <w:spacing w:after="0" w:line="259" w:lineRule="auto"/>
        <w:tabs>
          <w:tab w:leader="none" w:pos="90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Exercisability; Rights of a Stockholder</w:t>
      </w:r>
      <w:r>
        <w:rPr>
          <w:rFonts w:ascii="Arial" w:cs="Arial" w:eastAsia="Arial" w:hAnsi="Arial"/>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86" w:lineRule="exact"/>
        <w:rPr>
          <w:rFonts w:ascii="Arial" w:cs="Arial" w:eastAsia="Arial" w:hAnsi="Arial"/>
          <w:sz w:val="18"/>
          <w:szCs w:val="18"/>
          <w:color w:val="auto"/>
        </w:rPr>
      </w:pPr>
    </w:p>
    <w:p>
      <w:pPr>
        <w:ind w:right="20" w:firstLine="656"/>
        <w:spacing w:after="0" w:line="263" w:lineRule="auto"/>
        <w:tabs>
          <w:tab w:leader="none" w:pos="89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83" w:lineRule="exact"/>
        <w:rPr>
          <w:rFonts w:ascii="Arial" w:cs="Arial" w:eastAsia="Arial" w:hAnsi="Arial"/>
          <w:sz w:val="18"/>
          <w:szCs w:val="18"/>
          <w:color w:val="auto"/>
        </w:rPr>
      </w:pPr>
    </w:p>
    <w:p>
      <w:pPr>
        <w:ind w:left="1520" w:hanging="216"/>
        <w:spacing w:after="0"/>
        <w:tabs>
          <w:tab w:leader="none" w:pos="15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225" w:lineRule="exact"/>
        <w:rPr>
          <w:rFonts w:ascii="Arial" w:cs="Arial" w:eastAsia="Arial" w:hAnsi="Arial"/>
          <w:sz w:val="18"/>
          <w:szCs w:val="18"/>
          <w:color w:val="auto"/>
        </w:rPr>
      </w:pPr>
    </w:p>
    <w:p>
      <w:pPr>
        <w:ind w:right="240" w:firstLine="1304"/>
        <w:spacing w:after="0" w:line="342" w:lineRule="auto"/>
        <w:tabs>
          <w:tab w:leader="none" w:pos="1561"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23" w:lineRule="exact"/>
        <w:rPr>
          <w:rFonts w:ascii="Arial" w:cs="Arial" w:eastAsia="Arial" w:hAnsi="Arial"/>
          <w:sz w:val="16"/>
          <w:szCs w:val="16"/>
          <w:color w:val="auto"/>
        </w:rPr>
      </w:pPr>
    </w:p>
    <w:p>
      <w:pPr>
        <w:ind w:right="160" w:firstLine="1304"/>
        <w:spacing w:after="0" w:line="279" w:lineRule="auto"/>
        <w:tabs>
          <w:tab w:leader="none" w:pos="1611" w:val="left"/>
        </w:tabs>
        <w:numPr>
          <w:ilvl w:val="1"/>
          <w:numId w:val="17"/>
        </w:numPr>
        <w:rPr>
          <w:rFonts w:ascii="Arial" w:cs="Arial" w:eastAsia="Arial" w:hAnsi="Arial"/>
          <w:sz w:val="17"/>
          <w:szCs w:val="17"/>
          <w:color w:val="auto"/>
        </w:rPr>
      </w:pPr>
      <w:r>
        <w:rPr>
          <w:rFonts w:ascii="Arial" w:cs="Arial" w:eastAsia="Arial" w:hAnsi="Arial"/>
          <w:sz w:val="17"/>
          <w:szCs w:val="17"/>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71" w:lineRule="exact"/>
        <w:rPr>
          <w:rFonts w:ascii="Arial" w:cs="Arial" w:eastAsia="Arial" w:hAnsi="Arial"/>
          <w:sz w:val="17"/>
          <w:szCs w:val="17"/>
          <w:color w:val="auto"/>
        </w:rPr>
      </w:pPr>
    </w:p>
    <w:p>
      <w:pPr>
        <w:ind w:firstLine="1304"/>
        <w:spacing w:after="0" w:line="277" w:lineRule="auto"/>
        <w:tabs>
          <w:tab w:leader="none" w:pos="1601" w:val="left"/>
        </w:tabs>
        <w:numPr>
          <w:ilvl w:val="1"/>
          <w:numId w:val="17"/>
        </w:numPr>
        <w:rPr>
          <w:rFonts w:ascii="Arial" w:cs="Arial" w:eastAsia="Arial" w:hAnsi="Arial"/>
          <w:sz w:val="18"/>
          <w:szCs w:val="18"/>
          <w:color w:val="auto"/>
        </w:rPr>
      </w:pPr>
      <w:r>
        <w:rPr>
          <w:rFonts w:ascii="Arial" w:cs="Arial" w:eastAsia="Arial" w:hAnsi="Arial"/>
          <w:sz w:val="18"/>
          <w:szCs w:val="18"/>
          <w:color w:val="auto"/>
        </w:rPr>
        <w:t>By a “net exercise” arrangement pursuant to which the Company will reduce the number of shares of Stock issuable upon exercise by the largest whole number of shares with a Fair Market Value that does not exceed the aggregate exercise price.</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STOCK APPRECIATION RIGHTS</w:t>
      </w:r>
    </w:p>
    <w:p>
      <w:pPr>
        <w:spacing w:after="0" w:line="225" w:lineRule="exact"/>
        <w:rPr>
          <w:sz w:val="20"/>
          <w:szCs w:val="20"/>
          <w:color w:val="auto"/>
        </w:rPr>
      </w:pPr>
    </w:p>
    <w:p>
      <w:pPr>
        <w:ind w:firstLine="656"/>
        <w:spacing w:after="0" w:line="279" w:lineRule="auto"/>
        <w:tabs>
          <w:tab w:leader="none" w:pos="892"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Award of Stock Appreciation Rights</w:t>
      </w:r>
      <w:r>
        <w:rPr>
          <w:rFonts w:ascii="Arial" w:cs="Arial" w:eastAsia="Arial" w:hAnsi="Arial"/>
          <w:sz w:val="17"/>
          <w:szCs w:val="17"/>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71" w:lineRule="exact"/>
        <w:rPr>
          <w:rFonts w:ascii="Arial" w:cs="Arial" w:eastAsia="Arial" w:hAnsi="Arial"/>
          <w:sz w:val="17"/>
          <w:szCs w:val="17"/>
          <w:color w:val="auto"/>
        </w:rPr>
      </w:pPr>
    </w:p>
    <w:p>
      <w:pPr>
        <w:ind w:right="300" w:firstLine="656"/>
        <w:spacing w:after="0" w:line="277" w:lineRule="auto"/>
        <w:tabs>
          <w:tab w:leader="none" w:pos="90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Exercise Price of Stock Appreciation Rights</w:t>
      </w:r>
      <w:r>
        <w:rPr>
          <w:rFonts w:ascii="Arial" w:cs="Arial" w:eastAsia="Arial" w:hAnsi="Arial"/>
          <w:sz w:val="18"/>
          <w:szCs w:val="18"/>
          <w:color w:val="auto"/>
        </w:rPr>
        <w:t>. The exercise price of a Stock Appreciation Right shall not be less than 100 percent of the Fair Market Value of the Stock on the date of grant.</w:t>
      </w:r>
    </w:p>
    <w:p>
      <w:pPr>
        <w:spacing w:after="0" w:line="170" w:lineRule="exact"/>
        <w:rPr>
          <w:rFonts w:ascii="Arial" w:cs="Arial" w:eastAsia="Arial" w:hAnsi="Arial"/>
          <w:sz w:val="18"/>
          <w:szCs w:val="18"/>
          <w:color w:val="auto"/>
        </w:rPr>
      </w:pPr>
    </w:p>
    <w:p>
      <w:pPr>
        <w:ind w:right="100" w:firstLine="656"/>
        <w:spacing w:after="0" w:line="277" w:lineRule="auto"/>
        <w:tabs>
          <w:tab w:leader="none" w:pos="89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Grant and Exercise of Stock Appreciation Rights</w:t>
      </w:r>
      <w:r>
        <w:rPr>
          <w:rFonts w:ascii="Arial" w:cs="Arial" w:eastAsia="Arial" w:hAnsi="Arial"/>
          <w:sz w:val="18"/>
          <w:szCs w:val="18"/>
          <w:color w:val="auto"/>
        </w:rPr>
        <w:t>. Stock Appreciation Rights may be granted by the Administrator independently of any Stock Option granted pursuant to Section 5 of the Plan.</w:t>
      </w:r>
    </w:p>
    <w:p>
      <w:pPr>
        <w:spacing w:after="0" w:line="170" w:lineRule="exact"/>
        <w:rPr>
          <w:rFonts w:ascii="Arial" w:cs="Arial" w:eastAsia="Arial" w:hAnsi="Arial"/>
          <w:sz w:val="18"/>
          <w:szCs w:val="18"/>
          <w:color w:val="auto"/>
        </w:rPr>
      </w:pPr>
    </w:p>
    <w:p>
      <w:pPr>
        <w:ind w:right="140" w:firstLine="656"/>
        <w:spacing w:after="0" w:line="286" w:lineRule="auto"/>
        <w:tabs>
          <w:tab w:leader="none" w:pos="903"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Terms and Conditions of Stock Appreciation Rights</w:t>
      </w:r>
      <w:r>
        <w:rPr>
          <w:rFonts w:ascii="Arial" w:cs="Arial" w:eastAsia="Arial" w:hAnsi="Arial"/>
          <w:sz w:val="17"/>
          <w:szCs w:val="17"/>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ind w:right="40" w:firstLine="656"/>
        <w:spacing w:after="0" w:line="286" w:lineRule="auto"/>
        <w:tabs>
          <w:tab w:leader="none" w:pos="892"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Nature of Restricted Stock Awards</w:t>
      </w:r>
      <w:r>
        <w:rPr>
          <w:rFonts w:ascii="Arial" w:cs="Arial" w:eastAsia="Arial" w:hAnsi="Arial"/>
          <w:sz w:val="17"/>
          <w:szCs w:val="17"/>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65" w:lineRule="exact"/>
        <w:rPr>
          <w:rFonts w:ascii="Arial" w:cs="Arial" w:eastAsia="Arial" w:hAnsi="Arial"/>
          <w:sz w:val="17"/>
          <w:szCs w:val="17"/>
          <w:color w:val="auto"/>
        </w:rPr>
      </w:pPr>
    </w:p>
    <w:p>
      <w:pPr>
        <w:ind w:right="100" w:firstLine="656"/>
        <w:spacing w:after="0" w:line="290" w:lineRule="auto"/>
        <w:tabs>
          <w:tab w:leader="none" w:pos="903"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right="120" w:firstLine="656"/>
        <w:spacing w:after="0" w:line="270" w:lineRule="auto"/>
        <w:tabs>
          <w:tab w:leader="none" w:pos="892"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80" w:lineRule="exact"/>
        <w:rPr>
          <w:rFonts w:ascii="Arial" w:cs="Arial" w:eastAsia="Arial" w:hAnsi="Arial"/>
          <w:sz w:val="17"/>
          <w:szCs w:val="17"/>
          <w:color w:val="auto"/>
        </w:rPr>
      </w:pPr>
    </w:p>
    <w:p>
      <w:pPr>
        <w:jc w:val="both"/>
        <w:ind w:right="20" w:firstLine="656"/>
        <w:spacing w:after="0" w:line="279" w:lineRule="auto"/>
        <w:tabs>
          <w:tab w:leader="none" w:pos="90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Vesting of Restricted Shares</w:t>
      </w:r>
      <w:r>
        <w:rPr>
          <w:rFonts w:ascii="Arial" w:cs="Arial" w:eastAsia="Arial" w:hAnsi="Arial"/>
          <w:sz w:val="17"/>
          <w:szCs w:val="17"/>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ind w:firstLine="656"/>
        <w:spacing w:after="0" w:line="271" w:lineRule="auto"/>
        <w:tabs>
          <w:tab w:leader="none" w:pos="892"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Nature of Restricted Stock Units</w:t>
      </w:r>
      <w:r>
        <w:rPr>
          <w:rFonts w:ascii="Arial" w:cs="Arial" w:eastAsia="Arial" w:hAnsi="Arial"/>
          <w:sz w:val="17"/>
          <w:szCs w:val="17"/>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60" w:firstLine="656"/>
        <w:spacing w:after="0" w:line="311" w:lineRule="auto"/>
        <w:tabs>
          <w:tab w:leader="none" w:pos="892"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48" w:lineRule="exact"/>
        <w:rPr>
          <w:rFonts w:ascii="Arial" w:cs="Arial" w:eastAsia="Arial" w:hAnsi="Arial"/>
          <w:sz w:val="16"/>
          <w:szCs w:val="16"/>
          <w:color w:val="auto"/>
        </w:rPr>
      </w:pPr>
    </w:p>
    <w:p>
      <w:pPr>
        <w:ind w:right="380" w:firstLine="656"/>
        <w:spacing w:after="0" w:line="286" w:lineRule="auto"/>
        <w:tabs>
          <w:tab w:leader="none" w:pos="903"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UNRESTRICTED STOCK AWARDS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u w:val="single" w:color="auto"/>
          <w:color w:val="auto"/>
        </w:rPr>
        <w:t>Grant or Sale of Unrestricted Stock</w:t>
      </w:r>
      <w:r>
        <w:rPr>
          <w:rFonts w:ascii="Arial" w:cs="Arial" w:eastAsia="Arial" w:hAnsi="Arial"/>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DIVIDEND EQUIVALENT RIGHTS</w:t>
      </w:r>
    </w:p>
    <w:p>
      <w:pPr>
        <w:spacing w:after="0" w:line="225" w:lineRule="exact"/>
        <w:rPr>
          <w:sz w:val="20"/>
          <w:szCs w:val="20"/>
          <w:color w:val="auto"/>
        </w:rPr>
      </w:pPr>
    </w:p>
    <w:p>
      <w:pPr>
        <w:ind w:right="40" w:firstLine="656"/>
        <w:spacing w:after="0" w:line="269" w:lineRule="auto"/>
        <w:tabs>
          <w:tab w:leader="none" w:pos="892"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Dividend Equivalent Rights</w:t>
      </w:r>
      <w:r>
        <w:rPr>
          <w:rFonts w:ascii="Arial" w:cs="Arial" w:eastAsia="Arial" w:hAnsi="Arial"/>
          <w:sz w:val="17"/>
          <w:szCs w:val="17"/>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81" w:lineRule="exact"/>
        <w:rPr>
          <w:rFonts w:ascii="Arial" w:cs="Arial" w:eastAsia="Arial" w:hAnsi="Arial"/>
          <w:sz w:val="17"/>
          <w:szCs w:val="17"/>
          <w:color w:val="auto"/>
        </w:rPr>
      </w:pPr>
    </w:p>
    <w:p>
      <w:pPr>
        <w:ind w:right="380" w:firstLine="656"/>
        <w:spacing w:after="0" w:line="263" w:lineRule="auto"/>
        <w:tabs>
          <w:tab w:leader="none" w:pos="90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TRANSFERABILITY OF AWARDS</w:t>
      </w:r>
    </w:p>
    <w:p>
      <w:pPr>
        <w:spacing w:after="0" w:line="225" w:lineRule="exact"/>
        <w:rPr>
          <w:sz w:val="20"/>
          <w:szCs w:val="20"/>
          <w:color w:val="auto"/>
        </w:rPr>
      </w:pPr>
    </w:p>
    <w:p>
      <w:pPr>
        <w:ind w:firstLine="656"/>
        <w:spacing w:after="0" w:line="257" w:lineRule="auto"/>
        <w:tabs>
          <w:tab w:leader="none" w:pos="89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87" w:lineRule="exact"/>
        <w:rPr>
          <w:rFonts w:ascii="Arial" w:cs="Arial" w:eastAsia="Arial" w:hAnsi="Arial"/>
          <w:sz w:val="18"/>
          <w:szCs w:val="18"/>
          <w:color w:val="auto"/>
        </w:rPr>
      </w:pPr>
    </w:p>
    <w:p>
      <w:pPr>
        <w:ind w:firstLine="656"/>
        <w:spacing w:after="0" w:line="257" w:lineRule="auto"/>
        <w:tabs>
          <w:tab w:leader="none" w:pos="90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Administrator Action</w:t>
      </w:r>
      <w:r>
        <w:rPr>
          <w:rFonts w:ascii="Arial" w:cs="Arial" w:eastAsia="Arial" w:hAnsi="Arial"/>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87" w:lineRule="exact"/>
        <w:rPr>
          <w:rFonts w:ascii="Arial" w:cs="Arial" w:eastAsia="Arial" w:hAnsi="Arial"/>
          <w:sz w:val="18"/>
          <w:szCs w:val="18"/>
          <w:color w:val="auto"/>
        </w:rPr>
      </w:pPr>
    </w:p>
    <w:p>
      <w:pPr>
        <w:ind w:right="260" w:firstLine="656"/>
        <w:spacing w:after="0" w:line="275" w:lineRule="auto"/>
        <w:tabs>
          <w:tab w:leader="none" w:pos="892"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Family Member</w:t>
      </w:r>
      <w:r>
        <w:rPr>
          <w:rFonts w:ascii="Arial" w:cs="Arial" w:eastAsia="Arial" w:hAnsi="Arial"/>
          <w:sz w:val="17"/>
          <w:szCs w:val="17"/>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76" w:lineRule="exact"/>
        <w:rPr>
          <w:rFonts w:ascii="Arial" w:cs="Arial" w:eastAsia="Arial" w:hAnsi="Arial"/>
          <w:sz w:val="17"/>
          <w:szCs w:val="17"/>
          <w:color w:val="auto"/>
        </w:rPr>
      </w:pPr>
    </w:p>
    <w:p>
      <w:pPr>
        <w:ind w:firstLine="656"/>
        <w:spacing w:after="0" w:line="257" w:lineRule="auto"/>
        <w:tabs>
          <w:tab w:leader="none" w:pos="90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TAX WITHHOLDING</w:t>
      </w:r>
    </w:p>
    <w:p>
      <w:pPr>
        <w:spacing w:after="0" w:line="225" w:lineRule="exact"/>
        <w:rPr>
          <w:sz w:val="20"/>
          <w:szCs w:val="20"/>
          <w:color w:val="auto"/>
        </w:rPr>
      </w:pPr>
    </w:p>
    <w:p>
      <w:pPr>
        <w:ind w:firstLine="656"/>
        <w:spacing w:after="0" w:line="255" w:lineRule="auto"/>
        <w:tabs>
          <w:tab w:leader="none" w:pos="89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Payment by Grantee</w:t>
      </w:r>
      <w:r>
        <w:rPr>
          <w:rFonts w:ascii="Arial" w:cs="Arial" w:eastAsia="Arial" w:hAnsi="Arial"/>
          <w:sz w:val="18"/>
          <w:szCs w:val="18"/>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 w:name="page23"/>
    <w:bookmarkEnd w:id="22"/>
    <w:p>
      <w:pPr>
        <w:ind w:right="20" w:firstLine="656"/>
        <w:spacing w:after="0" w:line="291" w:lineRule="auto"/>
        <w:tabs>
          <w:tab w:leader="none" w:pos="903"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Payment in Stock</w:t>
      </w:r>
      <w:r>
        <w:rPr>
          <w:rFonts w:ascii="Arial" w:cs="Arial" w:eastAsia="Arial" w:hAnsi="Arial"/>
          <w:sz w:val="16"/>
          <w:szCs w:val="16"/>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SECTION 409A AWARDS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TERMINATION OF SERVICE RELATIONSHIP, TRANSFER, LEAVE OF ABSENCE, ETC.</w:t>
      </w:r>
    </w:p>
    <w:p>
      <w:pPr>
        <w:spacing w:after="0" w:line="225" w:lineRule="exact"/>
        <w:rPr>
          <w:sz w:val="20"/>
          <w:szCs w:val="20"/>
          <w:color w:val="auto"/>
        </w:rPr>
      </w:pPr>
    </w:p>
    <w:p>
      <w:pPr>
        <w:ind w:right="140" w:firstLine="656"/>
        <w:spacing w:after="0" w:line="277" w:lineRule="auto"/>
        <w:tabs>
          <w:tab w:leader="none" w:pos="89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Termination of Service Relationship</w:t>
      </w:r>
      <w:r>
        <w:rPr>
          <w:rFonts w:ascii="Arial" w:cs="Arial" w:eastAsia="Arial" w:hAnsi="Arial"/>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purposes of the Plan, the following events shall not be deemed a termination of a Service Relationship:</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 transfer to the employment of the Company from an Affiliate or from the Company to an Affiliate, or from one Affiliate to another;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right="120" w:firstLine="1304"/>
        <w:spacing w:after="0" w:line="263" w:lineRule="auto"/>
        <w:tabs>
          <w:tab w:leader="none" w:pos="1561"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AMENDMENTS AND TERMINATION</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Nothing in this Section 16 shall limit the Administrator’s authority to take any action permitted pursuant to Section 3(b) or 3(c).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STATUS OF PLAN</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ind w:right="20" w:firstLine="656"/>
        <w:spacing w:after="0" w:line="277" w:lineRule="auto"/>
        <w:tabs>
          <w:tab w:leader="none" w:pos="89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 Distribution</w:t>
      </w:r>
      <w:r>
        <w:rPr>
          <w:rFonts w:ascii="Arial" w:cs="Arial" w:eastAsia="Arial" w:hAnsi="Arial"/>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70" w:lineRule="exact"/>
        <w:rPr>
          <w:rFonts w:ascii="Arial" w:cs="Arial" w:eastAsia="Arial" w:hAnsi="Arial"/>
          <w:sz w:val="18"/>
          <w:szCs w:val="18"/>
          <w:color w:val="auto"/>
        </w:rPr>
      </w:pPr>
    </w:p>
    <w:p>
      <w:pPr>
        <w:ind w:firstLine="656"/>
        <w:spacing w:after="0" w:line="285" w:lineRule="auto"/>
        <w:tabs>
          <w:tab w:leader="none" w:pos="90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Issuance of Stock</w:t>
      </w:r>
      <w:r>
        <w:rPr>
          <w:rFonts w:ascii="Arial" w:cs="Arial" w:eastAsia="Arial" w:hAnsi="Arial"/>
          <w:sz w:val="16"/>
          <w:szCs w:val="16"/>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firstLine="656"/>
        <w:spacing w:after="0" w:line="263" w:lineRule="auto"/>
        <w:tabs>
          <w:tab w:leader="none" w:pos="89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83" w:lineRule="exact"/>
        <w:rPr>
          <w:rFonts w:ascii="Arial" w:cs="Arial" w:eastAsia="Arial" w:hAnsi="Arial"/>
          <w:sz w:val="18"/>
          <w:szCs w:val="18"/>
          <w:color w:val="auto"/>
        </w:rPr>
      </w:pPr>
    </w:p>
    <w:p>
      <w:pPr>
        <w:ind w:firstLine="656"/>
        <w:spacing w:after="0" w:line="311" w:lineRule="auto"/>
        <w:tabs>
          <w:tab w:leader="none" w:pos="903"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Other Compensation Arrangements; No Employment Rights</w:t>
      </w:r>
      <w:r>
        <w:rPr>
          <w:rFonts w:ascii="Arial" w:cs="Arial" w:eastAsia="Arial" w:hAnsi="Arial"/>
          <w:sz w:val="16"/>
          <w:szCs w:val="16"/>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48" w:lineRule="exact"/>
        <w:rPr>
          <w:rFonts w:ascii="Arial" w:cs="Arial" w:eastAsia="Arial" w:hAnsi="Arial"/>
          <w:sz w:val="16"/>
          <w:szCs w:val="16"/>
          <w:color w:val="auto"/>
        </w:rPr>
      </w:pPr>
    </w:p>
    <w:p>
      <w:pPr>
        <w:ind w:right="160" w:firstLine="656"/>
        <w:spacing w:after="0" w:line="277" w:lineRule="auto"/>
        <w:tabs>
          <w:tab w:leader="none" w:pos="89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Trading 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Awards under the Plan shall be subject to the Company’s clawback policy, as in effect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EFFECTIVE DATE OF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Plan shall become effective immediately upon approval by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GOVERNING LAW</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BOARD OF DIRECTORS: February 12, 2021</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90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lvl w:ilvl="1">
      <w:lvlJc w:val="left"/>
      <w:lvlText w:val="(%2)"/>
      <w:numFmt w:val="decimal"/>
      <w:start w:val="2"/>
    </w:lvl>
  </w:abstractNum>
  <w:abstractNum w:abstractNumId="1">
    <w:nsid w:val="41A7C4C9"/>
    <w:multiLevelType w:val="hybridMultilevel"/>
    <w:lvl w:ilvl="0">
      <w:lvlJc w:val="left"/>
      <w:lvlText w:val="(%1)"/>
      <w:numFmt w:val="lowerLetter"/>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lowerRoman"/>
      <w:start w:val="2"/>
    </w:lvl>
  </w:abstractNum>
  <w:abstractNum w:abstractNumId="7">
    <w:nsid w:val="3F2DBA31"/>
    <w:multiLevelType w:val="hybridMultilevel"/>
    <w:lvl w:ilvl="0">
      <w:lvlJc w:val="left"/>
      <w:lvlText w:val="(%1)"/>
      <w:numFmt w:val="lowerRoman"/>
      <w:start w:val="3"/>
    </w:lvl>
  </w:abstractNum>
  <w:abstractNum w:abstractNumId="8">
    <w:nsid w:val="7C83E458"/>
    <w:multiLevelType w:val="hybridMultilevel"/>
    <w:lvl w:ilvl="0">
      <w:lvlJc w:val="left"/>
      <w:lvlText w:val="(%1)"/>
      <w:numFmt w:val="decimal"/>
      <w:start w:val="2"/>
    </w:lvl>
  </w:abstractNum>
  <w:abstractNum w:abstractNumId="9">
    <w:nsid w:val="257130A3"/>
    <w:multiLevelType w:val="hybridMultilevel"/>
    <w:lvl w:ilvl="0">
      <w:lvlJc w:val="left"/>
      <w:lvlText w:val="(%1)"/>
      <w:numFmt w:val="lowerLetter"/>
      <w:start w:val="2"/>
    </w:lvl>
  </w:abstractNum>
  <w:abstractNum w:abstractNumId="10">
    <w:nsid w:val="62BBD95A"/>
    <w:multiLevelType w:val="hybridMultilevel"/>
    <w:lvl w:ilvl="0">
      <w:lvlJc w:val="left"/>
      <w:lvlText w:val="(%1)"/>
      <w:numFmt w:val="lowerLetter"/>
      <w:start w:val="1"/>
    </w:lvl>
    <w:lvl w:ilvl="1">
      <w:lvlJc w:val="left"/>
      <w:lvlText w:val="(%2)"/>
      <w:numFmt w:val="lowerRoman"/>
      <w:start w:val="1"/>
    </w:lvl>
  </w:abstractNum>
  <w:abstractNum w:abstractNumId="11">
    <w:nsid w:val="436C6125"/>
    <w:multiLevelType w:val="hybridMultilevel"/>
    <w:lvl w:ilvl="0">
      <w:lvlJc w:val="left"/>
      <w:lvlText w:val="(%1)"/>
      <w:numFmt w:val="lowerRoman"/>
      <w:start w:val="4"/>
    </w:lvl>
  </w:abstractNum>
  <w:abstractNum w:abstractNumId="12">
    <w:nsid w:val="628C895D"/>
    <w:multiLevelType w:val="hybridMultilevel"/>
    <w:lvl w:ilvl="0">
      <w:lvlJc w:val="left"/>
      <w:lvlText w:val="(%1)"/>
      <w:numFmt w:val="lowerLetter"/>
      <w:start w:val="3"/>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3"/>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2"/>
    </w:lvl>
    <w:lvl w:ilvl="1">
      <w:lvlJc w:val="left"/>
      <w:lvlText w:val="(%2)"/>
      <w:numFmt w:val="lowerRoman"/>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3"/>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2"/>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2"/>
    </w:lvl>
  </w:abstractNum>
  <w:abstractNum w:abstractNumId="26">
    <w:nsid w:val="2CA88611"/>
    <w:multiLevelType w:val="hybridMultilevel"/>
    <w:lvl w:ilvl="0">
      <w:lvlJc w:val="left"/>
      <w:lvlText w:val="(%1)"/>
      <w:numFmt w:val="lowerLetter"/>
      <w:start w:val="1"/>
    </w:lvl>
    <w:lvl w:ilvl="1">
      <w:lvlJc w:val="left"/>
      <w:lvlText w:val="(%2)"/>
      <w:numFmt w:val="lowerRoman"/>
      <w:start w:val="1"/>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21" Type="http://schemas.openxmlformats.org/officeDocument/2006/relationships/hyperlink" Target="http://www.sec.gov/Archives/edgar/data/1816736/000121390021002893/f424b30121_fsdevel.htm" TargetMode="External"/><Relationship Id="rId22" Type="http://schemas.openxmlformats.org/officeDocument/2006/relationships/hyperlink" Target="http://www.sec.gov/Archives/edgar/data/1816736/000121390021002636/fs42021a5_fsdevelopment.htm" TargetMode="External"/><Relationship Id="rId23" Type="http://schemas.openxmlformats.org/officeDocument/2006/relationships/hyperlink" Target="http://www.sec.gov/Archives/edgar/data/1816736/000121390021018272/f10k2020_geminitherape.htm" TargetMode="External"/><Relationship Id="rId24" Type="http://schemas.openxmlformats.org/officeDocument/2006/relationships/hyperlink" Target="http://www.sec.gov/Archives/edgar/data/1816736/000121390021007091/ea134758-8a12ba1_gemini.htm" TargetMode="External"/><Relationship Id="rId25" Type="http://schemas.openxmlformats.org/officeDocument/2006/relationships/hyperlink" Target="http://www.sec.gov/Archives/edgar/data/1816736/000121390021018286/ea138289-s1a1_geminitherap.htm" TargetMode="External"/><Relationship Id="rId26" Type="http://schemas.openxmlformats.org/officeDocument/2006/relationships/hyperlink" Target="http://www.sec.gov/Archives/edgar/data/1816736/000121390021007136/ea134776-8k_geminithera.htm" TargetMode="External"/><Relationship Id="rId27" Type="http://schemas.openxmlformats.org/officeDocument/2006/relationships/hyperlink" Target="http://www.sec.gov/Archives/edgar/data/1816736/000121390021008478/ea135023-8k_geminitherap.htm" TargetMode="External"/><Relationship Id="rId28" Type="http://schemas.openxmlformats.org/officeDocument/2006/relationships/hyperlink" Target="http://www.sec.gov/Archives/edgar/data/1816736/000121390021018279/ea138016-8ka1_geminithera.htm" TargetMode="External"/><Relationship Id="rId29" Type="http://schemas.openxmlformats.org/officeDocument/2006/relationships/hyperlink" Target="http://www.sec.gov/Archives/edgar/data/1816736/000121390021011131/ea136304-8k_geminithera.htm" TargetMode="External"/><Relationship Id="rId30" Type="http://schemas.openxmlformats.org/officeDocument/2006/relationships/hyperlink" Target="http://www.sec.gov/Archives/edgar/data/1816736/000121390021018321/ea138509-8k_geminitherap.htm" TargetMode="External"/><Relationship Id="rId33" Type="http://schemas.openxmlformats.org/officeDocument/2006/relationships/hyperlink" Target="http://www.sec.gov/Archives/edgar/data/1816736/000121390021002636/fs42021a5ex4-1_fsdevelop.htm" TargetMode="External"/><Relationship Id="rId34" Type="http://schemas.openxmlformats.org/officeDocument/2006/relationships/hyperlink" Target="http://www.sec.gov/Archives/edgar/data/1816736/000121390021002636/fs42021a5_fsdevelopment.htm#T52" TargetMode="External"/><Relationship Id="rId35" Type="http://schemas.openxmlformats.org/officeDocument/2006/relationships/hyperlink" Target="http://www.sec.gov/Archives/edgar/data/1816736/000121390021002636/fs42021a5_fsdevelopment.htm#T53" TargetMode="External"/><Relationship Id="rId36" Type="http://schemas.openxmlformats.org/officeDocument/2006/relationships/hyperlink" Target="http://www.sec.gov/Archives/edgar/data/1816736/000121390021002893/f424b30121_fsdevel.htm#T54" TargetMode="External"/><Relationship Id="rId37" Type="http://schemas.openxmlformats.org/officeDocument/2006/relationships/hyperlink" Target="http://www.sec.gov/Archives/edgar/data/1816736/000121390021008478/ea135023ex10-5_gemin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2021-04-13T05:13:36Z</dcterms:created>
  <dcterms:modified xsi:type="dcterms:W3CDTF">2021-04-13T05:13:36Z</dcterms:modified>
</cp:coreProperties>
</file>