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772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772541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60" w:type="dxa"/>
            <w:vAlign w:val="bottom"/>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Ashiya Mona</w:t>
              </w:r>
            </w:hyperlink>
          </w:p>
        </w:tc>
        <w:tc>
          <w:tcPr>
            <w:tcW w:w="10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Disc Medicine,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IRON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tcBorders>
              <w:bottom w:val="single" w:sz="8" w:color="0000EE"/>
            </w:tcBorders>
          </w:tcPr>
          <w:p>
            <w:pPr>
              <w:spacing w:after="0"/>
              <w:rPr>
                <w:sz w:val="6"/>
                <w:szCs w:val="6"/>
                <w:color w:val="auto"/>
              </w:rPr>
            </w:pPr>
          </w:p>
        </w:tc>
        <w:tc>
          <w:tcPr>
            <w:tcW w:w="20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1160" w:type="dxa"/>
            <w:vAlign w:val="bottom"/>
            <w:tcBorders>
              <w:bottom w:val="single" w:sz="8" w:color="0000EE"/>
            </w:tcBorders>
            <w:vMerge w:val="continue"/>
          </w:tcPr>
          <w:p>
            <w:pPr>
              <w:spacing w:after="0"/>
              <w:rPr>
                <w:sz w:val="5"/>
                <w:szCs w:val="5"/>
                <w:color w:val="auto"/>
              </w:rPr>
            </w:pPr>
          </w:p>
        </w:tc>
        <w:tc>
          <w:tcPr>
            <w:tcW w:w="10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08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8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03/19/2025</w:t>
            </w:r>
          </w:p>
        </w:tc>
        <w:tc>
          <w:tcPr>
            <w:tcW w:w="20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DISC MEDICINE, INC.</w:t>
            </w:r>
          </w:p>
        </w:tc>
        <w:tc>
          <w:tcPr>
            <w:tcW w:w="1400" w:type="dxa"/>
            <w:vAlign w:val="bottom"/>
          </w:tcPr>
          <w:p>
            <w:pPr>
              <w:spacing w:after="0"/>
              <w:rPr>
                <w:sz w:val="11"/>
                <w:szCs w:val="11"/>
                <w:color w:val="auto"/>
              </w:rPr>
            </w:pPr>
          </w:p>
        </w:tc>
        <w:tc>
          <w:tcPr>
            <w:tcW w:w="1840" w:type="dxa"/>
            <w:vAlign w:val="bottom"/>
            <w:gridSpan w:val="3"/>
            <w:vMerge w:val="continue"/>
          </w:tcPr>
          <w:p>
            <w:pPr>
              <w:spacing w:after="0"/>
              <w:rPr>
                <w:sz w:val="11"/>
                <w:szCs w:val="11"/>
                <w:color w:val="auto"/>
              </w:rPr>
            </w:pPr>
          </w:p>
        </w:tc>
        <w:tc>
          <w:tcPr>
            <w:tcW w:w="20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321 ARSENAL STREET, SUITE 101</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680" w:type="dxa"/>
            <w:vAlign w:val="bottom"/>
            <w:tcBorders>
              <w:bottom w:val="single" w:sz="8" w:color="2C2C2C"/>
            </w:tcBorders>
          </w:tcPr>
          <w:p>
            <w:pPr>
              <w:spacing w:after="0"/>
              <w:rPr>
                <w:sz w:val="12"/>
                <w:szCs w:val="12"/>
                <w:color w:val="auto"/>
              </w:rPr>
            </w:pPr>
          </w:p>
        </w:tc>
        <w:tc>
          <w:tcPr>
            <w:tcW w:w="20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WATERTOWN</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240" w:type="dxa"/>
            <w:vAlign w:val="bottom"/>
            <w:gridSpan w:val="2"/>
          </w:tcPr>
          <w:p>
            <w:pPr>
              <w:ind w:left="400"/>
              <w:spacing w:after="0"/>
              <w:rPr>
                <w:sz w:val="20"/>
                <w:szCs w:val="20"/>
                <w:color w:val="auto"/>
              </w:rPr>
            </w:pPr>
            <w:r>
              <w:rPr>
                <w:rFonts w:ascii="Arial" w:cs="Arial" w:eastAsia="Arial" w:hAnsi="Arial"/>
                <w:sz w:val="12"/>
                <w:szCs w:val="12"/>
                <w:b w:val="1"/>
                <w:bCs w:val="1"/>
                <w:color w:val="auto"/>
              </w:rPr>
              <w:t>6. Ownership</w:t>
            </w:r>
          </w:p>
        </w:tc>
        <w:tc>
          <w:tcPr>
            <w:tcW w:w="12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24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Form: Direct</w:t>
            </w: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 or</w:t>
            </w:r>
          </w:p>
        </w:tc>
        <w:tc>
          <w:tcPr>
            <w:tcW w:w="48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Owned Following  Indirect (I)</w:t>
            </w: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1240" w:type="dxa"/>
            <w:vAlign w:val="bottom"/>
            <w:gridSpan w:val="2"/>
            <w:vMerge w:val="restart"/>
          </w:tcPr>
          <w:p>
            <w:pPr>
              <w:ind w:left="400"/>
              <w:spacing w:after="0" w:line="133" w:lineRule="exact"/>
              <w:rPr>
                <w:sz w:val="20"/>
                <w:szCs w:val="20"/>
                <w:color w:val="auto"/>
              </w:rPr>
            </w:pPr>
            <w:r>
              <w:rPr>
                <w:rFonts w:ascii="Arial" w:cs="Arial" w:eastAsia="Arial" w:hAnsi="Arial"/>
                <w:sz w:val="12"/>
                <w:szCs w:val="12"/>
                <w:b w:val="1"/>
                <w:bCs w:val="1"/>
                <w:color w:val="auto"/>
              </w:rPr>
              <w:t>(Instr. 4)</w:t>
            </w:r>
          </w:p>
        </w:tc>
        <w:tc>
          <w:tcPr>
            <w:tcW w:w="12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tcPr>
          <w:p>
            <w:pPr>
              <w:jc w:val="center"/>
              <w:ind w:right="26"/>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94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7"/>
                <w:szCs w:val="17"/>
                <w:color w:val="0000FF"/>
              </w:rPr>
              <w:t>03/19/2025</w:t>
            </w: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21"/>
                <w:szCs w:val="21"/>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13,517</w:t>
            </w:r>
          </w:p>
        </w:tc>
        <w:tc>
          <w:tcPr>
            <w:tcW w:w="80" w:type="dxa"/>
            <w:vAlign w:val="bottom"/>
          </w:tcPr>
          <w:p>
            <w:pPr>
              <w:spacing w:after="0"/>
              <w:rPr>
                <w:sz w:val="21"/>
                <w:szCs w:val="21"/>
                <w:color w:val="auto"/>
              </w:rPr>
            </w:pPr>
          </w:p>
        </w:tc>
        <w:tc>
          <w:tcPr>
            <w:tcW w:w="380" w:type="dxa"/>
            <w:vAlign w:val="bottom"/>
            <w:vMerge w:val="restart"/>
          </w:tcPr>
          <w:p>
            <w:pPr>
              <w:jc w:val="center"/>
              <w:ind w:right="66"/>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54.02</w:t>
            </w:r>
          </w:p>
        </w:tc>
        <w:tc>
          <w:tcPr>
            <w:tcW w:w="1560" w:type="dxa"/>
            <w:vAlign w:val="bottom"/>
            <w:gridSpan w:val="3"/>
            <w:vMerge w:val="restart"/>
          </w:tcPr>
          <w:p>
            <w:pPr>
              <w:jc w:val="right"/>
              <w:ind w:right="660"/>
              <w:spacing w:after="0"/>
              <w:rPr>
                <w:sz w:val="20"/>
                <w:szCs w:val="20"/>
                <w:color w:val="auto"/>
              </w:rPr>
            </w:pPr>
            <w:r>
              <w:rPr>
                <w:rFonts w:ascii="Times New Roman" w:cs="Times New Roman" w:eastAsia="Times New Roman" w:hAnsi="Times New Roman"/>
                <w:sz w:val="17"/>
                <w:szCs w:val="17"/>
                <w:color w:val="0000FF"/>
              </w:rPr>
              <w:t>488,617</w:t>
            </w:r>
          </w:p>
        </w:tc>
        <w:tc>
          <w:tcPr>
            <w:tcW w:w="4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94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12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940" w:type="dxa"/>
            <w:vAlign w:val="bottom"/>
            <w:tcBorders>
              <w:top w:val="single" w:sz="8" w:color="2C2C2C"/>
            </w:tcBorders>
            <w:gridSpan w:val="2"/>
            <w:vMerge w:val="restart"/>
          </w:tcPr>
          <w:p>
            <w:pPr>
              <w:jc w:val="right"/>
              <w:ind w:right="680"/>
              <w:spacing w:after="0"/>
              <w:rPr>
                <w:sz w:val="20"/>
                <w:szCs w:val="20"/>
                <w:color w:val="auto"/>
              </w:rPr>
            </w:pPr>
            <w:r>
              <w:rPr>
                <w:rFonts w:ascii="Times New Roman" w:cs="Times New Roman" w:eastAsia="Times New Roman" w:hAnsi="Times New Roman"/>
                <w:sz w:val="17"/>
                <w:szCs w:val="17"/>
                <w:color w:val="0000FF"/>
              </w:rPr>
              <w:t>03/19/2025</w:t>
            </w: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20,911</w:t>
            </w:r>
          </w:p>
        </w:tc>
        <w:tc>
          <w:tcPr>
            <w:tcW w:w="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jc w:val="center"/>
              <w:ind w:right="66"/>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54.02</w:t>
            </w:r>
          </w:p>
        </w:tc>
        <w:tc>
          <w:tcPr>
            <w:tcW w:w="1560" w:type="dxa"/>
            <w:vAlign w:val="bottom"/>
            <w:tcBorders>
              <w:top w:val="single" w:sz="8" w:color="2C2C2C"/>
            </w:tcBorders>
            <w:gridSpan w:val="3"/>
            <w:vMerge w:val="restart"/>
          </w:tcPr>
          <w:p>
            <w:pPr>
              <w:jc w:val="right"/>
              <w:ind w:right="660"/>
              <w:spacing w:after="0"/>
              <w:rPr>
                <w:sz w:val="20"/>
                <w:szCs w:val="20"/>
                <w:color w:val="auto"/>
              </w:rPr>
            </w:pPr>
            <w:r>
              <w:rPr>
                <w:rFonts w:ascii="Times New Roman" w:cs="Times New Roman" w:eastAsia="Times New Roman" w:hAnsi="Times New Roman"/>
                <w:sz w:val="17"/>
                <w:szCs w:val="17"/>
                <w:color w:val="0000FF"/>
              </w:rPr>
              <w:t>755,933</w:t>
            </w:r>
          </w:p>
        </w:tc>
        <w:tc>
          <w:tcPr>
            <w:tcW w:w="48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4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94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12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940" w:type="dxa"/>
            <w:vAlign w:val="bottom"/>
            <w:tcBorders>
              <w:top w:val="single" w:sz="8" w:color="2C2C2C"/>
            </w:tcBorders>
            <w:gridSpan w:val="2"/>
            <w:vMerge w:val="restart"/>
          </w:tcPr>
          <w:p>
            <w:pPr>
              <w:jc w:val="right"/>
              <w:ind w:right="680"/>
              <w:spacing w:after="0"/>
              <w:rPr>
                <w:sz w:val="20"/>
                <w:szCs w:val="20"/>
                <w:color w:val="auto"/>
              </w:rPr>
            </w:pPr>
            <w:r>
              <w:rPr>
                <w:rFonts w:ascii="Times New Roman" w:cs="Times New Roman" w:eastAsia="Times New Roman" w:hAnsi="Times New Roman"/>
                <w:sz w:val="17"/>
                <w:szCs w:val="17"/>
                <w:color w:val="0000FF"/>
              </w:rPr>
              <w:t>03/19/2025</w:t>
            </w: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5,228</w:t>
            </w:r>
          </w:p>
        </w:tc>
        <w:tc>
          <w:tcPr>
            <w:tcW w:w="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jc w:val="center"/>
              <w:ind w:right="66"/>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54.02</w:t>
            </w:r>
          </w:p>
        </w:tc>
        <w:tc>
          <w:tcPr>
            <w:tcW w:w="1560" w:type="dxa"/>
            <w:vAlign w:val="bottom"/>
            <w:tcBorders>
              <w:top w:val="single" w:sz="8" w:color="2C2C2C"/>
            </w:tcBorders>
            <w:gridSpan w:val="3"/>
            <w:vMerge w:val="restart"/>
          </w:tcPr>
          <w:p>
            <w:pPr>
              <w:jc w:val="right"/>
              <w:ind w:right="660"/>
              <w:spacing w:after="0"/>
              <w:rPr>
                <w:sz w:val="20"/>
                <w:szCs w:val="20"/>
                <w:color w:val="auto"/>
              </w:rPr>
            </w:pPr>
            <w:r>
              <w:rPr>
                <w:rFonts w:ascii="Times New Roman" w:cs="Times New Roman" w:eastAsia="Times New Roman" w:hAnsi="Times New Roman"/>
                <w:sz w:val="17"/>
                <w:szCs w:val="17"/>
                <w:color w:val="0000FF"/>
              </w:rPr>
              <w:t>188,981</w:t>
            </w:r>
          </w:p>
        </w:tc>
        <w:tc>
          <w:tcPr>
            <w:tcW w:w="48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4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94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12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(3)(4)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940" w:type="dxa"/>
            <w:vAlign w:val="bottom"/>
            <w:tcBorders>
              <w:top w:val="single" w:sz="8" w:color="2C2C2C"/>
            </w:tcBorders>
            <w:gridSpan w:val="2"/>
            <w:vMerge w:val="restart"/>
          </w:tcPr>
          <w:p>
            <w:pPr>
              <w:jc w:val="right"/>
              <w:ind w:right="680"/>
              <w:spacing w:after="0"/>
              <w:rPr>
                <w:sz w:val="20"/>
                <w:szCs w:val="20"/>
                <w:color w:val="auto"/>
              </w:rPr>
            </w:pPr>
            <w:r>
              <w:rPr>
                <w:rFonts w:ascii="Times New Roman" w:cs="Times New Roman" w:eastAsia="Times New Roman" w:hAnsi="Times New Roman"/>
                <w:sz w:val="17"/>
                <w:szCs w:val="17"/>
                <w:color w:val="0000FF"/>
              </w:rPr>
              <w:t>03/20/2025</w:t>
            </w: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941</w:t>
            </w:r>
          </w:p>
        </w:tc>
        <w:tc>
          <w:tcPr>
            <w:tcW w:w="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jc w:val="center"/>
              <w:ind w:right="66"/>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54.01</w:t>
            </w:r>
          </w:p>
        </w:tc>
        <w:tc>
          <w:tcPr>
            <w:tcW w:w="1560" w:type="dxa"/>
            <w:vAlign w:val="bottom"/>
            <w:tcBorders>
              <w:top w:val="single" w:sz="8" w:color="2C2C2C"/>
            </w:tcBorders>
            <w:gridSpan w:val="3"/>
            <w:vMerge w:val="restart"/>
          </w:tcPr>
          <w:p>
            <w:pPr>
              <w:jc w:val="right"/>
              <w:ind w:right="660"/>
              <w:spacing w:after="0"/>
              <w:rPr>
                <w:sz w:val="20"/>
                <w:szCs w:val="20"/>
                <w:color w:val="auto"/>
              </w:rPr>
            </w:pPr>
            <w:r>
              <w:rPr>
                <w:rFonts w:ascii="Times New Roman" w:cs="Times New Roman" w:eastAsia="Times New Roman" w:hAnsi="Times New Roman"/>
                <w:sz w:val="17"/>
                <w:szCs w:val="17"/>
                <w:color w:val="0000FF"/>
              </w:rPr>
              <w:t>487,676</w:t>
            </w:r>
          </w:p>
        </w:tc>
        <w:tc>
          <w:tcPr>
            <w:tcW w:w="48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4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94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12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940" w:type="dxa"/>
            <w:vAlign w:val="bottom"/>
            <w:tcBorders>
              <w:top w:val="single" w:sz="8" w:color="2C2C2C"/>
            </w:tcBorders>
            <w:gridSpan w:val="2"/>
            <w:vMerge w:val="restart"/>
          </w:tcPr>
          <w:p>
            <w:pPr>
              <w:jc w:val="right"/>
              <w:ind w:right="680"/>
              <w:spacing w:after="0"/>
              <w:rPr>
                <w:sz w:val="20"/>
                <w:szCs w:val="20"/>
                <w:color w:val="auto"/>
              </w:rPr>
            </w:pPr>
            <w:r>
              <w:rPr>
                <w:rFonts w:ascii="Times New Roman" w:cs="Times New Roman" w:eastAsia="Times New Roman" w:hAnsi="Times New Roman"/>
                <w:sz w:val="17"/>
                <w:szCs w:val="17"/>
                <w:color w:val="0000FF"/>
              </w:rPr>
              <w:t>03/20/2025</w:t>
            </w: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1,457</w:t>
            </w:r>
          </w:p>
        </w:tc>
        <w:tc>
          <w:tcPr>
            <w:tcW w:w="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jc w:val="center"/>
              <w:ind w:right="66"/>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54.01</w:t>
            </w:r>
          </w:p>
        </w:tc>
        <w:tc>
          <w:tcPr>
            <w:tcW w:w="1560" w:type="dxa"/>
            <w:vAlign w:val="bottom"/>
            <w:tcBorders>
              <w:top w:val="single" w:sz="8" w:color="2C2C2C"/>
            </w:tcBorders>
            <w:gridSpan w:val="3"/>
            <w:vMerge w:val="restart"/>
          </w:tcPr>
          <w:p>
            <w:pPr>
              <w:jc w:val="right"/>
              <w:ind w:right="660"/>
              <w:spacing w:after="0"/>
              <w:rPr>
                <w:sz w:val="20"/>
                <w:szCs w:val="20"/>
                <w:color w:val="auto"/>
              </w:rPr>
            </w:pPr>
            <w:r>
              <w:rPr>
                <w:rFonts w:ascii="Times New Roman" w:cs="Times New Roman" w:eastAsia="Times New Roman" w:hAnsi="Times New Roman"/>
                <w:sz w:val="17"/>
                <w:szCs w:val="17"/>
                <w:color w:val="0000FF"/>
              </w:rPr>
              <w:t>754,476</w:t>
            </w:r>
          </w:p>
        </w:tc>
        <w:tc>
          <w:tcPr>
            <w:tcW w:w="48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4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94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12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940" w:type="dxa"/>
            <w:vAlign w:val="bottom"/>
            <w:tcBorders>
              <w:top w:val="single" w:sz="8" w:color="2C2C2C"/>
            </w:tcBorders>
            <w:gridSpan w:val="2"/>
            <w:vMerge w:val="restart"/>
          </w:tcPr>
          <w:p>
            <w:pPr>
              <w:jc w:val="right"/>
              <w:ind w:right="680"/>
              <w:spacing w:after="0"/>
              <w:rPr>
                <w:sz w:val="20"/>
                <w:szCs w:val="20"/>
                <w:color w:val="auto"/>
              </w:rPr>
            </w:pPr>
            <w:r>
              <w:rPr>
                <w:rFonts w:ascii="Times New Roman" w:cs="Times New Roman" w:eastAsia="Times New Roman" w:hAnsi="Times New Roman"/>
                <w:sz w:val="17"/>
                <w:szCs w:val="17"/>
                <w:color w:val="0000FF"/>
              </w:rPr>
              <w:t>03/20/2025</w:t>
            </w: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364</w:t>
            </w:r>
          </w:p>
        </w:tc>
        <w:tc>
          <w:tcPr>
            <w:tcW w:w="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jc w:val="center"/>
              <w:ind w:right="66"/>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54.01</w:t>
            </w:r>
          </w:p>
        </w:tc>
        <w:tc>
          <w:tcPr>
            <w:tcW w:w="1560" w:type="dxa"/>
            <w:vAlign w:val="bottom"/>
            <w:tcBorders>
              <w:top w:val="single" w:sz="8" w:color="2C2C2C"/>
            </w:tcBorders>
            <w:gridSpan w:val="3"/>
            <w:vMerge w:val="restart"/>
          </w:tcPr>
          <w:p>
            <w:pPr>
              <w:jc w:val="right"/>
              <w:ind w:right="660"/>
              <w:spacing w:after="0"/>
              <w:rPr>
                <w:sz w:val="20"/>
                <w:szCs w:val="20"/>
                <w:color w:val="auto"/>
              </w:rPr>
            </w:pPr>
            <w:r>
              <w:rPr>
                <w:rFonts w:ascii="Times New Roman" w:cs="Times New Roman" w:eastAsia="Times New Roman" w:hAnsi="Times New Roman"/>
                <w:sz w:val="17"/>
                <w:szCs w:val="17"/>
                <w:color w:val="0000FF"/>
              </w:rPr>
              <w:t>188,617</w:t>
            </w:r>
          </w:p>
        </w:tc>
        <w:tc>
          <w:tcPr>
            <w:tcW w:w="48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4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94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12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(3)(4)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940" w:type="dxa"/>
            <w:vAlign w:val="bottom"/>
            <w:tcBorders>
              <w:top w:val="single" w:sz="8" w:color="2C2C2C"/>
            </w:tcBorders>
            <w:gridSpan w:val="2"/>
            <w:vMerge w:val="restart"/>
          </w:tcPr>
          <w:p>
            <w:pPr>
              <w:jc w:val="right"/>
              <w:ind w:right="680"/>
              <w:spacing w:after="0"/>
              <w:rPr>
                <w:sz w:val="20"/>
                <w:szCs w:val="20"/>
                <w:color w:val="auto"/>
              </w:rPr>
            </w:pPr>
            <w:r>
              <w:rPr>
                <w:rFonts w:ascii="Times New Roman" w:cs="Times New Roman" w:eastAsia="Times New Roman" w:hAnsi="Times New Roman"/>
                <w:sz w:val="17"/>
                <w:szCs w:val="17"/>
                <w:color w:val="0000FF"/>
              </w:rPr>
              <w:t>03/21/2025</w:t>
            </w: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3,412</w:t>
            </w:r>
          </w:p>
        </w:tc>
        <w:tc>
          <w:tcPr>
            <w:tcW w:w="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jc w:val="center"/>
              <w:ind w:right="66"/>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w:t>
            </w:r>
          </w:p>
        </w:tc>
        <w:tc>
          <w:tcPr>
            <w:tcW w:w="1560" w:type="dxa"/>
            <w:vAlign w:val="bottom"/>
            <w:tcBorders>
              <w:top w:val="single" w:sz="8" w:color="2C2C2C"/>
            </w:tcBorders>
            <w:gridSpan w:val="3"/>
            <w:vMerge w:val="restart"/>
          </w:tcPr>
          <w:p>
            <w:pPr>
              <w:jc w:val="right"/>
              <w:ind w:right="660"/>
              <w:spacing w:after="0"/>
              <w:rPr>
                <w:sz w:val="20"/>
                <w:szCs w:val="20"/>
                <w:color w:val="auto"/>
              </w:rPr>
            </w:pPr>
            <w:r>
              <w:rPr>
                <w:rFonts w:ascii="Times New Roman" w:cs="Times New Roman" w:eastAsia="Times New Roman" w:hAnsi="Times New Roman"/>
                <w:sz w:val="17"/>
                <w:szCs w:val="17"/>
                <w:color w:val="0000FF"/>
              </w:rPr>
              <w:t>484,264</w:t>
            </w:r>
          </w:p>
        </w:tc>
        <w:tc>
          <w:tcPr>
            <w:tcW w:w="48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4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94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12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940" w:type="dxa"/>
            <w:vAlign w:val="bottom"/>
            <w:tcBorders>
              <w:top w:val="single" w:sz="8" w:color="2C2C2C"/>
            </w:tcBorders>
            <w:gridSpan w:val="2"/>
            <w:vMerge w:val="restart"/>
          </w:tcPr>
          <w:p>
            <w:pPr>
              <w:jc w:val="right"/>
              <w:ind w:right="680"/>
              <w:spacing w:after="0"/>
              <w:rPr>
                <w:sz w:val="20"/>
                <w:szCs w:val="20"/>
                <w:color w:val="auto"/>
              </w:rPr>
            </w:pPr>
            <w:r>
              <w:rPr>
                <w:rFonts w:ascii="Times New Roman" w:cs="Times New Roman" w:eastAsia="Times New Roman" w:hAnsi="Times New Roman"/>
                <w:sz w:val="17"/>
                <w:szCs w:val="17"/>
                <w:color w:val="0000FF"/>
              </w:rPr>
              <w:t>03/21/2025</w:t>
            </w: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5,279</w:t>
            </w:r>
          </w:p>
        </w:tc>
        <w:tc>
          <w:tcPr>
            <w:tcW w:w="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jc w:val="center"/>
              <w:ind w:right="66"/>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w:t>
            </w:r>
          </w:p>
        </w:tc>
        <w:tc>
          <w:tcPr>
            <w:tcW w:w="1560" w:type="dxa"/>
            <w:vAlign w:val="bottom"/>
            <w:tcBorders>
              <w:top w:val="single" w:sz="8" w:color="2C2C2C"/>
            </w:tcBorders>
            <w:gridSpan w:val="3"/>
            <w:vMerge w:val="restart"/>
          </w:tcPr>
          <w:p>
            <w:pPr>
              <w:jc w:val="right"/>
              <w:ind w:right="660"/>
              <w:spacing w:after="0"/>
              <w:rPr>
                <w:sz w:val="20"/>
                <w:szCs w:val="20"/>
                <w:color w:val="auto"/>
              </w:rPr>
            </w:pPr>
            <w:r>
              <w:rPr>
                <w:rFonts w:ascii="Times New Roman" w:cs="Times New Roman" w:eastAsia="Times New Roman" w:hAnsi="Times New Roman"/>
                <w:sz w:val="17"/>
                <w:szCs w:val="17"/>
                <w:color w:val="0000FF"/>
              </w:rPr>
              <w:t>749,197</w:t>
            </w:r>
          </w:p>
        </w:tc>
        <w:tc>
          <w:tcPr>
            <w:tcW w:w="48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4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94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12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940" w:type="dxa"/>
            <w:vAlign w:val="bottom"/>
            <w:tcBorders>
              <w:top w:val="single" w:sz="8" w:color="2C2C2C"/>
            </w:tcBorders>
            <w:gridSpan w:val="2"/>
            <w:vMerge w:val="restart"/>
          </w:tcPr>
          <w:p>
            <w:pPr>
              <w:jc w:val="right"/>
              <w:ind w:right="680"/>
              <w:spacing w:after="0"/>
              <w:rPr>
                <w:sz w:val="20"/>
                <w:szCs w:val="20"/>
                <w:color w:val="auto"/>
              </w:rPr>
            </w:pPr>
            <w:r>
              <w:rPr>
                <w:rFonts w:ascii="Times New Roman" w:cs="Times New Roman" w:eastAsia="Times New Roman" w:hAnsi="Times New Roman"/>
                <w:sz w:val="17"/>
                <w:szCs w:val="17"/>
                <w:color w:val="0000FF"/>
              </w:rPr>
              <w:t>03/21/2025</w:t>
            </w: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1,320</w:t>
            </w:r>
          </w:p>
        </w:tc>
        <w:tc>
          <w:tcPr>
            <w:tcW w:w="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jc w:val="center"/>
              <w:ind w:right="66"/>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w:t>
            </w:r>
          </w:p>
        </w:tc>
        <w:tc>
          <w:tcPr>
            <w:tcW w:w="1560" w:type="dxa"/>
            <w:vAlign w:val="bottom"/>
            <w:tcBorders>
              <w:top w:val="single" w:sz="8" w:color="2C2C2C"/>
            </w:tcBorders>
            <w:gridSpan w:val="3"/>
            <w:vMerge w:val="restart"/>
          </w:tcPr>
          <w:p>
            <w:pPr>
              <w:jc w:val="right"/>
              <w:ind w:right="660"/>
              <w:spacing w:after="0"/>
              <w:rPr>
                <w:sz w:val="20"/>
                <w:szCs w:val="20"/>
                <w:color w:val="auto"/>
              </w:rPr>
            </w:pPr>
            <w:r>
              <w:rPr>
                <w:rFonts w:ascii="Times New Roman" w:cs="Times New Roman" w:eastAsia="Times New Roman" w:hAnsi="Times New Roman"/>
                <w:sz w:val="17"/>
                <w:szCs w:val="17"/>
                <w:color w:val="0000FF"/>
              </w:rPr>
              <w:t>187,297</w:t>
            </w:r>
          </w:p>
        </w:tc>
        <w:tc>
          <w:tcPr>
            <w:tcW w:w="48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4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94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12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(3)(4)</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12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60" w:type="dxa"/>
            <w:vAlign w:val="bottom"/>
            <w:gridSpan w:val="14"/>
          </w:tcPr>
          <w:p>
            <w:pPr>
              <w:jc w:val="right"/>
              <w:ind w:right="6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9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w w:val="99"/>
              </w:rPr>
              <w:t>6. Date Exercisable and</w:t>
            </w:r>
          </w:p>
        </w:tc>
        <w:tc>
          <w:tcPr>
            <w:tcW w:w="80" w:type="dxa"/>
            <w:vAlign w:val="bottom"/>
          </w:tcPr>
          <w:p>
            <w:pPr>
              <w:spacing w:after="0"/>
              <w:rPr>
                <w:sz w:val="15"/>
                <w:szCs w:val="15"/>
                <w:color w:val="auto"/>
              </w:rPr>
            </w:pP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w w:val="98"/>
              </w:rPr>
              <w:t>9. Number of</w:t>
            </w:r>
          </w:p>
        </w:tc>
        <w:tc>
          <w:tcPr>
            <w:tcW w:w="4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4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10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10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6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4"/>
                <w:szCs w:val="14"/>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OrbiMed Private Investments VI, LP ("OPI VI"). OrbiMed Capital GP VI LLC ("GP VI") is the general partner of OPI VI, and OrbiMed Advisors LLC ("OrbiMed Advisors") is the managing member of GP VI. By virtue of such relationships, GP VI and OrbiMed Advisors may be deemed to have voting power and investment power over the securities held by OPI VI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 OPI VI.</w:t>
      </w:r>
    </w:p>
    <w:p>
      <w:pPr>
        <w:spacing w:after="0" w:line="24" w:lineRule="exact"/>
        <w:rPr>
          <w:rFonts w:ascii="Times New Roman" w:cs="Times New Roman" w:eastAsia="Times New Roman" w:hAnsi="Times New Roman"/>
          <w:sz w:val="13"/>
          <w:szCs w:val="13"/>
          <w:color w:val="008000"/>
        </w:rPr>
      </w:pPr>
    </w:p>
    <w:p>
      <w:pPr>
        <w:jc w:val="both"/>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OrbiMed Private Investments VIII, LP ("OPI VIII"). OrbiMed Capital GP VIII LLC ("GP VIII") is the general partner of OPI VIII, and OrbiMed Advisorsis the managing member of GP VIII. By virtue of such relationships, GP VIII and OrbiMed Advisors may be deemed to have voting power and investment power over the securities held by OPI VIII and as a</w:t>
      </w:r>
    </w:p>
    <w:p>
      <w:pPr>
        <w:sectPr>
          <w:pgSz w:w="11900" w:h="16838" w:orient="portrait"/>
          <w:cols w:equalWidth="0" w:num="1">
            <w:col w:w="11080"/>
          </w:cols>
          <w:pgMar w:left="460" w:top="219" w:right="359" w:bottom="0" w:gutter="0" w:footer="0" w:header="0"/>
          <w:type w:val="continuous"/>
        </w:sectPr>
      </w:pPr>
    </w:p>
    <w:bookmarkStart w:id="1" w:name="page2"/>
    <w:bookmarkEnd w:id="1"/>
    <w:p>
      <w:pPr>
        <w:ind w:right="60"/>
        <w:spacing w:after="0" w:line="272" w:lineRule="auto"/>
        <w:rPr>
          <w:sz w:val="20"/>
          <w:szCs w:val="20"/>
          <w:color w:val="auto"/>
        </w:rPr>
      </w:pPr>
      <w:r>
        <w:rPr>
          <w:rFonts w:ascii="Times New Roman" w:cs="Times New Roman" w:eastAsia="Times New Roman" w:hAnsi="Times New Roman"/>
          <w:sz w:val="13"/>
          <w:szCs w:val="13"/>
          <w:color w:val="008000"/>
        </w:rPr>
        <w:t>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 OPI VIII.</w:t>
      </w:r>
    </w:p>
    <w:p>
      <w:pPr>
        <w:spacing w:after="0" w:line="8" w:lineRule="exact"/>
        <w:rPr>
          <w:sz w:val="20"/>
          <w:szCs w:val="20"/>
          <w:color w:val="auto"/>
        </w:rPr>
      </w:pPr>
    </w:p>
    <w:p>
      <w:pPr>
        <w:ind w:right="60"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OrbiMed Genesis Master Fund, L.P. ("Genesis"). OrbiMed Genesis GP LLC ("Genesis GP") is the general partner of Genesis, and OrbiMed Advisors is the managing member of Genesis GP. By virtue of such relationships, Genesis GP and OrbiMed Advisors may be deemed to have voting power and investment power over the securities held by Genesis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 Genesis.</w:t>
      </w:r>
    </w:p>
    <w:p>
      <w:pPr>
        <w:spacing w:after="0" w:line="24"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 OrbiMed Advisors, GP VIII, GP VI, and Genesis GP disclaims beneficial ownership of the securities reported herein for purposes of Rule 16a-1(a) under the Securities Exchange Act of 1934, as amended (the "Exchange Act"), except to the extent of her or its pecuniary interest therein, if any. This report shall not be deemed an admission that any of the Reporting Person, OrbiMed Advisors, GP VIII, GP VI, or Genesis GP is a beneficial owner of such securities for purposes of Section 16 of the Exchange Act, or for any other purpose.</w:t>
      </w:r>
    </w:p>
    <w:p>
      <w:pPr>
        <w:spacing w:after="0" w:line="37"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Mona Ashiya</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03/21/2025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94070" TargetMode="External"/><Relationship Id="rId14"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2025-03-21T19:10:14Z</dcterms:created>
  <dcterms:modified xsi:type="dcterms:W3CDTF">2025-03-21T19:10:14Z</dcterms:modified>
</cp:coreProperties>
</file>